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37CE4"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Name of Journal: </w:t>
      </w:r>
      <w:r w:rsidRPr="00BC6A1C">
        <w:rPr>
          <w:rFonts w:ascii="Book Antiqua" w:eastAsia="Book Antiqua" w:hAnsi="Book Antiqua" w:cs="Book Antiqua"/>
          <w:i/>
          <w:color w:val="000000"/>
        </w:rPr>
        <w:t>World Journal of Radiology</w:t>
      </w:r>
    </w:p>
    <w:p w14:paraId="398AF3D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Manuscript NO: </w:t>
      </w:r>
      <w:r w:rsidRPr="00BC6A1C">
        <w:rPr>
          <w:rFonts w:ascii="Book Antiqua" w:eastAsia="Book Antiqua" w:hAnsi="Book Antiqua" w:cs="Book Antiqua"/>
          <w:color w:val="000000"/>
        </w:rPr>
        <w:t>78598</w:t>
      </w:r>
    </w:p>
    <w:p w14:paraId="22B8939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Manuscript Type: </w:t>
      </w:r>
      <w:r w:rsidRPr="00BC6A1C">
        <w:rPr>
          <w:rFonts w:ascii="Book Antiqua" w:eastAsia="Book Antiqua" w:hAnsi="Book Antiqua" w:cs="Book Antiqua"/>
          <w:color w:val="000000"/>
        </w:rPr>
        <w:t>ORIGINAL ARTICLE</w:t>
      </w:r>
    </w:p>
    <w:p w14:paraId="1E02A23C" w14:textId="77777777" w:rsidR="00A77B3E" w:rsidRPr="00BC6A1C" w:rsidRDefault="00A77B3E" w:rsidP="00BC6A1C">
      <w:pPr>
        <w:spacing w:line="360" w:lineRule="auto"/>
        <w:jc w:val="both"/>
        <w:rPr>
          <w:rFonts w:ascii="Book Antiqua" w:hAnsi="Book Antiqua"/>
        </w:rPr>
      </w:pPr>
    </w:p>
    <w:p w14:paraId="661688D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Retrospective Study</w:t>
      </w:r>
    </w:p>
    <w:p w14:paraId="098DD23E" w14:textId="2F6EB382"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Di</w:t>
      </w:r>
      <w:r w:rsidR="00741BE2" w:rsidRPr="00BC6A1C">
        <w:rPr>
          <w:rFonts w:ascii="Book Antiqua" w:eastAsia="Book Antiqua" w:hAnsi="Book Antiqua" w:cs="Book Antiqua"/>
          <w:b/>
          <w:bCs/>
          <w:color w:val="000000"/>
        </w:rPr>
        <w:t>agnostic efficacy of diffusion</w:t>
      </w:r>
      <w:r w:rsidR="00C0395A" w:rsidRPr="00C0395A">
        <w:rPr>
          <w:rFonts w:ascii="Book Antiqua" w:eastAsia="Book Antiqua" w:hAnsi="Book Antiqua" w:cs="Book Antiqua"/>
          <w:b/>
          <w:bCs/>
          <w:color w:val="000000"/>
        </w:rPr>
        <w:t xml:space="preserve">-weighted imaging </w:t>
      </w:r>
      <w:r w:rsidR="00C0395A">
        <w:rPr>
          <w:rFonts w:ascii="Book Antiqua" w:eastAsia="Book Antiqua" w:hAnsi="Book Antiqua" w:cs="Book Antiqua"/>
          <w:b/>
          <w:bCs/>
          <w:color w:val="000000"/>
        </w:rPr>
        <w:t xml:space="preserve">and </w:t>
      </w:r>
      <w:r w:rsidR="00741BE2" w:rsidRPr="00BC6A1C">
        <w:rPr>
          <w:rFonts w:ascii="Book Antiqua" w:eastAsia="Book Antiqua" w:hAnsi="Book Antiqua" w:cs="Book Antiqua"/>
          <w:b/>
          <w:bCs/>
          <w:color w:val="000000"/>
        </w:rPr>
        <w:t>semiquantitative and quantitative dynamic contrast-enhanced magnetic resonance imaging in salivary gland tumors</w:t>
      </w:r>
    </w:p>
    <w:p w14:paraId="20C75856" w14:textId="77777777" w:rsidR="00A77B3E" w:rsidRPr="00BC6A1C" w:rsidRDefault="00A77B3E" w:rsidP="00BC6A1C">
      <w:pPr>
        <w:spacing w:line="360" w:lineRule="auto"/>
        <w:jc w:val="both"/>
        <w:rPr>
          <w:rFonts w:ascii="Book Antiqua" w:hAnsi="Book Antiqua"/>
        </w:rPr>
      </w:pPr>
    </w:p>
    <w:p w14:paraId="1A949D7B" w14:textId="42D1FFA6" w:rsidR="00A77B3E" w:rsidRPr="00BC6A1C" w:rsidRDefault="00741BE2" w:rsidP="00BC6A1C">
      <w:pPr>
        <w:spacing w:line="360" w:lineRule="auto"/>
        <w:jc w:val="both"/>
        <w:rPr>
          <w:rFonts w:ascii="Book Antiqua" w:hAnsi="Book Antiqua"/>
        </w:rPr>
      </w:pPr>
      <w:r w:rsidRPr="00BC6A1C">
        <w:rPr>
          <w:rFonts w:ascii="Book Antiqua" w:eastAsia="Book Antiqua" w:hAnsi="Book Antiqua" w:cs="Book Antiqua"/>
          <w:color w:val="000000"/>
        </w:rPr>
        <w:t xml:space="preserve">Gökçe E </w:t>
      </w:r>
      <w:r w:rsidR="00720F79" w:rsidRPr="00BC6A1C">
        <w:rPr>
          <w:rFonts w:ascii="Book Antiqua" w:eastAsia="Book Antiqua" w:hAnsi="Book Antiqua" w:cs="Book Antiqua"/>
          <w:i/>
          <w:color w:val="000000"/>
        </w:rPr>
        <w:t>et al</w:t>
      </w:r>
      <w:r w:rsidR="00720F79" w:rsidRPr="00BC6A1C">
        <w:rPr>
          <w:rFonts w:ascii="Book Antiqua" w:eastAsia="Book Antiqua" w:hAnsi="Book Antiqua" w:cs="Book Antiqua"/>
          <w:color w:val="000000"/>
        </w:rPr>
        <w:t xml:space="preserve">. </w:t>
      </w:r>
      <w:r w:rsidR="00C0395A" w:rsidRPr="00BC6A1C">
        <w:rPr>
          <w:rFonts w:ascii="Book Antiqua" w:eastAsia="Book Antiqua" w:hAnsi="Book Antiqua" w:cs="Book Antiqua"/>
          <w:color w:val="000000"/>
        </w:rPr>
        <w:t>D</w:t>
      </w:r>
      <w:r w:rsidR="00C0395A">
        <w:rPr>
          <w:rFonts w:ascii="Book Antiqua" w:eastAsia="Book Antiqua" w:hAnsi="Book Antiqua" w:cs="Book Antiqua"/>
          <w:color w:val="000000"/>
        </w:rPr>
        <w:t>WI</w:t>
      </w:r>
      <w:r w:rsidR="00C0395A" w:rsidRPr="00BC6A1C">
        <w:rPr>
          <w:rFonts w:ascii="Book Antiqua" w:eastAsia="Book Antiqua" w:hAnsi="Book Antiqua" w:cs="Book Antiqua"/>
          <w:color w:val="000000"/>
        </w:rPr>
        <w:t xml:space="preserve"> </w:t>
      </w:r>
      <w:r w:rsidR="00303C0B" w:rsidRPr="00BC6A1C">
        <w:rPr>
          <w:rFonts w:ascii="Book Antiqua" w:eastAsia="Book Antiqua" w:hAnsi="Book Antiqua" w:cs="Book Antiqua"/>
          <w:color w:val="000000"/>
        </w:rPr>
        <w:t xml:space="preserve">and </w:t>
      </w:r>
      <w:r w:rsidR="004563E1" w:rsidRPr="00BC6A1C">
        <w:rPr>
          <w:rFonts w:ascii="Book Antiqua" w:eastAsia="Book Antiqua" w:hAnsi="Book Antiqua" w:cs="Book Antiqua"/>
          <w:color w:val="000000"/>
        </w:rPr>
        <w:t>DCE MRI in SGTs</w:t>
      </w:r>
    </w:p>
    <w:p w14:paraId="526A410A" w14:textId="77777777" w:rsidR="00A77B3E" w:rsidRPr="00BC6A1C" w:rsidRDefault="00A77B3E" w:rsidP="00BC6A1C">
      <w:pPr>
        <w:spacing w:line="360" w:lineRule="auto"/>
        <w:jc w:val="both"/>
        <w:rPr>
          <w:rFonts w:ascii="Book Antiqua" w:hAnsi="Book Antiqua"/>
        </w:rPr>
      </w:pPr>
    </w:p>
    <w:p w14:paraId="514DEFC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Erkan Gökçe, Murat Beyhan</w:t>
      </w:r>
    </w:p>
    <w:p w14:paraId="35F57D24" w14:textId="77777777" w:rsidR="00A77B3E" w:rsidRPr="00BC6A1C" w:rsidRDefault="00A77B3E" w:rsidP="00BC6A1C">
      <w:pPr>
        <w:spacing w:line="360" w:lineRule="auto"/>
        <w:jc w:val="both"/>
        <w:rPr>
          <w:rFonts w:ascii="Book Antiqua" w:hAnsi="Book Antiqua"/>
        </w:rPr>
      </w:pPr>
    </w:p>
    <w:p w14:paraId="25CE969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Erkan Gökçe, Murat Beyhan, </w:t>
      </w:r>
      <w:r w:rsidRPr="00BC6A1C">
        <w:rPr>
          <w:rFonts w:ascii="Book Antiqua" w:eastAsia="Book Antiqua" w:hAnsi="Book Antiqua" w:cs="Book Antiqua"/>
          <w:color w:val="000000"/>
        </w:rPr>
        <w:t>Department of Radiology, Tokat Gaziosmanpasa University, Faculty of Medicine, Tokat 60100, Turkey</w:t>
      </w:r>
    </w:p>
    <w:p w14:paraId="0174B1EC" w14:textId="77777777" w:rsidR="00A77B3E" w:rsidRPr="00BC6A1C" w:rsidRDefault="00A77B3E" w:rsidP="00BC6A1C">
      <w:pPr>
        <w:spacing w:line="360" w:lineRule="auto"/>
        <w:jc w:val="both"/>
        <w:rPr>
          <w:rFonts w:ascii="Book Antiqua" w:hAnsi="Book Antiqua"/>
        </w:rPr>
      </w:pPr>
    </w:p>
    <w:p w14:paraId="74DA56A4" w14:textId="0AF4B244"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Author contributions: </w:t>
      </w:r>
      <w:r w:rsidRPr="00BC6A1C">
        <w:rPr>
          <w:rFonts w:ascii="Book Antiqua" w:eastAsia="Book Antiqua" w:hAnsi="Book Antiqua" w:cs="Book Antiqua"/>
          <w:color w:val="000000"/>
        </w:rPr>
        <w:t>Gökçe E designed the study</w:t>
      </w:r>
      <w:r w:rsidR="00957E20" w:rsidRPr="00BC6A1C">
        <w:rPr>
          <w:rFonts w:ascii="Book Antiqua" w:eastAsia="Book Antiqua" w:hAnsi="Book Antiqua" w:cs="Book Antiqua"/>
          <w:color w:val="000000"/>
        </w:rPr>
        <w:t>; Beyhan M supervised the study;</w:t>
      </w:r>
      <w:r w:rsidRPr="00BC6A1C">
        <w:rPr>
          <w:rFonts w:ascii="Book Antiqua" w:eastAsia="Book Antiqua" w:hAnsi="Book Antiqua" w:cs="Book Antiqua"/>
          <w:color w:val="000000"/>
        </w:rPr>
        <w:t xml:space="preserve"> Gökçe E and Beyhan M participated in literature research and manuscript preparation, </w:t>
      </w:r>
      <w:r w:rsidR="00A04B2A">
        <w:rPr>
          <w:rFonts w:ascii="Book Antiqua" w:eastAsia="Book Antiqua" w:hAnsi="Book Antiqua" w:cs="Book Antiqua"/>
          <w:color w:val="000000"/>
        </w:rPr>
        <w:t xml:space="preserve">and </w:t>
      </w:r>
      <w:r w:rsidRPr="00BC6A1C">
        <w:rPr>
          <w:rFonts w:ascii="Book Antiqua" w:eastAsia="Book Antiqua" w:hAnsi="Book Antiqua" w:cs="Book Antiqua"/>
          <w:color w:val="000000"/>
        </w:rPr>
        <w:t>read and approved the final version.</w:t>
      </w:r>
    </w:p>
    <w:p w14:paraId="773ABC59" w14:textId="77777777" w:rsidR="00A77B3E" w:rsidRPr="00BC6A1C" w:rsidRDefault="00A77B3E" w:rsidP="00BC6A1C">
      <w:pPr>
        <w:spacing w:line="360" w:lineRule="auto"/>
        <w:jc w:val="both"/>
        <w:rPr>
          <w:rFonts w:ascii="Book Antiqua" w:hAnsi="Book Antiqua"/>
        </w:rPr>
      </w:pPr>
    </w:p>
    <w:p w14:paraId="2358A7E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Corresponding author: Erkan Gökçe, MD, Professor, </w:t>
      </w:r>
      <w:r w:rsidRPr="00BC6A1C">
        <w:rPr>
          <w:rFonts w:ascii="Book Antiqua" w:eastAsia="Book Antiqua" w:hAnsi="Book Antiqua" w:cs="Book Antiqua"/>
          <w:color w:val="000000"/>
        </w:rPr>
        <w:t>Department of Radiology, Tokat Gaziosmanpasa University, Faculty of Medicine, Kaleardı Neighborhood, Muhittin Fisunoglu Street, Tokat 60100, Turkey. drerkangokce@gmail.com</w:t>
      </w:r>
    </w:p>
    <w:p w14:paraId="1B2F2A35" w14:textId="77777777" w:rsidR="00A77B3E" w:rsidRPr="00BC6A1C" w:rsidRDefault="00A77B3E" w:rsidP="00BC6A1C">
      <w:pPr>
        <w:spacing w:line="360" w:lineRule="auto"/>
        <w:jc w:val="both"/>
        <w:rPr>
          <w:rFonts w:ascii="Book Antiqua" w:hAnsi="Book Antiqua"/>
        </w:rPr>
      </w:pPr>
    </w:p>
    <w:p w14:paraId="7B72F76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Received: </w:t>
      </w:r>
      <w:r w:rsidRPr="00BC6A1C">
        <w:rPr>
          <w:rFonts w:ascii="Book Antiqua" w:eastAsia="Book Antiqua" w:hAnsi="Book Antiqua" w:cs="Book Antiqua"/>
          <w:color w:val="000000"/>
        </w:rPr>
        <w:t>July 5, 2022</w:t>
      </w:r>
    </w:p>
    <w:p w14:paraId="048B68C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Revised: </w:t>
      </w:r>
      <w:r w:rsidRPr="00BC6A1C">
        <w:rPr>
          <w:rFonts w:ascii="Book Antiqua" w:eastAsia="Book Antiqua" w:hAnsi="Book Antiqua" w:cs="Book Antiqua"/>
          <w:color w:val="000000"/>
        </w:rPr>
        <w:t>September 15, 2022</w:t>
      </w:r>
    </w:p>
    <w:p w14:paraId="733F0263" w14:textId="7555AF0C"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Accepted: </w:t>
      </w:r>
      <w:r w:rsidR="000A127C" w:rsidRPr="0034339F">
        <w:rPr>
          <w:rFonts w:ascii="Book Antiqua" w:eastAsia="Book Antiqua" w:hAnsi="Book Antiqua" w:cs="Book Antiqua"/>
          <w:color w:val="000000"/>
        </w:rPr>
        <w:t>December 13, 2022</w:t>
      </w:r>
    </w:p>
    <w:p w14:paraId="534B9257" w14:textId="3271DB8A" w:rsidR="00A77B3E" w:rsidRPr="00FF2E77"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Published online:</w:t>
      </w:r>
      <w:r w:rsidRPr="00FF2E77">
        <w:rPr>
          <w:rFonts w:ascii="Book Antiqua" w:eastAsia="Book Antiqua" w:hAnsi="Book Antiqua" w:cs="Book Antiqua"/>
          <w:color w:val="000000"/>
        </w:rPr>
        <w:t xml:space="preserve"> </w:t>
      </w:r>
      <w:r w:rsidR="00FF2E77" w:rsidRPr="00FF2E77">
        <w:rPr>
          <w:rFonts w:ascii="Book Antiqua" w:eastAsia="Book Antiqua" w:hAnsi="Book Antiqua" w:cs="Book Antiqua"/>
          <w:color w:val="000000"/>
        </w:rPr>
        <w:t>January 28, 2023</w:t>
      </w:r>
    </w:p>
    <w:p w14:paraId="1539EF8C" w14:textId="77777777" w:rsidR="00A77B3E" w:rsidRPr="00BC6A1C" w:rsidRDefault="00A77B3E" w:rsidP="00BC6A1C">
      <w:pPr>
        <w:spacing w:line="360" w:lineRule="auto"/>
        <w:jc w:val="both"/>
        <w:rPr>
          <w:rFonts w:ascii="Book Antiqua" w:hAnsi="Book Antiqua"/>
          <w:lang w:eastAsia="zh-CN"/>
        </w:rPr>
        <w:sectPr w:rsidR="00A77B3E" w:rsidRPr="00BC6A1C">
          <w:footerReference w:type="default" r:id="rId7"/>
          <w:pgSz w:w="12240" w:h="15840"/>
          <w:pgMar w:top="1440" w:right="1440" w:bottom="1440" w:left="1440" w:header="720" w:footer="720" w:gutter="0"/>
          <w:cols w:space="720"/>
          <w:docGrid w:linePitch="360"/>
        </w:sectPr>
      </w:pPr>
    </w:p>
    <w:p w14:paraId="6AA77C7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Abstract</w:t>
      </w:r>
    </w:p>
    <w:p w14:paraId="365EBA5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BACKGROUND</w:t>
      </w:r>
    </w:p>
    <w:p w14:paraId="6B1EB480" w14:textId="2E9C662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Increas</w:t>
      </w:r>
      <w:r w:rsidR="00B707F5">
        <w:rPr>
          <w:rFonts w:ascii="Book Antiqua" w:eastAsia="Book Antiqua" w:hAnsi="Book Antiqua" w:cs="Book Antiqua"/>
          <w:color w:val="000000"/>
        </w:rPr>
        <w:t>ed</w:t>
      </w:r>
      <w:r w:rsidRPr="00BC6A1C">
        <w:rPr>
          <w:rFonts w:ascii="Book Antiqua" w:eastAsia="Book Antiqua" w:hAnsi="Book Antiqua" w:cs="Book Antiqua"/>
          <w:color w:val="000000"/>
        </w:rPr>
        <w:t xml:space="preserve"> use of functional magnetic resonance imaging (MRI) methods such as diffusion-weighted imaging (DWI) and dynamic contrast-enhanced (DCE) MRI consisting of sequential contrast series, allow</w:t>
      </w:r>
      <w:r w:rsidR="00A04B2A">
        <w:rPr>
          <w:rFonts w:ascii="Book Antiqua" w:eastAsia="Book Antiqua" w:hAnsi="Book Antiqua" w:cs="Book Antiqua"/>
          <w:color w:val="000000"/>
        </w:rPr>
        <w:t>s</w:t>
      </w:r>
      <w:r w:rsidRPr="00BC6A1C">
        <w:rPr>
          <w:rFonts w:ascii="Book Antiqua" w:eastAsia="Book Antiqua" w:hAnsi="Book Antiqua" w:cs="Book Antiqua"/>
          <w:color w:val="000000"/>
        </w:rPr>
        <w:t xml:space="preserve"> </w:t>
      </w:r>
      <w:r w:rsidR="005D0954">
        <w:rPr>
          <w:rFonts w:ascii="Book Antiqua" w:eastAsia="Book Antiqua" w:hAnsi="Book Antiqua" w:cs="Book Antiqua"/>
          <w:color w:val="000000"/>
        </w:rPr>
        <w:t xml:space="preserve">us </w:t>
      </w:r>
      <w:r w:rsidR="00A04B2A">
        <w:rPr>
          <w:rFonts w:ascii="Book Antiqua" w:eastAsia="Book Antiqua" w:hAnsi="Book Antiqua" w:cs="Book Antiqua"/>
          <w:color w:val="000000"/>
        </w:rPr>
        <w:t xml:space="preserve">to obtain </w:t>
      </w:r>
      <w:r w:rsidRPr="00BC6A1C">
        <w:rPr>
          <w:rFonts w:ascii="Book Antiqua" w:eastAsia="Book Antiqua" w:hAnsi="Book Antiqua" w:cs="Book Antiqua"/>
          <w:color w:val="000000"/>
        </w:rPr>
        <w:t xml:space="preserve">more information </w:t>
      </w:r>
      <w:r w:rsidR="00B707F5">
        <w:rPr>
          <w:rFonts w:ascii="Book Antiqua" w:eastAsia="Book Antiqua" w:hAnsi="Book Antiqua" w:cs="Book Antiqua"/>
          <w:color w:val="000000"/>
        </w:rPr>
        <w:t>on</w:t>
      </w:r>
      <w:r w:rsidRPr="00BC6A1C">
        <w:rPr>
          <w:rFonts w:ascii="Book Antiqua" w:eastAsia="Book Antiqua" w:hAnsi="Book Antiqua" w:cs="Book Antiqua"/>
          <w:color w:val="000000"/>
        </w:rPr>
        <w:t xml:space="preserve"> the microstructure, cellularity, interstitial distance</w:t>
      </w:r>
      <w:r w:rsidR="00A04B2A">
        <w:rPr>
          <w:rFonts w:ascii="Book Antiqua" w:eastAsia="Book Antiqua" w:hAnsi="Book Antiqua" w:cs="Book Antiqua"/>
          <w:color w:val="000000"/>
        </w:rPr>
        <w:t>,</w:t>
      </w:r>
      <w:r w:rsidRPr="00BC6A1C">
        <w:rPr>
          <w:rFonts w:ascii="Book Antiqua" w:eastAsia="Book Antiqua" w:hAnsi="Book Antiqua" w:cs="Book Antiqua"/>
          <w:color w:val="000000"/>
        </w:rPr>
        <w:t xml:space="preserve"> and vascularity of tumors, </w:t>
      </w:r>
      <w:r w:rsidR="00B707F5">
        <w:rPr>
          <w:rFonts w:ascii="Book Antiqua" w:eastAsia="Book Antiqua" w:hAnsi="Book Antiqua" w:cs="Book Antiqua"/>
          <w:color w:val="000000"/>
        </w:rPr>
        <w:t>which has</w:t>
      </w:r>
      <w:r w:rsidRPr="00BC6A1C">
        <w:rPr>
          <w:rFonts w:ascii="Book Antiqua" w:eastAsia="Book Antiqua" w:hAnsi="Book Antiqua" w:cs="Book Antiqua"/>
          <w:color w:val="000000"/>
        </w:rPr>
        <w:t xml:space="preserve"> increased the discrimination power for benign and malignant salivary gland tumors (SGTs). In the last few years, quantitative DCE MRI data containing T1 perfusion parameters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were reported to contribute to the differentiation of benign or malignant subtypes in SGTs.</w:t>
      </w:r>
    </w:p>
    <w:p w14:paraId="13FF951A" w14:textId="77777777" w:rsidR="00A77B3E" w:rsidRPr="00BC6A1C" w:rsidRDefault="00A77B3E" w:rsidP="00BC6A1C">
      <w:pPr>
        <w:spacing w:line="360" w:lineRule="auto"/>
        <w:jc w:val="both"/>
        <w:rPr>
          <w:rFonts w:ascii="Book Antiqua" w:hAnsi="Book Antiqua"/>
        </w:rPr>
      </w:pPr>
    </w:p>
    <w:p w14:paraId="4F07D10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AIM</w:t>
      </w:r>
    </w:p>
    <w:p w14:paraId="79E9BC92" w14:textId="4763F3AA" w:rsidR="00A77B3E" w:rsidRPr="00BC6A1C" w:rsidRDefault="00A04B2A" w:rsidP="00BC6A1C">
      <w:pPr>
        <w:spacing w:line="360" w:lineRule="auto"/>
        <w:jc w:val="both"/>
        <w:rPr>
          <w:rFonts w:ascii="Book Antiqua" w:hAnsi="Book Antiqua"/>
        </w:rPr>
      </w:pPr>
      <w:r>
        <w:rPr>
          <w:rFonts w:ascii="Book Antiqua" w:eastAsia="Book Antiqua" w:hAnsi="Book Antiqua" w:cs="Book Antiqua"/>
          <w:color w:val="000000"/>
        </w:rPr>
        <w:t>To evaluate</w:t>
      </w:r>
      <w:r w:rsidR="004563E1" w:rsidRPr="00BC6A1C">
        <w:rPr>
          <w:rFonts w:ascii="Book Antiqua" w:eastAsia="Book Antiqua" w:hAnsi="Book Antiqua" w:cs="Book Antiqua"/>
          <w:color w:val="000000"/>
        </w:rPr>
        <w:t xml:space="preserve"> </w:t>
      </w:r>
      <w:r w:rsidR="00B707F5">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diagnostic efficac</w:t>
      </w:r>
      <w:r w:rsidR="00B707F5">
        <w:rPr>
          <w:rFonts w:ascii="Book Antiqua" w:eastAsia="Book Antiqua" w:hAnsi="Book Antiqua" w:cs="Book Antiqua"/>
          <w:color w:val="000000"/>
        </w:rPr>
        <w:t>y</w:t>
      </w:r>
      <w:r w:rsidR="004563E1" w:rsidRPr="00BC6A1C">
        <w:rPr>
          <w:rFonts w:ascii="Book Antiqua" w:eastAsia="Book Antiqua" w:hAnsi="Book Antiqua" w:cs="Book Antiqua"/>
          <w:color w:val="000000"/>
        </w:rPr>
        <w:t xml:space="preserve"> of DWI</w:t>
      </w:r>
      <w:r w:rsidR="005D0954">
        <w:rPr>
          <w:rFonts w:ascii="Book Antiqua" w:eastAsia="Book Antiqua" w:hAnsi="Book Antiqua" w:cs="Book Antiqua"/>
          <w:color w:val="000000"/>
        </w:rPr>
        <w:t xml:space="preserve"> and</w:t>
      </w:r>
      <w:r w:rsidR="005D0954"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semiquantitative and quantitative perfusion MRI parameters in SGTs.</w:t>
      </w:r>
    </w:p>
    <w:p w14:paraId="16F4297F" w14:textId="77777777" w:rsidR="00A77B3E" w:rsidRPr="00BC6A1C" w:rsidRDefault="00A77B3E" w:rsidP="00BC6A1C">
      <w:pPr>
        <w:spacing w:line="360" w:lineRule="auto"/>
        <w:jc w:val="both"/>
        <w:rPr>
          <w:rFonts w:ascii="Book Antiqua" w:hAnsi="Book Antiqua"/>
        </w:rPr>
      </w:pPr>
    </w:p>
    <w:p w14:paraId="2FE8BBB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METHODS</w:t>
      </w:r>
    </w:p>
    <w:p w14:paraId="0E7709E5" w14:textId="4C84F9CA" w:rsidR="00A77B3E" w:rsidRPr="00BC6A1C" w:rsidRDefault="00097AB1" w:rsidP="00BC6A1C">
      <w:pPr>
        <w:spacing w:line="360" w:lineRule="auto"/>
        <w:jc w:val="both"/>
        <w:rPr>
          <w:rFonts w:ascii="Book Antiqua" w:hAnsi="Book Antiqua"/>
        </w:rPr>
      </w:pPr>
      <w:r w:rsidRPr="00BC6A1C">
        <w:rPr>
          <w:rFonts w:ascii="Book Antiqua" w:eastAsia="Book Antiqua" w:hAnsi="Book Antiqua" w:cs="Book Antiqua"/>
          <w:color w:val="000000"/>
        </w:rPr>
        <w:t>Diffusion MRI [</w:t>
      </w:r>
      <w:r w:rsidR="00A04B2A">
        <w:rPr>
          <w:rFonts w:ascii="Book Antiqua" w:eastAsia="Book Antiqua" w:hAnsi="Book Antiqua" w:cs="Book Antiqua"/>
          <w:color w:val="000000"/>
        </w:rPr>
        <w:t>a</w:t>
      </w:r>
      <w:r w:rsidR="00A04B2A" w:rsidRPr="00BC6A1C">
        <w:rPr>
          <w:rFonts w:ascii="Book Antiqua" w:eastAsia="Book Antiqua" w:hAnsi="Book Antiqua" w:cs="Book Antiqua"/>
          <w:color w:val="000000"/>
        </w:rPr>
        <w:t xml:space="preserve">pparent </w:t>
      </w:r>
      <w:r w:rsidR="004563E1" w:rsidRPr="00BC6A1C">
        <w:rPr>
          <w:rFonts w:ascii="Book Antiqua" w:eastAsia="Book Antiqua" w:hAnsi="Book Antiqua" w:cs="Book Antiqua"/>
          <w:color w:val="000000"/>
        </w:rPr>
        <w:t>diffusion coefficient</w:t>
      </w:r>
      <w:r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ADC</w:t>
      </w:r>
      <w:r w:rsidRPr="00BC6A1C">
        <w:rPr>
          <w:rFonts w:ascii="Book Antiqua" w:eastAsia="Book Antiqua" w:hAnsi="Book Antiqua" w:cs="Book Antiqua"/>
          <w:color w:val="000000"/>
        </w:rPr>
        <w:t>) value]</w:t>
      </w:r>
      <w:r w:rsidR="004563E1" w:rsidRPr="00BC6A1C">
        <w:rPr>
          <w:rFonts w:ascii="Book Antiqua" w:eastAsia="Book Antiqua" w:hAnsi="Book Antiqua" w:cs="Book Antiqua"/>
          <w:color w:val="000000"/>
        </w:rPr>
        <w:t xml:space="preserve"> with a 1.5 T MR machine, </w:t>
      </w:r>
      <w:r w:rsidR="00D412F4" w:rsidRPr="00BC6A1C">
        <w:rPr>
          <w:rFonts w:ascii="Book Antiqua" w:eastAsia="Book Antiqua" w:hAnsi="Book Antiqua" w:cs="Book Antiqua"/>
          <w:color w:val="000000"/>
        </w:rPr>
        <w:t>semiquantitative perfusion MRI [</w:t>
      </w:r>
      <w:r w:rsidR="005D0954">
        <w:rPr>
          <w:rFonts w:ascii="Book Antiqua" w:eastAsia="Book Antiqua" w:hAnsi="Book Antiqua" w:cs="Book Antiqua"/>
          <w:color w:val="000000"/>
        </w:rPr>
        <w:t>t</w:t>
      </w:r>
      <w:r w:rsidR="005D0954" w:rsidRPr="00BC6A1C">
        <w:rPr>
          <w:rFonts w:ascii="Book Antiqua" w:eastAsia="Book Antiqua" w:hAnsi="Book Antiqua" w:cs="Book Antiqua"/>
          <w:color w:val="000000"/>
        </w:rPr>
        <w:t xml:space="preserve">ime </w:t>
      </w:r>
      <w:r w:rsidR="004563E1" w:rsidRPr="00BC6A1C">
        <w:rPr>
          <w:rFonts w:ascii="Book Antiqua" w:eastAsia="Book Antiqua" w:hAnsi="Book Antiqua" w:cs="Book Antiqua"/>
          <w:color w:val="000000"/>
        </w:rPr>
        <w:t>intensity curve</w:t>
      </w:r>
      <w:r w:rsidR="00D412F4"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TIC</w:t>
      </w:r>
      <w:r w:rsidR="00D412F4" w:rsidRPr="00BC6A1C">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pattern</w:t>
      </w:r>
      <w:r w:rsidR="00D412F4" w:rsidRPr="00BC6A1C">
        <w:rPr>
          <w:rFonts w:ascii="Book Antiqua" w:eastAsia="Book Antiqua" w:hAnsi="Book Antiqua" w:cs="Book Antiqua"/>
          <w:color w:val="000000"/>
        </w:rPr>
        <w:t>]</w:t>
      </w:r>
      <w:r w:rsidR="005D0954">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w:t>
      </w:r>
      <w:r w:rsidR="005D0954" w:rsidRPr="00BC6A1C">
        <w:rPr>
          <w:rFonts w:ascii="Book Antiqua" w:eastAsia="Book Antiqua" w:hAnsi="Book Antiqua" w:cs="Book Antiqua"/>
          <w:color w:val="000000"/>
        </w:rPr>
        <w:t xml:space="preserve">quantitative </w:t>
      </w:r>
      <w:r w:rsidR="004563E1" w:rsidRPr="00BC6A1C">
        <w:rPr>
          <w:rFonts w:ascii="Book Antiqua" w:eastAsia="Book Antiqua" w:hAnsi="Book Antiqua" w:cs="Book Antiqua"/>
          <w:color w:val="000000"/>
        </w:rPr>
        <w:t>perfusion MRI examinations (K</w:t>
      </w:r>
      <w:r w:rsidR="004563E1" w:rsidRPr="00BC6A1C">
        <w:rPr>
          <w:rFonts w:ascii="Book Antiqua" w:eastAsia="Book Antiqua" w:hAnsi="Book Antiqua" w:cs="Book Antiqua"/>
          <w:color w:val="000000"/>
          <w:vertAlign w:val="subscript"/>
        </w:rPr>
        <w:t>trans</w:t>
      </w:r>
      <w:r w:rsidR="004563E1" w:rsidRPr="00BC6A1C">
        <w:rPr>
          <w:rFonts w:ascii="Book Antiqua" w:eastAsia="Book Antiqua" w:hAnsi="Book Antiqua" w:cs="Book Antiqua"/>
          <w:color w:val="000000"/>
        </w:rPr>
        <w:t>, K</w:t>
      </w:r>
      <w:r w:rsidR="004563E1" w:rsidRPr="00BC6A1C">
        <w:rPr>
          <w:rFonts w:ascii="Book Antiqua" w:eastAsia="Book Antiqua" w:hAnsi="Book Antiqua" w:cs="Book Antiqua"/>
          <w:color w:val="000000"/>
          <w:vertAlign w:val="subscript"/>
        </w:rPr>
        <w:t>ep,</w:t>
      </w:r>
      <w:r w:rsidR="004563E1" w:rsidRPr="00BC6A1C">
        <w:rPr>
          <w:rFonts w:ascii="Book Antiqua" w:eastAsia="Book Antiqua" w:hAnsi="Book Antiqua" w:cs="Book Antiqua"/>
          <w:color w:val="000000"/>
        </w:rPr>
        <w:t xml:space="preserve"> and V</w:t>
      </w:r>
      <w:r w:rsidR="004563E1" w:rsidRPr="00BC6A1C">
        <w:rPr>
          <w:rFonts w:ascii="Book Antiqua" w:eastAsia="Book Antiqua" w:hAnsi="Book Antiqua" w:cs="Book Antiqua"/>
          <w:color w:val="000000"/>
          <w:vertAlign w:val="subscript"/>
        </w:rPr>
        <w:t>e</w:t>
      </w:r>
      <w:r w:rsidR="004563E1" w:rsidRPr="00BC6A1C">
        <w:rPr>
          <w:rFonts w:ascii="Book Antiqua" w:eastAsia="Book Antiqua" w:hAnsi="Book Antiqua" w:cs="Book Antiqua"/>
          <w:color w:val="000000"/>
        </w:rPr>
        <w:t xml:space="preserve">) of 73 tumors </w:t>
      </w:r>
      <w:r w:rsidR="00B707F5">
        <w:rPr>
          <w:rFonts w:ascii="Book Antiqua" w:eastAsia="Book Antiqua" w:hAnsi="Book Antiqua" w:cs="Book Antiqua"/>
          <w:color w:val="000000"/>
        </w:rPr>
        <w:t>in</w:t>
      </w:r>
      <w:r w:rsidR="004563E1" w:rsidRPr="00BC6A1C">
        <w:rPr>
          <w:rFonts w:ascii="Book Antiqua" w:eastAsia="Book Antiqua" w:hAnsi="Book Antiqua" w:cs="Book Antiqua"/>
          <w:color w:val="000000"/>
        </w:rPr>
        <w:t xml:space="preserve"> 67 patients with histopathological diagnosis performed </w:t>
      </w:r>
      <w:r w:rsidR="00B707F5">
        <w:rPr>
          <w:rFonts w:ascii="Book Antiqua" w:eastAsia="Book Antiqua" w:hAnsi="Book Antiqua" w:cs="Book Antiqua"/>
          <w:color w:val="000000"/>
        </w:rPr>
        <w:t>from</w:t>
      </w:r>
      <w:r w:rsidR="004563E1" w:rsidRPr="00BC6A1C">
        <w:rPr>
          <w:rFonts w:ascii="Book Antiqua" w:eastAsia="Book Antiqua" w:hAnsi="Book Antiqua" w:cs="Book Antiqua"/>
          <w:color w:val="000000"/>
        </w:rPr>
        <w:t xml:space="preserve"> 2017</w:t>
      </w:r>
      <w:r w:rsidR="00B707F5">
        <w:rPr>
          <w:rFonts w:ascii="Book Antiqua" w:eastAsia="Book Antiqua" w:hAnsi="Book Antiqua" w:cs="Book Antiqua"/>
          <w:color w:val="000000"/>
        </w:rPr>
        <w:t xml:space="preserve"> to </w:t>
      </w:r>
      <w:r w:rsidR="004563E1" w:rsidRPr="00BC6A1C">
        <w:rPr>
          <w:rFonts w:ascii="Book Antiqua" w:eastAsia="Book Antiqua" w:hAnsi="Book Antiqua" w:cs="Book Antiqua"/>
          <w:color w:val="000000"/>
        </w:rPr>
        <w:t xml:space="preserve">2021 were retrospectively evaluated. In </w:t>
      </w:r>
      <w:r w:rsidR="00B707F5">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 xml:space="preserve">ADC value and semiquantitative perfusion MRI measurements, cystic components of the tumors were not considered, and the region of interest (ROI) was manually placed through the widest axial section of the tumor. TIC patterns were divided into four groups: </w:t>
      </w:r>
      <w:r w:rsidR="00D412F4" w:rsidRPr="00BC6A1C">
        <w:rPr>
          <w:rFonts w:ascii="Book Antiqua" w:eastAsia="Book Antiqua" w:hAnsi="Book Antiqua" w:cs="Book Antiqua"/>
          <w:color w:val="000000"/>
        </w:rPr>
        <w:t>T</w:t>
      </w:r>
      <w:r w:rsidR="004563E1" w:rsidRPr="00BC6A1C">
        <w:rPr>
          <w:rFonts w:ascii="Book Antiqua" w:eastAsia="Book Antiqua" w:hAnsi="Book Antiqua" w:cs="Book Antiqua"/>
          <w:color w:val="000000"/>
        </w:rPr>
        <w:t>ype A = T</w:t>
      </w:r>
      <w:r w:rsidR="004563E1" w:rsidRPr="00BC6A1C">
        <w:rPr>
          <w:rFonts w:ascii="Book Antiqua" w:eastAsia="Book Antiqua" w:hAnsi="Book Antiqua" w:cs="Book Antiqua"/>
          <w:color w:val="000000"/>
          <w:vertAlign w:val="subscript"/>
        </w:rPr>
        <w:t xml:space="preserve">peak </w:t>
      </w:r>
      <w:r w:rsidR="004563E1" w:rsidRPr="00BC6A1C">
        <w:rPr>
          <w:rFonts w:ascii="Book Antiqua" w:eastAsia="Book Antiqua" w:hAnsi="Book Antiqua" w:cs="Book Antiqua"/>
          <w:color w:val="000000"/>
        </w:rPr>
        <w:t>&gt; 120 s; type B = T</w:t>
      </w:r>
      <w:r w:rsidR="004563E1" w:rsidRPr="00BC6A1C">
        <w:rPr>
          <w:rFonts w:ascii="Book Antiqua" w:eastAsia="Book Antiqua" w:hAnsi="Book Antiqua" w:cs="Book Antiqua"/>
          <w:color w:val="000000"/>
          <w:vertAlign w:val="subscript"/>
        </w:rPr>
        <w:t xml:space="preserve">peak </w:t>
      </w:r>
      <w:r w:rsidR="004563E1" w:rsidRPr="00BC6A1C">
        <w:rPr>
          <w:rFonts w:ascii="Book Antiqua" w:eastAsia="Book Antiqua" w:hAnsi="Book Antiqua" w:cs="Book Antiqua"/>
          <w:color w:val="000000"/>
        </w:rPr>
        <w:t>≤ 120 s, washout ratio (WR) ≥ 30%; type C = T</w:t>
      </w:r>
      <w:r w:rsidR="004563E1" w:rsidRPr="00BC6A1C">
        <w:rPr>
          <w:rFonts w:ascii="Book Antiqua" w:eastAsia="Book Antiqua" w:hAnsi="Book Antiqua" w:cs="Book Antiqua"/>
          <w:color w:val="000000"/>
          <w:vertAlign w:val="subscript"/>
        </w:rPr>
        <w:t xml:space="preserve">peak </w:t>
      </w:r>
      <w:r w:rsidR="004563E1" w:rsidRPr="00BC6A1C">
        <w:rPr>
          <w:rFonts w:ascii="Book Antiqua" w:eastAsia="Book Antiqua" w:hAnsi="Book Antiqua" w:cs="Book Antiqua"/>
          <w:color w:val="000000"/>
        </w:rPr>
        <w:t xml:space="preserve">≤ 120 s, WR &lt; 30%; and type D = flat TIC. For the quantitative perfusion MRI analysis, </w:t>
      </w:r>
      <w:r w:rsidR="00B707F5">
        <w:rPr>
          <w:rFonts w:ascii="Book Antiqua" w:eastAsia="Book Antiqua" w:hAnsi="Book Antiqua" w:cs="Book Antiqua"/>
          <w:color w:val="000000"/>
        </w:rPr>
        <w:t xml:space="preserve">a </w:t>
      </w:r>
      <w:r w:rsidR="004563E1" w:rsidRPr="00BC6A1C">
        <w:rPr>
          <w:rFonts w:ascii="Book Antiqua" w:eastAsia="Book Antiqua" w:hAnsi="Book Antiqua" w:cs="Book Antiqua"/>
          <w:color w:val="000000"/>
        </w:rPr>
        <w:t xml:space="preserve">3D ROI was placed in the largest solid component of the </w:t>
      </w:r>
      <w:r w:rsidR="00193D0F" w:rsidRPr="00BC6A1C">
        <w:rPr>
          <w:rFonts w:ascii="Book Antiqua" w:eastAsia="Book Antiqua" w:hAnsi="Book Antiqua" w:cs="Book Antiqua"/>
          <w:color w:val="000000"/>
        </w:rPr>
        <w:t>tumor</w:t>
      </w:r>
      <w:r w:rsidR="004563E1" w:rsidRPr="00BC6A1C">
        <w:rPr>
          <w:rFonts w:ascii="Book Antiqua" w:eastAsia="Book Antiqua" w:hAnsi="Book Antiqua" w:cs="Book Antiqua"/>
          <w:color w:val="000000"/>
        </w:rPr>
        <w:t>, and the K</w:t>
      </w:r>
      <w:r w:rsidR="004563E1" w:rsidRPr="00BC6A1C">
        <w:rPr>
          <w:rFonts w:ascii="Book Antiqua" w:eastAsia="Book Antiqua" w:hAnsi="Book Antiqua" w:cs="Book Antiqua"/>
          <w:color w:val="000000"/>
          <w:vertAlign w:val="subscript"/>
        </w:rPr>
        <w:t>trans</w:t>
      </w:r>
      <w:r w:rsidR="004563E1" w:rsidRPr="00BC6A1C">
        <w:rPr>
          <w:rFonts w:ascii="Book Antiqua" w:eastAsia="Book Antiqua" w:hAnsi="Book Antiqua" w:cs="Book Antiqua"/>
          <w:color w:val="000000"/>
        </w:rPr>
        <w:t>, K</w:t>
      </w:r>
      <w:r w:rsidR="004563E1" w:rsidRPr="00BC6A1C">
        <w:rPr>
          <w:rFonts w:ascii="Book Antiqua" w:eastAsia="Book Antiqua" w:hAnsi="Book Antiqua" w:cs="Book Antiqua"/>
          <w:color w:val="000000"/>
          <w:vertAlign w:val="subscript"/>
        </w:rPr>
        <w:t>ep,</w:t>
      </w:r>
      <w:r w:rsidR="004563E1" w:rsidRPr="00BC6A1C">
        <w:rPr>
          <w:rFonts w:ascii="Book Antiqua" w:eastAsia="Book Antiqua" w:hAnsi="Book Antiqua" w:cs="Book Antiqua"/>
          <w:color w:val="000000"/>
        </w:rPr>
        <w:t xml:space="preserve"> and V</w:t>
      </w:r>
      <w:r w:rsidR="004563E1" w:rsidRPr="00BC6A1C">
        <w:rPr>
          <w:rFonts w:ascii="Book Antiqua" w:eastAsia="Book Antiqua" w:hAnsi="Book Antiqua" w:cs="Book Antiqua"/>
          <w:color w:val="000000"/>
          <w:vertAlign w:val="subscript"/>
        </w:rPr>
        <w:t>e</w:t>
      </w:r>
      <w:r w:rsidR="004563E1" w:rsidRPr="00BC6A1C">
        <w:rPr>
          <w:rFonts w:ascii="Book Antiqua" w:eastAsia="Book Antiqua" w:hAnsi="Book Antiqua" w:cs="Book Antiqua"/>
          <w:color w:val="000000"/>
        </w:rPr>
        <w:t xml:space="preserve"> values were automatically generated.</w:t>
      </w:r>
    </w:p>
    <w:p w14:paraId="07C34D91" w14:textId="77777777" w:rsidR="00A77B3E" w:rsidRPr="00BC6A1C" w:rsidRDefault="00A77B3E" w:rsidP="00BC6A1C">
      <w:pPr>
        <w:spacing w:line="360" w:lineRule="auto"/>
        <w:jc w:val="both"/>
        <w:rPr>
          <w:rFonts w:ascii="Book Antiqua" w:hAnsi="Book Antiqua"/>
        </w:rPr>
      </w:pPr>
    </w:p>
    <w:p w14:paraId="6A83701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RESULTS</w:t>
      </w:r>
    </w:p>
    <w:p w14:paraId="4F6F2573" w14:textId="48D0E6FE" w:rsidR="00A77B3E" w:rsidRPr="00BC6A1C" w:rsidRDefault="00B707F5" w:rsidP="00BC6A1C">
      <w:pPr>
        <w:spacing w:line="360" w:lineRule="auto"/>
        <w:jc w:val="both"/>
        <w:rPr>
          <w:rFonts w:ascii="Book Antiqua" w:hAnsi="Book Antiqua"/>
        </w:rPr>
      </w:pPr>
      <w:r>
        <w:rPr>
          <w:rFonts w:ascii="Book Antiqua" w:eastAsia="Book Antiqua" w:hAnsi="Book Antiqua" w:cs="Book Antiqua"/>
          <w:color w:val="000000"/>
        </w:rPr>
        <w:lastRenderedPageBreak/>
        <w:t>The m</w:t>
      </w:r>
      <w:r w:rsidR="004563E1" w:rsidRPr="00BC6A1C">
        <w:rPr>
          <w:rFonts w:ascii="Book Antiqua" w:eastAsia="Book Antiqua" w:hAnsi="Book Antiqua" w:cs="Book Antiqua"/>
          <w:color w:val="000000"/>
        </w:rPr>
        <w:t xml:space="preserve">ajority of SGTs were located in </w:t>
      </w:r>
      <w:r>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 xml:space="preserve">parotid glands (86.3%). Of all </w:t>
      </w:r>
      <w:r>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SGTs, 68.5% were benign and 31.5% were malignant. Significant differences were found for ADC values among pleomorphic adenomas (PMAs), Warthin's tumors (WTs)</w:t>
      </w:r>
      <w:r w:rsidR="005D0954">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malignant tumors (MT</w:t>
      </w:r>
      <w:r w:rsidR="00EF6FEB" w:rsidRPr="00BC6A1C">
        <w:rPr>
          <w:rFonts w:ascii="Book Antiqua" w:eastAsia="Book Antiqua" w:hAnsi="Book Antiqua" w:cs="Book Antiqua"/>
          <w:color w:val="000000"/>
        </w:rPr>
        <w:t>s</w:t>
      </w:r>
      <w:r w:rsidR="004563E1" w:rsidRPr="00BC6A1C">
        <w:rPr>
          <w:rFonts w:ascii="Book Antiqua" w:eastAsia="Book Antiqua" w:hAnsi="Book Antiqua" w:cs="Book Antiqua"/>
          <w:color w:val="000000"/>
        </w:rPr>
        <w:t>) (</w:t>
      </w:r>
      <w:r w:rsidR="004563E1" w:rsidRPr="00BC6A1C">
        <w:rPr>
          <w:rFonts w:ascii="Book Antiqua" w:eastAsia="Book Antiqua" w:hAnsi="Book Antiqua" w:cs="Book Antiqua"/>
          <w:i/>
          <w:iCs/>
          <w:color w:val="000000"/>
        </w:rPr>
        <w:t xml:space="preserve">P </w:t>
      </w:r>
      <w:r w:rsidR="004563E1" w:rsidRPr="00BC6A1C">
        <w:rPr>
          <w:rFonts w:ascii="Book Antiqua" w:eastAsia="Book Antiqua" w:hAnsi="Book Antiqua" w:cs="Book Antiqua"/>
          <w:color w:val="000000"/>
        </w:rPr>
        <w:t>&lt; 0.001). PMAs had type A and WTs had type B TIC pattern while the vast majority of MTs and other benign tumors (OBTs) (54.5</w:t>
      </w:r>
      <w:r w:rsidR="00EF6FEB" w:rsidRPr="00BC6A1C">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45.5%, respectively) displayed type C TIC pattern. PMAs showed no washout, while the highest mean WR was observed in WTs (59% ± 11</w:t>
      </w:r>
      <w:r w:rsidR="00F372BF">
        <w:rPr>
          <w:rFonts w:ascii="Book Antiqua" w:eastAsia="Book Antiqua" w:hAnsi="Book Antiqua" w:cs="Book Antiqua"/>
          <w:color w:val="000000"/>
        </w:rPr>
        <w:t>%</w:t>
      </w:r>
      <w:r w:rsidR="004563E1" w:rsidRPr="00BC6A1C">
        <w:rPr>
          <w:rFonts w:ascii="Book Antiqua" w:eastAsia="Book Antiqua" w:hAnsi="Book Antiqua" w:cs="Book Antiqua"/>
          <w:color w:val="000000"/>
        </w:rPr>
        <w:t>). K</w:t>
      </w:r>
      <w:r w:rsidR="004563E1" w:rsidRPr="00BC6A1C">
        <w:rPr>
          <w:rFonts w:ascii="Book Antiqua" w:eastAsia="Book Antiqua" w:hAnsi="Book Antiqua" w:cs="Book Antiqua"/>
          <w:color w:val="000000"/>
          <w:vertAlign w:val="subscript"/>
        </w:rPr>
        <w:t>trans</w:t>
      </w:r>
      <w:r w:rsidR="004563E1" w:rsidRPr="00BC6A1C">
        <w:rPr>
          <w:rFonts w:ascii="Book Antiqua" w:eastAsia="Book Antiqua" w:hAnsi="Book Antiqua" w:cs="Book Antiqua"/>
          <w:color w:val="000000"/>
        </w:rPr>
        <w:t xml:space="preserve"> values of PMAs, WTs, </w:t>
      </w:r>
      <w:r w:rsidR="00C0395A" w:rsidRPr="00BC6A1C">
        <w:rPr>
          <w:rFonts w:ascii="Book Antiqua" w:eastAsia="Book Antiqua" w:hAnsi="Book Antiqua" w:cs="Book Antiqua"/>
          <w:color w:val="000000"/>
        </w:rPr>
        <w:t>OBTs</w:t>
      </w:r>
      <w:r w:rsidR="00C0395A">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and MTs were not significantly different. K</w:t>
      </w:r>
      <w:r w:rsidR="004563E1" w:rsidRPr="00BC6A1C">
        <w:rPr>
          <w:rFonts w:ascii="Book Antiqua" w:eastAsia="Book Antiqua" w:hAnsi="Book Antiqua" w:cs="Book Antiqua"/>
          <w:color w:val="000000"/>
          <w:vertAlign w:val="subscript"/>
        </w:rPr>
        <w:t>ep</w:t>
      </w:r>
      <w:r w:rsidR="004563E1" w:rsidRPr="00BC6A1C">
        <w:rPr>
          <w:rFonts w:ascii="Book Antiqua" w:eastAsia="Book Antiqua" w:hAnsi="Book Antiqua" w:cs="Book Antiqua"/>
          <w:i/>
          <w:iCs/>
          <w:color w:val="000000"/>
        </w:rPr>
        <w:t xml:space="preserve"> </w:t>
      </w:r>
      <w:r w:rsidR="004563E1" w:rsidRPr="00BC6A1C">
        <w:rPr>
          <w:rFonts w:ascii="Book Antiqua" w:eastAsia="Book Antiqua" w:hAnsi="Book Antiqua" w:cs="Book Antiqua"/>
          <w:color w:val="000000"/>
        </w:rPr>
        <w:t>value</w:t>
      </w:r>
      <w:r>
        <w:rPr>
          <w:rFonts w:ascii="Book Antiqua" w:eastAsia="Book Antiqua" w:hAnsi="Book Antiqua" w:cs="Book Antiqua"/>
          <w:color w:val="000000"/>
        </w:rPr>
        <w:t>s</w:t>
      </w:r>
      <w:r w:rsidR="004563E1" w:rsidRPr="00BC6A1C">
        <w:rPr>
          <w:rFonts w:ascii="Book Antiqua" w:eastAsia="Book Antiqua" w:hAnsi="Book Antiqua" w:cs="Book Antiqua"/>
          <w:color w:val="000000"/>
        </w:rPr>
        <w:t xml:space="preserve"> of PMAs and WTs were significantly different from those of OBTs and MTs. Mean V</w:t>
      </w:r>
      <w:r w:rsidR="004563E1" w:rsidRPr="00BC6A1C">
        <w:rPr>
          <w:rFonts w:ascii="Book Antiqua" w:eastAsia="Book Antiqua" w:hAnsi="Book Antiqua" w:cs="Book Antiqua"/>
          <w:color w:val="000000"/>
          <w:vertAlign w:val="subscript"/>
        </w:rPr>
        <w:t>e</w:t>
      </w:r>
      <w:r w:rsidR="004563E1" w:rsidRPr="00BC6A1C">
        <w:rPr>
          <w:rFonts w:ascii="Book Antiqua" w:eastAsia="Book Antiqua" w:hAnsi="Book Antiqua" w:cs="Book Antiqua"/>
          <w:i/>
          <w:iCs/>
          <w:color w:val="000000"/>
        </w:rPr>
        <w:t xml:space="preserve"> </w:t>
      </w:r>
      <w:r w:rsidR="004563E1" w:rsidRPr="00BC6A1C">
        <w:rPr>
          <w:rFonts w:ascii="Book Antiqua" w:eastAsia="Book Antiqua" w:hAnsi="Book Antiqua" w:cs="Book Antiqua"/>
          <w:color w:val="000000"/>
        </w:rPr>
        <w:t xml:space="preserve">value of WTs </w:t>
      </w:r>
      <w:r w:rsidR="00C0395A" w:rsidRPr="00BC6A1C">
        <w:rPr>
          <w:rFonts w:ascii="Book Antiqua" w:eastAsia="Book Antiqua" w:hAnsi="Book Antiqua" w:cs="Book Antiqua"/>
          <w:color w:val="000000"/>
        </w:rPr>
        <w:t>w</w:t>
      </w:r>
      <w:r w:rsidR="00C0395A">
        <w:rPr>
          <w:rFonts w:ascii="Book Antiqua" w:eastAsia="Book Antiqua" w:hAnsi="Book Antiqua" w:cs="Book Antiqua"/>
          <w:color w:val="000000"/>
        </w:rPr>
        <w:t>as</w:t>
      </w:r>
      <w:r w:rsidR="00C0395A"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significantly different from those of PMAs, OBTs</w:t>
      </w:r>
      <w:r w:rsidR="00C0395A">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and MTs (</w:t>
      </w:r>
      <w:r w:rsidR="004563E1" w:rsidRPr="00BC6A1C">
        <w:rPr>
          <w:rFonts w:ascii="Book Antiqua" w:eastAsia="Book Antiqua" w:hAnsi="Book Antiqua" w:cs="Book Antiqua"/>
          <w:i/>
          <w:iCs/>
          <w:color w:val="000000"/>
        </w:rPr>
        <w:t xml:space="preserve">P </w:t>
      </w:r>
      <w:r w:rsidR="004563E1" w:rsidRPr="00BC6A1C">
        <w:rPr>
          <w:rFonts w:ascii="Book Antiqua" w:eastAsia="Book Antiqua" w:hAnsi="Book Antiqua" w:cs="Book Antiqua"/>
          <w:color w:val="000000"/>
        </w:rPr>
        <w:t>&lt; 0.001).</w:t>
      </w:r>
    </w:p>
    <w:p w14:paraId="75FC8E7B" w14:textId="77777777" w:rsidR="00A77B3E" w:rsidRPr="00BC6A1C" w:rsidRDefault="00A77B3E" w:rsidP="00BC6A1C">
      <w:pPr>
        <w:spacing w:line="360" w:lineRule="auto"/>
        <w:jc w:val="both"/>
        <w:rPr>
          <w:rFonts w:ascii="Book Antiqua" w:hAnsi="Book Antiqua"/>
        </w:rPr>
      </w:pPr>
    </w:p>
    <w:p w14:paraId="74F2FF7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CONCLUSION</w:t>
      </w:r>
    </w:p>
    <w:p w14:paraId="2940538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The use of quantitative DCE parameters along with diffusion MRI and semiquantitative contrast-enhanced MRI in SGTs could improve the diagnostic accuracy.</w:t>
      </w:r>
    </w:p>
    <w:p w14:paraId="23D111ED" w14:textId="77777777" w:rsidR="00A77B3E" w:rsidRPr="00BC6A1C" w:rsidRDefault="00A77B3E" w:rsidP="00BC6A1C">
      <w:pPr>
        <w:spacing w:line="360" w:lineRule="auto"/>
        <w:jc w:val="both"/>
        <w:rPr>
          <w:rFonts w:ascii="Book Antiqua" w:hAnsi="Book Antiqua"/>
        </w:rPr>
      </w:pPr>
    </w:p>
    <w:p w14:paraId="26A9673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Key Words: </w:t>
      </w:r>
      <w:r w:rsidRPr="00BC6A1C">
        <w:rPr>
          <w:rFonts w:ascii="Book Antiqua" w:eastAsia="Book Antiqua" w:hAnsi="Book Antiqua" w:cs="Book Antiqua"/>
          <w:color w:val="000000"/>
        </w:rPr>
        <w:t>Diffusion-weighted imaging; Dynamic contrast-enhanced imaging; Magnetic resonance imaging; Perfusion imaging; Salivary gland tumor; Tumor</w:t>
      </w:r>
    </w:p>
    <w:p w14:paraId="61D55DEF" w14:textId="77777777" w:rsidR="00E75E06" w:rsidRPr="006D4EDA" w:rsidRDefault="00E75E06" w:rsidP="00E75E06">
      <w:pPr>
        <w:spacing w:line="360" w:lineRule="auto"/>
        <w:rPr>
          <w:rFonts w:ascii="Book Antiqua" w:eastAsia="Book Antiqua" w:hAnsi="Book Antiqua" w:cs="Book Antiqua"/>
        </w:rPr>
      </w:pPr>
      <w:bookmarkStart w:id="0" w:name="OLE_LINK1"/>
      <w:bookmarkStart w:id="1" w:name="OLE_LINK2"/>
    </w:p>
    <w:p w14:paraId="51817A68" w14:textId="77777777" w:rsidR="00E75E06" w:rsidRPr="006D4EDA" w:rsidRDefault="00E75E06" w:rsidP="00E75E06">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F41C6CA" w14:textId="77777777" w:rsidR="00E75E06" w:rsidRPr="006D4EDA" w:rsidRDefault="00E75E06" w:rsidP="00E75E06">
      <w:pPr>
        <w:spacing w:line="360" w:lineRule="auto"/>
        <w:rPr>
          <w:rFonts w:ascii="Book Antiqua" w:eastAsia="Book Antiqua" w:hAnsi="Book Antiqua" w:cs="Book Antiqua"/>
        </w:rPr>
      </w:pPr>
    </w:p>
    <w:p w14:paraId="1635C1FA" w14:textId="761CD4EB" w:rsidR="004D369D" w:rsidRDefault="00273610" w:rsidP="00BC6A1C">
      <w:pPr>
        <w:spacing w:line="360" w:lineRule="auto"/>
        <w:jc w:val="both"/>
        <w:rPr>
          <w:rFonts w:ascii="Book Antiqua" w:eastAsia="Book Antiqua" w:hAnsi="Book Antiqua" w:cs="Book Antiqua"/>
          <w:color w:val="000000"/>
        </w:rPr>
      </w:pPr>
      <w:r w:rsidRPr="00273610">
        <w:rPr>
          <w:rFonts w:ascii="Book Antiqua" w:eastAsia="Book Antiqua" w:hAnsi="Book Antiqua" w:cs="Book Antiqua"/>
          <w:b/>
          <w:bCs/>
          <w:color w:val="000000"/>
        </w:rPr>
        <w:t>Citation</w:t>
      </w:r>
      <w:r w:rsidRPr="00273610">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 xml:space="preserve">Gökçe E, Beyhan M. Diagnostic </w:t>
      </w:r>
      <w:r w:rsidR="00EF6FEB" w:rsidRPr="00BC6A1C">
        <w:rPr>
          <w:rFonts w:ascii="Book Antiqua" w:eastAsia="Book Antiqua" w:hAnsi="Book Antiqua" w:cs="Book Antiqua"/>
          <w:color w:val="000000"/>
        </w:rPr>
        <w:t>efficacy of diffusion</w:t>
      </w:r>
      <w:r w:rsidR="00C0395A" w:rsidRPr="00BC6A1C">
        <w:rPr>
          <w:rFonts w:ascii="Book Antiqua" w:eastAsia="Book Antiqua" w:hAnsi="Book Antiqua" w:cs="Book Antiqua"/>
          <w:color w:val="000000"/>
        </w:rPr>
        <w:t>-weighted imaging</w:t>
      </w:r>
      <w:r w:rsidR="00C0395A">
        <w:rPr>
          <w:rFonts w:ascii="Book Antiqua" w:eastAsia="Book Antiqua" w:hAnsi="Book Antiqua" w:cs="Book Antiqua"/>
          <w:color w:val="000000"/>
        </w:rPr>
        <w:t xml:space="preserve"> and</w:t>
      </w:r>
      <w:r w:rsidR="00C0395A" w:rsidRPr="00BC6A1C">
        <w:rPr>
          <w:rFonts w:ascii="Book Antiqua" w:eastAsia="Book Antiqua" w:hAnsi="Book Antiqua" w:cs="Book Antiqua"/>
          <w:color w:val="000000"/>
        </w:rPr>
        <w:t xml:space="preserve"> </w:t>
      </w:r>
      <w:r w:rsidR="00EF6FEB" w:rsidRPr="00BC6A1C">
        <w:rPr>
          <w:rFonts w:ascii="Book Antiqua" w:eastAsia="Book Antiqua" w:hAnsi="Book Antiqua" w:cs="Book Antiqua"/>
          <w:color w:val="000000"/>
        </w:rPr>
        <w:t>semiquantitative and quantitative dynamic contrast-enhanced magnetic resonance imaging in salivary gland tumors</w:t>
      </w:r>
      <w:r w:rsidR="004563E1"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i/>
          <w:iCs/>
          <w:color w:val="000000"/>
        </w:rPr>
        <w:t>World J Radiol</w:t>
      </w:r>
      <w:r w:rsidR="004563E1" w:rsidRPr="00BC6A1C">
        <w:rPr>
          <w:rFonts w:ascii="Book Antiqua" w:eastAsia="Book Antiqua" w:hAnsi="Book Antiqua" w:cs="Book Antiqua"/>
          <w:color w:val="000000"/>
        </w:rPr>
        <w:t xml:space="preserve"> 202</w:t>
      </w:r>
      <w:r w:rsidR="00C942FF">
        <w:rPr>
          <w:rFonts w:ascii="Book Antiqua" w:eastAsia="Book Antiqua" w:hAnsi="Book Antiqua" w:cs="Book Antiqua"/>
          <w:color w:val="000000"/>
        </w:rPr>
        <w:t>3</w:t>
      </w:r>
      <w:r w:rsidR="004563E1" w:rsidRPr="00BC6A1C">
        <w:rPr>
          <w:rFonts w:ascii="Book Antiqua" w:eastAsia="Book Antiqua" w:hAnsi="Book Antiqua" w:cs="Book Antiqua"/>
          <w:color w:val="000000"/>
        </w:rPr>
        <w:t xml:space="preserve">; </w:t>
      </w:r>
      <w:r w:rsidR="00C942FF" w:rsidRPr="00C942FF">
        <w:rPr>
          <w:rFonts w:ascii="Book Antiqua" w:eastAsia="Book Antiqua" w:hAnsi="Book Antiqua" w:cs="Book Antiqua"/>
          <w:color w:val="000000"/>
        </w:rPr>
        <w:t xml:space="preserve">15(1): </w:t>
      </w:r>
      <w:r w:rsidR="00090EB5" w:rsidRPr="000A7004">
        <w:rPr>
          <w:rFonts w:ascii="Book Antiqua" w:hAnsi="Book Antiqua"/>
        </w:rPr>
        <w:t>20-31</w:t>
      </w:r>
    </w:p>
    <w:p w14:paraId="108C1A43" w14:textId="4F28C500" w:rsidR="004D369D" w:rsidRDefault="00C942FF" w:rsidP="00BC6A1C">
      <w:pPr>
        <w:spacing w:line="360" w:lineRule="auto"/>
        <w:jc w:val="both"/>
        <w:rPr>
          <w:rFonts w:ascii="Book Antiqua" w:eastAsia="Book Antiqua" w:hAnsi="Book Antiqua" w:cs="Book Antiqua"/>
          <w:color w:val="000000"/>
        </w:rPr>
      </w:pPr>
      <w:r w:rsidRPr="004D369D">
        <w:rPr>
          <w:rFonts w:ascii="Book Antiqua" w:eastAsia="Book Antiqua" w:hAnsi="Book Antiqua" w:cs="Book Antiqua"/>
          <w:b/>
          <w:bCs/>
          <w:color w:val="000000"/>
        </w:rPr>
        <w:t>URL</w:t>
      </w:r>
      <w:r w:rsidRPr="00C942FF">
        <w:rPr>
          <w:rFonts w:ascii="Book Antiqua" w:eastAsia="Book Antiqua" w:hAnsi="Book Antiqua" w:cs="Book Antiqua"/>
          <w:color w:val="000000"/>
        </w:rPr>
        <w:t xml:space="preserve">: </w:t>
      </w:r>
      <w:r w:rsidR="004D369D" w:rsidRPr="004D369D">
        <w:rPr>
          <w:rFonts w:ascii="Book Antiqua" w:eastAsia="Book Antiqua" w:hAnsi="Book Antiqua" w:cs="Book Antiqua"/>
          <w:color w:val="000000"/>
        </w:rPr>
        <w:t>https://www.wjgnet.com/1949-8470/full/v15/i1/</w:t>
      </w:r>
      <w:r w:rsidR="00090EB5" w:rsidRPr="000A7004">
        <w:rPr>
          <w:rFonts w:ascii="Book Antiqua" w:hAnsi="Book Antiqua"/>
        </w:rPr>
        <w:t>20</w:t>
      </w:r>
      <w:r w:rsidR="004D369D" w:rsidRPr="004D369D">
        <w:rPr>
          <w:rFonts w:ascii="Book Antiqua" w:eastAsia="Book Antiqua" w:hAnsi="Book Antiqua" w:cs="Book Antiqua"/>
          <w:color w:val="000000"/>
        </w:rPr>
        <w:t>.htm</w:t>
      </w:r>
    </w:p>
    <w:p w14:paraId="3C628577" w14:textId="22CD40E6" w:rsidR="00A77B3E" w:rsidRPr="00BC6A1C" w:rsidRDefault="00C942FF" w:rsidP="00BC6A1C">
      <w:pPr>
        <w:spacing w:line="360" w:lineRule="auto"/>
        <w:jc w:val="both"/>
        <w:rPr>
          <w:rFonts w:ascii="Book Antiqua" w:hAnsi="Book Antiqua"/>
        </w:rPr>
      </w:pPr>
      <w:r w:rsidRPr="004D369D">
        <w:rPr>
          <w:rFonts w:ascii="Book Antiqua" w:eastAsia="Book Antiqua" w:hAnsi="Book Antiqua" w:cs="Book Antiqua"/>
          <w:b/>
          <w:bCs/>
          <w:color w:val="000000"/>
        </w:rPr>
        <w:t>DOI</w:t>
      </w:r>
      <w:r w:rsidRPr="00C942FF">
        <w:rPr>
          <w:rFonts w:ascii="Book Antiqua" w:eastAsia="Book Antiqua" w:hAnsi="Book Antiqua" w:cs="Book Antiqua"/>
          <w:color w:val="000000"/>
        </w:rPr>
        <w:t>: https://dx.doi.org/10.4329/wjr.v15.i1.</w:t>
      </w:r>
      <w:r w:rsidR="00090EB5" w:rsidRPr="000A7004">
        <w:rPr>
          <w:rFonts w:ascii="Book Antiqua" w:hAnsi="Book Antiqua"/>
        </w:rPr>
        <w:t>20</w:t>
      </w:r>
    </w:p>
    <w:bookmarkEnd w:id="0"/>
    <w:bookmarkEnd w:id="1"/>
    <w:p w14:paraId="2AA70192" w14:textId="77777777" w:rsidR="00A77B3E" w:rsidRPr="00BC6A1C" w:rsidRDefault="00A77B3E" w:rsidP="00BC6A1C">
      <w:pPr>
        <w:spacing w:line="360" w:lineRule="auto"/>
        <w:jc w:val="both"/>
        <w:rPr>
          <w:rFonts w:ascii="Book Antiqua" w:hAnsi="Book Antiqua"/>
        </w:rPr>
      </w:pPr>
    </w:p>
    <w:p w14:paraId="63F4019F" w14:textId="18F719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Core Tip: </w:t>
      </w:r>
      <w:r w:rsidRPr="00BC6A1C">
        <w:rPr>
          <w:rFonts w:ascii="Book Antiqua" w:eastAsia="Book Antiqua" w:hAnsi="Book Antiqua" w:cs="Book Antiqua"/>
          <w:color w:val="000000"/>
        </w:rPr>
        <w:t xml:space="preserve">In this study, </w:t>
      </w:r>
      <w:r w:rsidR="00701AE3">
        <w:rPr>
          <w:rFonts w:ascii="Book Antiqua" w:eastAsia="Book Antiqua" w:hAnsi="Book Antiqua" w:cs="Book Antiqua"/>
          <w:color w:val="000000"/>
        </w:rPr>
        <w:t xml:space="preserve">the </w:t>
      </w:r>
      <w:r w:rsidRPr="00BC6A1C">
        <w:rPr>
          <w:rFonts w:ascii="Book Antiqua" w:eastAsia="Book Antiqua" w:hAnsi="Book Antiqua" w:cs="Book Antiqua"/>
          <w:color w:val="000000"/>
        </w:rPr>
        <w:t>diagnostic features of</w:t>
      </w:r>
      <w:r w:rsidR="00370DAD" w:rsidRPr="00BC6A1C">
        <w:rPr>
          <w:rFonts w:ascii="Book Antiqua" w:eastAsia="Book Antiqua" w:hAnsi="Book Antiqua" w:cs="Book Antiqua"/>
          <w:color w:val="000000"/>
        </w:rPr>
        <w:t xml:space="preserve"> diffusion-weighted imaging </w:t>
      </w:r>
      <w:r w:rsidRPr="00BC6A1C">
        <w:rPr>
          <w:rFonts w:ascii="Book Antiqua" w:eastAsia="Book Antiqua" w:hAnsi="Book Antiqua" w:cs="Book Antiqua"/>
          <w:color w:val="000000"/>
        </w:rPr>
        <w:t>and semiquantitative and quantitative perfusion</w:t>
      </w:r>
      <w:r w:rsidR="00370DAD" w:rsidRPr="00BC6A1C">
        <w:rPr>
          <w:rFonts w:ascii="Book Antiqua" w:eastAsia="Book Antiqua" w:hAnsi="Book Antiqua" w:cs="Book Antiqua"/>
          <w:color w:val="000000"/>
        </w:rPr>
        <w:t xml:space="preserve"> magnetic resonance imaging (MRI) </w:t>
      </w:r>
      <w:r w:rsidRPr="00BC6A1C">
        <w:rPr>
          <w:rFonts w:ascii="Book Antiqua" w:eastAsia="Book Antiqua" w:hAnsi="Book Antiqua" w:cs="Book Antiqua"/>
          <w:color w:val="000000"/>
        </w:rPr>
        <w:lastRenderedPageBreak/>
        <w:t xml:space="preserve">parameters were evaluated in salivary gland tumors. The </w:t>
      </w:r>
      <w:r w:rsidR="00370DAD" w:rsidRPr="00BC6A1C">
        <w:rPr>
          <w:rFonts w:ascii="Book Antiqua" w:eastAsia="Book Antiqua" w:hAnsi="Book Antiqua" w:cs="Book Antiqua"/>
          <w:color w:val="000000"/>
        </w:rPr>
        <w:t>apparent diffusion coefficient (ADC)</w:t>
      </w:r>
      <w:r w:rsidRPr="00BC6A1C">
        <w:rPr>
          <w:rFonts w:ascii="Book Antiqua" w:eastAsia="Book Antiqua" w:hAnsi="Book Antiqua" w:cs="Book Antiqua"/>
          <w:color w:val="000000"/>
        </w:rPr>
        <w:t xml:space="preserve"> values of pleomorphic adenomas (PMAs) were significantly higher than </w:t>
      </w:r>
      <w:r w:rsidR="00C0395A">
        <w:rPr>
          <w:rFonts w:ascii="Book Antiqua" w:eastAsia="Book Antiqua" w:hAnsi="Book Antiqua" w:cs="Book Antiqua"/>
          <w:color w:val="000000"/>
        </w:rPr>
        <w:t xml:space="preserve">those </w:t>
      </w:r>
      <w:r w:rsidRPr="00BC6A1C">
        <w:rPr>
          <w:rFonts w:ascii="Book Antiqua" w:eastAsia="Book Antiqua" w:hAnsi="Book Antiqua" w:cs="Book Antiqua"/>
          <w:color w:val="000000"/>
        </w:rPr>
        <w:t>of Warthin's tumors (WTs), other benign tumors (OBTs)</w:t>
      </w:r>
      <w:r w:rsidR="00C0395A">
        <w:rPr>
          <w:rFonts w:ascii="Book Antiqua" w:eastAsia="Book Antiqua" w:hAnsi="Book Antiqua" w:cs="Book Antiqua"/>
          <w:color w:val="000000"/>
        </w:rPr>
        <w:t>,</w:t>
      </w:r>
      <w:r w:rsidRPr="00BC6A1C">
        <w:rPr>
          <w:rFonts w:ascii="Book Antiqua" w:eastAsia="Book Antiqua" w:hAnsi="Book Antiqua" w:cs="Book Antiqua"/>
          <w:color w:val="000000"/>
        </w:rPr>
        <w:t xml:space="preserve"> and malignant tumors (MTs). On semiquantitative MRI, PMAs were distinguished from all other tumors by their long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times and lack of washout. WTs had the shortest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and highest washout ratio values. For quantitative perfusion MRI parameters, </w:t>
      </w:r>
      <w:r w:rsidR="00701AE3">
        <w:rPr>
          <w:rFonts w:ascii="Book Antiqua" w:eastAsia="Book Antiqua" w:hAnsi="Book Antiqua" w:cs="Book Antiqua"/>
          <w:color w:val="000000"/>
        </w:rPr>
        <w:t xml:space="preserve">the </w:t>
      </w:r>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 of WTs was significantly higher than </w:t>
      </w:r>
      <w:r w:rsidR="00C0395A">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 xml:space="preserve">other tumors. </w:t>
      </w:r>
      <w:r w:rsidR="00701AE3">
        <w:rPr>
          <w:rFonts w:ascii="Book Antiqua" w:eastAsia="Book Antiqua" w:hAnsi="Book Antiqua" w:cs="Book Antiqua"/>
          <w:color w:val="000000"/>
        </w:rPr>
        <w:t>The</w:t>
      </w:r>
      <w:r w:rsidRPr="00BC6A1C">
        <w:rPr>
          <w:rFonts w:ascii="Book Antiqua" w:eastAsia="Book Antiqua" w:hAnsi="Book Antiqua" w:cs="Book Antiqua"/>
          <w:color w:val="000000"/>
        </w:rPr>
        <w:t xml:space="preserve">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w:t>
      </w:r>
      <w:r w:rsidR="00C0395A">
        <w:rPr>
          <w:rFonts w:ascii="Book Antiqua" w:eastAsia="Book Antiqua" w:hAnsi="Book Antiqua" w:cs="Book Antiqua"/>
          <w:color w:val="000000"/>
        </w:rPr>
        <w:t>s</w:t>
      </w:r>
      <w:r w:rsidR="00701AE3">
        <w:rPr>
          <w:rFonts w:ascii="Book Antiqua" w:eastAsia="Book Antiqua" w:hAnsi="Book Antiqua" w:cs="Book Antiqua"/>
          <w:color w:val="000000"/>
        </w:rPr>
        <w:t xml:space="preserve"> </w:t>
      </w:r>
      <w:r w:rsidR="00C0395A">
        <w:rPr>
          <w:rFonts w:ascii="Book Antiqua" w:eastAsia="Book Antiqua" w:hAnsi="Book Antiqua" w:cs="Book Antiqua"/>
          <w:color w:val="000000"/>
        </w:rPr>
        <w:t xml:space="preserve">of </w:t>
      </w:r>
      <w:r w:rsidRPr="00BC6A1C">
        <w:rPr>
          <w:rFonts w:ascii="Book Antiqua" w:eastAsia="Book Antiqua" w:hAnsi="Book Antiqua" w:cs="Book Antiqua"/>
          <w:color w:val="000000"/>
        </w:rPr>
        <w:t xml:space="preserve">WTs and OBTs differed significantly from </w:t>
      </w:r>
      <w:r w:rsidR="00C0395A">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PMAs and MTs.</w:t>
      </w:r>
    </w:p>
    <w:p w14:paraId="22EF2AD2" w14:textId="77777777" w:rsidR="00A77B3E" w:rsidRPr="00BC6A1C" w:rsidRDefault="00A77B3E" w:rsidP="00BC6A1C">
      <w:pPr>
        <w:spacing w:line="360" w:lineRule="auto"/>
        <w:jc w:val="both"/>
        <w:rPr>
          <w:rFonts w:ascii="Book Antiqua" w:hAnsi="Book Antiqua"/>
        </w:rPr>
      </w:pPr>
    </w:p>
    <w:p w14:paraId="4C4A900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INTRODUCTION</w:t>
      </w:r>
    </w:p>
    <w:p w14:paraId="63836EC5" w14:textId="13CF4C65"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Salivary gland tumors (SGTs) account for about 2.0</w:t>
      </w:r>
      <w:r w:rsidR="00C32D02"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-6.5% of all head and neck tumors. Approximately 70% of them originate from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parotid glands, </w:t>
      </w:r>
      <w:r w:rsidR="001E4E94">
        <w:rPr>
          <w:rFonts w:ascii="Book Antiqua" w:eastAsia="Book Antiqua" w:hAnsi="Book Antiqua" w:cs="Book Antiqua"/>
          <w:color w:val="000000"/>
        </w:rPr>
        <w:t>and</w:t>
      </w:r>
      <w:r w:rsidRPr="00BC6A1C">
        <w:rPr>
          <w:rFonts w:ascii="Book Antiqua" w:eastAsia="Book Antiqua" w:hAnsi="Book Antiqua" w:cs="Book Antiqua"/>
          <w:color w:val="000000"/>
        </w:rPr>
        <w:t xml:space="preserve"> a small </w:t>
      </w:r>
      <w:r w:rsidR="001E4E94">
        <w:rPr>
          <w:rFonts w:ascii="Book Antiqua" w:eastAsia="Book Antiqua" w:hAnsi="Book Antiqua" w:cs="Book Antiqua"/>
          <w:color w:val="000000"/>
        </w:rPr>
        <w:t>number have</w:t>
      </w:r>
      <w:r w:rsidRPr="00BC6A1C">
        <w:rPr>
          <w:rFonts w:ascii="Book Antiqua" w:eastAsia="Book Antiqua" w:hAnsi="Book Antiqua" w:cs="Book Antiqua"/>
          <w:color w:val="000000"/>
        </w:rPr>
        <w:t xml:space="preserve"> submandibular, sublingual</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minor salivary gland origins. While the majority of tumors from </w:t>
      </w:r>
      <w:r w:rsidR="0075369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parotid glands are benign, malignancies are more common in those </w:t>
      </w:r>
      <w:r w:rsidR="001E4E94">
        <w:rPr>
          <w:rFonts w:ascii="Book Antiqua" w:eastAsia="Book Antiqua" w:hAnsi="Book Antiqua" w:cs="Book Antiqua"/>
          <w:color w:val="000000"/>
        </w:rPr>
        <w:t>located in</w:t>
      </w:r>
      <w:r w:rsidRPr="00BC6A1C">
        <w:rPr>
          <w:rFonts w:ascii="Book Antiqua" w:eastAsia="Book Antiqua" w:hAnsi="Book Antiqua" w:cs="Book Antiqua"/>
          <w:color w:val="000000"/>
        </w:rPr>
        <w:t xml:space="preserve"> other glands. Preoperative characterization of SGTs is important for treatment planning.</w:t>
      </w:r>
      <w:r w:rsidR="00C32D02"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The choice of surgery method for SGTs is closely associated with the histology of the tumor. Diagnosis is mostly based on combined evaluation of clinical features and findings from physical examinations, imaging and cytological observations. Fine-needle aspiration biopsy (FNAB) is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most commonly used method for cytological examinations but complex pathologies can result in false positives and false negatives in malignant tumors (MTs)</w:t>
      </w:r>
      <w:r w:rsidRPr="00BC6A1C">
        <w:rPr>
          <w:rFonts w:ascii="Book Antiqua" w:eastAsia="Book Antiqua" w:hAnsi="Book Antiqua" w:cs="Book Antiqua"/>
          <w:color w:val="000000"/>
          <w:vertAlign w:val="superscript"/>
        </w:rPr>
        <w:t>[1,2]</w:t>
      </w:r>
      <w:r w:rsidRPr="00BC6A1C">
        <w:rPr>
          <w:rFonts w:ascii="Book Antiqua" w:eastAsia="Book Antiqua" w:hAnsi="Book Antiqua" w:cs="Book Antiqua"/>
          <w:color w:val="000000"/>
        </w:rPr>
        <w:t>. Conventional magnetic resonance imaging (MRI) is very useful for identifying the tumor location, morphology, extension, and its association with the nerves and inner structure</w:t>
      </w:r>
      <w:r w:rsidRPr="00BC6A1C">
        <w:rPr>
          <w:rFonts w:ascii="Book Antiqua" w:eastAsia="Book Antiqua" w:hAnsi="Book Antiqua" w:cs="Book Antiqua"/>
          <w:color w:val="000000"/>
          <w:vertAlign w:val="superscript"/>
        </w:rPr>
        <w:t>[1-3]</w:t>
      </w:r>
      <w:r w:rsidRPr="00BC6A1C">
        <w:rPr>
          <w:rFonts w:ascii="Book Antiqua" w:eastAsia="Book Antiqua" w:hAnsi="Book Antiqua" w:cs="Book Antiqua"/>
          <w:color w:val="000000"/>
        </w:rPr>
        <w:t xml:space="preserve">. However, diagnosing MTs and benign tumors (BTs) </w:t>
      </w:r>
      <w:r w:rsidR="00753690">
        <w:rPr>
          <w:rFonts w:ascii="Book Antiqua" w:eastAsia="Book Antiqua" w:hAnsi="Book Antiqua" w:cs="Book Antiqua"/>
          <w:color w:val="000000"/>
        </w:rPr>
        <w:t>by</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conventional MRI c</w:t>
      </w:r>
      <w:r w:rsidR="001E4E94">
        <w:rPr>
          <w:rFonts w:ascii="Book Antiqua" w:eastAsia="Book Antiqua" w:hAnsi="Book Antiqua" w:cs="Book Antiqua"/>
          <w:color w:val="000000"/>
        </w:rPr>
        <w:t>an</w:t>
      </w:r>
      <w:r w:rsidRPr="00BC6A1C">
        <w:rPr>
          <w:rFonts w:ascii="Book Antiqua" w:eastAsia="Book Antiqua" w:hAnsi="Book Antiqua" w:cs="Book Antiqua"/>
          <w:color w:val="000000"/>
        </w:rPr>
        <w:t xml:space="preserve"> be difficult due to overlapping findings</w:t>
      </w:r>
      <w:r w:rsidRPr="00BC6A1C">
        <w:rPr>
          <w:rFonts w:ascii="Book Antiqua" w:eastAsia="Book Antiqua" w:hAnsi="Book Antiqua" w:cs="Book Antiqua"/>
          <w:color w:val="000000"/>
          <w:vertAlign w:val="superscript"/>
        </w:rPr>
        <w:t>[1,2,4]</w:t>
      </w:r>
      <w:r w:rsidRPr="00BC6A1C">
        <w:rPr>
          <w:rFonts w:ascii="Book Antiqua" w:eastAsia="Book Antiqua" w:hAnsi="Book Antiqua" w:cs="Book Antiqua"/>
          <w:color w:val="000000"/>
        </w:rPr>
        <w:t>. In recent years, an increase has been reported in diagnostic accuracy in SGTs for distinguishing between MTs and BTs with the use of diffusion-weighted imaging (DWI) and dynamic contrast-enhanced (DCE) MRI techniques</w:t>
      </w:r>
      <w:r w:rsidRPr="00BC6A1C">
        <w:rPr>
          <w:rFonts w:ascii="Book Antiqua" w:eastAsia="Book Antiqua" w:hAnsi="Book Antiqua" w:cs="Book Antiqua"/>
          <w:color w:val="000000"/>
          <w:vertAlign w:val="superscript"/>
        </w:rPr>
        <w:t>[1,5-9]</w:t>
      </w:r>
      <w:r w:rsidRPr="00BC6A1C">
        <w:rPr>
          <w:rFonts w:ascii="Book Antiqua" w:eastAsia="Book Antiqua" w:hAnsi="Book Antiqua" w:cs="Book Antiqua"/>
          <w:color w:val="000000"/>
        </w:rPr>
        <w:t>. DCE MRI is used to track an exogenous, paramagnetic contrast agent in tissues and has been a powerful tool in the characterization of tumor hemodynamics</w:t>
      </w:r>
      <w:r w:rsidRPr="00BC6A1C">
        <w:rPr>
          <w:rFonts w:ascii="Book Antiqua" w:eastAsia="Book Antiqua" w:hAnsi="Book Antiqua" w:cs="Book Antiqua"/>
          <w:color w:val="000000"/>
          <w:vertAlign w:val="superscript"/>
        </w:rPr>
        <w:t>[1,3,10,11]</w:t>
      </w:r>
      <w:r w:rsidRPr="00BC6A1C">
        <w:rPr>
          <w:rFonts w:ascii="Book Antiqua" w:eastAsia="Book Antiqua" w:hAnsi="Book Antiqua" w:cs="Book Antiqua"/>
          <w:color w:val="000000"/>
        </w:rPr>
        <w:t xml:space="preserve">. As a semiquantitative method in DCE </w:t>
      </w:r>
      <w:r w:rsidRPr="00BC6A1C">
        <w:rPr>
          <w:rFonts w:ascii="Book Antiqua" w:eastAsia="Book Antiqua" w:hAnsi="Book Antiqua" w:cs="Book Antiqua"/>
          <w:color w:val="000000"/>
        </w:rPr>
        <w:lastRenderedPageBreak/>
        <w:t>MRI, patterns have been established by measuring time to peak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and washout ratio (WR) on the time intensity curve (TIC)</w:t>
      </w:r>
      <w:r w:rsidRPr="00BC6A1C">
        <w:rPr>
          <w:rFonts w:ascii="Book Antiqua" w:eastAsia="Book Antiqua" w:hAnsi="Book Antiqua" w:cs="Book Antiqua"/>
          <w:color w:val="000000"/>
          <w:vertAlign w:val="superscript"/>
        </w:rPr>
        <w:t>[1,3]</w:t>
      </w:r>
      <w:r w:rsidRPr="00BC6A1C">
        <w:rPr>
          <w:rFonts w:ascii="Book Antiqua" w:eastAsia="Book Antiqua" w:hAnsi="Book Antiqua" w:cs="Book Antiqua"/>
          <w:color w:val="000000"/>
        </w:rPr>
        <w:t>.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is closely related to microvessel count while WR reflects the stromal cellularity grade. On quantitative DCE MRI, on the other hand, perfusion parameters such as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w:t>
      </w:r>
      <w:r w:rsidR="00B51B52"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volume transfer constant between blood plasma and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extracellular extravascular space</w:t>
      </w:r>
      <w:r w:rsidR="0031273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(EES)],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(flux rate constant between the EES and plasma)</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(EES fractional volume) are used</w:t>
      </w:r>
      <w:r w:rsidRPr="00BC6A1C">
        <w:rPr>
          <w:rFonts w:ascii="Book Antiqua" w:eastAsia="Book Antiqua" w:hAnsi="Book Antiqua" w:cs="Book Antiqua"/>
          <w:color w:val="000000"/>
          <w:vertAlign w:val="superscript"/>
        </w:rPr>
        <w:t>[1,3]</w:t>
      </w:r>
      <w:r w:rsidRPr="00BC6A1C">
        <w:rPr>
          <w:rFonts w:ascii="Book Antiqua" w:eastAsia="Book Antiqua" w:hAnsi="Book Antiqua" w:cs="Book Antiqua"/>
          <w:color w:val="000000"/>
        </w:rPr>
        <w:t xml:space="preserve">. Although there are many studies dealing with diffusion and semiquantitative DCE MRIs in SGTs,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number of quantitative MRI studies is limited</w:t>
      </w:r>
      <w:r w:rsidRPr="00BC6A1C">
        <w:rPr>
          <w:rFonts w:ascii="Book Antiqua" w:eastAsia="Book Antiqua" w:hAnsi="Book Antiqua" w:cs="Book Antiqua"/>
          <w:color w:val="000000"/>
          <w:vertAlign w:val="superscript"/>
        </w:rPr>
        <w:t>[12-15]</w:t>
      </w:r>
      <w:r w:rsidRPr="00BC6A1C">
        <w:rPr>
          <w:rFonts w:ascii="Book Antiqua" w:eastAsia="Book Antiqua" w:hAnsi="Book Antiqua" w:cs="Book Antiqua"/>
          <w:color w:val="000000"/>
        </w:rPr>
        <w:t xml:space="preserve">. In the present study,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diagnostic value of diffusion MRI and semiquantitative and quantitative perfusion MRI parameters </w:t>
      </w:r>
      <w:r w:rsidR="00753690" w:rsidRPr="00BC6A1C">
        <w:rPr>
          <w:rFonts w:ascii="Book Antiqua" w:eastAsia="Book Antiqua" w:hAnsi="Book Antiqua" w:cs="Book Antiqua"/>
          <w:color w:val="000000"/>
        </w:rPr>
        <w:t>w</w:t>
      </w:r>
      <w:r w:rsidR="00753690">
        <w:rPr>
          <w:rFonts w:ascii="Book Antiqua" w:eastAsia="Book Antiqua" w:hAnsi="Book Antiqua" w:cs="Book Antiqua"/>
          <w:color w:val="000000"/>
        </w:rPr>
        <w:t>as</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evaluated in SGTs.</w:t>
      </w:r>
    </w:p>
    <w:p w14:paraId="443D77CC" w14:textId="77777777" w:rsidR="00A77B3E" w:rsidRPr="00BC6A1C" w:rsidRDefault="00A77B3E" w:rsidP="00BC6A1C">
      <w:pPr>
        <w:spacing w:line="360" w:lineRule="auto"/>
        <w:jc w:val="both"/>
        <w:rPr>
          <w:rFonts w:ascii="Book Antiqua" w:hAnsi="Book Antiqua"/>
        </w:rPr>
      </w:pPr>
    </w:p>
    <w:p w14:paraId="0529AD19"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MATERIALS AND METHODS</w:t>
      </w:r>
    </w:p>
    <w:p w14:paraId="2AE23F59"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i/>
          <w:iCs/>
          <w:color w:val="000000"/>
        </w:rPr>
        <w:t>Patients</w:t>
      </w:r>
    </w:p>
    <w:p w14:paraId="44A4F3B4" w14:textId="489A422A"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The study was conducted </w:t>
      </w:r>
      <w:r w:rsidR="007B0AFE" w:rsidRPr="00BC6A1C">
        <w:rPr>
          <w:rFonts w:ascii="Book Antiqua" w:eastAsia="Book Antiqua" w:hAnsi="Book Antiqua" w:cs="Book Antiqua"/>
          <w:color w:val="000000"/>
        </w:rPr>
        <w:t xml:space="preserve">retrospectively </w:t>
      </w:r>
      <w:r w:rsidR="007B0AFE">
        <w:rPr>
          <w:rFonts w:ascii="Book Antiqua" w:eastAsia="Book Antiqua" w:hAnsi="Book Antiqua" w:cs="Book Antiqua"/>
          <w:color w:val="000000"/>
        </w:rPr>
        <w:t>following</w:t>
      </w:r>
      <w:r w:rsidRPr="00BC6A1C">
        <w:rPr>
          <w:rFonts w:ascii="Book Antiqua" w:eastAsia="Book Antiqua" w:hAnsi="Book Antiqua" w:cs="Book Antiqua"/>
          <w:color w:val="000000"/>
        </w:rPr>
        <w:t xml:space="preserve"> approval </w:t>
      </w:r>
      <w:r w:rsidR="00753690">
        <w:rPr>
          <w:rFonts w:ascii="Book Antiqua" w:eastAsia="Book Antiqua" w:hAnsi="Book Antiqua" w:cs="Book Antiqua"/>
          <w:color w:val="000000"/>
        </w:rPr>
        <w:t>by</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the local ethics committee (20-KAEK-105). A total of 67 patients with tumors originating from or involving </w:t>
      </w:r>
      <w:r w:rsidR="007B0AFE">
        <w:rPr>
          <w:rFonts w:ascii="Book Antiqua" w:eastAsia="Book Antiqua" w:hAnsi="Book Antiqua" w:cs="Book Antiqua"/>
          <w:color w:val="000000"/>
        </w:rPr>
        <w:t xml:space="preserve">the </w:t>
      </w:r>
      <w:r w:rsidRPr="00BC6A1C">
        <w:rPr>
          <w:rFonts w:ascii="Book Antiqua" w:eastAsia="Book Antiqua" w:hAnsi="Book Antiqua" w:cs="Book Antiqua"/>
          <w:color w:val="000000"/>
        </w:rPr>
        <w:t>salivary glands were included. The study included patients who had swelling o</w:t>
      </w:r>
      <w:r w:rsidR="007B0AFE">
        <w:rPr>
          <w:rFonts w:ascii="Book Antiqua" w:eastAsia="Book Antiqua" w:hAnsi="Book Antiqua" w:cs="Book Antiqua"/>
          <w:color w:val="000000"/>
        </w:rPr>
        <w:t>f</w:t>
      </w:r>
      <w:r w:rsidRPr="00BC6A1C">
        <w:rPr>
          <w:rFonts w:ascii="Book Antiqua" w:eastAsia="Book Antiqua" w:hAnsi="Book Antiqua" w:cs="Book Antiqua"/>
          <w:color w:val="000000"/>
        </w:rPr>
        <w:t xml:space="preserve"> the face or in </w:t>
      </w:r>
      <w:r w:rsidR="007B0AFE">
        <w:rPr>
          <w:rFonts w:ascii="Book Antiqua" w:eastAsia="Book Antiqua" w:hAnsi="Book Antiqua" w:cs="Book Antiqua"/>
          <w:color w:val="000000"/>
        </w:rPr>
        <w:t xml:space="preserve">the </w:t>
      </w:r>
      <w:r w:rsidRPr="00BC6A1C">
        <w:rPr>
          <w:rFonts w:ascii="Book Antiqua" w:eastAsia="Book Antiqua" w:hAnsi="Book Antiqua" w:cs="Book Antiqua"/>
          <w:color w:val="000000"/>
        </w:rPr>
        <w:t>salivary glands, who were subjected to MRI, diffusion MRI</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perfusion MRI examinations </w:t>
      </w:r>
      <w:r w:rsidR="00753690">
        <w:rPr>
          <w:rFonts w:ascii="Book Antiqua" w:eastAsia="Book Antiqua" w:hAnsi="Book Antiqua" w:cs="Book Antiqua"/>
          <w:color w:val="000000"/>
        </w:rPr>
        <w:t>at</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our hospital between April 2017 and February 2021 and who were diagnosed histopathologically after FNAB, </w:t>
      </w:r>
      <w:r w:rsidR="007B0AFE">
        <w:rPr>
          <w:rFonts w:ascii="Book Antiqua" w:eastAsia="Book Antiqua" w:hAnsi="Book Antiqua" w:cs="Book Antiqua"/>
          <w:color w:val="000000"/>
        </w:rPr>
        <w:t>T</w:t>
      </w:r>
      <w:r w:rsidRPr="00BC6A1C">
        <w:rPr>
          <w:rFonts w:ascii="Book Antiqua" w:eastAsia="Book Antiqua" w:hAnsi="Book Antiqua" w:cs="Book Antiqua"/>
          <w:color w:val="000000"/>
        </w:rPr>
        <w:t>ru-cut biopsy</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or surgical removal. For th</w:t>
      </w:r>
      <w:r w:rsidR="007B0AFE">
        <w:rPr>
          <w:rFonts w:ascii="Book Antiqua" w:eastAsia="Book Antiqua" w:hAnsi="Book Antiqua" w:cs="Book Antiqua"/>
          <w:color w:val="000000"/>
        </w:rPr>
        <w:t>is</w:t>
      </w:r>
      <w:r w:rsidRPr="00BC6A1C">
        <w:rPr>
          <w:rFonts w:ascii="Book Antiqua" w:eastAsia="Book Antiqua" w:hAnsi="Book Antiqua" w:cs="Book Antiqua"/>
          <w:color w:val="000000"/>
        </w:rPr>
        <w:t xml:space="preserve"> study, patients whose neck and maxillofacial MRI examination reports included the description of </w:t>
      </w:r>
      <w:r w:rsidR="007B0AFE">
        <w:rPr>
          <w:rFonts w:ascii="Book Antiqua" w:eastAsia="Book Antiqua" w:hAnsi="Book Antiqua" w:cs="Book Antiqua"/>
          <w:color w:val="000000"/>
        </w:rPr>
        <w:t xml:space="preserve">a </w:t>
      </w:r>
      <w:r w:rsidRPr="00BC6A1C">
        <w:rPr>
          <w:rFonts w:ascii="Book Antiqua" w:eastAsia="Book Antiqua" w:hAnsi="Book Antiqua" w:cs="Book Antiqua"/>
          <w:color w:val="000000"/>
        </w:rPr>
        <w:t xml:space="preserve">mass in the salivary glands were surveyed in </w:t>
      </w:r>
      <w:r w:rsidR="005B1DDD" w:rsidRPr="00BC6A1C">
        <w:rPr>
          <w:rFonts w:ascii="Book Antiqua" w:eastAsia="Book Antiqua" w:hAnsi="Book Antiqua" w:cs="Book Antiqua"/>
          <w:color w:val="000000"/>
        </w:rPr>
        <w:t>picture archiving and communication systems</w:t>
      </w:r>
      <w:r w:rsidRPr="00BC6A1C">
        <w:rPr>
          <w:rFonts w:ascii="Book Antiqua" w:eastAsia="Book Antiqua" w:hAnsi="Book Antiqua" w:cs="Book Antiqua"/>
          <w:color w:val="000000"/>
        </w:rPr>
        <w:t xml:space="preserve">. A total of 33 patients were excluded: </w:t>
      </w:r>
      <w:r w:rsidR="00753690">
        <w:rPr>
          <w:rFonts w:ascii="Book Antiqua" w:eastAsia="Book Antiqua" w:hAnsi="Book Antiqua" w:cs="Book Antiqua"/>
          <w:color w:val="000000"/>
        </w:rPr>
        <w:t>2</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patients with intra-lesion hemorrhage due to FNAB before the MRI examination, 16 patients who had contrast-enhanced MRI but did not have perfusion MRI series</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15 patients whose diagnosis w</w:t>
      </w:r>
      <w:r w:rsidR="007B0AFE">
        <w:rPr>
          <w:rFonts w:ascii="Book Antiqua" w:eastAsia="Book Antiqua" w:hAnsi="Book Antiqua" w:cs="Book Antiqua"/>
          <w:color w:val="000000"/>
        </w:rPr>
        <w:t>as</w:t>
      </w:r>
      <w:r w:rsidRPr="00BC6A1C">
        <w:rPr>
          <w:rFonts w:ascii="Book Antiqua" w:eastAsia="Book Antiqua" w:hAnsi="Book Antiqua" w:cs="Book Antiqua"/>
          <w:color w:val="000000"/>
        </w:rPr>
        <w:t xml:space="preserve"> not confirmed histopathologically. Thus, a total of 73 MTs and BTs, which originated from major and minor salivary glands in 67 patients, were included in the study (Figure 1).</w:t>
      </w:r>
    </w:p>
    <w:p w14:paraId="072606FA" w14:textId="77777777" w:rsidR="00A77B3E" w:rsidRPr="00BC6A1C" w:rsidRDefault="00A77B3E" w:rsidP="00BC6A1C">
      <w:pPr>
        <w:spacing w:line="360" w:lineRule="auto"/>
        <w:jc w:val="both"/>
        <w:rPr>
          <w:rFonts w:ascii="Book Antiqua" w:hAnsi="Book Antiqua"/>
        </w:rPr>
      </w:pPr>
    </w:p>
    <w:p w14:paraId="58E65C5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i/>
          <w:iCs/>
          <w:color w:val="000000"/>
        </w:rPr>
        <w:t>MRI scanning and measurements</w:t>
      </w:r>
    </w:p>
    <w:p w14:paraId="1871664D" w14:textId="011BB9C2" w:rsidR="00296CDE"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lastRenderedPageBreak/>
        <w:t xml:space="preserve">MRI was performed on a 1.5 T superconducting MRI system </w:t>
      </w:r>
      <w:r w:rsidR="002527A3" w:rsidRPr="00BC6A1C">
        <w:rPr>
          <w:rFonts w:ascii="Book Antiqua" w:eastAsia="Book Antiqua" w:hAnsi="Book Antiqua" w:cs="Book Antiqua"/>
          <w:color w:val="000000"/>
        </w:rPr>
        <w:t>[</w:t>
      </w:r>
      <w:r w:rsidR="005B1DDD" w:rsidRPr="00BC6A1C">
        <w:rPr>
          <w:rFonts w:ascii="Book Antiqua" w:eastAsia="Book Antiqua" w:hAnsi="Book Antiqua" w:cs="Book Antiqua"/>
          <w:color w:val="000000"/>
        </w:rPr>
        <w:t>General Electric</w:t>
      </w:r>
      <w:r w:rsidR="002527A3" w:rsidRPr="00BC6A1C">
        <w:rPr>
          <w:rFonts w:ascii="Book Antiqua" w:eastAsia="Book Antiqua" w:hAnsi="Book Antiqua" w:cs="Book Antiqua"/>
          <w:color w:val="000000"/>
        </w:rPr>
        <w:t xml:space="preserve"> (GE)</w:t>
      </w:r>
      <w:r w:rsidR="005B1DDD"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Signa Explorer </w:t>
      </w:r>
      <w:r w:rsidR="005B1DDD" w:rsidRPr="00BC6A1C">
        <w:rPr>
          <w:rFonts w:ascii="Book Antiqua" w:eastAsia="Book Antiqua" w:hAnsi="Book Antiqua" w:cs="Book Antiqua"/>
          <w:color w:val="000000"/>
        </w:rPr>
        <w:t>Software Version</w:t>
      </w:r>
      <w:r w:rsidR="002527A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25; GE Healthcare, Milwaukee, WI, United States, 2016</w:t>
      </w:r>
      <w:r w:rsidR="002527A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with head and neck array coils. Routine MRI sequences included axial T1-weighted </w:t>
      </w:r>
      <w:r w:rsidR="00193D0F" w:rsidRPr="00BC6A1C">
        <w:rPr>
          <w:rFonts w:ascii="Book Antiqua" w:eastAsia="Book Antiqua" w:hAnsi="Book Antiqua" w:cs="Book Antiqua"/>
          <w:color w:val="000000"/>
        </w:rPr>
        <w:t>[</w:t>
      </w:r>
      <w:r w:rsidR="00753690">
        <w:rPr>
          <w:rFonts w:ascii="Book Antiqua" w:eastAsia="Book Antiqua" w:hAnsi="Book Antiqua" w:cs="Book Antiqua"/>
          <w:color w:val="000000"/>
        </w:rPr>
        <w:t>t</w:t>
      </w:r>
      <w:r w:rsidR="00753690" w:rsidRPr="00BC6A1C">
        <w:rPr>
          <w:rFonts w:ascii="Book Antiqua" w:eastAsia="Book Antiqua" w:hAnsi="Book Antiqua" w:cs="Book Antiqua"/>
          <w:color w:val="000000"/>
        </w:rPr>
        <w:t xml:space="preserve">ime </w:t>
      </w:r>
      <w:r w:rsidR="00E354A9" w:rsidRPr="00BC6A1C">
        <w:rPr>
          <w:rFonts w:ascii="Book Antiqua" w:eastAsia="Book Antiqua" w:hAnsi="Book Antiqua" w:cs="Book Antiqua"/>
          <w:color w:val="000000"/>
        </w:rPr>
        <w:t xml:space="preserve">to </w:t>
      </w:r>
      <w:r w:rsidR="00753690">
        <w:rPr>
          <w:rFonts w:ascii="Book Antiqua" w:eastAsia="Book Antiqua" w:hAnsi="Book Antiqua" w:cs="Book Antiqua"/>
          <w:color w:val="000000"/>
        </w:rPr>
        <w:t>r</w:t>
      </w:r>
      <w:r w:rsidR="00753690" w:rsidRPr="00BC6A1C">
        <w:rPr>
          <w:rFonts w:ascii="Book Antiqua" w:eastAsia="Book Antiqua" w:hAnsi="Book Antiqua" w:cs="Book Antiqua"/>
          <w:color w:val="000000"/>
        </w:rPr>
        <w:t>epetition</w:t>
      </w:r>
      <w:r w:rsidR="00E354A9" w:rsidRPr="00BC6A1C">
        <w:rPr>
          <w:rFonts w:ascii="Book Antiqua" w:eastAsia="Book Antiqua" w:hAnsi="Book Antiqua" w:cs="Book Antiqua"/>
          <w:color w:val="000000"/>
        </w:rPr>
        <w:t>/</w:t>
      </w:r>
      <w:r w:rsidR="00753690">
        <w:rPr>
          <w:rFonts w:ascii="Book Antiqua" w:eastAsia="Book Antiqua" w:hAnsi="Book Antiqua" w:cs="Book Antiqua"/>
          <w:color w:val="000000"/>
        </w:rPr>
        <w:t>t</w:t>
      </w:r>
      <w:r w:rsidR="00753690" w:rsidRPr="00BC6A1C">
        <w:rPr>
          <w:rFonts w:ascii="Book Antiqua" w:eastAsia="Book Antiqua" w:hAnsi="Book Antiqua" w:cs="Book Antiqua"/>
          <w:color w:val="000000"/>
        </w:rPr>
        <w:t xml:space="preserve">ime </w:t>
      </w:r>
      <w:r w:rsidR="00E354A9" w:rsidRPr="00BC6A1C">
        <w:rPr>
          <w:rFonts w:ascii="Book Antiqua" w:eastAsia="Book Antiqua" w:hAnsi="Book Antiqua" w:cs="Book Antiqua"/>
          <w:color w:val="000000"/>
        </w:rPr>
        <w:t xml:space="preserve">to </w:t>
      </w:r>
      <w:r w:rsidR="00753690">
        <w:rPr>
          <w:rFonts w:ascii="Book Antiqua" w:eastAsia="Book Antiqua" w:hAnsi="Book Antiqua" w:cs="Book Antiqua"/>
          <w:color w:val="000000"/>
        </w:rPr>
        <w:t>e</w:t>
      </w:r>
      <w:r w:rsidR="00753690" w:rsidRPr="00BC6A1C">
        <w:rPr>
          <w:rFonts w:ascii="Book Antiqua" w:eastAsia="Book Antiqua" w:hAnsi="Book Antiqua" w:cs="Book Antiqua"/>
          <w:color w:val="000000"/>
        </w:rPr>
        <w:t xml:space="preserve">cho </w:t>
      </w:r>
      <w:r w:rsidR="00E354A9" w:rsidRPr="00BC6A1C">
        <w:rPr>
          <w:rFonts w:ascii="Book Antiqua" w:eastAsia="Book Antiqua" w:hAnsi="Book Antiqua" w:cs="Book Antiqua"/>
          <w:color w:val="000000"/>
        </w:rPr>
        <w:t>(</w:t>
      </w:r>
      <w:r w:rsidRPr="00BC6A1C">
        <w:rPr>
          <w:rFonts w:ascii="Book Antiqua" w:eastAsia="Book Antiqua" w:hAnsi="Book Antiqua" w:cs="Book Antiqua"/>
          <w:color w:val="000000"/>
        </w:rPr>
        <w:t>TR/TE</w:t>
      </w:r>
      <w:r w:rsidR="00E354A9" w:rsidRPr="00BC6A1C">
        <w:rPr>
          <w:rFonts w:ascii="Book Antiqua" w:eastAsia="Book Antiqua" w:hAnsi="Book Antiqua" w:cs="Book Antiqua"/>
          <w:color w:val="000000"/>
        </w:rPr>
        <w:t>)</w:t>
      </w:r>
      <w:r w:rsidRPr="00BC6A1C">
        <w:rPr>
          <w:rFonts w:ascii="Book Antiqua" w:eastAsia="Book Antiqua" w:hAnsi="Book Antiqua" w:cs="Book Antiqua"/>
          <w:color w:val="000000"/>
        </w:rPr>
        <w:t>, 456 ms/8.1 ms</w:t>
      </w:r>
      <w:r w:rsidR="00526052" w:rsidRPr="00BC6A1C">
        <w:rPr>
          <w:rFonts w:ascii="Book Antiqua" w:eastAsia="Book Antiqua" w:hAnsi="Book Antiqua" w:cs="Book Antiqua"/>
          <w:color w:val="000000"/>
        </w:rPr>
        <w:t>]</w:t>
      </w:r>
      <w:r w:rsidRPr="00BC6A1C">
        <w:rPr>
          <w:rFonts w:ascii="Book Antiqua" w:eastAsia="Book Antiqua" w:hAnsi="Book Antiqua" w:cs="Book Antiqua"/>
          <w:color w:val="000000"/>
        </w:rPr>
        <w:t>, in phase axial T2-weighted (TR/TE, 3711 ms/82.8 ms), sagittal T2-weighted (TR/TE, 4499 ms/88.2 ms)</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coronal T2-weighted (TR/TE, 4380 ms/84.6 ms). DCE MRI was performed with a T1-weighted 3D fast spoiled gradient echo sequence </w:t>
      </w:r>
      <w:r w:rsidR="009E7025" w:rsidRPr="00BC6A1C">
        <w:rPr>
          <w:rFonts w:ascii="Book Antiqua" w:eastAsia="Book Antiqua" w:hAnsi="Book Antiqua" w:cs="Book Antiqua"/>
          <w:color w:val="000000"/>
        </w:rPr>
        <w:t>[</w:t>
      </w:r>
      <w:r w:rsidRPr="00BC6A1C">
        <w:rPr>
          <w:rFonts w:ascii="Book Antiqua" w:eastAsia="Book Antiqua" w:hAnsi="Book Antiqua" w:cs="Book Antiqua"/>
          <w:color w:val="000000"/>
        </w:rPr>
        <w:t>TR/TE/</w:t>
      </w:r>
      <w:r w:rsidR="00753690">
        <w:rPr>
          <w:rFonts w:ascii="Book Antiqua" w:hAnsi="Book Antiqua"/>
        </w:rPr>
        <w:t>t</w:t>
      </w:r>
      <w:r w:rsidR="00753690" w:rsidRPr="00BC6A1C">
        <w:rPr>
          <w:rFonts w:ascii="Book Antiqua" w:eastAsia="Book Antiqua" w:hAnsi="Book Antiqua" w:cs="Book Antiqua"/>
          <w:color w:val="000000"/>
        </w:rPr>
        <w:t xml:space="preserve">ime </w:t>
      </w:r>
      <w:r w:rsidR="009E7025" w:rsidRPr="00BC6A1C">
        <w:rPr>
          <w:rFonts w:ascii="Book Antiqua" w:eastAsia="Book Antiqua" w:hAnsi="Book Antiqua" w:cs="Book Antiqua"/>
          <w:color w:val="000000"/>
        </w:rPr>
        <w:t xml:space="preserve">to </w:t>
      </w:r>
      <w:r w:rsidR="00753690">
        <w:rPr>
          <w:rFonts w:ascii="Book Antiqua" w:eastAsia="Book Antiqua" w:hAnsi="Book Antiqua" w:cs="Book Antiqua"/>
          <w:color w:val="000000"/>
        </w:rPr>
        <w:t>i</w:t>
      </w:r>
      <w:r w:rsidR="00753690" w:rsidRPr="00BC6A1C">
        <w:rPr>
          <w:rFonts w:ascii="Book Antiqua" w:eastAsia="Book Antiqua" w:hAnsi="Book Antiqua" w:cs="Book Antiqua"/>
          <w:color w:val="000000"/>
        </w:rPr>
        <w:t>nversion</w:t>
      </w:r>
      <w:r w:rsidRPr="00BC6A1C">
        <w:rPr>
          <w:rFonts w:ascii="Book Antiqua" w:eastAsia="Book Antiqua" w:hAnsi="Book Antiqua" w:cs="Book Antiqua"/>
          <w:color w:val="000000"/>
        </w:rPr>
        <w:t>, 3.8 ms/1.3 ms/15 ms; flip angle</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20°</w:t>
      </w:r>
      <w:r w:rsidR="009E7025"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The contrast agent Gd-DTPA (Dotarem, Guerbet, France) was injected after </w:t>
      </w:r>
      <w:r w:rsidR="0075369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fourth dynamic sequence acquisition at a rate of 2.0 mL/s </w:t>
      </w:r>
      <w:r w:rsidRPr="00BC6A1C">
        <w:rPr>
          <w:rFonts w:ascii="Book Antiqua" w:eastAsia="Book Antiqua" w:hAnsi="Book Antiqua" w:cs="Book Antiqua"/>
          <w:i/>
          <w:iCs/>
          <w:color w:val="000000"/>
        </w:rPr>
        <w:t>via</w:t>
      </w:r>
      <w:r w:rsidRPr="00BC6A1C">
        <w:rPr>
          <w:rFonts w:ascii="Book Antiqua" w:eastAsia="Book Antiqua" w:hAnsi="Book Antiqua" w:cs="Book Antiqua"/>
          <w:color w:val="000000"/>
        </w:rPr>
        <w:t xml:space="preserve"> the right antecubital vein. The contrast agent was administered at a </w:t>
      </w:r>
      <w:r w:rsidR="00753690">
        <w:rPr>
          <w:rFonts w:ascii="Book Antiqua" w:eastAsia="Book Antiqua" w:hAnsi="Book Antiqua" w:cs="Book Antiqua"/>
          <w:color w:val="000000"/>
        </w:rPr>
        <w:t>dose</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of 0.2 mmo</w:t>
      </w:r>
      <w:r w:rsidR="00A4223F" w:rsidRPr="00BC6A1C">
        <w:rPr>
          <w:rFonts w:ascii="Book Antiqua" w:eastAsia="Book Antiqua" w:hAnsi="Book Antiqua" w:cs="Book Antiqua"/>
          <w:color w:val="000000"/>
        </w:rPr>
        <w:t>L</w:t>
      </w:r>
      <w:r w:rsidRPr="00BC6A1C">
        <w:rPr>
          <w:rFonts w:ascii="Book Antiqua" w:eastAsia="Book Antiqua" w:hAnsi="Book Antiqua" w:cs="Book Antiqua"/>
          <w:color w:val="000000"/>
        </w:rPr>
        <w:t xml:space="preserve">/kg body weight. </w:t>
      </w:r>
      <w:r w:rsidR="007B0AFE">
        <w:rPr>
          <w:rFonts w:ascii="Book Antiqua" w:eastAsia="Book Antiqua" w:hAnsi="Book Antiqua" w:cs="Book Antiqua"/>
          <w:color w:val="000000"/>
        </w:rPr>
        <w:t xml:space="preserve">Immediately </w:t>
      </w:r>
      <w:r w:rsidRPr="00BC6A1C">
        <w:rPr>
          <w:rFonts w:ascii="Book Antiqua" w:eastAsia="Book Antiqua" w:hAnsi="Book Antiqua" w:cs="Book Antiqua"/>
          <w:color w:val="000000"/>
        </w:rPr>
        <w:t xml:space="preserve">after the injection of </w:t>
      </w:r>
      <w:r w:rsidR="0075369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contrast agent, a 20 mL saline flush was </w:t>
      </w:r>
      <w:r w:rsidR="007B0AFE">
        <w:rPr>
          <w:rFonts w:ascii="Book Antiqua" w:eastAsia="Book Antiqua" w:hAnsi="Book Antiqua" w:cs="Book Antiqua"/>
          <w:color w:val="000000"/>
        </w:rPr>
        <w:t>carried out</w:t>
      </w:r>
      <w:r w:rsidRPr="00BC6A1C">
        <w:rPr>
          <w:rFonts w:ascii="Book Antiqua" w:eastAsia="Book Antiqua" w:hAnsi="Book Antiqua" w:cs="Book Antiqua"/>
          <w:color w:val="000000"/>
        </w:rPr>
        <w:t xml:space="preserve"> at the same injection rate. In total, 18</w:t>
      </w:r>
      <w:r w:rsidR="00753690">
        <w:rPr>
          <w:rFonts w:ascii="Book Antiqua" w:eastAsia="Book Antiqua" w:hAnsi="Book Antiqua" w:cs="Book Antiqua"/>
          <w:color w:val="000000"/>
        </w:rPr>
        <w:t>-</w:t>
      </w:r>
      <w:r w:rsidRPr="00BC6A1C">
        <w:rPr>
          <w:rFonts w:ascii="Book Antiqua" w:eastAsia="Book Antiqua" w:hAnsi="Book Antiqua" w:cs="Book Antiqua"/>
          <w:color w:val="000000"/>
        </w:rPr>
        <w:t>21 dynamic sequence acquisitions with 30 dynamic images per sequence were performed with total scanning time ranging from 3 min and 11 s to 5 min</w:t>
      </w:r>
      <w:r w:rsidR="00A4223F"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and 24 s. The location, morphology</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internal structure of the tumor were evaluated </w:t>
      </w:r>
      <w:r w:rsidR="00753690">
        <w:rPr>
          <w:rFonts w:ascii="Book Antiqua" w:eastAsia="Book Antiqua" w:hAnsi="Book Antiqua" w:cs="Book Antiqua"/>
          <w:color w:val="000000"/>
        </w:rPr>
        <w:t>by</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conventional MRI (</w:t>
      </w:r>
      <w:r w:rsidR="008B5DD6" w:rsidRPr="008B5DD6">
        <w:rPr>
          <w:rFonts w:ascii="Book Antiqua" w:eastAsia="Book Antiqua" w:hAnsi="Book Antiqua" w:cs="Book Antiqua"/>
          <w:color w:val="000000"/>
        </w:rPr>
        <w:t>Figures 2A and B, 3A and B, 4A and B, 5A and B</w:t>
      </w:r>
      <w:r w:rsidRPr="00BC6A1C">
        <w:rPr>
          <w:rFonts w:ascii="Book Antiqua" w:eastAsia="Book Antiqua" w:hAnsi="Book Antiqua" w:cs="Book Antiqua"/>
          <w:color w:val="000000"/>
        </w:rPr>
        <w:t>).</w:t>
      </w:r>
    </w:p>
    <w:p w14:paraId="516E52A4" w14:textId="2785E36A" w:rsidR="00296CDE"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 xml:space="preserve">DWI was performed using a multislice echo-planar single-shot spin-echo sequence, on the axial plane </w:t>
      </w:r>
      <w:r w:rsidR="002527A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TR/TE = 5476 ms/95.4 ms, </w:t>
      </w:r>
      <w:r w:rsidR="006E4220">
        <w:rPr>
          <w:rFonts w:ascii="Book Antiqua" w:eastAsia="Book Antiqua" w:hAnsi="Book Antiqua" w:cs="Book Antiqua"/>
          <w:color w:val="000000"/>
        </w:rPr>
        <w:t>f</w:t>
      </w:r>
      <w:r w:rsidR="006E4220" w:rsidRPr="00BC6A1C">
        <w:rPr>
          <w:rFonts w:ascii="Book Antiqua" w:eastAsia="Book Antiqua" w:hAnsi="Book Antiqua" w:cs="Book Antiqua"/>
          <w:color w:val="000000"/>
        </w:rPr>
        <w:t xml:space="preserve">ield </w:t>
      </w:r>
      <w:r w:rsidR="00CC4059" w:rsidRPr="00BC6A1C">
        <w:rPr>
          <w:rFonts w:ascii="Book Antiqua" w:eastAsia="Book Antiqua" w:hAnsi="Book Antiqua" w:cs="Book Antiqua"/>
          <w:color w:val="000000"/>
        </w:rPr>
        <w:t xml:space="preserve">of </w:t>
      </w:r>
      <w:r w:rsidR="006E4220">
        <w:rPr>
          <w:rFonts w:ascii="Book Antiqua" w:eastAsia="Book Antiqua" w:hAnsi="Book Antiqua" w:cs="Book Antiqua"/>
          <w:color w:val="000000"/>
        </w:rPr>
        <w:t>v</w:t>
      </w:r>
      <w:r w:rsidR="006E4220" w:rsidRPr="00BC6A1C">
        <w:rPr>
          <w:rFonts w:ascii="Book Antiqua" w:eastAsia="Book Antiqua" w:hAnsi="Book Antiqua" w:cs="Book Antiqua"/>
          <w:color w:val="000000"/>
        </w:rPr>
        <w:t xml:space="preserve">iew </w:t>
      </w:r>
      <w:r w:rsidRPr="00BC6A1C">
        <w:rPr>
          <w:rFonts w:ascii="Book Antiqua" w:eastAsia="Book Antiqua" w:hAnsi="Book Antiqua" w:cs="Book Antiqua"/>
          <w:color w:val="000000"/>
        </w:rPr>
        <w:t>= 26 cm, matrix = 96 × 128, section thickness = 4-5 mm</w:t>
      </w:r>
      <w:r w:rsidR="006E4220">
        <w:rPr>
          <w:rFonts w:ascii="Book Antiqua" w:eastAsia="Book Antiqua" w:hAnsi="Book Antiqua" w:cs="Book Antiqua"/>
          <w:color w:val="000000"/>
        </w:rPr>
        <w:t>,</w:t>
      </w:r>
      <w:r w:rsidRPr="00BC6A1C">
        <w:rPr>
          <w:rFonts w:ascii="Book Antiqua" w:eastAsia="Book Antiqua" w:hAnsi="Book Antiqua" w:cs="Book Antiqua"/>
          <w:color w:val="000000"/>
        </w:rPr>
        <w:t xml:space="preserve"> and interslice gap = 4 mm</w:t>
      </w:r>
      <w:r w:rsidR="002527A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Three diffusion gradients were applied sequentially in the x, y, and z directions with </w:t>
      </w:r>
      <w:r w:rsidRPr="0034339F">
        <w:rPr>
          <w:rFonts w:ascii="Book Antiqua" w:eastAsia="Book Antiqua" w:hAnsi="Book Antiqua" w:cs="Book Antiqua"/>
          <w:i/>
          <w:color w:val="000000"/>
        </w:rPr>
        <w:t>b</w:t>
      </w:r>
      <w:r w:rsidRPr="00BC6A1C">
        <w:rPr>
          <w:rFonts w:ascii="Book Antiqua" w:eastAsia="Book Antiqua" w:hAnsi="Book Antiqua" w:cs="Book Antiqua"/>
          <w:color w:val="000000"/>
        </w:rPr>
        <w:t xml:space="preserve"> values of 0 and 1000 s/mm</w:t>
      </w:r>
      <w:r w:rsidRPr="00BC6A1C">
        <w:rPr>
          <w:rFonts w:ascii="Book Antiqua" w:eastAsia="Book Antiqua" w:hAnsi="Book Antiqua" w:cs="Book Antiqua"/>
          <w:color w:val="000000"/>
          <w:vertAlign w:val="superscript"/>
        </w:rPr>
        <w:t xml:space="preserve">2 </w:t>
      </w:r>
      <w:r w:rsidRPr="00BC6A1C">
        <w:rPr>
          <w:rFonts w:ascii="Book Antiqua" w:eastAsia="Book Antiqua" w:hAnsi="Book Antiqua" w:cs="Book Antiqua"/>
          <w:color w:val="000000"/>
        </w:rPr>
        <w:t>(Figure 2B). The acquisition time varied from 60</w:t>
      </w:r>
      <w:r w:rsidR="00296CDE" w:rsidRPr="00BC6A1C">
        <w:rPr>
          <w:rFonts w:ascii="Book Antiqua" w:eastAsia="Book Antiqua" w:hAnsi="Book Antiqua" w:cs="Book Antiqua"/>
          <w:color w:val="000000"/>
        </w:rPr>
        <w:t xml:space="preserve"> s</w:t>
      </w:r>
      <w:r w:rsidRPr="00BC6A1C">
        <w:rPr>
          <w:rFonts w:ascii="Book Antiqua" w:eastAsia="Book Antiqua" w:hAnsi="Book Antiqua" w:cs="Book Antiqua"/>
          <w:color w:val="000000"/>
        </w:rPr>
        <w:t xml:space="preserve"> to 120 s. The apparent diffusion coefficient (ADC) maps were generated automatically.</w:t>
      </w:r>
    </w:p>
    <w:p w14:paraId="1065400A" w14:textId="59C12B22" w:rsidR="00A77B3E" w:rsidRPr="00BC6A1C" w:rsidRDefault="004563E1" w:rsidP="00BC6A1C">
      <w:pPr>
        <w:spacing w:line="360" w:lineRule="auto"/>
        <w:ind w:firstLineChars="100" w:firstLine="240"/>
        <w:jc w:val="both"/>
        <w:rPr>
          <w:rFonts w:ascii="Book Antiqua" w:hAnsi="Book Antiqua"/>
        </w:rPr>
      </w:pPr>
      <w:r w:rsidRPr="00BC6A1C">
        <w:rPr>
          <w:rFonts w:ascii="Book Antiqua" w:eastAsia="Book Antiqua" w:hAnsi="Book Antiqua" w:cs="Book Antiqua"/>
          <w:color w:val="000000"/>
        </w:rPr>
        <w:t xml:space="preserve">"GE Advantage Windows Workstation 4.7" was used to determine ADC values </w:t>
      </w:r>
      <w:r w:rsidR="001423F7" w:rsidRPr="00BC6A1C">
        <w:rPr>
          <w:rFonts w:ascii="Book Antiqua" w:eastAsia="Book Antiqua" w:hAnsi="Book Antiqua" w:cs="Book Antiqua"/>
          <w:color w:val="000000"/>
        </w:rPr>
        <w:t>o</w:t>
      </w:r>
      <w:r w:rsidRPr="00BC6A1C">
        <w:rPr>
          <w:rFonts w:ascii="Book Antiqua" w:eastAsia="Book Antiqua" w:hAnsi="Book Antiqua" w:cs="Book Antiqua"/>
          <w:color w:val="000000"/>
        </w:rPr>
        <w:t>n diffusion MRI and to perform measurements in semiquantitative and quantitative perfusion MRI. Image analysis and region of interest (ROI) measurements were carried out on a consensus basis by two neuroradiologists (</w:t>
      </w:r>
      <w:r w:rsidR="00B3617C" w:rsidRPr="00BC6A1C">
        <w:rPr>
          <w:rFonts w:ascii="Book Antiqua" w:eastAsia="Book Antiqua" w:hAnsi="Book Antiqua" w:cs="Book Antiqua"/>
          <w:color w:val="000000"/>
        </w:rPr>
        <w:t>Erkan Gökçe</w:t>
      </w:r>
      <w:r w:rsidRPr="00BC6A1C">
        <w:rPr>
          <w:rFonts w:ascii="Book Antiqua" w:eastAsia="Book Antiqua" w:hAnsi="Book Antiqua" w:cs="Book Antiqua"/>
          <w:color w:val="000000"/>
        </w:rPr>
        <w:t xml:space="preserve"> and </w:t>
      </w:r>
      <w:r w:rsidR="00B3617C" w:rsidRPr="00BC6A1C">
        <w:rPr>
          <w:rFonts w:ascii="Book Antiqua" w:eastAsia="Book Antiqua" w:hAnsi="Book Antiqua" w:cs="Book Antiqua"/>
          <w:color w:val="000000"/>
        </w:rPr>
        <w:t>Murat Beyhan</w:t>
      </w:r>
      <w:r w:rsidRPr="00BC6A1C">
        <w:rPr>
          <w:rFonts w:ascii="Book Antiqua" w:eastAsia="Book Antiqua" w:hAnsi="Book Antiqua" w:cs="Book Antiqua"/>
          <w:color w:val="000000"/>
        </w:rPr>
        <w:t xml:space="preserve"> with more than 12 and 7 years of work experience, respectively) who were not aware of </w:t>
      </w:r>
      <w:r w:rsidR="0010099D">
        <w:rPr>
          <w:rFonts w:ascii="Book Antiqua" w:eastAsia="Book Antiqua" w:hAnsi="Book Antiqua" w:cs="Book Antiqua"/>
          <w:color w:val="000000"/>
        </w:rPr>
        <w:t xml:space="preserve">the </w:t>
      </w:r>
      <w:r w:rsidRPr="00BC6A1C">
        <w:rPr>
          <w:rFonts w:ascii="Book Antiqua" w:eastAsia="Book Antiqua" w:hAnsi="Book Antiqua" w:cs="Book Antiqua"/>
          <w:color w:val="000000"/>
        </w:rPr>
        <w:t>clinical status of the patients. On ADC value measurements, cystic components of the tumors were not considered, the ROI was manually placed through the widest axial section of the tumor, and the ADC value was determined as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/s (</w:t>
      </w:r>
      <w:r w:rsidR="008B5DD6" w:rsidRPr="008B5DD6">
        <w:rPr>
          <w:rFonts w:ascii="Book Antiqua" w:eastAsia="Book Antiqua" w:hAnsi="Book Antiqua" w:cs="Book Antiqua"/>
          <w:color w:val="000000"/>
        </w:rPr>
        <w:t xml:space="preserve">Figures 2C, 3C, 4C </w:t>
      </w:r>
      <w:r w:rsidR="008B5DD6" w:rsidRPr="008B5DD6">
        <w:rPr>
          <w:rFonts w:ascii="Book Antiqua" w:eastAsia="Book Antiqua" w:hAnsi="Book Antiqua" w:cs="Book Antiqua"/>
          <w:color w:val="000000"/>
        </w:rPr>
        <w:lastRenderedPageBreak/>
        <w:t>and 5C</w:t>
      </w:r>
      <w:r w:rsidRPr="00BC6A1C">
        <w:rPr>
          <w:rFonts w:ascii="Book Antiqua" w:eastAsia="Book Antiqua" w:hAnsi="Book Antiqua" w:cs="Book Antiqua"/>
          <w:color w:val="000000"/>
        </w:rPr>
        <w:t>). Semiquantitative analysis of DCE MRI was based on TIC (Figures 2D</w:t>
      </w:r>
      <w:r w:rsidR="00296CDE" w:rsidRPr="00BC6A1C">
        <w:rPr>
          <w:rFonts w:ascii="Book Antiqua" w:eastAsia="Book Antiqua" w:hAnsi="Book Antiqua" w:cs="Book Antiqua"/>
          <w:color w:val="000000"/>
        </w:rPr>
        <w:t xml:space="preserve"> and</w:t>
      </w:r>
      <w:r w:rsidR="006E4220">
        <w:rPr>
          <w:rFonts w:ascii="Book Antiqua" w:eastAsia="Book Antiqua" w:hAnsi="Book Antiqua" w:cs="Book Antiqua"/>
          <w:color w:val="000000"/>
        </w:rPr>
        <w:t xml:space="preserve"> </w:t>
      </w:r>
      <w:r w:rsidRPr="00BC6A1C">
        <w:rPr>
          <w:rFonts w:ascii="Book Antiqua" w:eastAsia="Book Antiqua" w:hAnsi="Book Antiqua" w:cs="Book Antiqua"/>
          <w:color w:val="000000"/>
        </w:rPr>
        <w:t>E</w:t>
      </w:r>
      <w:r w:rsidR="008B5DD6">
        <w:rPr>
          <w:rFonts w:ascii="Book Antiqua" w:eastAsia="Book Antiqua" w:hAnsi="Book Antiqua" w:cs="Book Antiqua"/>
          <w:color w:val="000000"/>
        </w:rPr>
        <w:t>, 3D and E, 4D and E, 5D and E</w:t>
      </w:r>
      <w:r w:rsidRPr="00BC6A1C">
        <w:rPr>
          <w:rFonts w:ascii="Book Antiqua" w:eastAsia="Book Antiqua" w:hAnsi="Book Antiqua" w:cs="Book Antiqua"/>
          <w:color w:val="000000"/>
        </w:rPr>
        <w:t>).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was measured as the time from the point where the lesion began to </w:t>
      </w:r>
      <w:r w:rsidR="0010099D">
        <w:rPr>
          <w:rFonts w:ascii="Book Antiqua" w:eastAsia="Book Antiqua" w:hAnsi="Book Antiqua" w:cs="Book Antiqua"/>
          <w:color w:val="000000"/>
        </w:rPr>
        <w:t xml:space="preserve">show </w:t>
      </w:r>
      <w:r w:rsidRPr="00BC6A1C">
        <w:rPr>
          <w:rFonts w:ascii="Book Antiqua" w:eastAsia="Book Antiqua" w:hAnsi="Book Antiqua" w:cs="Book Antiqua"/>
          <w:color w:val="000000"/>
        </w:rPr>
        <w:t>contrast enhancement to the point with the highest level of contrast enhancement. TICs</w:t>
      </w:r>
      <w:r w:rsidR="00296CDE"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were evaluated in four different categories based on Yabuuchi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[10]</w:t>
      </w:r>
      <w:r w:rsidRPr="00BC6A1C">
        <w:rPr>
          <w:rFonts w:ascii="Book Antiqua" w:eastAsia="Book Antiqua" w:hAnsi="Book Antiqua" w:cs="Book Antiqua"/>
          <w:color w:val="000000"/>
        </w:rPr>
        <w:t xml:space="preserve">: </w:t>
      </w:r>
      <w:r w:rsidR="00296CDE" w:rsidRPr="00BC6A1C">
        <w:rPr>
          <w:rFonts w:ascii="Book Antiqua" w:eastAsia="Book Antiqua" w:hAnsi="Book Antiqua" w:cs="Book Antiqua"/>
          <w:color w:val="000000"/>
        </w:rPr>
        <w:t>T</w:t>
      </w:r>
      <w:r w:rsidRPr="00BC6A1C">
        <w:rPr>
          <w:rFonts w:ascii="Book Antiqua" w:eastAsia="Book Antiqua" w:hAnsi="Book Antiqua" w:cs="Book Antiqua"/>
          <w:color w:val="000000"/>
        </w:rPr>
        <w:t>ype A</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&gt; 120 s; type B</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 120 s, WR ≥</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30%; type C</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120 s, WR &lt; 30%; and type D</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flat TIC. To confirm the accuracy of TIC and perfusion biomarker analyses, ROIs were drawn in a way to avoid the vascular and cystic parts of the tumors. Quantitative perfusion DCE MRI parameters were measured using the Tofts kinetic</w:t>
      </w:r>
      <w:r w:rsidR="00FB0938"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model</w:t>
      </w:r>
      <w:r w:rsidRPr="00BC6A1C">
        <w:rPr>
          <w:rFonts w:ascii="Book Antiqua" w:eastAsia="Book Antiqua" w:hAnsi="Book Antiqua" w:cs="Book Antiqua"/>
          <w:color w:val="000000"/>
          <w:vertAlign w:val="superscript"/>
        </w:rPr>
        <w:t>[16]</w:t>
      </w:r>
      <w:r w:rsidRPr="00BC6A1C">
        <w:rPr>
          <w:rFonts w:ascii="Book Antiqua" w:eastAsia="Book Antiqua" w:hAnsi="Book Antiqua" w:cs="Book Antiqua"/>
          <w:color w:val="000000"/>
        </w:rPr>
        <w:t>.</w:t>
      </w:r>
      <w:r w:rsidR="00FB0938"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For quantitative perfusion MRI analysis, </w:t>
      </w:r>
      <w:r w:rsidR="0010099D">
        <w:rPr>
          <w:rFonts w:ascii="Book Antiqua" w:eastAsia="Book Antiqua" w:hAnsi="Book Antiqua" w:cs="Book Antiqua"/>
          <w:color w:val="000000"/>
        </w:rPr>
        <w:t xml:space="preserve">a </w:t>
      </w:r>
      <w:r w:rsidRPr="00BC6A1C">
        <w:rPr>
          <w:rFonts w:ascii="Book Antiqua" w:eastAsia="Book Antiqua" w:hAnsi="Book Antiqua" w:cs="Book Antiqua"/>
          <w:color w:val="000000"/>
        </w:rPr>
        <w:t xml:space="preserve">3D ROI was placed in the largest solid component of </w:t>
      </w:r>
      <w:r w:rsidR="0010099D">
        <w:rPr>
          <w:rFonts w:ascii="Book Antiqua" w:eastAsia="Book Antiqua" w:hAnsi="Book Antiqua" w:cs="Book Antiqua"/>
          <w:color w:val="000000"/>
        </w:rPr>
        <w:t xml:space="preserve">the </w:t>
      </w:r>
      <w:r w:rsidRPr="00BC6A1C">
        <w:rPr>
          <w:rFonts w:ascii="Book Antiqua" w:eastAsia="Book Antiqua" w:hAnsi="Book Antiqua" w:cs="Book Antiqua"/>
          <w:color w:val="000000"/>
        </w:rPr>
        <w:t>tumor, and the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were generated automatically (Figures 2F</w:t>
      </w:r>
      <w:r w:rsidR="008B5DD6">
        <w:rPr>
          <w:rFonts w:ascii="Book Antiqua" w:eastAsia="Book Antiqua" w:hAnsi="Book Antiqua" w:cs="Book Antiqua"/>
          <w:color w:val="000000"/>
        </w:rPr>
        <w:t>-</w:t>
      </w:r>
      <w:r w:rsidRPr="00BC6A1C">
        <w:rPr>
          <w:rFonts w:ascii="Book Antiqua" w:eastAsia="Book Antiqua" w:hAnsi="Book Antiqua" w:cs="Book Antiqua"/>
          <w:color w:val="000000"/>
        </w:rPr>
        <w:t>H</w:t>
      </w:r>
      <w:r w:rsidR="008B5DD6">
        <w:rPr>
          <w:rFonts w:ascii="Book Antiqua" w:eastAsia="Book Antiqua" w:hAnsi="Book Antiqua" w:cs="Book Antiqua"/>
          <w:color w:val="000000"/>
        </w:rPr>
        <w:t>, 3</w:t>
      </w:r>
      <w:r w:rsidR="008B5DD6" w:rsidRPr="00BC6A1C">
        <w:rPr>
          <w:rFonts w:ascii="Book Antiqua" w:eastAsia="Book Antiqua" w:hAnsi="Book Antiqua" w:cs="Book Antiqua"/>
          <w:color w:val="000000"/>
        </w:rPr>
        <w:t>F</w:t>
      </w:r>
      <w:r w:rsidR="008B5DD6">
        <w:rPr>
          <w:rFonts w:ascii="Book Antiqua" w:eastAsia="Book Antiqua" w:hAnsi="Book Antiqua" w:cs="Book Antiqua"/>
          <w:color w:val="000000"/>
        </w:rPr>
        <w:t>-</w:t>
      </w:r>
      <w:r w:rsidR="008B5DD6" w:rsidRPr="00BC6A1C">
        <w:rPr>
          <w:rFonts w:ascii="Book Antiqua" w:eastAsia="Book Antiqua" w:hAnsi="Book Antiqua" w:cs="Book Antiqua"/>
          <w:color w:val="000000"/>
        </w:rPr>
        <w:t>H</w:t>
      </w:r>
      <w:r w:rsidR="008B5DD6">
        <w:rPr>
          <w:rFonts w:ascii="Book Antiqua" w:eastAsia="Book Antiqua" w:hAnsi="Book Antiqua" w:cs="Book Antiqua"/>
          <w:color w:val="000000"/>
        </w:rPr>
        <w:t>, 4</w:t>
      </w:r>
      <w:r w:rsidR="008B5DD6" w:rsidRPr="00BC6A1C">
        <w:rPr>
          <w:rFonts w:ascii="Book Antiqua" w:eastAsia="Book Antiqua" w:hAnsi="Book Antiqua" w:cs="Book Antiqua"/>
          <w:color w:val="000000"/>
        </w:rPr>
        <w:t>F</w:t>
      </w:r>
      <w:r w:rsidR="008B5DD6">
        <w:rPr>
          <w:rFonts w:ascii="Book Antiqua" w:eastAsia="Book Antiqua" w:hAnsi="Book Antiqua" w:cs="Book Antiqua"/>
          <w:color w:val="000000"/>
        </w:rPr>
        <w:t>-</w:t>
      </w:r>
      <w:r w:rsidR="008B5DD6" w:rsidRPr="00BC6A1C">
        <w:rPr>
          <w:rFonts w:ascii="Book Antiqua" w:eastAsia="Book Antiqua" w:hAnsi="Book Antiqua" w:cs="Book Antiqua"/>
          <w:color w:val="000000"/>
        </w:rPr>
        <w:t>H</w:t>
      </w:r>
      <w:r w:rsidR="00CA6C72">
        <w:rPr>
          <w:rFonts w:ascii="Book Antiqua" w:eastAsia="Book Antiqua" w:hAnsi="Book Antiqua" w:cs="Book Antiqua"/>
          <w:color w:val="000000"/>
        </w:rPr>
        <w:t xml:space="preserve">, </w:t>
      </w:r>
      <w:r w:rsidR="008B5DD6">
        <w:rPr>
          <w:rFonts w:ascii="Book Antiqua" w:eastAsia="Book Antiqua" w:hAnsi="Book Antiqua" w:cs="Book Antiqua"/>
          <w:color w:val="000000"/>
        </w:rPr>
        <w:t>5</w:t>
      </w:r>
      <w:r w:rsidR="008B5DD6" w:rsidRPr="00BC6A1C">
        <w:rPr>
          <w:rFonts w:ascii="Book Antiqua" w:eastAsia="Book Antiqua" w:hAnsi="Book Antiqua" w:cs="Book Antiqua"/>
          <w:color w:val="000000"/>
        </w:rPr>
        <w:t>F</w:t>
      </w:r>
      <w:r w:rsidR="008B5DD6">
        <w:rPr>
          <w:rFonts w:ascii="Book Antiqua" w:eastAsia="Book Antiqua" w:hAnsi="Book Antiqua" w:cs="Book Antiqua"/>
          <w:color w:val="000000"/>
        </w:rPr>
        <w:t>-</w:t>
      </w:r>
      <w:r w:rsidR="008B5DD6" w:rsidRPr="00BC6A1C">
        <w:rPr>
          <w:rFonts w:ascii="Book Antiqua" w:eastAsia="Book Antiqua" w:hAnsi="Book Antiqua" w:cs="Book Antiqua"/>
          <w:color w:val="000000"/>
        </w:rPr>
        <w:t>H</w:t>
      </w:r>
      <w:r w:rsidRPr="00BC6A1C">
        <w:rPr>
          <w:rFonts w:ascii="Book Antiqua" w:eastAsia="Book Antiqua" w:hAnsi="Book Antiqua" w:cs="Book Antiqua"/>
          <w:color w:val="000000"/>
        </w:rPr>
        <w:t>).</w:t>
      </w:r>
    </w:p>
    <w:p w14:paraId="175666AC" w14:textId="77777777" w:rsidR="00A77B3E" w:rsidRPr="00BC6A1C" w:rsidRDefault="00A77B3E" w:rsidP="00BC6A1C">
      <w:pPr>
        <w:spacing w:line="360" w:lineRule="auto"/>
        <w:jc w:val="both"/>
        <w:rPr>
          <w:rFonts w:ascii="Book Antiqua" w:hAnsi="Book Antiqua"/>
        </w:rPr>
      </w:pPr>
    </w:p>
    <w:p w14:paraId="68ADA04F" w14:textId="677710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i/>
          <w:iCs/>
          <w:color w:val="000000"/>
        </w:rPr>
        <w:t xml:space="preserve">Statistical </w:t>
      </w:r>
      <w:r w:rsidR="006E4220" w:rsidRPr="00BC6A1C">
        <w:rPr>
          <w:rFonts w:ascii="Book Antiqua" w:eastAsia="Book Antiqua" w:hAnsi="Book Antiqua" w:cs="Book Antiqua"/>
          <w:b/>
          <w:bCs/>
          <w:i/>
          <w:iCs/>
          <w:color w:val="000000"/>
        </w:rPr>
        <w:t>analys</w:t>
      </w:r>
      <w:r w:rsidR="006E4220">
        <w:rPr>
          <w:rFonts w:ascii="Book Antiqua" w:eastAsia="Book Antiqua" w:hAnsi="Book Antiqua" w:cs="Book Antiqua"/>
          <w:b/>
          <w:bCs/>
          <w:i/>
          <w:iCs/>
          <w:color w:val="000000"/>
        </w:rPr>
        <w:t>i</w:t>
      </w:r>
      <w:r w:rsidR="006E4220" w:rsidRPr="00BC6A1C">
        <w:rPr>
          <w:rFonts w:ascii="Book Antiqua" w:eastAsia="Book Antiqua" w:hAnsi="Book Antiqua" w:cs="Book Antiqua"/>
          <w:b/>
          <w:bCs/>
          <w:i/>
          <w:iCs/>
          <w:color w:val="000000"/>
        </w:rPr>
        <w:t xml:space="preserve">s </w:t>
      </w:r>
    </w:p>
    <w:p w14:paraId="67EBF002" w14:textId="389FD368"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Statistical analyses were performed using SPSS 18.0 software (IBM, Chicago</w:t>
      </w:r>
      <w:r w:rsidR="0010099D">
        <w:rPr>
          <w:rFonts w:ascii="Book Antiqua" w:eastAsia="Book Antiqua" w:hAnsi="Book Antiqua" w:cs="Book Antiqua"/>
          <w:color w:val="000000"/>
        </w:rPr>
        <w:t>, IL, United States</w:t>
      </w:r>
      <w:r w:rsidRPr="00BC6A1C">
        <w:rPr>
          <w:rFonts w:ascii="Book Antiqua" w:eastAsia="Book Antiqua" w:hAnsi="Book Antiqua" w:cs="Book Antiqua"/>
          <w:color w:val="000000"/>
        </w:rPr>
        <w:t xml:space="preserve">) and MedCalc statistical software version 20.009 (MedCalc software bvba, Ostend, Belgium). For each parameter, the conformity of the groups to the normal distribution was evaluated </w:t>
      </w:r>
      <w:r w:rsidR="006E4220">
        <w:rPr>
          <w:rFonts w:ascii="Book Antiqua" w:eastAsia="Book Antiqua" w:hAnsi="Book Antiqua" w:cs="Book Antiqua"/>
          <w:color w:val="000000"/>
        </w:rPr>
        <w:t>by</w:t>
      </w:r>
      <w:r w:rsidR="006E422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the Shapiro-Wilk test</w:t>
      </w:r>
      <w:r w:rsidR="006E4220">
        <w:rPr>
          <w:rFonts w:ascii="Book Antiqua" w:eastAsia="Book Antiqua" w:hAnsi="Book Antiqua" w:cs="Book Antiqua"/>
          <w:color w:val="000000"/>
        </w:rPr>
        <w:t>,</w:t>
      </w:r>
      <w:r w:rsidRPr="00BC6A1C">
        <w:rPr>
          <w:rFonts w:ascii="Book Antiqua" w:eastAsia="Book Antiqua" w:hAnsi="Book Antiqua" w:cs="Book Antiqua"/>
          <w:color w:val="000000"/>
        </w:rPr>
        <w:t xml:space="preserve"> and the Levene test was used to evaluate the homogeneity of variances. Data </w:t>
      </w:r>
      <w:r w:rsidR="006E4220">
        <w:rPr>
          <w:rFonts w:ascii="Book Antiqua" w:eastAsia="Book Antiqua" w:hAnsi="Book Antiqua" w:cs="Book Antiqua"/>
          <w:color w:val="000000"/>
        </w:rPr>
        <w:t>are</w:t>
      </w:r>
      <w:r w:rsidR="006E422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expressed as </w:t>
      </w:r>
      <w:r w:rsidR="006E422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mean ± standard deviation or frequency and percent. One-way </w:t>
      </w:r>
      <w:r w:rsidR="00180F9E" w:rsidRPr="00BC6A1C">
        <w:rPr>
          <w:rFonts w:ascii="Book Antiqua" w:eastAsia="Book Antiqua" w:hAnsi="Book Antiqua" w:cs="Book Antiqua"/>
          <w:color w:val="000000"/>
        </w:rPr>
        <w:t>A</w:t>
      </w:r>
      <w:r w:rsidR="0010099D">
        <w:rPr>
          <w:rFonts w:ascii="Book Antiqua" w:eastAsia="Book Antiqua" w:hAnsi="Book Antiqua" w:cs="Book Antiqua"/>
          <w:color w:val="000000"/>
        </w:rPr>
        <w:t>NOVA</w:t>
      </w:r>
      <w:r w:rsidRPr="00BC6A1C">
        <w:rPr>
          <w:rFonts w:ascii="Book Antiqua" w:eastAsia="Book Antiqua" w:hAnsi="Book Antiqua" w:cs="Book Antiqua"/>
          <w:color w:val="000000"/>
        </w:rPr>
        <w:t xml:space="preserve"> was used for the groups with </w:t>
      </w:r>
      <w:r w:rsidR="006E4220">
        <w:rPr>
          <w:rFonts w:ascii="Book Antiqua" w:eastAsia="Book Antiqua" w:hAnsi="Book Antiqua" w:cs="Book Antiqua"/>
          <w:color w:val="000000"/>
        </w:rPr>
        <w:t xml:space="preserve">a </w:t>
      </w:r>
      <w:r w:rsidRPr="00BC6A1C">
        <w:rPr>
          <w:rFonts w:ascii="Book Antiqua" w:eastAsia="Book Antiqua" w:hAnsi="Book Antiqua" w:cs="Book Antiqua"/>
          <w:color w:val="000000"/>
        </w:rPr>
        <w:t xml:space="preserve">normal distribution </w:t>
      </w:r>
      <w:r w:rsidR="0010099D">
        <w:rPr>
          <w:rFonts w:ascii="Book Antiqua" w:eastAsia="Book Antiqua" w:hAnsi="Book Antiqua" w:cs="Book Antiqua"/>
          <w:color w:val="000000"/>
        </w:rPr>
        <w:t>for</w:t>
      </w:r>
      <w:r w:rsidRPr="00BC6A1C">
        <w:rPr>
          <w:rFonts w:ascii="Book Antiqua" w:eastAsia="Book Antiqua" w:hAnsi="Book Antiqua" w:cs="Book Antiqua"/>
          <w:color w:val="000000"/>
        </w:rPr>
        <w:t xml:space="preserve"> comparison of the groups, and Bonferroni correction was applied in multiple comparisons. The Kruskal-Wallis test was used to compare the groups that did not fit the normal distribution, and Bonferroni correction was applied in multiple comparisons. </w:t>
      </w:r>
      <w:r w:rsidR="0010099D">
        <w:rPr>
          <w:rFonts w:ascii="Book Antiqua" w:eastAsia="Book Antiqua" w:hAnsi="Book Antiqua" w:cs="Book Antiqua"/>
          <w:color w:val="000000"/>
        </w:rPr>
        <w:t xml:space="preserve">The </w:t>
      </w:r>
      <w:r w:rsidR="006E4220">
        <w:rPr>
          <w:rFonts w:ascii="Book Antiqua" w:eastAsia="Book Antiqua" w:hAnsi="Book Antiqua" w:cs="Book Antiqua"/>
          <w:color w:val="000000"/>
        </w:rPr>
        <w:t>a</w:t>
      </w:r>
      <w:r w:rsidR="006E4220" w:rsidRPr="00BC6A1C">
        <w:rPr>
          <w:rFonts w:ascii="Book Antiqua" w:eastAsia="Book Antiqua" w:hAnsi="Book Antiqua" w:cs="Book Antiqua"/>
          <w:color w:val="000000"/>
        </w:rPr>
        <w:t xml:space="preserve">rea </w:t>
      </w:r>
      <w:r w:rsidR="006E4220">
        <w:rPr>
          <w:rFonts w:ascii="Book Antiqua" w:eastAsia="Book Antiqua" w:hAnsi="Book Antiqua" w:cs="Book Antiqua"/>
          <w:color w:val="000000"/>
        </w:rPr>
        <w:t>u</w:t>
      </w:r>
      <w:r w:rsidR="006E4220" w:rsidRPr="00BC6A1C">
        <w:rPr>
          <w:rFonts w:ascii="Book Antiqua" w:eastAsia="Book Antiqua" w:hAnsi="Book Antiqua" w:cs="Book Antiqua"/>
          <w:color w:val="000000"/>
        </w:rPr>
        <w:t xml:space="preserve">nder </w:t>
      </w:r>
      <w:r w:rsidR="006E4220">
        <w:rPr>
          <w:rFonts w:ascii="Book Antiqua" w:eastAsia="Book Antiqua" w:hAnsi="Book Antiqua" w:cs="Book Antiqua"/>
          <w:color w:val="000000"/>
        </w:rPr>
        <w:t>c</w:t>
      </w:r>
      <w:r w:rsidR="006E4220" w:rsidRPr="00BC6A1C">
        <w:rPr>
          <w:rFonts w:ascii="Book Antiqua" w:eastAsia="Book Antiqua" w:hAnsi="Book Antiqua" w:cs="Book Antiqua"/>
          <w:color w:val="000000"/>
        </w:rPr>
        <w:t xml:space="preserve">urve </w:t>
      </w:r>
      <w:r w:rsidR="000B7014" w:rsidRPr="00BC6A1C">
        <w:rPr>
          <w:rFonts w:ascii="Book Antiqua" w:eastAsia="Book Antiqua" w:hAnsi="Book Antiqua" w:cs="Book Antiqua"/>
          <w:color w:val="000000"/>
        </w:rPr>
        <w:t>(AUC)</w:t>
      </w:r>
      <w:r w:rsidRPr="00BC6A1C">
        <w:rPr>
          <w:rFonts w:ascii="Book Antiqua" w:eastAsia="Book Antiqua" w:hAnsi="Book Antiqua" w:cs="Book Antiqua"/>
          <w:color w:val="000000"/>
        </w:rPr>
        <w:t>, sensitivity, specificity, positive predictive value</w:t>
      </w:r>
      <w:r w:rsidR="000B7014"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(PPV), negative predictive value (NPV), and cut-off values </w:t>
      </w:r>
      <w:r w:rsidRPr="00BC6A1C">
        <w:rPr>
          <w:rFonts w:eastAsia="Book Antiqua"/>
          <w:color w:val="000000"/>
        </w:rPr>
        <w:t>​​</w:t>
      </w:r>
      <w:r w:rsidRPr="00BC6A1C">
        <w:rPr>
          <w:rFonts w:ascii="Book Antiqua" w:eastAsia="Book Antiqua" w:hAnsi="Book Antiqua" w:cs="Book Antiqua"/>
          <w:color w:val="000000"/>
        </w:rPr>
        <w:t>of diagnostic parameters were calculated for each tumor group by performing receiver operating characteristic curve (ROC) analysis.</w:t>
      </w:r>
    </w:p>
    <w:p w14:paraId="6163597C" w14:textId="77777777" w:rsidR="00A77B3E" w:rsidRPr="00BC6A1C" w:rsidRDefault="00A77B3E" w:rsidP="00BC6A1C">
      <w:pPr>
        <w:spacing w:line="360" w:lineRule="auto"/>
        <w:jc w:val="both"/>
        <w:rPr>
          <w:rFonts w:ascii="Book Antiqua" w:hAnsi="Book Antiqua"/>
        </w:rPr>
      </w:pPr>
    </w:p>
    <w:p w14:paraId="3B6CE54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RESULTS</w:t>
      </w:r>
    </w:p>
    <w:p w14:paraId="5BA5B375" w14:textId="0A9ECCD2" w:rsidR="00A21713"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lastRenderedPageBreak/>
        <w:t>The age range of the 67 patients (40 male and 27 female) included in the study was 12-93 years (mean age</w:t>
      </w:r>
      <w:r w:rsidR="00A2171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56.9 ± 15.8</w:t>
      </w:r>
      <w:r w:rsidR="0010099D">
        <w:rPr>
          <w:rFonts w:ascii="Book Antiqua" w:eastAsia="Book Antiqua" w:hAnsi="Book Antiqua" w:cs="Book Antiqua"/>
          <w:color w:val="000000"/>
        </w:rPr>
        <w:t xml:space="preserve"> years</w:t>
      </w:r>
      <w:r w:rsidRPr="00BC6A1C">
        <w:rPr>
          <w:rFonts w:ascii="Book Antiqua" w:eastAsia="Book Antiqua" w:hAnsi="Book Antiqua" w:cs="Book Antiqua"/>
          <w:color w:val="000000"/>
        </w:rPr>
        <w:t xml:space="preserve">). One patient had three lesions in </w:t>
      </w:r>
      <w:r w:rsidR="00474C21">
        <w:rPr>
          <w:rFonts w:ascii="Book Antiqua" w:eastAsia="Book Antiqua" w:hAnsi="Book Antiqua" w:cs="Book Antiqua"/>
          <w:color w:val="000000"/>
        </w:rPr>
        <w:t xml:space="preserve">the </w:t>
      </w:r>
      <w:r w:rsidRPr="00BC6A1C">
        <w:rPr>
          <w:rFonts w:ascii="Book Antiqua" w:eastAsia="Book Antiqua" w:hAnsi="Book Antiqua" w:cs="Book Antiqua"/>
          <w:color w:val="000000"/>
        </w:rPr>
        <w:t>salivary glands, while four patients had two and the remaining 62</w:t>
      </w:r>
      <w:r w:rsidR="00474C21">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had one lesion. Thus, 73 </w:t>
      </w:r>
      <w:r w:rsidR="008A7877" w:rsidRPr="00BC6A1C">
        <w:rPr>
          <w:rFonts w:ascii="Book Antiqua" w:eastAsia="Book Antiqua" w:hAnsi="Book Antiqua" w:cs="Book Antiqua"/>
          <w:color w:val="000000"/>
        </w:rPr>
        <w:t>l</w:t>
      </w:r>
      <w:r w:rsidRPr="00BC6A1C">
        <w:rPr>
          <w:rFonts w:ascii="Book Antiqua" w:eastAsia="Book Antiqua" w:hAnsi="Book Antiqua" w:cs="Book Antiqua"/>
          <w:color w:val="000000"/>
        </w:rPr>
        <w:t xml:space="preserve">esions in 67 patients were evaluated. The majority of the lesions (86.3%) were located in </w:t>
      </w:r>
      <w:r w:rsidR="0010099D">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parotid glands, while a small </w:t>
      </w:r>
      <w:r w:rsidR="0010099D">
        <w:rPr>
          <w:rFonts w:ascii="Book Antiqua" w:eastAsia="Book Antiqua" w:hAnsi="Book Antiqua" w:cs="Book Antiqua"/>
          <w:color w:val="000000"/>
        </w:rPr>
        <w:t>number</w:t>
      </w:r>
      <w:r w:rsidRPr="00BC6A1C">
        <w:rPr>
          <w:rFonts w:ascii="Book Antiqua" w:eastAsia="Book Antiqua" w:hAnsi="Book Antiqua" w:cs="Book Antiqua"/>
          <w:color w:val="000000"/>
        </w:rPr>
        <w:t xml:space="preserve"> (4.1%) originated from minor salivary glands. </w:t>
      </w:r>
      <w:r w:rsidR="00474C21">
        <w:rPr>
          <w:rFonts w:ascii="Book Antiqua" w:eastAsia="Book Antiqua" w:hAnsi="Book Antiqua" w:cs="Book Antiqua"/>
          <w:color w:val="000000"/>
        </w:rPr>
        <w:t>The l</w:t>
      </w:r>
      <w:r w:rsidR="00474C21" w:rsidRPr="00BC6A1C">
        <w:rPr>
          <w:rFonts w:ascii="Book Antiqua" w:eastAsia="Book Antiqua" w:hAnsi="Book Antiqua" w:cs="Book Antiqua"/>
          <w:color w:val="000000"/>
        </w:rPr>
        <w:t>ocations</w:t>
      </w:r>
      <w:r w:rsidRPr="00BC6A1C">
        <w:rPr>
          <w:rFonts w:ascii="Book Antiqua" w:eastAsia="Book Antiqua" w:hAnsi="Book Antiqua" w:cs="Book Antiqua"/>
          <w:color w:val="000000"/>
        </w:rPr>
        <w:t>, numbers</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frequencies of SGTs are </w:t>
      </w:r>
      <w:r w:rsidR="0010099D">
        <w:rPr>
          <w:rFonts w:ascii="Book Antiqua" w:eastAsia="Book Antiqua" w:hAnsi="Book Antiqua" w:cs="Book Antiqua"/>
          <w:color w:val="000000"/>
        </w:rPr>
        <w:t>shown</w:t>
      </w:r>
      <w:r w:rsidRPr="00BC6A1C">
        <w:rPr>
          <w:rFonts w:ascii="Book Antiqua" w:eastAsia="Book Antiqua" w:hAnsi="Book Antiqua" w:cs="Book Antiqua"/>
          <w:color w:val="000000"/>
        </w:rPr>
        <w:t xml:space="preserve"> in Table 1. A</w:t>
      </w:r>
      <w:r w:rsidR="0010099D">
        <w:rPr>
          <w:rFonts w:ascii="Book Antiqua" w:eastAsia="Book Antiqua" w:hAnsi="Book Antiqua" w:cs="Book Antiqua"/>
          <w:color w:val="000000"/>
        </w:rPr>
        <w:t>pproximately</w:t>
      </w:r>
      <w:r w:rsidRPr="00BC6A1C">
        <w:rPr>
          <w:rFonts w:ascii="Book Antiqua" w:eastAsia="Book Antiqua" w:hAnsi="Book Antiqua" w:cs="Book Antiqua"/>
          <w:color w:val="000000"/>
        </w:rPr>
        <w:t xml:space="preserve"> two-thirds of the lesions (68.5%) were benign (Figures 2 and 3), and one-third (31.5%) was malignant (Figures 4 and 5). Warthin's tumors (WTs) (36.0%) were the most common </w:t>
      </w:r>
      <w:r w:rsidR="00C32D02" w:rsidRPr="00BC6A1C">
        <w:rPr>
          <w:rFonts w:ascii="Book Antiqua" w:eastAsia="Book Antiqua" w:hAnsi="Book Antiqua" w:cs="Book Antiqua"/>
          <w:color w:val="000000"/>
        </w:rPr>
        <w:t>BTs</w:t>
      </w:r>
      <w:r w:rsidRPr="00BC6A1C">
        <w:rPr>
          <w:rFonts w:ascii="Book Antiqua" w:eastAsia="Book Antiqua" w:hAnsi="Book Antiqua" w:cs="Book Antiqua"/>
          <w:color w:val="000000"/>
        </w:rPr>
        <w:t>, followed by pleomorphic adenomas (PMAs) (28.0%). Of the MTs, squamous cell cancer (47.8%), adenoid cystic cancers (13.0%)</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malignant lymphomas (13.0%) were </w:t>
      </w:r>
      <w:r w:rsidR="00474C21">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most common. </w:t>
      </w:r>
      <w:r w:rsidR="0010099D">
        <w:rPr>
          <w:rFonts w:ascii="Book Antiqua" w:eastAsia="Book Antiqua" w:hAnsi="Book Antiqua" w:cs="Book Antiqua"/>
          <w:color w:val="000000"/>
        </w:rPr>
        <w:t>The n</w:t>
      </w:r>
      <w:r w:rsidRPr="00BC6A1C">
        <w:rPr>
          <w:rFonts w:ascii="Book Antiqua" w:eastAsia="Book Antiqua" w:hAnsi="Book Antiqua" w:cs="Book Antiqua"/>
          <w:color w:val="000000"/>
        </w:rPr>
        <w:t xml:space="preserve">umbers of benign and malignant SGTs are </w:t>
      </w:r>
      <w:r w:rsidR="0010099D">
        <w:rPr>
          <w:rFonts w:ascii="Book Antiqua" w:eastAsia="Book Antiqua" w:hAnsi="Book Antiqua" w:cs="Book Antiqua"/>
          <w:color w:val="000000"/>
        </w:rPr>
        <w:t>provided</w:t>
      </w:r>
      <w:r w:rsidRPr="00BC6A1C">
        <w:rPr>
          <w:rFonts w:ascii="Book Antiqua" w:eastAsia="Book Antiqua" w:hAnsi="Book Antiqua" w:cs="Book Antiqua"/>
          <w:color w:val="000000"/>
        </w:rPr>
        <w:t xml:space="preserve"> in Table 2. The ADC values of PMAs were significantly higher than those of WTs, other benign tumors (OBTs)</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However, there was no significant difference </w:t>
      </w:r>
      <w:r w:rsidR="0010099D">
        <w:rPr>
          <w:rFonts w:ascii="Book Antiqua" w:eastAsia="Book Antiqua" w:hAnsi="Book Antiqua" w:cs="Book Antiqua"/>
          <w:color w:val="000000"/>
        </w:rPr>
        <w:t>in</w:t>
      </w:r>
      <w:r w:rsidRPr="00BC6A1C">
        <w:rPr>
          <w:rFonts w:ascii="Book Antiqua" w:eastAsia="Book Antiqua" w:hAnsi="Book Antiqua" w:cs="Book Antiqua"/>
          <w:color w:val="000000"/>
        </w:rPr>
        <w:t xml:space="preserve"> ADC values </w:t>
      </w:r>
      <w:r w:rsidR="0010099D">
        <w:rPr>
          <w:rFonts w:ascii="Book Antiqua" w:eastAsia="Book Antiqua" w:hAnsi="Book Antiqua" w:cs="Book Antiqua"/>
          <w:color w:val="000000"/>
        </w:rPr>
        <w:t>for</w:t>
      </w:r>
      <w:r w:rsidRPr="00BC6A1C">
        <w:rPr>
          <w:rFonts w:ascii="Book Antiqua" w:eastAsia="Book Antiqua" w:hAnsi="Book Antiqua" w:cs="Book Antiqua"/>
          <w:color w:val="000000"/>
        </w:rPr>
        <w:t xml:space="preserve"> OBTs, WTs</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Significant differences were not found for ADC values of all BTs and MTs. </w:t>
      </w:r>
      <w:r w:rsidR="00D256A8">
        <w:rPr>
          <w:rFonts w:ascii="Book Antiqua" w:eastAsia="Book Antiqua" w:hAnsi="Book Antiqua" w:cs="Book Antiqua"/>
          <w:color w:val="000000"/>
        </w:rPr>
        <w:t>The m</w:t>
      </w:r>
      <w:r w:rsidRPr="00BC6A1C">
        <w:rPr>
          <w:rFonts w:ascii="Book Antiqua" w:eastAsia="Book Antiqua" w:hAnsi="Book Antiqua" w:cs="Book Antiqua"/>
          <w:color w:val="000000"/>
        </w:rPr>
        <w:t xml:space="preserve">ean ADC values of SGTs are </w:t>
      </w:r>
      <w:r w:rsidR="00D256A8">
        <w:rPr>
          <w:rFonts w:ascii="Book Antiqua" w:eastAsia="Book Antiqua" w:hAnsi="Book Antiqua" w:cs="Book Antiqua"/>
          <w:color w:val="000000"/>
        </w:rPr>
        <w:t>shown</w:t>
      </w:r>
      <w:r w:rsidRPr="00BC6A1C">
        <w:rPr>
          <w:rFonts w:ascii="Book Antiqua" w:eastAsia="Book Antiqua" w:hAnsi="Book Antiqua" w:cs="Book Antiqua"/>
          <w:color w:val="000000"/>
        </w:rPr>
        <w:t xml:space="preserve"> in Table 3.</w:t>
      </w:r>
    </w:p>
    <w:p w14:paraId="7EE26C56" w14:textId="4AB1896D" w:rsidR="00AE1823"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An evaluation of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values of semiquantitative perfusion MRI parameters revealed that PMAs reached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significantly later (mean T</w:t>
      </w:r>
      <w:r w:rsidRPr="00BC6A1C">
        <w:rPr>
          <w:rFonts w:ascii="Book Antiqua" w:eastAsia="Book Antiqua" w:hAnsi="Book Antiqua" w:cs="Book Antiqua"/>
          <w:color w:val="000000"/>
          <w:vertAlign w:val="subscript"/>
        </w:rPr>
        <w:t>peak</w:t>
      </w:r>
      <w:r w:rsidR="00AE1823" w:rsidRPr="00BC6A1C">
        <w:rPr>
          <w:rFonts w:ascii="Book Antiqua" w:eastAsia="Book Antiqua" w:hAnsi="Book Antiqua" w:cs="Book Antiqua"/>
          <w:color w:val="000000"/>
          <w:vertAlign w:val="subscript"/>
        </w:rPr>
        <w:t xml:space="preserve"> </w:t>
      </w:r>
      <w:r w:rsidRPr="00BC6A1C">
        <w:rPr>
          <w:rFonts w:ascii="Book Antiqua" w:eastAsia="Book Antiqua" w:hAnsi="Book Antiqua" w:cs="Book Antiqua"/>
          <w:color w:val="000000"/>
        </w:rPr>
        <w:t>= 202.74 ± 21.48 s) than WTs, OBTs</w:t>
      </w:r>
      <w:r w:rsidR="00571122">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w:t>
      </w:r>
      <w:r w:rsidR="00571122">
        <w:rPr>
          <w:rFonts w:ascii="Book Antiqua" w:eastAsia="Book Antiqua" w:hAnsi="Book Antiqua" w:cs="Book Antiqua"/>
          <w:color w:val="000000"/>
        </w:rPr>
        <w:t xml:space="preserve"> </w:t>
      </w:r>
      <w:r w:rsidRPr="00BC6A1C">
        <w:rPr>
          <w:rFonts w:ascii="Book Antiqua" w:eastAsia="Book Antiqua" w:hAnsi="Book Antiqua" w:cs="Book Antiqua"/>
          <w:color w:val="000000"/>
        </w:rPr>
        <w:t>while the difference between OBTs and MTs for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values was not significant. WTs reached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significantly earlier than other tumors. W</w:t>
      </w:r>
      <w:r w:rsidR="00D256A8">
        <w:rPr>
          <w:rFonts w:ascii="Book Antiqua" w:eastAsia="Book Antiqua" w:hAnsi="Book Antiqua" w:cs="Book Antiqua"/>
          <w:color w:val="000000"/>
        </w:rPr>
        <w:t>ith regard</w:t>
      </w:r>
      <w:r w:rsidRPr="00BC6A1C">
        <w:rPr>
          <w:rFonts w:ascii="Book Antiqua" w:eastAsia="Book Antiqua" w:hAnsi="Book Antiqua" w:cs="Book Antiqua"/>
          <w:color w:val="000000"/>
        </w:rPr>
        <w:t xml:space="preserve"> to WR, no washout was observed in PMAs. WTs had the highest mean WR value (59% ± 11</w:t>
      </w:r>
      <w:r w:rsidR="00F372BF">
        <w:rPr>
          <w:rFonts w:ascii="Book Antiqua" w:eastAsia="Book Antiqua" w:hAnsi="Book Antiqua" w:cs="Book Antiqua"/>
          <w:color w:val="000000"/>
        </w:rPr>
        <w:t>%</w:t>
      </w:r>
      <w:r w:rsidRPr="00BC6A1C">
        <w:rPr>
          <w:rFonts w:ascii="Book Antiqua" w:eastAsia="Book Antiqua" w:hAnsi="Book Antiqua" w:cs="Book Antiqua"/>
          <w:color w:val="000000"/>
        </w:rPr>
        <w:t>), which was significantly different</w:t>
      </w:r>
      <w:r w:rsidR="00571122">
        <w:rPr>
          <w:rFonts w:ascii="Book Antiqua" w:eastAsia="Book Antiqua" w:hAnsi="Book Antiqua" w:cs="Book Antiqua"/>
          <w:color w:val="000000"/>
        </w:rPr>
        <w:t xml:space="preserve"> from</w:t>
      </w:r>
      <w:r w:rsidRPr="00BC6A1C">
        <w:rPr>
          <w:rFonts w:ascii="Book Antiqua" w:eastAsia="Book Antiqua" w:hAnsi="Book Antiqua" w:cs="Book Antiqua"/>
          <w:color w:val="000000"/>
        </w:rPr>
        <w:t xml:space="preserve"> the mean WR values of MTs and OBTs. PMAs had type A and WTs had type B TIC pattern, while the majority of MTs and OBTs (54.5</w:t>
      </w:r>
      <w:r w:rsidR="00AE182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45.5%, respectively) exhibited type C TIC pattern. Semiquantitative DCE MRI parameters of SGTs are </w:t>
      </w:r>
      <w:r w:rsidR="00D256A8">
        <w:rPr>
          <w:rFonts w:ascii="Book Antiqua" w:eastAsia="Book Antiqua" w:hAnsi="Book Antiqua" w:cs="Book Antiqua"/>
          <w:color w:val="000000"/>
        </w:rPr>
        <w:t>provided</w:t>
      </w:r>
      <w:r w:rsidRPr="00BC6A1C">
        <w:rPr>
          <w:rFonts w:ascii="Book Antiqua" w:eastAsia="Book Antiqua" w:hAnsi="Book Antiqua" w:cs="Book Antiqua"/>
          <w:color w:val="000000"/>
        </w:rPr>
        <w:t xml:space="preserve"> in Table 4.</w:t>
      </w:r>
    </w:p>
    <w:p w14:paraId="4F632178" w14:textId="279ECD86" w:rsidR="00AE1823"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For quantitative perfusion MRI parameters,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of PMAs, WTs, OBTs</w:t>
      </w:r>
      <w:r w:rsidR="00571122">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were not significantly different. </w:t>
      </w:r>
      <w:r w:rsidR="00D256A8">
        <w:rPr>
          <w:rFonts w:ascii="Book Antiqua" w:eastAsia="Book Antiqua" w:hAnsi="Book Antiqua" w:cs="Book Antiqua"/>
          <w:color w:val="000000"/>
        </w:rPr>
        <w:t xml:space="preserve">The </w:t>
      </w:r>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r w:rsidR="00AE182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value of WTs, on the other hand, was significantly higher than </w:t>
      </w:r>
      <w:r w:rsidR="00571122">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other tumors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For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 WTs and OBTs differed significantly from PMAs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An evaluation of all BTs and MTs </w:t>
      </w:r>
      <w:r w:rsidRPr="00BC6A1C">
        <w:rPr>
          <w:rFonts w:ascii="Book Antiqua" w:eastAsia="Book Antiqua" w:hAnsi="Book Antiqua" w:cs="Book Antiqua"/>
          <w:color w:val="000000"/>
        </w:rPr>
        <w:lastRenderedPageBreak/>
        <w:t>showed significant differences for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0.05) but not for K</w:t>
      </w:r>
      <w:r w:rsidRPr="00BC6A1C">
        <w:rPr>
          <w:rFonts w:ascii="Book Antiqua" w:eastAsia="Book Antiqua" w:hAnsi="Book Antiqua" w:cs="Book Antiqua"/>
          <w:color w:val="000000"/>
          <w:vertAlign w:val="subscript"/>
        </w:rPr>
        <w:t xml:space="preserve">trans </w:t>
      </w:r>
      <w:r w:rsidRPr="00BC6A1C">
        <w:rPr>
          <w:rFonts w:ascii="Book Antiqua" w:eastAsia="Book Antiqua" w:hAnsi="Book Antiqua" w:cs="Book Antiqua"/>
          <w:color w:val="000000"/>
        </w:rPr>
        <w:t xml:space="preserve">values. Quantitative DCE MRI parameters of SGTs are </w:t>
      </w:r>
      <w:r w:rsidR="00D256A8">
        <w:rPr>
          <w:rFonts w:ascii="Book Antiqua" w:eastAsia="Book Antiqua" w:hAnsi="Book Antiqua" w:cs="Book Antiqua"/>
          <w:color w:val="000000"/>
        </w:rPr>
        <w:t>shown</w:t>
      </w:r>
      <w:r w:rsidRPr="00BC6A1C">
        <w:rPr>
          <w:rFonts w:ascii="Book Antiqua" w:eastAsia="Book Antiqua" w:hAnsi="Book Antiqua" w:cs="Book Antiqua"/>
          <w:color w:val="000000"/>
        </w:rPr>
        <w:t xml:space="preserve"> in Table 3.</w:t>
      </w:r>
    </w:p>
    <w:p w14:paraId="2907C6BF" w14:textId="2450209D" w:rsidR="00A77B3E" w:rsidRPr="00BC6A1C" w:rsidRDefault="00D256A8" w:rsidP="00BC6A1C">
      <w:pPr>
        <w:spacing w:line="360" w:lineRule="auto"/>
        <w:ind w:firstLineChars="100" w:firstLine="240"/>
        <w:jc w:val="both"/>
        <w:rPr>
          <w:rFonts w:ascii="Book Antiqua" w:hAnsi="Book Antiqua"/>
        </w:rPr>
      </w:pPr>
      <w:r>
        <w:rPr>
          <w:rFonts w:ascii="Book Antiqua" w:eastAsia="Book Antiqua" w:hAnsi="Book Antiqua" w:cs="Book Antiqua"/>
          <w:color w:val="000000"/>
        </w:rPr>
        <w:t>The r</w:t>
      </w:r>
      <w:r w:rsidR="004563E1" w:rsidRPr="00BC6A1C">
        <w:rPr>
          <w:rFonts w:ascii="Book Antiqua" w:eastAsia="Book Antiqua" w:hAnsi="Book Antiqua" w:cs="Book Antiqua"/>
          <w:color w:val="000000"/>
        </w:rPr>
        <w:t>esults of ROC analysis and cut-off values used for the parameters of DWI, semiquantitative and quantitative MRI of PMAs, WTs</w:t>
      </w:r>
      <w:r w:rsidR="00571122">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malignant SGTs are given in Table 5.</w:t>
      </w:r>
    </w:p>
    <w:p w14:paraId="2A60522C" w14:textId="77777777" w:rsidR="00A77B3E" w:rsidRPr="00BC6A1C" w:rsidRDefault="00A77B3E" w:rsidP="00BC6A1C">
      <w:pPr>
        <w:spacing w:line="360" w:lineRule="auto"/>
        <w:jc w:val="both"/>
        <w:rPr>
          <w:rFonts w:ascii="Book Antiqua" w:hAnsi="Book Antiqua"/>
        </w:rPr>
      </w:pPr>
    </w:p>
    <w:p w14:paraId="4C3D321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DISCUSSION</w:t>
      </w:r>
    </w:p>
    <w:p w14:paraId="62B73022" w14:textId="62F3D333" w:rsidR="00387577"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t xml:space="preserve">In recent years, diffusion MRI has been an </w:t>
      </w:r>
      <w:r w:rsidR="00D256A8">
        <w:rPr>
          <w:rFonts w:ascii="Book Antiqua" w:eastAsia="Book Antiqua" w:hAnsi="Book Antiqua" w:cs="Book Antiqua"/>
          <w:color w:val="000000"/>
        </w:rPr>
        <w:t>essential</w:t>
      </w:r>
      <w:r w:rsidRPr="00BC6A1C">
        <w:rPr>
          <w:rFonts w:ascii="Book Antiqua" w:eastAsia="Book Antiqua" w:hAnsi="Book Antiqua" w:cs="Book Antiqua"/>
          <w:color w:val="000000"/>
        </w:rPr>
        <w:t xml:space="preserve"> complement to conventional sequences in the radiological evaluation of SGTs</w:t>
      </w:r>
      <w:r w:rsidRPr="00BC6A1C">
        <w:rPr>
          <w:rFonts w:ascii="Book Antiqua" w:eastAsia="Book Antiqua" w:hAnsi="Book Antiqua" w:cs="Book Antiqua"/>
          <w:color w:val="000000"/>
          <w:vertAlign w:val="superscript"/>
        </w:rPr>
        <w:t>[1,3,6-10,13-15,17,18]</w:t>
      </w:r>
      <w:r w:rsidRPr="00BC6A1C">
        <w:rPr>
          <w:rFonts w:ascii="Book Antiqua" w:eastAsia="Book Antiqua" w:hAnsi="Book Antiqua" w:cs="Book Antiqua"/>
          <w:color w:val="000000"/>
        </w:rPr>
        <w:t xml:space="preserve">. Diffusion MRI allows us to evaluate the cellularity in tissues and the changes that physiological processes create on microstructural features. </w:t>
      </w:r>
      <w:r w:rsidR="00D256A8">
        <w:rPr>
          <w:rFonts w:ascii="Book Antiqua" w:eastAsia="Book Antiqua" w:hAnsi="Book Antiqua" w:cs="Book Antiqua"/>
          <w:color w:val="000000"/>
        </w:rPr>
        <w:t>As</w:t>
      </w:r>
      <w:r w:rsidRPr="00BC6A1C">
        <w:rPr>
          <w:rFonts w:ascii="Book Antiqua" w:eastAsia="Book Antiqua" w:hAnsi="Book Antiqua" w:cs="Book Antiqua"/>
          <w:color w:val="000000"/>
        </w:rPr>
        <w:t xml:space="preserve"> malignant or benign SGTs include a highly heterogeneous group, their ADC values could also be highly variable. In cell-rich tumors such as WT and lymphoma, ADC values are low, but tumors containing heterogeneous components such as PMA have higher ADC values</w:t>
      </w:r>
      <w:r w:rsidRPr="00BC6A1C">
        <w:rPr>
          <w:rFonts w:ascii="Book Antiqua" w:eastAsia="Book Antiqua" w:hAnsi="Book Antiqua" w:cs="Book Antiqua"/>
          <w:color w:val="000000"/>
          <w:vertAlign w:val="superscript"/>
        </w:rPr>
        <w:t>[1,13]</w:t>
      </w:r>
      <w:r w:rsidRPr="00BC6A1C">
        <w:rPr>
          <w:rFonts w:ascii="Book Antiqua" w:eastAsia="Book Antiqua" w:hAnsi="Book Antiqua" w:cs="Book Antiqua"/>
          <w:color w:val="000000"/>
        </w:rPr>
        <w:t>. In many DWI studies involving SGTs, ADC values were reported to be useful in distinguishing BTs and MTs</w:t>
      </w:r>
      <w:r w:rsidRPr="00BC6A1C">
        <w:rPr>
          <w:rFonts w:ascii="Book Antiqua" w:eastAsia="Book Antiqua" w:hAnsi="Book Antiqua" w:cs="Book Antiqua"/>
          <w:color w:val="000000"/>
          <w:vertAlign w:val="superscript"/>
        </w:rPr>
        <w:t>[6-8,17,19-21]</w:t>
      </w:r>
      <w:r w:rsidRPr="00BC6A1C">
        <w:rPr>
          <w:rFonts w:ascii="Book Antiqua" w:eastAsia="Book Antiqua" w:hAnsi="Book Antiqua" w:cs="Book Antiqua"/>
          <w:color w:val="000000"/>
        </w:rPr>
        <w:t>. However, there are also studies reporting that DWI was not sufficient to make this distinction but ADC values could be useful in distinguishing some subtypes of MTs or BTs</w:t>
      </w:r>
      <w:r w:rsidRPr="00BC6A1C">
        <w:rPr>
          <w:rFonts w:ascii="Book Antiqua" w:eastAsia="Book Antiqua" w:hAnsi="Book Antiqua" w:cs="Book Antiqua"/>
          <w:color w:val="000000"/>
          <w:vertAlign w:val="superscript"/>
        </w:rPr>
        <w:t>[10,22-24]</w:t>
      </w:r>
      <w:r w:rsidRPr="00BC6A1C">
        <w:rPr>
          <w:rFonts w:ascii="Book Antiqua" w:eastAsia="Book Antiqua" w:hAnsi="Book Antiqua" w:cs="Book Antiqua"/>
          <w:color w:val="000000"/>
        </w:rPr>
        <w:t xml:space="preserve">. An evaluation of mean ADC values of all BTs and MTs in the present study showed that ADC values of BTs (0.98 </w:t>
      </w:r>
      <w:r w:rsidR="00FC1AD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00F372BF">
        <w:rPr>
          <w:rFonts w:ascii="Book Antiqua" w:eastAsia="Book Antiqua" w:hAnsi="Book Antiqua" w:cs="Book Antiqua"/>
          <w:color w:val="000000"/>
        </w:rPr>
        <w:t xml:space="preserve"> </w:t>
      </w:r>
      <w:r w:rsidRPr="00BC6A1C">
        <w:rPr>
          <w:rFonts w:ascii="Book Antiqua" w:eastAsia="Book Antiqua" w:hAnsi="Book Antiqua" w:cs="Book Antiqua"/>
          <w:color w:val="000000"/>
        </w:rPr>
        <w:t>± 0.43</w:t>
      </w:r>
      <w:r w:rsidR="00F372BF" w:rsidRP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mm</w:t>
      </w:r>
      <w:r w:rsidR="00F372BF" w:rsidRPr="00BC6A1C">
        <w:rPr>
          <w:rFonts w:ascii="Book Antiqua" w:eastAsia="Book Antiqua" w:hAnsi="Book Antiqua" w:cs="Book Antiqua"/>
          <w:color w:val="000000"/>
          <w:vertAlign w:val="superscript"/>
        </w:rPr>
        <w:t>2</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and MTs (0.95 </w:t>
      </w:r>
      <w:r w:rsidR="00FC1AD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0.31</w:t>
      </w:r>
      <w:r w:rsidR="00F372BF" w:rsidRP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mm</w:t>
      </w:r>
      <w:r w:rsidR="00F372BF" w:rsidRPr="00BC6A1C">
        <w:rPr>
          <w:rFonts w:ascii="Book Antiqua" w:eastAsia="Book Antiqua" w:hAnsi="Book Antiqua" w:cs="Book Antiqua"/>
          <w:color w:val="000000"/>
          <w:vertAlign w:val="superscript"/>
        </w:rPr>
        <w:t>2</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were similar and did not differ significantly. However, when specific tumoral subgroups were evaluated, significant differences were found </w:t>
      </w:r>
      <w:r w:rsidR="004A7D36">
        <w:rPr>
          <w:rFonts w:ascii="Book Antiqua" w:eastAsia="Book Antiqua" w:hAnsi="Book Antiqua" w:cs="Book Antiqua"/>
          <w:color w:val="000000"/>
        </w:rPr>
        <w:t>in</w:t>
      </w:r>
      <w:r w:rsidR="004A7D3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the mean ADC values </w:t>
      </w:r>
      <w:r w:rsidR="004A7D36">
        <w:rPr>
          <w:rFonts w:ascii="Book Antiqua" w:eastAsia="Book Antiqua" w:hAnsi="Book Antiqua" w:cs="Book Antiqua"/>
          <w:color w:val="000000"/>
        </w:rPr>
        <w:t>among</w:t>
      </w:r>
      <w:r w:rsidR="004A7D3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PMAs, WTs</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In a ROC analysis using an ADC cut-off value of &gt; 1.1</w:t>
      </w:r>
      <w:r w:rsidR="00387577"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/s for PMA</w:t>
      </w:r>
      <w:r w:rsidR="004A7D36">
        <w:rPr>
          <w:rFonts w:ascii="Book Antiqua" w:eastAsia="Book Antiqua" w:hAnsi="Book Antiqua" w:cs="Book Antiqua"/>
          <w:color w:val="000000"/>
        </w:rPr>
        <w:t>s</w:t>
      </w:r>
      <w:r w:rsidRPr="00BC6A1C">
        <w:rPr>
          <w:rFonts w:ascii="Book Antiqua" w:eastAsia="Book Antiqua" w:hAnsi="Book Antiqua" w:cs="Book Antiqua"/>
          <w:color w:val="000000"/>
        </w:rPr>
        <w:t xml:space="preserve">, </w:t>
      </w:r>
      <w:r w:rsidR="00D256A8">
        <w:rPr>
          <w:rFonts w:ascii="Book Antiqua" w:eastAsia="Book Antiqua" w:hAnsi="Book Antiqua" w:cs="Book Antiqua"/>
          <w:color w:val="000000"/>
        </w:rPr>
        <w:t xml:space="preserve">the </w:t>
      </w:r>
      <w:r w:rsidRPr="00BC6A1C">
        <w:rPr>
          <w:rFonts w:ascii="Book Antiqua" w:eastAsia="Book Antiqua" w:hAnsi="Book Antiqua" w:cs="Book Antiqua"/>
          <w:color w:val="000000"/>
        </w:rPr>
        <w:t>AUC, sensitivity</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were 97.7</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100</w:t>
      </w:r>
      <w:r w:rsidR="00387577"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89.8%, respectively. A ROC analysis </w:t>
      </w:r>
      <w:r w:rsidR="00D256A8">
        <w:rPr>
          <w:rFonts w:ascii="Book Antiqua" w:eastAsia="Book Antiqua" w:hAnsi="Book Antiqua" w:cs="Book Antiqua"/>
          <w:color w:val="000000"/>
        </w:rPr>
        <w:t>of</w:t>
      </w:r>
      <w:r w:rsidRPr="00BC6A1C">
        <w:rPr>
          <w:rFonts w:ascii="Book Antiqua" w:eastAsia="Book Antiqua" w:hAnsi="Book Antiqua" w:cs="Book Antiqua"/>
          <w:color w:val="000000"/>
        </w:rPr>
        <w:t xml:space="preserve"> WTs using an ADC cut-off value of ≤ 0.8</w:t>
      </w:r>
      <w:r w:rsidR="00387577"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/s, on the other hand, resulted in AUC, sensitivity</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values of 74.2</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94.4</w:t>
      </w:r>
      <w:r w:rsidR="00387577"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58.2%, respectively. These values were 54.1</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78.3</w:t>
      </w:r>
      <w:r w:rsidR="00387577"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44.0%, respectively, for MTs with an ADC cut-off value of &gt; 0.7 </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In the present study, the mean ADC value of malignant lymphomas was 0.56 </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0.05</w:t>
      </w:r>
      <w:r w:rsid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mm</w:t>
      </w:r>
      <w:r w:rsidR="00F372BF" w:rsidRPr="00BC6A1C">
        <w:rPr>
          <w:rFonts w:ascii="Book Antiqua" w:eastAsia="Book Antiqua" w:hAnsi="Book Antiqua" w:cs="Book Antiqua"/>
          <w:color w:val="000000"/>
          <w:vertAlign w:val="superscript"/>
        </w:rPr>
        <w:t>2</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which was well below the average ADC value of all MTs. This finding </w:t>
      </w:r>
      <w:r w:rsidR="00D256A8">
        <w:rPr>
          <w:rFonts w:ascii="Book Antiqua" w:eastAsia="Book Antiqua" w:hAnsi="Book Antiqua" w:cs="Book Antiqua"/>
          <w:color w:val="000000"/>
        </w:rPr>
        <w:t>indicated</w:t>
      </w:r>
      <w:r w:rsidRPr="00BC6A1C">
        <w:rPr>
          <w:rFonts w:ascii="Book Antiqua" w:eastAsia="Book Antiqua" w:hAnsi="Book Antiqua" w:cs="Book Antiqua"/>
          <w:color w:val="000000"/>
        </w:rPr>
        <w:t xml:space="preserve"> that diffusion MRI could be </w:t>
      </w:r>
      <w:r w:rsidRPr="00BC6A1C">
        <w:rPr>
          <w:rFonts w:ascii="Book Antiqua" w:eastAsia="Book Antiqua" w:hAnsi="Book Antiqua" w:cs="Book Antiqua"/>
          <w:color w:val="000000"/>
        </w:rPr>
        <w:lastRenderedPageBreak/>
        <w:t>more useful in distinguishing the subgroups within both BTs and MTs than contributing to a more general distin</w:t>
      </w:r>
      <w:r w:rsidR="00D256A8">
        <w:rPr>
          <w:rFonts w:ascii="Book Antiqua" w:eastAsia="Book Antiqua" w:hAnsi="Book Antiqua" w:cs="Book Antiqua"/>
          <w:color w:val="000000"/>
        </w:rPr>
        <w:t>ction</w:t>
      </w:r>
      <w:r w:rsidRPr="00BC6A1C">
        <w:rPr>
          <w:rFonts w:ascii="Book Antiqua" w:eastAsia="Book Antiqua" w:hAnsi="Book Antiqua" w:cs="Book Antiqua"/>
          <w:color w:val="000000"/>
        </w:rPr>
        <w:t xml:space="preserve"> between MTs and BTs.</w:t>
      </w:r>
    </w:p>
    <w:p w14:paraId="28BE86C2" w14:textId="58DA5F05" w:rsidR="00B343CA"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In addition to diffusion MRI, the parameters of semiquantitative DCE MRI (TIC patterns) have also been frequently used in recent years for the differential diagnosis of SGTs</w:t>
      </w:r>
      <w:r w:rsidRPr="00BC6A1C">
        <w:rPr>
          <w:rFonts w:ascii="Book Antiqua" w:eastAsia="Book Antiqua" w:hAnsi="Book Antiqua" w:cs="Book Antiqua"/>
          <w:color w:val="000000"/>
          <w:vertAlign w:val="superscript"/>
        </w:rPr>
        <w:t>[9,12,20,25,26]</w:t>
      </w:r>
      <w:r w:rsidRPr="00BC6A1C">
        <w:rPr>
          <w:rFonts w:ascii="Book Antiqua" w:eastAsia="Book Antiqua" w:hAnsi="Book Antiqua" w:cs="Book Antiqua"/>
          <w:color w:val="000000"/>
        </w:rPr>
        <w:t xml:space="preserve">. On DCE MRI, TIC is obtained from signal intensity changes before the contrast </w:t>
      </w:r>
      <w:r w:rsidR="004E1CF1">
        <w:rPr>
          <w:rFonts w:ascii="Book Antiqua" w:eastAsia="Book Antiqua" w:hAnsi="Book Antiqua" w:cs="Book Antiqua"/>
          <w:color w:val="000000"/>
        </w:rPr>
        <w:t>agent</w:t>
      </w:r>
      <w:r w:rsidRPr="00BC6A1C">
        <w:rPr>
          <w:rFonts w:ascii="Book Antiqua" w:eastAsia="Book Antiqua" w:hAnsi="Book Antiqua" w:cs="Book Antiqua"/>
          <w:color w:val="000000"/>
        </w:rPr>
        <w:t xml:space="preserve"> administ</w:t>
      </w:r>
      <w:r w:rsidR="004E1CF1">
        <w:rPr>
          <w:rFonts w:ascii="Book Antiqua" w:eastAsia="Book Antiqua" w:hAnsi="Book Antiqua" w:cs="Book Antiqua"/>
          <w:color w:val="000000"/>
        </w:rPr>
        <w:t>ration</w:t>
      </w:r>
      <w:r w:rsidRPr="00BC6A1C">
        <w:rPr>
          <w:rFonts w:ascii="Book Antiqua" w:eastAsia="Book Antiqua" w:hAnsi="Book Antiqua" w:cs="Book Antiqua"/>
          <w:color w:val="000000"/>
        </w:rPr>
        <w:t xml:space="preserve">, during the transition of contrast </w:t>
      </w:r>
      <w:r w:rsidR="004E1CF1">
        <w:rPr>
          <w:rFonts w:ascii="Book Antiqua" w:eastAsia="Book Antiqua" w:hAnsi="Book Antiqua" w:cs="Book Antiqua"/>
          <w:color w:val="000000"/>
        </w:rPr>
        <w:t>agent</w:t>
      </w:r>
      <w:r w:rsidRPr="00BC6A1C">
        <w:rPr>
          <w:rFonts w:ascii="Book Antiqua" w:eastAsia="Book Antiqua" w:hAnsi="Book Antiqua" w:cs="Book Antiqua"/>
          <w:color w:val="000000"/>
        </w:rPr>
        <w:t xml:space="preserve"> from the capillary bed to extravascular-intercellular distance</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during the washing of contrast </w:t>
      </w:r>
      <w:r w:rsidR="004E1CF1">
        <w:rPr>
          <w:rFonts w:ascii="Book Antiqua" w:eastAsia="Book Antiqua" w:hAnsi="Book Antiqua" w:cs="Book Antiqua"/>
          <w:color w:val="000000"/>
        </w:rPr>
        <w:t>agent</w:t>
      </w:r>
      <w:r w:rsidRPr="00BC6A1C">
        <w:rPr>
          <w:rFonts w:ascii="Book Antiqua" w:eastAsia="Book Antiqua" w:hAnsi="Book Antiqua" w:cs="Book Antiqua"/>
          <w:color w:val="000000"/>
        </w:rPr>
        <w:t xml:space="preserve"> from the tissue</w:t>
      </w:r>
      <w:r w:rsidRPr="00BC6A1C">
        <w:rPr>
          <w:rFonts w:ascii="Book Antiqua" w:eastAsia="Book Antiqua" w:hAnsi="Book Antiqua" w:cs="Book Antiqua"/>
          <w:color w:val="000000"/>
          <w:vertAlign w:val="superscript"/>
        </w:rPr>
        <w:t>[1,18]</w:t>
      </w:r>
      <w:r w:rsidRPr="00BC6A1C">
        <w:rPr>
          <w:rFonts w:ascii="Book Antiqua" w:eastAsia="Book Antiqua" w:hAnsi="Book Antiqua" w:cs="Book Antiqua"/>
          <w:color w:val="000000"/>
        </w:rPr>
        <w:t>. TIC patterns are correlated with tumor cellularity and vascularity</w:t>
      </w:r>
      <w:r w:rsidRPr="00BC6A1C">
        <w:rPr>
          <w:rFonts w:ascii="Book Antiqua" w:eastAsia="Book Antiqua" w:hAnsi="Book Antiqua" w:cs="Book Antiqua"/>
          <w:color w:val="000000"/>
          <w:vertAlign w:val="superscript"/>
        </w:rPr>
        <w:t>[1,5,18,27]</w:t>
      </w:r>
      <w:r w:rsidRPr="00BC6A1C">
        <w:rPr>
          <w:rFonts w:ascii="Book Antiqua" w:eastAsia="Book Antiqua" w:hAnsi="Book Antiqua" w:cs="Book Antiqua"/>
          <w:color w:val="000000"/>
        </w:rPr>
        <w:t>.</w:t>
      </w:r>
      <w:r w:rsidR="00AC084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PMAs have progressive contrast-enhancement due to low microvessel count and cellularity-stromal grade, and their washout patterns are mostly negative and, to a lesser degree, in the form of a plateau</w:t>
      </w:r>
      <w:r w:rsidRPr="00BC6A1C">
        <w:rPr>
          <w:rFonts w:ascii="Book Antiqua" w:eastAsia="Book Antiqua" w:hAnsi="Book Antiqua" w:cs="Book Antiqua"/>
          <w:color w:val="000000"/>
          <w:vertAlign w:val="superscript"/>
        </w:rPr>
        <w:t>[1,27]</w:t>
      </w:r>
      <w:r w:rsidRPr="00BC6A1C">
        <w:rPr>
          <w:rFonts w:ascii="Book Antiqua" w:eastAsia="Book Antiqua" w:hAnsi="Book Antiqua" w:cs="Book Antiqua"/>
          <w:color w:val="000000"/>
        </w:rPr>
        <w:t>. In the present study, type A TIC pattern (curve pattern with progression towards the late phases) was observed in all PMAs.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values ranged from 161.80 </w:t>
      </w:r>
      <w:r w:rsidR="00AC0849" w:rsidRPr="00BC6A1C">
        <w:rPr>
          <w:rFonts w:ascii="Book Antiqua" w:eastAsia="Book Antiqua" w:hAnsi="Book Antiqua" w:cs="Book Antiqua"/>
          <w:color w:val="000000"/>
        </w:rPr>
        <w:t xml:space="preserve">s </w:t>
      </w:r>
      <w:r w:rsidRPr="00BC6A1C">
        <w:rPr>
          <w:rFonts w:ascii="Book Antiqua" w:eastAsia="Book Antiqua" w:hAnsi="Book Antiqua" w:cs="Book Antiqua"/>
          <w:color w:val="000000"/>
        </w:rPr>
        <w:t>to 251.70 s. The average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 of PMAs (202.74 ± 21.48</w:t>
      </w:r>
      <w:r w:rsidR="004A7D36" w:rsidRPr="004A7D36">
        <w:rPr>
          <w:rFonts w:ascii="Book Antiqua" w:eastAsia="Book Antiqua" w:hAnsi="Book Antiqua" w:cs="Book Antiqua"/>
          <w:color w:val="000000"/>
        </w:rPr>
        <w:t xml:space="preserve"> </w:t>
      </w:r>
      <w:r w:rsidR="004A7D36" w:rsidRPr="00BC6A1C">
        <w:rPr>
          <w:rFonts w:ascii="Book Antiqua" w:eastAsia="Book Antiqua" w:hAnsi="Book Antiqua" w:cs="Book Antiqua"/>
          <w:color w:val="000000"/>
        </w:rPr>
        <w:t>s</w:t>
      </w:r>
      <w:r w:rsidRPr="00BC6A1C">
        <w:rPr>
          <w:rFonts w:ascii="Book Antiqua" w:eastAsia="Book Antiqua" w:hAnsi="Book Antiqua" w:cs="Book Antiqua"/>
          <w:color w:val="000000"/>
        </w:rPr>
        <w:t>) was significantly longer compared to the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values of all other SGTs. In ROC analysis of PMAs using a cut-off value of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&gt; 120 s, AUC, sensitivity, specificity, PPV</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NPV were 94.7</w:t>
      </w:r>
      <w:r w:rsidR="00EF2EA8" w:rsidRPr="00BC6A1C">
        <w:rPr>
          <w:rFonts w:ascii="Book Antiqua" w:eastAsia="Book Antiqua" w:hAnsi="Book Antiqua" w:cs="Book Antiqua"/>
          <w:color w:val="000000"/>
        </w:rPr>
        <w:t>%</w:t>
      </w:r>
      <w:r w:rsidRPr="00BC6A1C">
        <w:rPr>
          <w:rFonts w:ascii="Book Antiqua" w:eastAsia="Book Antiqua" w:hAnsi="Book Antiqua" w:cs="Book Antiqua"/>
          <w:color w:val="000000"/>
        </w:rPr>
        <w:t>, 100</w:t>
      </w:r>
      <w:r w:rsidR="00EF2EA8" w:rsidRPr="00BC6A1C">
        <w:rPr>
          <w:rFonts w:ascii="Book Antiqua" w:eastAsia="Book Antiqua" w:hAnsi="Book Antiqua" w:cs="Book Antiqua"/>
          <w:color w:val="000000"/>
        </w:rPr>
        <w:t>%</w:t>
      </w:r>
      <w:r w:rsidRPr="00BC6A1C">
        <w:rPr>
          <w:rFonts w:ascii="Book Antiqua" w:eastAsia="Book Antiqua" w:hAnsi="Book Antiqua" w:cs="Book Antiqua"/>
          <w:color w:val="000000"/>
        </w:rPr>
        <w:t>, 89.8</w:t>
      </w:r>
      <w:r w:rsidR="00EF2EA8" w:rsidRPr="00BC6A1C">
        <w:rPr>
          <w:rFonts w:ascii="Book Antiqua" w:eastAsia="Book Antiqua" w:hAnsi="Book Antiqua" w:cs="Book Antiqua"/>
          <w:color w:val="000000"/>
        </w:rPr>
        <w:t>%</w:t>
      </w:r>
      <w:r w:rsidRPr="00BC6A1C">
        <w:rPr>
          <w:rFonts w:ascii="Book Antiqua" w:eastAsia="Book Antiqua" w:hAnsi="Book Antiqua" w:cs="Book Antiqua"/>
          <w:color w:val="000000"/>
        </w:rPr>
        <w:t>, 70.0</w:t>
      </w:r>
      <w:r w:rsidR="00EF2EA8"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100%, respectively. WTs feature rapid contrast enhancement and washout due to their high microvessel count and cellularity-stromal grade. In the present study, type B TIC pattern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 120 s, WR ≥ 30%) was observed in all WTs.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values rang</w:t>
      </w:r>
      <w:r w:rsidR="004E1CF1">
        <w:rPr>
          <w:rFonts w:ascii="Book Antiqua" w:eastAsia="Book Antiqua" w:hAnsi="Book Antiqua" w:cs="Book Antiqua"/>
          <w:color w:val="000000"/>
        </w:rPr>
        <w:t>ed</w:t>
      </w:r>
      <w:r w:rsidRPr="00BC6A1C">
        <w:rPr>
          <w:rFonts w:ascii="Book Antiqua" w:eastAsia="Book Antiqua" w:hAnsi="Book Antiqua" w:cs="Book Antiqua"/>
          <w:color w:val="000000"/>
        </w:rPr>
        <w:t xml:space="preserve"> from 10.80 </w:t>
      </w:r>
      <w:r w:rsidR="00B343CA" w:rsidRPr="00BC6A1C">
        <w:rPr>
          <w:rFonts w:ascii="Book Antiqua" w:eastAsia="Book Antiqua" w:hAnsi="Book Antiqua" w:cs="Book Antiqua"/>
          <w:color w:val="000000"/>
        </w:rPr>
        <w:t xml:space="preserve">s </w:t>
      </w:r>
      <w:r w:rsidRPr="00BC6A1C">
        <w:rPr>
          <w:rFonts w:ascii="Book Antiqua" w:eastAsia="Book Antiqua" w:hAnsi="Book Antiqua" w:cs="Book Antiqua"/>
          <w:color w:val="000000"/>
        </w:rPr>
        <w:t>to 46.40 s, while WR varied from 31</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to 75%. The mean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of WTs (20.26</w:t>
      </w:r>
      <w:r w:rsidR="00F372BF">
        <w:rPr>
          <w:rFonts w:ascii="Book Antiqua" w:eastAsia="Book Antiqua" w:hAnsi="Book Antiqua" w:cs="Book Antiqua"/>
          <w:color w:val="000000"/>
        </w:rPr>
        <w:t xml:space="preserve"> </w:t>
      </w:r>
      <w:r w:rsidRPr="00BC6A1C">
        <w:rPr>
          <w:rFonts w:ascii="Book Antiqua" w:eastAsia="Book Antiqua" w:hAnsi="Book Antiqua" w:cs="Book Antiqua"/>
          <w:color w:val="000000"/>
        </w:rPr>
        <w:t>± 11.72</w:t>
      </w:r>
      <w:r w:rsidR="00F372BF" w:rsidRP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was significantly shorter than </w:t>
      </w:r>
      <w:r w:rsidR="004A7D36">
        <w:rPr>
          <w:rFonts w:ascii="Book Antiqua" w:eastAsia="Book Antiqua" w:hAnsi="Book Antiqua" w:cs="Book Antiqua"/>
          <w:color w:val="000000"/>
        </w:rPr>
        <w:t xml:space="preserve">that of </w:t>
      </w:r>
      <w:r w:rsidRPr="00BC6A1C">
        <w:rPr>
          <w:rFonts w:ascii="Book Antiqua" w:eastAsia="Book Antiqua" w:hAnsi="Book Antiqua" w:cs="Book Antiqua"/>
          <w:color w:val="000000"/>
        </w:rPr>
        <w:t>other parotid lesions. The average WR value of WTs (59.33% ± 10.99</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was significantly higher than </w:t>
      </w:r>
      <w:r w:rsidR="004A7D36">
        <w:rPr>
          <w:rFonts w:ascii="Book Antiqua" w:eastAsia="Book Antiqua" w:hAnsi="Book Antiqua" w:cs="Book Antiqua"/>
          <w:color w:val="000000"/>
        </w:rPr>
        <w:t xml:space="preserve">that of </w:t>
      </w:r>
      <w:r w:rsidRPr="00BC6A1C">
        <w:rPr>
          <w:rFonts w:ascii="Book Antiqua" w:eastAsia="Book Antiqua" w:hAnsi="Book Antiqua" w:cs="Book Antiqua"/>
          <w:color w:val="000000"/>
        </w:rPr>
        <w:t>any other tumors. In ROC analysis of WTs using a cut-off value of WR &gt; 43%, AUC, specificity</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PPV were quite high (98.1</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94.4</w:t>
      </w:r>
      <w:r w:rsidR="00B343CA"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90.9%, respectively). Due to their high microvessel count and lower cellularity-stromal grade, MTs have rapid enhancement but their washouts tend to be slower than those of WTs</w:t>
      </w:r>
      <w:r w:rsidRPr="00BC6A1C">
        <w:rPr>
          <w:rFonts w:ascii="Book Antiqua" w:eastAsia="Book Antiqua" w:hAnsi="Book Antiqua" w:cs="Book Antiqua"/>
          <w:color w:val="000000"/>
          <w:vertAlign w:val="superscript"/>
        </w:rPr>
        <w:t>[1,27]</w:t>
      </w:r>
      <w:r w:rsidRPr="00BC6A1C">
        <w:rPr>
          <w:rFonts w:ascii="Book Antiqua" w:eastAsia="Book Antiqua" w:hAnsi="Book Antiqua" w:cs="Book Antiqua"/>
          <w:color w:val="000000"/>
        </w:rPr>
        <w:t>. In the present study, the mean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 of MTs (60.60 ± 55.78</w:t>
      </w:r>
      <w:r w:rsid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was significantly shorter than the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value of PMAs. </w:t>
      </w:r>
      <w:r w:rsidR="004E1CF1">
        <w:rPr>
          <w:rFonts w:ascii="Book Antiqua" w:eastAsia="Book Antiqua" w:hAnsi="Book Antiqua" w:cs="Book Antiqua"/>
          <w:color w:val="000000"/>
        </w:rPr>
        <w:t>The m</w:t>
      </w:r>
      <w:r w:rsidRPr="00BC6A1C">
        <w:rPr>
          <w:rFonts w:ascii="Book Antiqua" w:eastAsia="Book Antiqua" w:hAnsi="Book Antiqua" w:cs="Book Antiqua"/>
          <w:color w:val="000000"/>
        </w:rPr>
        <w:t>ean WR value of MTs (18.48 ± 18.38</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was significantly lower than </w:t>
      </w:r>
      <w:r w:rsidR="004A7D36" w:rsidRPr="00BC6A1C">
        <w:rPr>
          <w:rFonts w:ascii="Book Antiqua" w:eastAsia="Book Antiqua" w:hAnsi="Book Antiqua" w:cs="Book Antiqua"/>
          <w:color w:val="000000"/>
        </w:rPr>
        <w:t>th</w:t>
      </w:r>
      <w:r w:rsidR="004A7D36">
        <w:rPr>
          <w:rFonts w:ascii="Book Antiqua" w:eastAsia="Book Antiqua" w:hAnsi="Book Antiqua" w:cs="Book Antiqua"/>
          <w:color w:val="000000"/>
        </w:rPr>
        <w:t>at</w:t>
      </w:r>
      <w:r w:rsidR="004A7D3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of WTs, but was not different from </w:t>
      </w:r>
      <w:r w:rsidR="004E1CF1">
        <w:rPr>
          <w:rFonts w:ascii="Book Antiqua" w:eastAsia="Book Antiqua" w:hAnsi="Book Antiqua" w:cs="Book Antiqua"/>
          <w:color w:val="000000"/>
        </w:rPr>
        <w:t xml:space="preserve">the </w:t>
      </w:r>
      <w:r w:rsidRPr="00BC6A1C">
        <w:rPr>
          <w:rFonts w:ascii="Book Antiqua" w:eastAsia="Book Antiqua" w:hAnsi="Book Antiqua" w:cs="Book Antiqua"/>
          <w:color w:val="000000"/>
        </w:rPr>
        <w:t>mean WR value of OBTs. In ROC analysis of MTs with cut-off values of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 120 s and WR ≤ 49%, sensitivities were quite high </w:t>
      </w:r>
      <w:r w:rsidRPr="00BC6A1C">
        <w:rPr>
          <w:rFonts w:ascii="Book Antiqua" w:eastAsia="Book Antiqua" w:hAnsi="Book Antiqua" w:cs="Book Antiqua"/>
          <w:color w:val="000000"/>
        </w:rPr>
        <w:lastRenderedPageBreak/>
        <w:t>(91.3</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100%, respectively) but specificities were quite low (36.0</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30.0%, respectively). A survey of semiquantitative DCE MRI studies in the literature showed that PMAs generally had type A pattern, while WTs had type B and MTs had type C TIC patterns</w:t>
      </w:r>
      <w:r w:rsidRPr="00BC6A1C">
        <w:rPr>
          <w:rFonts w:ascii="Book Antiqua" w:eastAsia="Book Antiqua" w:hAnsi="Book Antiqua" w:cs="Book Antiqua"/>
          <w:color w:val="000000"/>
          <w:vertAlign w:val="superscript"/>
        </w:rPr>
        <w:t>[4,5,26]</w:t>
      </w:r>
      <w:r w:rsidRPr="00BC6A1C">
        <w:rPr>
          <w:rFonts w:ascii="Book Antiqua" w:eastAsia="Book Antiqua" w:hAnsi="Book Antiqua" w:cs="Book Antiqua"/>
          <w:color w:val="000000"/>
        </w:rPr>
        <w:t>. TIC patterns are considered to have a higher diagnostic accuracy in distinguishing subgroups in SGTs compared to their power to distinguish all BTs from MTs. However, it was mentioned that TIC patterns had higher specificity especially in PMAs and WTs while their specificity in MTs was lower</w:t>
      </w:r>
      <w:r w:rsidRPr="00BC6A1C">
        <w:rPr>
          <w:rFonts w:ascii="Book Antiqua" w:eastAsia="Book Antiqua" w:hAnsi="Book Antiqua" w:cs="Book Antiqua"/>
          <w:color w:val="000000"/>
          <w:vertAlign w:val="superscript"/>
        </w:rPr>
        <w:t>[4,18,25,26]</w:t>
      </w:r>
      <w:r w:rsidRPr="00BC6A1C">
        <w:rPr>
          <w:rFonts w:ascii="Book Antiqua" w:eastAsia="Book Antiqua" w:hAnsi="Book Antiqua" w:cs="Book Antiqua"/>
          <w:color w:val="000000"/>
        </w:rPr>
        <w:t xml:space="preserve">. In their study with all SGTs, Lam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[26]</w:t>
      </w:r>
      <w:r w:rsidRPr="00BC6A1C">
        <w:rPr>
          <w:rFonts w:ascii="Book Antiqua" w:eastAsia="Book Antiqua" w:hAnsi="Book Antiqua" w:cs="Book Antiqua"/>
          <w:color w:val="000000"/>
        </w:rPr>
        <w:t xml:space="preserve"> showed that all </w:t>
      </w:r>
      <w:r w:rsidR="00C32D02" w:rsidRPr="00BC6A1C">
        <w:rPr>
          <w:rFonts w:ascii="Book Antiqua" w:eastAsia="Book Antiqua" w:hAnsi="Book Antiqua" w:cs="Book Antiqua"/>
          <w:color w:val="000000"/>
        </w:rPr>
        <w:t>MTs</w:t>
      </w:r>
      <w:r w:rsidRPr="00BC6A1C">
        <w:rPr>
          <w:rFonts w:ascii="Book Antiqua" w:eastAsia="Book Antiqua" w:hAnsi="Book Antiqua" w:cs="Book Antiqua"/>
          <w:color w:val="000000"/>
        </w:rPr>
        <w:t xml:space="preserve"> except lymphomas showed type C TIC pattern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&lt; 150 s and WR &lt; 30%), while 70% of lymphomas had type B TIC pattern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&lt; 150 s and WR ≥ 30%). Similar to the findings of Lam </w:t>
      </w:r>
      <w:r w:rsidRPr="00BC6A1C">
        <w:rPr>
          <w:rFonts w:ascii="Book Antiqua" w:eastAsia="Book Antiqua" w:hAnsi="Book Antiqua" w:cs="Book Antiqua"/>
          <w:i/>
          <w:iCs/>
          <w:color w:val="000000"/>
        </w:rPr>
        <w:t>et</w:t>
      </w:r>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[26]</w:t>
      </w:r>
      <w:r w:rsidRPr="00BC6A1C">
        <w:rPr>
          <w:rFonts w:ascii="Book Antiqua" w:eastAsia="Book Antiqua" w:hAnsi="Book Antiqua" w:cs="Book Antiqua"/>
          <w:color w:val="000000"/>
        </w:rPr>
        <w:t>, 66.7% of lymphomas in the present study showed type B TIC pattern. However, unlike their findings, some other MTs showed type</w:t>
      </w:r>
      <w:r w:rsidR="004A7D36">
        <w:rPr>
          <w:rFonts w:ascii="Book Antiqua" w:eastAsia="Book Antiqua" w:hAnsi="Book Antiqua" w:cs="Book Antiqua"/>
          <w:color w:val="000000"/>
        </w:rPr>
        <w:t>s</w:t>
      </w:r>
      <w:r w:rsidRPr="00BC6A1C">
        <w:rPr>
          <w:rFonts w:ascii="Book Antiqua" w:eastAsia="Book Antiqua" w:hAnsi="Book Antiqua" w:cs="Book Antiqua"/>
          <w:color w:val="000000"/>
        </w:rPr>
        <w:t xml:space="preserve"> A, B</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D TIC patterns. There are also studies in the literature reporting that all WTs had type B TIC pattern</w:t>
      </w:r>
      <w:r w:rsidRPr="00BC6A1C">
        <w:rPr>
          <w:rFonts w:ascii="Book Antiqua" w:eastAsia="Book Antiqua" w:hAnsi="Book Antiqua" w:cs="Book Antiqua"/>
          <w:color w:val="000000"/>
          <w:vertAlign w:val="superscript"/>
        </w:rPr>
        <w:t>[4,10,12]</w:t>
      </w:r>
      <w:r w:rsidRPr="00BC6A1C">
        <w:rPr>
          <w:rFonts w:ascii="Book Antiqua" w:eastAsia="Book Antiqua" w:hAnsi="Book Antiqua" w:cs="Book Antiqua"/>
          <w:color w:val="000000"/>
        </w:rPr>
        <w:t>. In accordance with their findings, 100% of WTs in the present study featured type B TIC pattern. Subtypes of SGTs in the present study generally had similar TIC patterns to those reported in the literature.</w:t>
      </w:r>
    </w:p>
    <w:p w14:paraId="3044845D" w14:textId="6D0B4EB0" w:rsidR="008E3EB5"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The literature contains several studies on quantitative DCE perfusion MRI parameters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K</w:t>
      </w:r>
      <w:r w:rsidR="001C1167" w:rsidRPr="00BC6A1C">
        <w:rPr>
          <w:rFonts w:ascii="Book Antiqua" w:eastAsia="Book Antiqua" w:hAnsi="Book Antiqua" w:cs="Book Antiqua"/>
          <w:color w:val="000000"/>
          <w:vertAlign w:val="subscript"/>
        </w:rPr>
        <w:t>ep</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in SGTs</w:t>
      </w:r>
      <w:r w:rsidRPr="00BC6A1C">
        <w:rPr>
          <w:rFonts w:ascii="Book Antiqua" w:eastAsia="Book Antiqua" w:hAnsi="Book Antiqua" w:cs="Book Antiqua"/>
          <w:color w:val="000000"/>
          <w:vertAlign w:val="superscript"/>
        </w:rPr>
        <w:t>[3,14,15,28]</w:t>
      </w:r>
      <w:r w:rsidRPr="00BC6A1C">
        <w:rPr>
          <w:rFonts w:ascii="Book Antiqua" w:eastAsia="Book Antiqua" w:hAnsi="Book Antiqua" w:cs="Book Antiqua"/>
          <w:color w:val="000000"/>
        </w:rPr>
        <w:t>. In these studies, mean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for PMAs ranged from 0.101</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0.069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to 0.217</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0.036</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mean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values from 0.245</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0.160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to 0.567</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0.048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sidRPr="00BC6A1C">
        <w:rPr>
          <w:rFonts w:ascii="Book Antiqua" w:eastAsia="Book Antiqua" w:hAnsi="Book Antiqua" w:cs="Book Antiqua"/>
          <w:color w:val="000000"/>
        </w:rPr>
        <w:t>,</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and mean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from 0.360 to 0.590 ± 0.478, while mean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for WTs varied between 0.105 </w:t>
      </w:r>
      <w:r w:rsidR="008E3EB5" w:rsidRPr="00BC6A1C">
        <w:rPr>
          <w:rFonts w:ascii="Book Antiqua" w:eastAsia="Book Antiqua" w:hAnsi="Book Antiqua" w:cs="Book Antiqua"/>
          <w:color w:val="000000"/>
        </w:rPr>
        <w:t>min</w:t>
      </w:r>
      <w:r w:rsidR="008E3EB5" w:rsidRPr="00BC6A1C">
        <w:rPr>
          <w:rFonts w:ascii="Book Antiqua" w:eastAsia="Book Antiqua" w:hAnsi="Book Antiqua" w:cs="Book Antiqua"/>
          <w:color w:val="000000"/>
          <w:vertAlign w:val="superscript"/>
        </w:rPr>
        <w:t xml:space="preserve">−1 </w:t>
      </w:r>
      <w:r w:rsidRPr="00BC6A1C">
        <w:rPr>
          <w:rFonts w:ascii="Book Antiqua" w:eastAsia="Book Antiqua" w:hAnsi="Book Antiqua" w:cs="Book Antiqua"/>
          <w:color w:val="000000"/>
        </w:rPr>
        <w:t xml:space="preserve">± 0.064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and 0.464</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0.036</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mean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values between 0.729</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0.112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and 2.299</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1.312</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and mean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between 0.1439 ± 0.093 and 0.272 ± 0.013. For MTs, mean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varied from 0.130± 0.035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to 0.327</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0.030</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mean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values from 0.463</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0.103</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to 0.784</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0.064</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and mean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from 0.264 ± 0.119 to 0.445 ± 0.025. In all of these studies in the literature, the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of PMAs were lower than </w:t>
      </w:r>
      <w:r w:rsidR="001C1167">
        <w:rPr>
          <w:rFonts w:ascii="Book Antiqua" w:eastAsia="Book Antiqua" w:hAnsi="Book Antiqua" w:cs="Book Antiqua"/>
          <w:color w:val="000000"/>
        </w:rPr>
        <w:t>those</w:t>
      </w:r>
      <w:r w:rsidRPr="00BC6A1C">
        <w:rPr>
          <w:rFonts w:ascii="Book Antiqua" w:eastAsia="Book Antiqua" w:hAnsi="Book Antiqua" w:cs="Book Antiqua"/>
          <w:color w:val="000000"/>
        </w:rPr>
        <w:t xml:space="preserve"> of other SGTs</w:t>
      </w:r>
      <w:r w:rsidRPr="00BC6A1C">
        <w:rPr>
          <w:rFonts w:ascii="Book Antiqua" w:eastAsia="Book Antiqua" w:hAnsi="Book Antiqua" w:cs="Book Antiqua"/>
          <w:color w:val="000000"/>
          <w:vertAlign w:val="superscript"/>
        </w:rPr>
        <w:t>[3,14,15,28]</w:t>
      </w:r>
      <w:r w:rsidRPr="00BC6A1C">
        <w:rPr>
          <w:rFonts w:ascii="Book Antiqua" w:eastAsia="Book Antiqua" w:hAnsi="Book Antiqua" w:cs="Book Antiqua"/>
          <w:color w:val="000000"/>
        </w:rPr>
        <w:t xml:space="preserve">. Xu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found that the mean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 of PMAs was slightly different </w:t>
      </w:r>
      <w:r w:rsidR="001C1167">
        <w:rPr>
          <w:rFonts w:ascii="Book Antiqua" w:eastAsia="Book Antiqua" w:hAnsi="Book Antiqua" w:cs="Book Antiqua"/>
          <w:color w:val="000000"/>
        </w:rPr>
        <w:t>from</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that of WTs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 0.05). Yabuuchi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Pr="00BC6A1C">
        <w:rPr>
          <w:rFonts w:ascii="Book Antiqua" w:eastAsia="Book Antiqua" w:hAnsi="Book Antiqua" w:cs="Book Antiqua"/>
          <w:color w:val="000000"/>
        </w:rPr>
        <w:t xml:space="preserve"> found no significant difference</w:t>
      </w:r>
      <w:r w:rsidR="00EF2497">
        <w:rPr>
          <w:rFonts w:ascii="Book Antiqua" w:eastAsia="Book Antiqua" w:hAnsi="Book Antiqua" w:cs="Book Antiqua"/>
          <w:color w:val="000000"/>
        </w:rPr>
        <w:t>s</w:t>
      </w:r>
      <w:r w:rsidRPr="00BC6A1C">
        <w:rPr>
          <w:rFonts w:ascii="Book Antiqua" w:eastAsia="Book Antiqua" w:hAnsi="Book Antiqua" w:cs="Book Antiqua"/>
          <w:color w:val="000000"/>
        </w:rPr>
        <w:t xml:space="preserve"> among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of other SGTs. 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xml:space="preserve"> found that the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of PMAs were significantly lower than th</w:t>
      </w:r>
      <w:r w:rsidR="001C1167">
        <w:rPr>
          <w:rFonts w:ascii="Book Antiqua" w:eastAsia="Book Antiqua" w:hAnsi="Book Antiqua" w:cs="Book Antiqua"/>
          <w:color w:val="000000"/>
        </w:rPr>
        <w:t xml:space="preserve">ose </w:t>
      </w:r>
      <w:r w:rsidRPr="00BC6A1C">
        <w:rPr>
          <w:rFonts w:ascii="Book Antiqua" w:eastAsia="Book Antiqua" w:hAnsi="Book Antiqua" w:cs="Book Antiqua"/>
          <w:color w:val="000000"/>
        </w:rPr>
        <w:t xml:space="preserve">of other SGTs. Similar to the results of Yabuuchi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Pr="00BC6A1C">
        <w:rPr>
          <w:rFonts w:ascii="Book Antiqua" w:eastAsia="Book Antiqua" w:hAnsi="Book Antiqua" w:cs="Book Antiqua"/>
          <w:color w:val="000000"/>
        </w:rPr>
        <w:t xml:space="preserve">, in our study, mean </w:t>
      </w:r>
      <w:r w:rsidRPr="00BC6A1C">
        <w:rPr>
          <w:rFonts w:ascii="Book Antiqua" w:eastAsia="Book Antiqua" w:hAnsi="Book Antiqua" w:cs="Book Antiqua"/>
          <w:color w:val="000000"/>
        </w:rPr>
        <w:lastRenderedPageBreak/>
        <w:t>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 of PMAs was the lowest </w:t>
      </w:r>
      <w:r w:rsidR="001C1167">
        <w:rPr>
          <w:rFonts w:ascii="Book Antiqua" w:eastAsia="Book Antiqua" w:hAnsi="Book Antiqua" w:cs="Book Antiqua"/>
          <w:color w:val="000000"/>
        </w:rPr>
        <w:t>among</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all SGTs, but it was not significantly different from </w:t>
      </w:r>
      <w:r w:rsidR="001C1167">
        <w:rPr>
          <w:rFonts w:ascii="Book Antiqua" w:eastAsia="Book Antiqua" w:hAnsi="Book Antiqua" w:cs="Book Antiqua"/>
          <w:color w:val="000000"/>
        </w:rPr>
        <w:t>those</w:t>
      </w:r>
      <w:r w:rsidRPr="00BC6A1C">
        <w:rPr>
          <w:rFonts w:ascii="Book Antiqua" w:eastAsia="Book Antiqua" w:hAnsi="Book Antiqua" w:cs="Book Antiqua"/>
          <w:color w:val="000000"/>
        </w:rPr>
        <w:t xml:space="preserve"> of other tumors. In </w:t>
      </w:r>
      <w:r w:rsidR="00EF2497">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studies </w:t>
      </w:r>
      <w:r w:rsidR="00EF2497">
        <w:rPr>
          <w:rFonts w:ascii="Book Antiqua" w:eastAsia="Book Antiqua" w:hAnsi="Book Antiqua" w:cs="Book Antiqua"/>
          <w:color w:val="000000"/>
        </w:rPr>
        <w:t>by</w:t>
      </w:r>
      <w:r w:rsidRPr="00BC6A1C">
        <w:rPr>
          <w:rFonts w:ascii="Book Antiqua" w:eastAsia="Book Antiqua" w:hAnsi="Book Antiqua" w:cs="Book Antiqua"/>
          <w:color w:val="000000"/>
        </w:rPr>
        <w:t xml:space="preserve"> Xu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Yabuuchi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001C1167" w:rsidRPr="00BC6A1C">
        <w:rPr>
          <w:rFonts w:ascii="Book Antiqua" w:eastAsia="Book Antiqua" w:hAnsi="Book Antiqua" w:cs="Book Antiqua"/>
          <w:color w:val="000000"/>
          <w:vertAlign w:val="superscript"/>
        </w:rPr>
        <w:t>]</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the mean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 was </w:t>
      </w:r>
      <w:r w:rsidR="001C1167">
        <w:rPr>
          <w:rFonts w:ascii="Book Antiqua" w:eastAsia="Book Antiqua" w:hAnsi="Book Antiqua" w:cs="Book Antiqua"/>
          <w:color w:val="000000"/>
        </w:rPr>
        <w:t xml:space="preserve">the </w:t>
      </w:r>
      <w:r w:rsidRPr="00BC6A1C">
        <w:rPr>
          <w:rFonts w:ascii="Book Antiqua" w:eastAsia="Book Antiqua" w:hAnsi="Book Antiqua" w:cs="Book Antiqua"/>
          <w:color w:val="000000"/>
        </w:rPr>
        <w:t>lowest in PMAs and highest in WTs.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values of PMAs, WTs, and MTs in the studies of both Xu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and Yabuuchi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Pr="00BC6A1C">
        <w:rPr>
          <w:rFonts w:ascii="Book Antiqua" w:eastAsia="Book Antiqua" w:hAnsi="Book Antiqua" w:cs="Book Antiqua"/>
          <w:color w:val="000000"/>
        </w:rPr>
        <w:t xml:space="preserve"> were significantly different. However, in </w:t>
      </w:r>
      <w:r w:rsidR="00EF2497">
        <w:rPr>
          <w:rFonts w:ascii="Book Antiqua" w:eastAsia="Book Antiqua" w:hAnsi="Book Antiqua" w:cs="Book Antiqua"/>
          <w:color w:val="000000"/>
        </w:rPr>
        <w:t xml:space="preserve">the study by </w:t>
      </w:r>
      <w:r w:rsidRPr="00BC6A1C">
        <w:rPr>
          <w:rFonts w:ascii="Book Antiqua" w:eastAsia="Book Antiqua" w:hAnsi="Book Antiqua" w:cs="Book Antiqua"/>
          <w:color w:val="000000"/>
        </w:rPr>
        <w:t xml:space="preserve">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the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 of only WTs was significantly different </w:t>
      </w:r>
      <w:r w:rsidR="001C1167">
        <w:rPr>
          <w:rFonts w:ascii="Book Antiqua" w:eastAsia="Book Antiqua" w:hAnsi="Book Antiqua" w:cs="Book Antiqua"/>
          <w:color w:val="000000"/>
        </w:rPr>
        <w:t>from those of</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other tumors. In another study </w:t>
      </w:r>
      <w:r w:rsidR="00EF2497">
        <w:rPr>
          <w:rFonts w:ascii="Book Antiqua" w:eastAsia="Book Antiqua" w:hAnsi="Book Antiqua" w:cs="Book Antiqua"/>
          <w:color w:val="000000"/>
        </w:rPr>
        <w:t>by</w:t>
      </w:r>
      <w:r w:rsidRPr="00BC6A1C">
        <w:rPr>
          <w:rFonts w:ascii="Book Antiqua" w:eastAsia="Book Antiqua" w:hAnsi="Book Antiqua" w:cs="Book Antiqua"/>
          <w:color w:val="000000"/>
        </w:rPr>
        <w:t xml:space="preserve"> 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[28]</w:t>
      </w:r>
      <w:r w:rsidRPr="00BC6A1C">
        <w:rPr>
          <w:rFonts w:ascii="Book Antiqua" w:eastAsia="Book Antiqua" w:hAnsi="Book Antiqua" w:cs="Book Antiqua"/>
          <w:color w:val="000000"/>
        </w:rPr>
        <w:t xml:space="preserve">, significant differences were found </w:t>
      </w:r>
      <w:r w:rsidR="001C1167">
        <w:rPr>
          <w:rFonts w:ascii="Book Antiqua" w:eastAsia="Book Antiqua" w:hAnsi="Book Antiqua" w:cs="Book Antiqua"/>
          <w:color w:val="000000"/>
        </w:rPr>
        <w:t>in</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values </w:t>
      </w:r>
      <w:r w:rsidR="001C1167">
        <w:rPr>
          <w:rFonts w:ascii="Book Antiqua" w:eastAsia="Book Antiqua" w:hAnsi="Book Antiqua" w:cs="Book Antiqua"/>
          <w:color w:val="000000"/>
        </w:rPr>
        <w:t>between</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WTs and PMAs, and </w:t>
      </w:r>
      <w:r w:rsidR="001C1167">
        <w:rPr>
          <w:rFonts w:ascii="Book Antiqua" w:eastAsia="Book Antiqua" w:hAnsi="Book Antiqua" w:cs="Book Antiqua"/>
          <w:color w:val="000000"/>
        </w:rPr>
        <w:t xml:space="preserve">between </w:t>
      </w:r>
      <w:r w:rsidRPr="00BC6A1C">
        <w:rPr>
          <w:rFonts w:ascii="Book Antiqua" w:eastAsia="Book Antiqua" w:hAnsi="Book Antiqua" w:cs="Book Antiqua"/>
          <w:color w:val="000000"/>
        </w:rPr>
        <w:t xml:space="preserve">WTs and OBTs. Similar to the results of those studies in the literature, </w:t>
      </w:r>
      <w:r w:rsidR="00EF2497">
        <w:rPr>
          <w:rFonts w:ascii="Book Antiqua" w:eastAsia="Book Antiqua" w:hAnsi="Book Antiqua" w:cs="Book Antiqua"/>
          <w:color w:val="000000"/>
        </w:rPr>
        <w:t xml:space="preserve">the </w:t>
      </w:r>
      <w:r w:rsidRPr="00BC6A1C">
        <w:rPr>
          <w:rFonts w:ascii="Book Antiqua" w:eastAsia="Book Antiqua" w:hAnsi="Book Antiqua" w:cs="Book Antiqua"/>
          <w:color w:val="000000"/>
        </w:rPr>
        <w:t>mean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 in the present study was</w:t>
      </w:r>
      <w:r w:rsidR="001C1167">
        <w:rPr>
          <w:rFonts w:ascii="Book Antiqua" w:eastAsia="Book Antiqua" w:hAnsi="Book Antiqua" w:cs="Book Antiqua"/>
          <w:color w:val="000000"/>
        </w:rPr>
        <w:t xml:space="preserve"> the</w:t>
      </w:r>
      <w:r w:rsidRPr="00BC6A1C">
        <w:rPr>
          <w:rFonts w:ascii="Book Antiqua" w:eastAsia="Book Antiqua" w:hAnsi="Book Antiqua" w:cs="Book Antiqua"/>
          <w:color w:val="000000"/>
        </w:rPr>
        <w:t xml:space="preserve"> lowest in PMAs and highest in WTs, and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values of PMAs and WTs were significantly different from </w:t>
      </w:r>
      <w:r w:rsidR="001C1167">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other tumors</w:t>
      </w:r>
      <w:r w:rsidRPr="00BC6A1C">
        <w:rPr>
          <w:rFonts w:ascii="Book Antiqua" w:eastAsia="Book Antiqua" w:hAnsi="Book Antiqua" w:cs="Book Antiqua"/>
          <w:color w:val="000000"/>
          <w:vertAlign w:val="superscript"/>
        </w:rPr>
        <w:t>[3,13,14,28]</w:t>
      </w:r>
      <w:r w:rsidRPr="00BC6A1C">
        <w:rPr>
          <w:rFonts w:ascii="Book Antiqua" w:eastAsia="Book Antiqua" w:hAnsi="Book Antiqua" w:cs="Book Antiqua"/>
          <w:color w:val="000000"/>
        </w:rPr>
        <w:t xml:space="preserve">. Xu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Yabuuchi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001C1167" w:rsidRPr="00BC6A1C">
        <w:rPr>
          <w:rFonts w:ascii="Book Antiqua" w:eastAsia="Book Antiqua" w:hAnsi="Book Antiqua" w:cs="Book Antiqua"/>
          <w:color w:val="000000"/>
          <w:vertAlign w:val="superscript"/>
        </w:rPr>
        <w:t>]</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xml:space="preserve"> found that mean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of WTs were significantly lower than th</w:t>
      </w:r>
      <w:r w:rsidR="001C1167">
        <w:rPr>
          <w:rFonts w:ascii="Book Antiqua" w:eastAsia="Book Antiqua" w:hAnsi="Book Antiqua" w:cs="Book Antiqua"/>
          <w:color w:val="000000"/>
        </w:rPr>
        <w:t>ose</w:t>
      </w:r>
      <w:r w:rsidRPr="00BC6A1C">
        <w:rPr>
          <w:rFonts w:ascii="Book Antiqua" w:eastAsia="Book Antiqua" w:hAnsi="Book Antiqua" w:cs="Book Antiqua"/>
          <w:color w:val="000000"/>
        </w:rPr>
        <w:t xml:space="preserve"> of other tumors. Similar to the results of their studies</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the mean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 of WTs in the present study was significantly lower than th</w:t>
      </w:r>
      <w:r w:rsidR="001C1167">
        <w:rPr>
          <w:rFonts w:ascii="Book Antiqua" w:eastAsia="Book Antiqua" w:hAnsi="Book Antiqua" w:cs="Book Antiqua"/>
          <w:color w:val="000000"/>
        </w:rPr>
        <w:t>ose</w:t>
      </w:r>
      <w:r w:rsidRPr="00BC6A1C">
        <w:rPr>
          <w:rFonts w:ascii="Book Antiqua" w:eastAsia="Book Antiqua" w:hAnsi="Book Antiqua" w:cs="Book Antiqua"/>
          <w:color w:val="000000"/>
        </w:rPr>
        <w:t xml:space="preserve"> of other tumors</w:t>
      </w:r>
      <w:r w:rsidRPr="00BC6A1C">
        <w:rPr>
          <w:rFonts w:ascii="Book Antiqua" w:eastAsia="Book Antiqua" w:hAnsi="Book Antiqua" w:cs="Book Antiqua"/>
          <w:color w:val="000000"/>
          <w:vertAlign w:val="superscript"/>
        </w:rPr>
        <w:t>[3,14]</w:t>
      </w:r>
      <w:r w:rsidRPr="00BC6A1C">
        <w:rPr>
          <w:rFonts w:ascii="Book Antiqua" w:eastAsia="Book Antiqua" w:hAnsi="Book Antiqua" w:cs="Book Antiqua"/>
          <w:color w:val="000000"/>
        </w:rPr>
        <w:t xml:space="preserve">. In another study by 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[28]</w:t>
      </w:r>
      <w:r w:rsidRPr="00BC6A1C">
        <w:rPr>
          <w:rFonts w:ascii="Book Antiqua" w:eastAsia="Book Antiqua" w:hAnsi="Book Antiqua" w:cs="Book Antiqua"/>
          <w:color w:val="000000"/>
        </w:rPr>
        <w:t>, unlike other studies, the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 of WTs and the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of PMAs and OBTs were found to be significantly lower. In ROC analysis using a cut-off value of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 2.44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for WTs, the AUC, sensitivity</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were 97.3</w:t>
      </w:r>
      <w:r w:rsidR="008E3EB5" w:rsidRPr="00BC6A1C">
        <w:rPr>
          <w:rFonts w:ascii="Book Antiqua" w:eastAsia="Book Antiqua" w:hAnsi="Book Antiqua" w:cs="Book Antiqua"/>
          <w:color w:val="000000"/>
        </w:rPr>
        <w:t>%</w:t>
      </w:r>
      <w:r w:rsidRPr="00BC6A1C">
        <w:rPr>
          <w:rFonts w:ascii="Book Antiqua" w:eastAsia="Book Antiqua" w:hAnsi="Book Antiqua" w:cs="Book Antiqua"/>
          <w:color w:val="000000"/>
        </w:rPr>
        <w:t>, 100</w:t>
      </w:r>
      <w:r w:rsidR="00853FD4" w:rsidRPr="00BC6A1C">
        <w:rPr>
          <w:rFonts w:ascii="Book Antiqua" w:eastAsia="Book Antiqua" w:hAnsi="Book Antiqua" w:cs="Book Antiqua"/>
          <w:color w:val="000000"/>
        </w:rPr>
        <w:t>%</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85.5%, respectively. On the other hand, in ROC analysis using a cut-off value of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 0.17, quite high AUC, sensitivity</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values (95.8</w:t>
      </w:r>
      <w:r w:rsidR="008E3EB5" w:rsidRPr="00BC6A1C">
        <w:rPr>
          <w:rFonts w:ascii="Book Antiqua" w:hAnsi="Book Antiqua" w:cs="Book Antiqua"/>
          <w:color w:val="000000"/>
          <w:lang w:eastAsia="zh-CN"/>
        </w:rPr>
        <w:t>%</w:t>
      </w:r>
      <w:r w:rsidRPr="00BC6A1C">
        <w:rPr>
          <w:rFonts w:ascii="Book Antiqua" w:eastAsia="Book Antiqua" w:hAnsi="Book Antiqua" w:cs="Book Antiqua"/>
          <w:color w:val="000000"/>
        </w:rPr>
        <w:t>, 100</w:t>
      </w:r>
      <w:r w:rsidR="008E3EB5" w:rsidRPr="00BC6A1C">
        <w:rPr>
          <w:rFonts w:ascii="Book Antiqua" w:eastAsia="Book Antiqua" w:hAnsi="Book Antiqua" w:cs="Book Antiqua"/>
          <w:color w:val="000000"/>
        </w:rPr>
        <w:t>%</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90.9%, respectively) were obtained. High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and low V</w:t>
      </w:r>
      <w:r w:rsidRPr="00BC6A1C">
        <w:rPr>
          <w:rFonts w:ascii="Book Antiqua" w:eastAsia="Book Antiqua" w:hAnsi="Book Antiqua" w:cs="Book Antiqua"/>
          <w:color w:val="000000"/>
          <w:vertAlign w:val="subscript"/>
        </w:rPr>
        <w:t xml:space="preserve">e </w:t>
      </w:r>
      <w:r w:rsidRPr="00BC6A1C">
        <w:rPr>
          <w:rFonts w:ascii="Book Antiqua" w:eastAsia="Book Antiqua" w:hAnsi="Book Antiqua" w:cs="Book Antiqua"/>
          <w:color w:val="000000"/>
        </w:rPr>
        <w:t xml:space="preserve">values in WTs are explained by the limited extravascular and extracellular space </w:t>
      </w:r>
      <w:r w:rsidR="00EF2497">
        <w:rPr>
          <w:rFonts w:ascii="Book Antiqua" w:eastAsia="Book Antiqua" w:hAnsi="Book Antiqua" w:cs="Book Antiqua"/>
          <w:color w:val="000000"/>
        </w:rPr>
        <w:t>in</w:t>
      </w:r>
      <w:r w:rsidRPr="00BC6A1C">
        <w:rPr>
          <w:rFonts w:ascii="Book Antiqua" w:eastAsia="Book Antiqua" w:hAnsi="Book Antiqua" w:cs="Book Antiqua"/>
          <w:color w:val="000000"/>
        </w:rPr>
        <w:t xml:space="preserve"> these tumors. As many studies in the literature and the present study revealed, ADC and TIC patterns of WTs could overlap with those of MTs</w:t>
      </w:r>
      <w:r w:rsidRPr="00BC6A1C">
        <w:rPr>
          <w:rFonts w:ascii="Book Antiqua" w:eastAsia="Book Antiqua" w:hAnsi="Book Antiqua" w:cs="Book Antiqua"/>
          <w:color w:val="000000"/>
          <w:vertAlign w:val="superscript"/>
        </w:rPr>
        <w:t>[11]</w:t>
      </w:r>
      <w:r w:rsidRPr="00BC6A1C">
        <w:rPr>
          <w:rFonts w:ascii="Book Antiqua" w:eastAsia="Book Antiqua" w:hAnsi="Book Antiqua" w:cs="Book Antiqua"/>
          <w:color w:val="000000"/>
        </w:rPr>
        <w:t>. However, similar to the findings of the studies in the literature, the present study showed that quantitative perfusion MRI parameters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could contribute greatly to distinguishing WTs from MTs</w:t>
      </w:r>
      <w:r w:rsidRPr="00BC6A1C">
        <w:rPr>
          <w:rFonts w:ascii="Book Antiqua" w:eastAsia="Book Antiqua" w:hAnsi="Book Antiqua" w:cs="Book Antiqua"/>
          <w:color w:val="000000"/>
          <w:vertAlign w:val="superscript"/>
        </w:rPr>
        <w:t>[3,14,15]</w:t>
      </w:r>
      <w:r w:rsidRPr="00BC6A1C">
        <w:rPr>
          <w:rFonts w:ascii="Book Antiqua" w:eastAsia="Book Antiqua" w:hAnsi="Book Antiqua" w:cs="Book Antiqua"/>
          <w:color w:val="000000"/>
        </w:rPr>
        <w:t>. Nevertheless, our findings need to be verified by future quantitative perfusion MRI studies performed with larger series.</w:t>
      </w:r>
    </w:p>
    <w:p w14:paraId="4F96ACFD" w14:textId="5FD97112" w:rsidR="00A77B3E" w:rsidRPr="00BC6A1C" w:rsidRDefault="004563E1" w:rsidP="00BC6A1C">
      <w:pPr>
        <w:spacing w:line="360" w:lineRule="auto"/>
        <w:ind w:firstLineChars="100" w:firstLine="240"/>
        <w:jc w:val="both"/>
        <w:rPr>
          <w:rFonts w:ascii="Book Antiqua" w:hAnsi="Book Antiqua"/>
        </w:rPr>
      </w:pPr>
      <w:r w:rsidRPr="00BC6A1C">
        <w:rPr>
          <w:rFonts w:ascii="Book Antiqua" w:eastAsia="Book Antiqua" w:hAnsi="Book Antiqua" w:cs="Book Antiqua"/>
          <w:color w:val="000000"/>
        </w:rPr>
        <w:t xml:space="preserve">There are some limitations </w:t>
      </w:r>
      <w:r w:rsidR="007A2412">
        <w:rPr>
          <w:rFonts w:ascii="Book Antiqua" w:eastAsia="Book Antiqua" w:hAnsi="Book Antiqua" w:cs="Book Antiqua"/>
          <w:color w:val="000000"/>
        </w:rPr>
        <w:t>in</w:t>
      </w:r>
      <w:r w:rsidRPr="00BC6A1C">
        <w:rPr>
          <w:rFonts w:ascii="Book Antiqua" w:eastAsia="Book Antiqua" w:hAnsi="Book Antiqua" w:cs="Book Antiqua"/>
          <w:color w:val="000000"/>
        </w:rPr>
        <w:t xml:space="preserve"> this study. First, the parameters (number of dynamic series, acquisition time, </w:t>
      </w:r>
      <w:r w:rsidRPr="00BC6A1C">
        <w:rPr>
          <w:rFonts w:ascii="Book Antiqua" w:eastAsia="Book Antiqua" w:hAnsi="Book Antiqua" w:cs="Book Antiqua"/>
          <w:i/>
          <w:iCs/>
          <w:color w:val="000000"/>
        </w:rPr>
        <w:t>etc.</w:t>
      </w:r>
      <w:r w:rsidRPr="00BC6A1C">
        <w:rPr>
          <w:rFonts w:ascii="Book Antiqua" w:eastAsia="Book Antiqua" w:hAnsi="Book Antiqua" w:cs="Book Antiqua"/>
          <w:color w:val="000000"/>
        </w:rPr>
        <w:t xml:space="preserve">) varied on perfusion MRI series due to the retrospective nature of the study. Second, most of the tumors in our study were benign SGTs, and the </w:t>
      </w:r>
      <w:r w:rsidRPr="00BC6A1C">
        <w:rPr>
          <w:rFonts w:ascii="Book Antiqua" w:eastAsia="Book Antiqua" w:hAnsi="Book Antiqua" w:cs="Book Antiqua"/>
          <w:color w:val="000000"/>
        </w:rPr>
        <w:lastRenderedPageBreak/>
        <w:t xml:space="preserve">number of MTs in the primary salivary gland was relatively low, which may have resulted in an overestimation of the diagnostic accuracy. Third, the manual definition of ROI might have increased the variability in quantitative measurements. Although the cystic-necrotic components of the lesions were excluded from the ROI in our study, contamination of these areas can lead to significant changes in quantitative values, even if it is small in manual measurements. Fourth, </w:t>
      </w:r>
      <w:r w:rsidR="00A210B8">
        <w:rPr>
          <w:rFonts w:ascii="Book Antiqua" w:eastAsia="Book Antiqua" w:hAnsi="Book Antiqua" w:cs="Book Antiqua"/>
          <w:color w:val="000000"/>
        </w:rPr>
        <w:t>for</w:t>
      </w:r>
      <w:r w:rsidRPr="00BC6A1C">
        <w:rPr>
          <w:rFonts w:ascii="Book Antiqua" w:eastAsia="Book Antiqua" w:hAnsi="Book Antiqua" w:cs="Book Antiqua"/>
          <w:color w:val="000000"/>
        </w:rPr>
        <w:t xml:space="preserve"> the measurements of ADC values and semiquantitative and quantitative DCE perfusion MRI parameters, interobserver agreement could not be evaluated in the study </w:t>
      </w:r>
      <w:r w:rsidR="00A210B8">
        <w:rPr>
          <w:rFonts w:ascii="Book Antiqua" w:eastAsia="Book Antiqua" w:hAnsi="Book Antiqua" w:cs="Book Antiqua"/>
          <w:color w:val="000000"/>
        </w:rPr>
        <w:t>as</w:t>
      </w:r>
      <w:r w:rsidRPr="00BC6A1C">
        <w:rPr>
          <w:rFonts w:ascii="Book Antiqua" w:eastAsia="Book Antiqua" w:hAnsi="Book Antiqua" w:cs="Book Antiqua"/>
          <w:color w:val="000000"/>
        </w:rPr>
        <w:t xml:space="preserve"> the measurements were made by two observer</w:t>
      </w:r>
      <w:r w:rsidR="00A210B8">
        <w:rPr>
          <w:rFonts w:ascii="Book Antiqua" w:eastAsia="Book Antiqua" w:hAnsi="Book Antiqua" w:cs="Book Antiqua"/>
          <w:color w:val="000000"/>
        </w:rPr>
        <w:t>s</w:t>
      </w:r>
      <w:r w:rsidRPr="00BC6A1C">
        <w:rPr>
          <w:rFonts w:ascii="Book Antiqua" w:eastAsia="Book Antiqua" w:hAnsi="Book Antiqua" w:cs="Book Antiqua"/>
          <w:color w:val="000000"/>
        </w:rPr>
        <w:t xml:space="preserve"> with consensus.</w:t>
      </w:r>
    </w:p>
    <w:p w14:paraId="62775181" w14:textId="77777777" w:rsidR="00A77B3E" w:rsidRPr="00BC6A1C" w:rsidRDefault="00A77B3E" w:rsidP="00BC6A1C">
      <w:pPr>
        <w:spacing w:line="360" w:lineRule="auto"/>
        <w:jc w:val="both"/>
        <w:rPr>
          <w:rFonts w:ascii="Book Antiqua" w:hAnsi="Book Antiqua"/>
        </w:rPr>
      </w:pPr>
    </w:p>
    <w:p w14:paraId="167EBBC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CONCLUSION</w:t>
      </w:r>
    </w:p>
    <w:p w14:paraId="16F662B7" w14:textId="33D39F13"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Combined use of quantitative DCE MRI along with diffusion MRI and semiquantitative DCE MRI could help radiologists in </w:t>
      </w:r>
      <w:r w:rsidR="00A210B8">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differential diagnosis of different subtypes of SGTs </w:t>
      </w:r>
      <w:r w:rsidR="00A210B8">
        <w:rPr>
          <w:rFonts w:ascii="Book Antiqua" w:eastAsia="Book Antiqua" w:hAnsi="Book Antiqua" w:cs="Book Antiqua"/>
          <w:color w:val="000000"/>
        </w:rPr>
        <w:t>by</w:t>
      </w:r>
      <w:r w:rsidRPr="00BC6A1C">
        <w:rPr>
          <w:rFonts w:ascii="Book Antiqua" w:eastAsia="Book Antiqua" w:hAnsi="Book Antiqua" w:cs="Book Antiqua"/>
          <w:color w:val="000000"/>
        </w:rPr>
        <w:t xml:space="preserve"> providing higher diagnostic accuracy.</w:t>
      </w:r>
    </w:p>
    <w:p w14:paraId="0535BA69" w14:textId="77777777" w:rsidR="00A77B3E" w:rsidRPr="00BC6A1C" w:rsidRDefault="00A77B3E" w:rsidP="00BC6A1C">
      <w:pPr>
        <w:spacing w:line="360" w:lineRule="auto"/>
        <w:jc w:val="both"/>
        <w:rPr>
          <w:rFonts w:ascii="Book Antiqua" w:hAnsi="Book Antiqua"/>
        </w:rPr>
      </w:pPr>
    </w:p>
    <w:p w14:paraId="793CFCE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ARTICLE HIGHLIGHTS</w:t>
      </w:r>
    </w:p>
    <w:p w14:paraId="33BEEA9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background</w:t>
      </w:r>
    </w:p>
    <w:p w14:paraId="3E3A26AD" w14:textId="507B06B9"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Conventional magnetic resonance imaging (MRI) provides more data than other radiological modalities in determining the extent of tumor spread in salivary gland tumors (SGTs) and assessing its relationship to vascular and neural structures, but falls short of distinguishing subtypes of SGTs. </w:t>
      </w:r>
      <w:r w:rsidR="00A210B8">
        <w:rPr>
          <w:rFonts w:ascii="Book Antiqua" w:eastAsia="Book Antiqua" w:hAnsi="Book Antiqua" w:cs="Book Antiqua"/>
          <w:color w:val="000000"/>
        </w:rPr>
        <w:t>As the</w:t>
      </w:r>
      <w:r w:rsidRPr="00BC6A1C">
        <w:rPr>
          <w:rFonts w:ascii="Book Antiqua" w:eastAsia="Book Antiqua" w:hAnsi="Book Antiqua" w:cs="Book Antiqua"/>
          <w:color w:val="000000"/>
        </w:rPr>
        <w:t xml:space="preserve"> malignant or benign nature </w:t>
      </w:r>
      <w:r w:rsidR="00A210B8">
        <w:rPr>
          <w:rFonts w:ascii="Book Antiqua" w:eastAsia="Book Antiqua" w:hAnsi="Book Antiqua" w:cs="Book Antiqua"/>
          <w:color w:val="000000"/>
        </w:rPr>
        <w:t xml:space="preserve">of </w:t>
      </w:r>
      <w:r w:rsidR="00A210B8" w:rsidRPr="00BC6A1C">
        <w:rPr>
          <w:rFonts w:ascii="Book Antiqua" w:eastAsia="Book Antiqua" w:hAnsi="Book Antiqua" w:cs="Book Antiqua"/>
          <w:color w:val="000000"/>
        </w:rPr>
        <w:t xml:space="preserve">SGTs </w:t>
      </w:r>
      <w:r w:rsidRPr="00BC6A1C">
        <w:rPr>
          <w:rFonts w:ascii="Book Antiqua" w:eastAsia="Book Antiqua" w:hAnsi="Book Antiqua" w:cs="Book Antiqua"/>
          <w:color w:val="000000"/>
        </w:rPr>
        <w:t>affects the treatment protocol, it is important to differentiate between malignant (MTs) and benign tumors (BTs) noninvasively with high diagnostic accuracy.</w:t>
      </w:r>
    </w:p>
    <w:p w14:paraId="57EA9ECD" w14:textId="77777777" w:rsidR="00A77B3E" w:rsidRPr="00BC6A1C" w:rsidRDefault="00A77B3E" w:rsidP="00BC6A1C">
      <w:pPr>
        <w:spacing w:line="360" w:lineRule="auto"/>
        <w:jc w:val="both"/>
        <w:rPr>
          <w:rFonts w:ascii="Book Antiqua" w:hAnsi="Book Antiqua"/>
        </w:rPr>
      </w:pPr>
    </w:p>
    <w:p w14:paraId="5EDB042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motivation</w:t>
      </w:r>
    </w:p>
    <w:p w14:paraId="133B124E" w14:textId="514FE0D6"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In recent years, advanced MRI techniques such as diffusion-weighted imaging (DWI) and semi-quantitative MRI have been increasingly used in the radiological evaluation of SGTs. However, various studies on quantitative dynamic contrast-enhanced (DCE) perfusion MRI parameters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K</w:t>
      </w:r>
      <w:r w:rsidR="00F372BF" w:rsidRPr="00BC6A1C">
        <w:rPr>
          <w:rFonts w:ascii="Book Antiqua" w:eastAsia="Book Antiqua" w:hAnsi="Book Antiqua" w:cs="Book Antiqua"/>
          <w:color w:val="000000"/>
          <w:vertAlign w:val="subscript"/>
        </w:rPr>
        <w:t>ep</w:t>
      </w:r>
      <w:r w:rsidR="00F372BF">
        <w:rPr>
          <w:rFonts w:ascii="Book Antiqua" w:eastAsia="Book Antiqua" w:hAnsi="Book Antiqua" w:cs="Book Antiqua"/>
          <w:color w:val="000000"/>
        </w:rPr>
        <w:t xml:space="preserve">, </w:t>
      </w:r>
      <w:r w:rsidRPr="00BC6A1C">
        <w:rPr>
          <w:rFonts w:ascii="Book Antiqua" w:eastAsia="Book Antiqua" w:hAnsi="Book Antiqua" w:cs="Book Antiqua"/>
          <w:color w:val="000000"/>
        </w:rPr>
        <w:t>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in SGTs are limited. Therefore, in this study, the </w:t>
      </w:r>
      <w:r w:rsidRPr="00BC6A1C">
        <w:rPr>
          <w:rFonts w:ascii="Book Antiqua" w:eastAsia="Book Antiqua" w:hAnsi="Book Antiqua" w:cs="Book Antiqua"/>
          <w:color w:val="000000"/>
        </w:rPr>
        <w:lastRenderedPageBreak/>
        <w:t>effectiveness of advanced MRI applications, including all three methods, in the diagnosis of SGTs was evaluated in light of the literature.</w:t>
      </w:r>
    </w:p>
    <w:p w14:paraId="5C39EE69" w14:textId="77777777" w:rsidR="00A77B3E" w:rsidRPr="00BC6A1C" w:rsidRDefault="00A77B3E" w:rsidP="00BC6A1C">
      <w:pPr>
        <w:spacing w:line="360" w:lineRule="auto"/>
        <w:jc w:val="both"/>
        <w:rPr>
          <w:rFonts w:ascii="Book Antiqua" w:hAnsi="Book Antiqua"/>
        </w:rPr>
      </w:pPr>
    </w:p>
    <w:p w14:paraId="357C153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objectives</w:t>
      </w:r>
    </w:p>
    <w:p w14:paraId="7446244F" w14:textId="1933395A" w:rsidR="00A77B3E" w:rsidRPr="00BC6A1C" w:rsidRDefault="00F372BF" w:rsidP="00BC6A1C">
      <w:pPr>
        <w:spacing w:line="360" w:lineRule="auto"/>
        <w:jc w:val="both"/>
        <w:rPr>
          <w:rFonts w:ascii="Book Antiqua" w:hAnsi="Book Antiqua"/>
        </w:rPr>
      </w:pPr>
      <w:r>
        <w:rPr>
          <w:rFonts w:ascii="Book Antiqua" w:eastAsia="Book Antiqua" w:hAnsi="Book Antiqua" w:cs="Book Antiqua"/>
          <w:color w:val="000000"/>
        </w:rPr>
        <w:t>T</w:t>
      </w:r>
      <w:r w:rsidR="004563E1" w:rsidRPr="00BC6A1C">
        <w:rPr>
          <w:rFonts w:ascii="Book Antiqua" w:eastAsia="Book Antiqua" w:hAnsi="Book Antiqua" w:cs="Book Antiqua"/>
          <w:color w:val="000000"/>
        </w:rPr>
        <w:t>o determine the diagnostic efficiency of DWI</w:t>
      </w:r>
      <w:r>
        <w:rPr>
          <w:rFonts w:ascii="Book Antiqua" w:eastAsia="Book Antiqua" w:hAnsi="Book Antiqua" w:cs="Book Antiqua"/>
          <w:color w:val="000000"/>
        </w:rPr>
        <w:t xml:space="preserve"> and</w:t>
      </w:r>
      <w:r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DCE (semiquantitative perfusion) MRI and quantitative perfusion MRI parameters in SGTs.</w:t>
      </w:r>
    </w:p>
    <w:p w14:paraId="41EBE249" w14:textId="77777777" w:rsidR="00A77B3E" w:rsidRPr="00BC6A1C" w:rsidRDefault="00A77B3E" w:rsidP="00BC6A1C">
      <w:pPr>
        <w:spacing w:line="360" w:lineRule="auto"/>
        <w:jc w:val="both"/>
        <w:rPr>
          <w:rFonts w:ascii="Book Antiqua" w:hAnsi="Book Antiqua"/>
        </w:rPr>
      </w:pPr>
    </w:p>
    <w:p w14:paraId="1154E07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methods</w:t>
      </w:r>
    </w:p>
    <w:p w14:paraId="0033F5D3" w14:textId="574C8CFF"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Apparent diffusion coefficient (ADC) values of SGTs on DWI were measured with manually inserted </w:t>
      </w:r>
      <w:r w:rsidR="00A95048" w:rsidRPr="00BC6A1C">
        <w:rPr>
          <w:rFonts w:ascii="Book Antiqua" w:eastAsia="Book Antiqua" w:hAnsi="Book Antiqua" w:cs="Book Antiqua"/>
          <w:color w:val="000000"/>
        </w:rPr>
        <w:t>region</w:t>
      </w:r>
      <w:r w:rsidR="00A210B8">
        <w:rPr>
          <w:rFonts w:ascii="Book Antiqua" w:eastAsia="Book Antiqua" w:hAnsi="Book Antiqua" w:cs="Book Antiqua"/>
          <w:color w:val="000000"/>
        </w:rPr>
        <w:t>s</w:t>
      </w:r>
      <w:r w:rsidR="00A95048" w:rsidRPr="00BC6A1C">
        <w:rPr>
          <w:rFonts w:ascii="Book Antiqua" w:eastAsia="Book Antiqua" w:hAnsi="Book Antiqua" w:cs="Book Antiqua"/>
          <w:color w:val="000000"/>
        </w:rPr>
        <w:t xml:space="preserve"> of interest</w:t>
      </w:r>
      <w:r w:rsidRPr="00BC6A1C">
        <w:rPr>
          <w:rFonts w:ascii="Book Antiqua" w:eastAsia="Book Antiqua" w:hAnsi="Book Antiqua" w:cs="Book Antiqua"/>
          <w:color w:val="000000"/>
        </w:rPr>
        <w:t>, excluding the cystic components of the tumors. Time intensity curve (TIC) patterns were created for semiquantitative perfusion MRI based on T</w:t>
      </w:r>
      <w:r w:rsidRPr="00BC6A1C">
        <w:rPr>
          <w:rFonts w:ascii="Book Antiqua" w:eastAsia="Book Antiqua" w:hAnsi="Book Antiqua" w:cs="Book Antiqua"/>
          <w:color w:val="000000"/>
          <w:vertAlign w:val="subscript"/>
        </w:rPr>
        <w:t>peak</w:t>
      </w:r>
      <w:r w:rsidRPr="00BC6A1C">
        <w:rPr>
          <w:rFonts w:ascii="Book Antiqua" w:eastAsia="Book Antiqua" w:hAnsi="Book Antiqua" w:cs="Book Antiqua"/>
          <w:color w:val="000000"/>
        </w:rPr>
        <w:t xml:space="preserve"> and washout ratios</w:t>
      </w:r>
      <w:r w:rsidR="00C32D02" w:rsidRPr="00BC6A1C">
        <w:rPr>
          <w:rFonts w:ascii="Book Antiqua" w:eastAsia="Book Antiqua" w:hAnsi="Book Antiqua" w:cs="Book Antiqua"/>
          <w:color w:val="000000"/>
        </w:rPr>
        <w:t xml:space="preserve"> (WRs)</w:t>
      </w:r>
      <w:r w:rsidRPr="00BC6A1C">
        <w:rPr>
          <w:rFonts w:ascii="Book Antiqua" w:eastAsia="Book Antiqua" w:hAnsi="Book Antiqua" w:cs="Book Antiqua"/>
          <w:color w:val="000000"/>
        </w:rPr>
        <w:t xml:space="preserve"> of tumors. On quantitative DCE MRI, perfusion parameters such as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[volume transfer constant between blood plasma and extracellular extravascular space (EES)], 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(flux rate constant between the EES and plasma)</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(EES fractional volume) were used.</w:t>
      </w:r>
    </w:p>
    <w:p w14:paraId="646A42CB" w14:textId="77777777" w:rsidR="00A77B3E" w:rsidRPr="00BC6A1C" w:rsidRDefault="00A77B3E" w:rsidP="00BC6A1C">
      <w:pPr>
        <w:spacing w:line="360" w:lineRule="auto"/>
        <w:jc w:val="both"/>
        <w:rPr>
          <w:rFonts w:ascii="Book Antiqua" w:hAnsi="Book Antiqua"/>
        </w:rPr>
      </w:pPr>
    </w:p>
    <w:p w14:paraId="5B9146D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results</w:t>
      </w:r>
    </w:p>
    <w:p w14:paraId="6F581101" w14:textId="5D2BE120"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The ADC values of pleomorphic adenomas (PMAs) were significantly higher than th</w:t>
      </w:r>
      <w:r w:rsidR="00F372BF">
        <w:rPr>
          <w:rFonts w:ascii="Book Antiqua" w:eastAsia="Book Antiqua" w:hAnsi="Book Antiqua" w:cs="Book Antiqua"/>
          <w:color w:val="000000"/>
        </w:rPr>
        <w:t>ose</w:t>
      </w:r>
      <w:r w:rsidRPr="00BC6A1C">
        <w:rPr>
          <w:rFonts w:ascii="Book Antiqua" w:eastAsia="Book Antiqua" w:hAnsi="Book Antiqua" w:cs="Book Antiqua"/>
          <w:color w:val="000000"/>
        </w:rPr>
        <w:t xml:space="preserve"> of Warthin's tumors (WTs), other benign tumors (OBTs)</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However, there was no significant difference </w:t>
      </w:r>
      <w:r w:rsidR="00740B11">
        <w:rPr>
          <w:rFonts w:ascii="Book Antiqua" w:eastAsia="Book Antiqua" w:hAnsi="Book Antiqua" w:cs="Book Antiqua"/>
          <w:color w:val="000000"/>
        </w:rPr>
        <w:t>in</w:t>
      </w:r>
      <w:r w:rsidRPr="00BC6A1C">
        <w:rPr>
          <w:rFonts w:ascii="Book Antiqua" w:eastAsia="Book Antiqua" w:hAnsi="Book Antiqua" w:cs="Book Antiqua"/>
          <w:color w:val="000000"/>
        </w:rPr>
        <w:t xml:space="preserve"> ADC values </w:t>
      </w:r>
      <w:r w:rsidR="00740B11">
        <w:rPr>
          <w:rFonts w:ascii="Book Antiqua" w:eastAsia="Book Antiqua" w:hAnsi="Book Antiqua" w:cs="Book Antiqua"/>
          <w:color w:val="000000"/>
        </w:rPr>
        <w:t>for</w:t>
      </w:r>
      <w:r w:rsidRPr="00BC6A1C">
        <w:rPr>
          <w:rFonts w:ascii="Book Antiqua" w:eastAsia="Book Antiqua" w:hAnsi="Book Antiqua" w:cs="Book Antiqua"/>
          <w:color w:val="000000"/>
        </w:rPr>
        <w:t xml:space="preserve"> OBTs, WTs</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PMAs had type A and WTs had type B TIC pattern while the vast majority of MTs and OBTs (54.5</w:t>
      </w:r>
      <w:r w:rsidR="00A95048"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45.5%, respectively) displayed type C TIC pattern. PMAs showed no washout, while the highest mean </w:t>
      </w:r>
      <w:r w:rsidR="00C32D02" w:rsidRPr="00BC6A1C">
        <w:rPr>
          <w:rFonts w:ascii="Book Antiqua" w:eastAsia="Book Antiqua" w:hAnsi="Book Antiqua" w:cs="Book Antiqua"/>
          <w:color w:val="000000"/>
        </w:rPr>
        <w:t>WR</w:t>
      </w:r>
      <w:r w:rsidRPr="00BC6A1C">
        <w:rPr>
          <w:rFonts w:ascii="Book Antiqua" w:eastAsia="Book Antiqua" w:hAnsi="Book Antiqua" w:cs="Book Antiqua"/>
          <w:color w:val="000000"/>
        </w:rPr>
        <w:t xml:space="preserve"> was observed in WTs. For quantitative perfusion MRI parameters,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r w:rsidRPr="00BC6A1C">
        <w:rPr>
          <w:rFonts w:ascii="Book Antiqua" w:eastAsia="Book Antiqua" w:hAnsi="Book Antiqua" w:cs="Book Antiqua"/>
          <w:color w:val="000000"/>
        </w:rPr>
        <w:t xml:space="preserve"> value of WTs was significantly higher than </w:t>
      </w:r>
      <w:r w:rsidR="00F372BF">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other tumors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For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 WTs and OBTs differed significantly from PMAs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values of PMAs, WTs, OBTs</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were not significantly different. </w:t>
      </w:r>
    </w:p>
    <w:p w14:paraId="20913E37" w14:textId="77777777" w:rsidR="00A77B3E" w:rsidRPr="00BC6A1C" w:rsidRDefault="00A77B3E" w:rsidP="00BC6A1C">
      <w:pPr>
        <w:spacing w:line="360" w:lineRule="auto"/>
        <w:jc w:val="both"/>
        <w:rPr>
          <w:rFonts w:ascii="Book Antiqua" w:hAnsi="Book Antiqua"/>
        </w:rPr>
      </w:pPr>
    </w:p>
    <w:p w14:paraId="7F0C785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conclusions</w:t>
      </w:r>
    </w:p>
    <w:p w14:paraId="1C7213A0" w14:textId="7C2FDE6F"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lastRenderedPageBreak/>
        <w:t>DWI</w:t>
      </w:r>
      <w:r w:rsidR="00F372BF">
        <w:rPr>
          <w:rFonts w:ascii="Book Antiqua" w:eastAsia="Book Antiqua" w:hAnsi="Book Antiqua" w:cs="Book Antiqua"/>
          <w:color w:val="000000"/>
        </w:rPr>
        <w:t xml:space="preserve"> and</w:t>
      </w:r>
      <w:r w:rsidR="00F372BF"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semiquantitative and quantitative perfusion MRI</w:t>
      </w:r>
      <w:r w:rsidR="00646766">
        <w:rPr>
          <w:rFonts w:ascii="Book Antiqua" w:eastAsia="Book Antiqua" w:hAnsi="Book Antiqua" w:cs="Book Antiqua"/>
          <w:color w:val="000000"/>
        </w:rPr>
        <w:t>,</w:t>
      </w:r>
      <w:r w:rsidRPr="00BC6A1C">
        <w:rPr>
          <w:rFonts w:ascii="Book Antiqua" w:eastAsia="Book Antiqua" w:hAnsi="Book Antiqua" w:cs="Book Antiqua"/>
          <w:color w:val="000000"/>
        </w:rPr>
        <w:t xml:space="preserve"> which provide more information </w:t>
      </w:r>
      <w:r w:rsidR="00740B11">
        <w:rPr>
          <w:rFonts w:ascii="Book Antiqua" w:eastAsia="Book Antiqua" w:hAnsi="Book Antiqua" w:cs="Book Antiqua"/>
          <w:color w:val="000000"/>
        </w:rPr>
        <w:t>on</w:t>
      </w:r>
      <w:r w:rsidRPr="00BC6A1C">
        <w:rPr>
          <w:rFonts w:ascii="Book Antiqua" w:eastAsia="Book Antiqua" w:hAnsi="Book Antiqua" w:cs="Book Antiqua"/>
          <w:color w:val="000000"/>
        </w:rPr>
        <w:t xml:space="preserve"> the microstructure, cellularity, interstitial distance</w:t>
      </w:r>
      <w:r w:rsidR="00646766">
        <w:rPr>
          <w:rFonts w:ascii="Book Antiqua" w:eastAsia="Book Antiqua" w:hAnsi="Book Antiqua" w:cs="Book Antiqua"/>
          <w:color w:val="000000"/>
        </w:rPr>
        <w:t>,</w:t>
      </w:r>
      <w:r w:rsidRPr="00BC6A1C">
        <w:rPr>
          <w:rFonts w:ascii="Book Antiqua" w:eastAsia="Book Antiqua" w:hAnsi="Book Antiqua" w:cs="Book Antiqua"/>
          <w:color w:val="000000"/>
        </w:rPr>
        <w:t xml:space="preserve"> and vascularity of tumors, have increased the discrimination power </w:t>
      </w:r>
      <w:r w:rsidR="00740B11">
        <w:rPr>
          <w:rFonts w:ascii="Book Antiqua" w:eastAsia="Book Antiqua" w:hAnsi="Book Antiqua" w:cs="Book Antiqua"/>
          <w:color w:val="000000"/>
        </w:rPr>
        <w:t>for</w:t>
      </w:r>
      <w:r w:rsidRPr="00BC6A1C">
        <w:rPr>
          <w:rFonts w:ascii="Book Antiqua" w:eastAsia="Book Antiqua" w:hAnsi="Book Antiqua" w:cs="Book Antiqua"/>
          <w:color w:val="000000"/>
        </w:rPr>
        <w:t xml:space="preserve"> subtypes </w:t>
      </w:r>
      <w:r w:rsidR="00740B11">
        <w:rPr>
          <w:rFonts w:ascii="Book Antiqua" w:eastAsia="Book Antiqua" w:hAnsi="Book Antiqua" w:cs="Book Antiqua"/>
          <w:color w:val="000000"/>
        </w:rPr>
        <w:t xml:space="preserve">of </w:t>
      </w:r>
      <w:r w:rsidRPr="00BC6A1C">
        <w:rPr>
          <w:rFonts w:ascii="Book Antiqua" w:eastAsia="Book Antiqua" w:hAnsi="Book Antiqua" w:cs="Book Antiqua"/>
          <w:color w:val="000000"/>
        </w:rPr>
        <w:t>SGTs.</w:t>
      </w:r>
    </w:p>
    <w:p w14:paraId="5F67AF93" w14:textId="77777777" w:rsidR="00A77B3E" w:rsidRPr="00BC6A1C" w:rsidRDefault="00A77B3E" w:rsidP="00BC6A1C">
      <w:pPr>
        <w:spacing w:line="360" w:lineRule="auto"/>
        <w:jc w:val="both"/>
        <w:rPr>
          <w:rFonts w:ascii="Book Antiqua" w:hAnsi="Book Antiqua"/>
        </w:rPr>
      </w:pPr>
    </w:p>
    <w:p w14:paraId="27C77B1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perspectives</w:t>
      </w:r>
    </w:p>
    <w:p w14:paraId="2AC8D46E" w14:textId="53164FB0"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Although there is some overlap in the findings of the subtypes of SGTs obtained by advanced MRI methods, the combined use of DWI</w:t>
      </w:r>
      <w:r w:rsidR="00646766">
        <w:rPr>
          <w:rFonts w:ascii="Book Antiqua" w:eastAsia="Book Antiqua" w:hAnsi="Book Antiqua" w:cs="Book Antiqua"/>
          <w:color w:val="000000"/>
        </w:rPr>
        <w:t xml:space="preserve"> and</w:t>
      </w:r>
      <w:r w:rsidR="0064676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semiquantitative and quantitative perfusion MRI will increase the power </w:t>
      </w:r>
      <w:r w:rsidR="00740B11">
        <w:rPr>
          <w:rFonts w:ascii="Book Antiqua" w:eastAsia="Book Antiqua" w:hAnsi="Book Antiqua" w:cs="Book Antiqua"/>
          <w:color w:val="000000"/>
        </w:rPr>
        <w:t>for</w:t>
      </w:r>
      <w:r w:rsidRPr="00BC6A1C">
        <w:rPr>
          <w:rFonts w:ascii="Book Antiqua" w:eastAsia="Book Antiqua" w:hAnsi="Book Antiqua" w:cs="Book Antiqua"/>
          <w:color w:val="000000"/>
        </w:rPr>
        <w:t xml:space="preserve"> distinguishing subtypes of SGTs.</w:t>
      </w:r>
    </w:p>
    <w:p w14:paraId="758A3B9A" w14:textId="77777777" w:rsidR="00A77B3E" w:rsidRPr="00BC6A1C" w:rsidRDefault="00A77B3E" w:rsidP="00BC6A1C">
      <w:pPr>
        <w:spacing w:line="360" w:lineRule="auto"/>
        <w:jc w:val="both"/>
        <w:rPr>
          <w:rFonts w:ascii="Book Antiqua" w:hAnsi="Book Antiqua"/>
        </w:rPr>
      </w:pPr>
    </w:p>
    <w:p w14:paraId="531D734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ACKNOWLEDGEMENTS</w:t>
      </w:r>
    </w:p>
    <w:p w14:paraId="2BDBB5F8"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shd w:val="clear" w:color="auto" w:fill="FFFFFF"/>
        </w:rPr>
        <w:t>We thank Demir O and Gürpınar AB for their help with the statistical analyses.</w:t>
      </w:r>
    </w:p>
    <w:p w14:paraId="26E0C2C3" w14:textId="77777777" w:rsidR="00A77B3E" w:rsidRPr="00BC6A1C" w:rsidRDefault="00A77B3E" w:rsidP="00BC6A1C">
      <w:pPr>
        <w:spacing w:line="360" w:lineRule="auto"/>
        <w:jc w:val="both"/>
        <w:rPr>
          <w:rFonts w:ascii="Book Antiqua" w:hAnsi="Book Antiqua"/>
        </w:rPr>
      </w:pPr>
    </w:p>
    <w:p w14:paraId="179C7A4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REFERENCES</w:t>
      </w:r>
    </w:p>
    <w:p w14:paraId="690AA0B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 </w:t>
      </w:r>
      <w:r w:rsidRPr="00BC6A1C">
        <w:rPr>
          <w:rFonts w:ascii="Book Antiqua" w:eastAsia="Book Antiqua" w:hAnsi="Book Antiqua" w:cs="Book Antiqua"/>
          <w:b/>
          <w:bCs/>
          <w:color w:val="000000"/>
        </w:rPr>
        <w:t>Gökçe E</w:t>
      </w:r>
      <w:r w:rsidRPr="00BC6A1C">
        <w:rPr>
          <w:rFonts w:ascii="Book Antiqua" w:eastAsia="Book Antiqua" w:hAnsi="Book Antiqua" w:cs="Book Antiqua"/>
          <w:color w:val="000000"/>
        </w:rPr>
        <w:t xml:space="preserve">. Multiparametric Magnetic Resonance Imaging for the Diagnosis and Differential Diagnosis of Parotid Gland Tumors. </w:t>
      </w:r>
      <w:r w:rsidRPr="00BC6A1C">
        <w:rPr>
          <w:rFonts w:ascii="Book Antiqua" w:eastAsia="Book Antiqua" w:hAnsi="Book Antiqua" w:cs="Book Antiqua"/>
          <w:i/>
          <w:iCs/>
          <w:color w:val="000000"/>
        </w:rPr>
        <w:t>J Magn Reson Imaging</w:t>
      </w:r>
      <w:r w:rsidRPr="00BC6A1C">
        <w:rPr>
          <w:rFonts w:ascii="Book Antiqua" w:eastAsia="Book Antiqua" w:hAnsi="Book Antiqua" w:cs="Book Antiqua"/>
          <w:color w:val="000000"/>
        </w:rPr>
        <w:t xml:space="preserve"> 2020; </w:t>
      </w:r>
      <w:r w:rsidRPr="00BC6A1C">
        <w:rPr>
          <w:rFonts w:ascii="Book Antiqua" w:eastAsia="Book Antiqua" w:hAnsi="Book Antiqua" w:cs="Book Antiqua"/>
          <w:b/>
          <w:bCs/>
          <w:color w:val="000000"/>
        </w:rPr>
        <w:t>52</w:t>
      </w:r>
      <w:r w:rsidRPr="00BC6A1C">
        <w:rPr>
          <w:rFonts w:ascii="Book Antiqua" w:eastAsia="Book Antiqua" w:hAnsi="Book Antiqua" w:cs="Book Antiqua"/>
          <w:color w:val="000000"/>
        </w:rPr>
        <w:t>: 11-32 [PMID: 32065489 DOI: 10.1002/jmri.27061]</w:t>
      </w:r>
    </w:p>
    <w:p w14:paraId="57C3B66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 </w:t>
      </w:r>
      <w:r w:rsidRPr="00BC6A1C">
        <w:rPr>
          <w:rFonts w:ascii="Book Antiqua" w:eastAsia="Book Antiqua" w:hAnsi="Book Antiqua" w:cs="Book Antiqua"/>
          <w:b/>
          <w:bCs/>
          <w:color w:val="000000"/>
        </w:rPr>
        <w:t>Lobo R</w:t>
      </w:r>
      <w:r w:rsidRPr="00BC6A1C">
        <w:rPr>
          <w:rFonts w:ascii="Book Antiqua" w:eastAsia="Book Antiqua" w:hAnsi="Book Antiqua" w:cs="Book Antiqua"/>
          <w:color w:val="000000"/>
        </w:rPr>
        <w:t xml:space="preserve">, Hawk J, Srinivasan A. A Review of Salivary Gland Malignancies: Common Histologic Types, Anatomic Considerations, and Imaging Strategies. </w:t>
      </w:r>
      <w:r w:rsidRPr="00BC6A1C">
        <w:rPr>
          <w:rFonts w:ascii="Book Antiqua" w:eastAsia="Book Antiqua" w:hAnsi="Book Antiqua" w:cs="Book Antiqua"/>
          <w:i/>
          <w:iCs/>
          <w:color w:val="000000"/>
        </w:rPr>
        <w:t>Neuroimaging Clin N Am</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28</w:t>
      </w:r>
      <w:r w:rsidRPr="00BC6A1C">
        <w:rPr>
          <w:rFonts w:ascii="Book Antiqua" w:eastAsia="Book Antiqua" w:hAnsi="Book Antiqua" w:cs="Book Antiqua"/>
          <w:color w:val="000000"/>
        </w:rPr>
        <w:t>: 171-182 [PMID: 29622112 DOI: 10.1016/j.nic.2018.01.011]</w:t>
      </w:r>
    </w:p>
    <w:p w14:paraId="0A38D91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3 </w:t>
      </w:r>
      <w:r w:rsidRPr="00BC6A1C">
        <w:rPr>
          <w:rFonts w:ascii="Book Antiqua" w:eastAsia="Book Antiqua" w:hAnsi="Book Antiqua" w:cs="Book Antiqua"/>
          <w:b/>
          <w:bCs/>
          <w:color w:val="000000"/>
        </w:rPr>
        <w:t>Xu Z</w:t>
      </w:r>
      <w:r w:rsidRPr="00BC6A1C">
        <w:rPr>
          <w:rFonts w:ascii="Book Antiqua" w:eastAsia="Book Antiqua" w:hAnsi="Book Antiqua" w:cs="Book Antiqua"/>
          <w:color w:val="000000"/>
        </w:rPr>
        <w:t xml:space="preserve">, Zheng S, Pan A, Cheng X, Gao M. A multiparametric analysis based on DCE-MRI to improve the accuracy of parotid tumor discrimination. </w:t>
      </w:r>
      <w:r w:rsidRPr="00BC6A1C">
        <w:rPr>
          <w:rFonts w:ascii="Book Antiqua" w:eastAsia="Book Antiqua" w:hAnsi="Book Antiqua" w:cs="Book Antiqua"/>
          <w:i/>
          <w:iCs/>
          <w:color w:val="000000"/>
        </w:rPr>
        <w:t>Eur J Nucl Med Mol Imaging</w:t>
      </w:r>
      <w:r w:rsidRPr="00BC6A1C">
        <w:rPr>
          <w:rFonts w:ascii="Book Antiqua" w:eastAsia="Book Antiqua" w:hAnsi="Book Antiqua" w:cs="Book Antiqua"/>
          <w:color w:val="000000"/>
        </w:rPr>
        <w:t xml:space="preserve"> 2019; </w:t>
      </w:r>
      <w:r w:rsidRPr="00BC6A1C">
        <w:rPr>
          <w:rFonts w:ascii="Book Antiqua" w:eastAsia="Book Antiqua" w:hAnsi="Book Antiqua" w:cs="Book Antiqua"/>
          <w:b/>
          <w:bCs/>
          <w:color w:val="000000"/>
        </w:rPr>
        <w:t>46</w:t>
      </w:r>
      <w:r w:rsidRPr="00BC6A1C">
        <w:rPr>
          <w:rFonts w:ascii="Book Antiqua" w:eastAsia="Book Antiqua" w:hAnsi="Book Antiqua" w:cs="Book Antiqua"/>
          <w:color w:val="000000"/>
        </w:rPr>
        <w:t>: 2228-2234 [PMID: 31372671 DOI: 10.1007/s00259-019-04447-9]</w:t>
      </w:r>
    </w:p>
    <w:p w14:paraId="41EE35FB"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4 </w:t>
      </w:r>
      <w:r w:rsidRPr="00BC6A1C">
        <w:rPr>
          <w:rFonts w:ascii="Book Antiqua" w:eastAsia="Book Antiqua" w:hAnsi="Book Antiqua" w:cs="Book Antiqua"/>
          <w:b/>
          <w:bCs/>
          <w:color w:val="000000"/>
        </w:rPr>
        <w:t>Zheng N</w:t>
      </w:r>
      <w:r w:rsidRPr="00BC6A1C">
        <w:rPr>
          <w:rFonts w:ascii="Book Antiqua" w:eastAsia="Book Antiqua" w:hAnsi="Book Antiqua" w:cs="Book Antiqua"/>
          <w:color w:val="000000"/>
        </w:rPr>
        <w:t xml:space="preserve">, Li R, Liu W, Shao S, Jiang S. The diagnostic value of combining conventional, diffusion-weighted imaging and dynamic contrast-enhanced MRI for salivary gland tumors. </w:t>
      </w:r>
      <w:r w:rsidRPr="00BC6A1C">
        <w:rPr>
          <w:rFonts w:ascii="Book Antiqua" w:eastAsia="Book Antiqua" w:hAnsi="Book Antiqua" w:cs="Book Antiqua"/>
          <w:i/>
          <w:iCs/>
          <w:color w:val="000000"/>
        </w:rPr>
        <w:t>Br J Radiol</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91</w:t>
      </w:r>
      <w:r w:rsidRPr="00BC6A1C">
        <w:rPr>
          <w:rFonts w:ascii="Book Antiqua" w:eastAsia="Book Antiqua" w:hAnsi="Book Antiqua" w:cs="Book Antiqua"/>
          <w:color w:val="000000"/>
        </w:rPr>
        <w:t>: 20170707 [PMID: 29902075 DOI: 10.1259/bjr.20170707]</w:t>
      </w:r>
    </w:p>
    <w:p w14:paraId="6A99AF1B"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5 </w:t>
      </w:r>
      <w:r w:rsidRPr="00BC6A1C">
        <w:rPr>
          <w:rFonts w:ascii="Book Antiqua" w:eastAsia="Book Antiqua" w:hAnsi="Book Antiqua" w:cs="Book Antiqua"/>
          <w:b/>
          <w:bCs/>
          <w:color w:val="000000"/>
        </w:rPr>
        <w:t>Yabuuchi H</w:t>
      </w:r>
      <w:r w:rsidRPr="00BC6A1C">
        <w:rPr>
          <w:rFonts w:ascii="Book Antiqua" w:eastAsia="Book Antiqua" w:hAnsi="Book Antiqua" w:cs="Book Antiqua"/>
          <w:color w:val="000000"/>
        </w:rPr>
        <w:t xml:space="preserve">, Fukuya T, Tajima T, Hachitanda Y, Tomita K, Koga M. Salivary gland tumors: </w:t>
      </w:r>
      <w:r w:rsidR="007459CA" w:rsidRPr="00BC6A1C">
        <w:rPr>
          <w:rFonts w:ascii="Book Antiqua" w:eastAsia="Book Antiqua" w:hAnsi="Book Antiqua" w:cs="Book Antiqua"/>
          <w:color w:val="000000"/>
        </w:rPr>
        <w:t>D</w:t>
      </w:r>
      <w:r w:rsidRPr="00BC6A1C">
        <w:rPr>
          <w:rFonts w:ascii="Book Antiqua" w:eastAsia="Book Antiqua" w:hAnsi="Book Antiqua" w:cs="Book Antiqua"/>
          <w:color w:val="000000"/>
        </w:rPr>
        <w:t xml:space="preserve">iagnostic value of gadolinium-enhanced dynamic MR imaging with histopathologic correlation. </w:t>
      </w:r>
      <w:r w:rsidRPr="00BC6A1C">
        <w:rPr>
          <w:rFonts w:ascii="Book Antiqua" w:eastAsia="Book Antiqua" w:hAnsi="Book Antiqua" w:cs="Book Antiqua"/>
          <w:i/>
          <w:iCs/>
          <w:color w:val="000000"/>
        </w:rPr>
        <w:t>Radiology</w:t>
      </w:r>
      <w:r w:rsidRPr="00BC6A1C">
        <w:rPr>
          <w:rFonts w:ascii="Book Antiqua" w:eastAsia="Book Antiqua" w:hAnsi="Book Antiqua" w:cs="Book Antiqua"/>
          <w:color w:val="000000"/>
        </w:rPr>
        <w:t xml:space="preserve"> 2003; </w:t>
      </w:r>
      <w:r w:rsidRPr="00BC6A1C">
        <w:rPr>
          <w:rFonts w:ascii="Book Antiqua" w:eastAsia="Book Antiqua" w:hAnsi="Book Antiqua" w:cs="Book Antiqua"/>
          <w:b/>
          <w:bCs/>
          <w:color w:val="000000"/>
        </w:rPr>
        <w:t>226</w:t>
      </w:r>
      <w:r w:rsidRPr="00BC6A1C">
        <w:rPr>
          <w:rFonts w:ascii="Book Antiqua" w:eastAsia="Book Antiqua" w:hAnsi="Book Antiqua" w:cs="Book Antiqua"/>
          <w:color w:val="000000"/>
        </w:rPr>
        <w:t>: 345-354 [PMID: 12563124 DOI: 10.1148/radiol.2262011486]</w:t>
      </w:r>
    </w:p>
    <w:p w14:paraId="24DF7F3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lastRenderedPageBreak/>
        <w:t xml:space="preserve">6 </w:t>
      </w:r>
      <w:r w:rsidRPr="00BC6A1C">
        <w:rPr>
          <w:rFonts w:ascii="Book Antiqua" w:eastAsia="Book Antiqua" w:hAnsi="Book Antiqua" w:cs="Book Antiqua"/>
          <w:b/>
          <w:bCs/>
          <w:color w:val="000000"/>
        </w:rPr>
        <w:t>Lechner Goyault J</w:t>
      </w:r>
      <w:r w:rsidRPr="00BC6A1C">
        <w:rPr>
          <w:rFonts w:ascii="Book Antiqua" w:eastAsia="Book Antiqua" w:hAnsi="Book Antiqua" w:cs="Book Antiqua"/>
          <w:color w:val="000000"/>
        </w:rPr>
        <w:t xml:space="preserve">, Riehm S, Neuville A, Gentine A, Veillon F. Interest of diffusion-weighted and gadolinium-enhanced dynamic MR sequences for the diagnosis of parotid gland tumors. </w:t>
      </w:r>
      <w:r w:rsidRPr="00BC6A1C">
        <w:rPr>
          <w:rFonts w:ascii="Book Antiqua" w:eastAsia="Book Antiqua" w:hAnsi="Book Antiqua" w:cs="Book Antiqua"/>
          <w:i/>
          <w:iCs/>
          <w:color w:val="000000"/>
        </w:rPr>
        <w:t>J Neuroradiol</w:t>
      </w:r>
      <w:r w:rsidRPr="00BC6A1C">
        <w:rPr>
          <w:rFonts w:ascii="Book Antiqua" w:eastAsia="Book Antiqua" w:hAnsi="Book Antiqua" w:cs="Book Antiqua"/>
          <w:color w:val="000000"/>
        </w:rPr>
        <w:t xml:space="preserve"> 2011; </w:t>
      </w:r>
      <w:r w:rsidRPr="00BC6A1C">
        <w:rPr>
          <w:rFonts w:ascii="Book Antiqua" w:eastAsia="Book Antiqua" w:hAnsi="Book Antiqua" w:cs="Book Antiqua"/>
          <w:b/>
          <w:bCs/>
          <w:color w:val="000000"/>
        </w:rPr>
        <w:t>38</w:t>
      </w:r>
      <w:r w:rsidRPr="00BC6A1C">
        <w:rPr>
          <w:rFonts w:ascii="Book Antiqua" w:eastAsia="Book Antiqua" w:hAnsi="Book Antiqua" w:cs="Book Antiqua"/>
          <w:color w:val="000000"/>
        </w:rPr>
        <w:t>: 77-89 [PMID: 20542568 DOI: 10.1016/j.neurad.2009.10.005]</w:t>
      </w:r>
    </w:p>
    <w:p w14:paraId="2D213E99"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7 </w:t>
      </w:r>
      <w:r w:rsidRPr="00BC6A1C">
        <w:rPr>
          <w:rFonts w:ascii="Book Antiqua" w:eastAsia="Book Antiqua" w:hAnsi="Book Antiqua" w:cs="Book Antiqua"/>
          <w:b/>
          <w:bCs/>
          <w:color w:val="000000"/>
        </w:rPr>
        <w:t>Abdel Razek AA</w:t>
      </w:r>
      <w:r w:rsidRPr="00BC6A1C">
        <w:rPr>
          <w:rFonts w:ascii="Book Antiqua" w:eastAsia="Book Antiqua" w:hAnsi="Book Antiqua" w:cs="Book Antiqua"/>
          <w:color w:val="000000"/>
        </w:rPr>
        <w:t xml:space="preserve">, Samir S, Ashmalla GA. Characterization of Parotid Tumors With Dynamic Susceptibility Contrast Perfusion-Weighted Magnetic Resonance Imaging and Diffusion-Weighted MR Imaging. </w:t>
      </w:r>
      <w:r w:rsidRPr="00BC6A1C">
        <w:rPr>
          <w:rFonts w:ascii="Book Antiqua" w:eastAsia="Book Antiqua" w:hAnsi="Book Antiqua" w:cs="Book Antiqua"/>
          <w:i/>
          <w:iCs/>
          <w:color w:val="000000"/>
        </w:rPr>
        <w:t>J Comput Assist Tomogr</w:t>
      </w:r>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41</w:t>
      </w:r>
      <w:r w:rsidRPr="00BC6A1C">
        <w:rPr>
          <w:rFonts w:ascii="Book Antiqua" w:eastAsia="Book Antiqua" w:hAnsi="Book Antiqua" w:cs="Book Antiqua"/>
          <w:color w:val="000000"/>
        </w:rPr>
        <w:t>: 131-136 [PMID: 27636248 DOI: 10.1097/RCT.0000000000000486]</w:t>
      </w:r>
    </w:p>
    <w:p w14:paraId="6F6B3B9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8 </w:t>
      </w:r>
      <w:r w:rsidRPr="00BC6A1C">
        <w:rPr>
          <w:rFonts w:ascii="Book Antiqua" w:eastAsia="Book Antiqua" w:hAnsi="Book Antiqua" w:cs="Book Antiqua"/>
          <w:b/>
          <w:bCs/>
          <w:color w:val="000000"/>
        </w:rPr>
        <w:t>Yuan Y</w:t>
      </w:r>
      <w:r w:rsidRPr="00BC6A1C">
        <w:rPr>
          <w:rFonts w:ascii="Book Antiqua" w:eastAsia="Book Antiqua" w:hAnsi="Book Antiqua" w:cs="Book Antiqua"/>
          <w:color w:val="000000"/>
        </w:rPr>
        <w:t xml:space="preserve">, Tang W, Tao X. Parotid gland lesions: </w:t>
      </w:r>
      <w:r w:rsidR="007459CA"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eparate and combined diagnostic value of conventional MRI, diffusion-weighted imaging and dynamic contrast-enhanced MRI. </w:t>
      </w:r>
      <w:r w:rsidRPr="00BC6A1C">
        <w:rPr>
          <w:rFonts w:ascii="Book Antiqua" w:eastAsia="Book Antiqua" w:hAnsi="Book Antiqua" w:cs="Book Antiqua"/>
          <w:i/>
          <w:iCs/>
          <w:color w:val="000000"/>
        </w:rPr>
        <w:t>Br J Radiol</w:t>
      </w:r>
      <w:r w:rsidRPr="00BC6A1C">
        <w:rPr>
          <w:rFonts w:ascii="Book Antiqua" w:eastAsia="Book Antiqua" w:hAnsi="Book Antiqua" w:cs="Book Antiqua"/>
          <w:color w:val="000000"/>
        </w:rPr>
        <w:t xml:space="preserve"> 2016; </w:t>
      </w:r>
      <w:r w:rsidRPr="00BC6A1C">
        <w:rPr>
          <w:rFonts w:ascii="Book Antiqua" w:eastAsia="Book Antiqua" w:hAnsi="Book Antiqua" w:cs="Book Antiqua"/>
          <w:b/>
          <w:bCs/>
          <w:color w:val="000000"/>
        </w:rPr>
        <w:t>89</w:t>
      </w:r>
      <w:r w:rsidRPr="00BC6A1C">
        <w:rPr>
          <w:rFonts w:ascii="Book Antiqua" w:eastAsia="Book Antiqua" w:hAnsi="Book Antiqua" w:cs="Book Antiqua"/>
          <w:color w:val="000000"/>
        </w:rPr>
        <w:t>: 20150912 [PMID: 26892378 DOI: 10.1259/bjr.20150912]</w:t>
      </w:r>
    </w:p>
    <w:p w14:paraId="7FD9D8A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9 </w:t>
      </w:r>
      <w:r w:rsidRPr="00BC6A1C">
        <w:rPr>
          <w:rFonts w:ascii="Book Antiqua" w:eastAsia="Book Antiqua" w:hAnsi="Book Antiqua" w:cs="Book Antiqua"/>
          <w:b/>
          <w:bCs/>
          <w:color w:val="000000"/>
        </w:rPr>
        <w:t>Mikaszewski B</w:t>
      </w:r>
      <w:r w:rsidRPr="00BC6A1C">
        <w:rPr>
          <w:rFonts w:ascii="Book Antiqua" w:eastAsia="Book Antiqua" w:hAnsi="Book Antiqua" w:cs="Book Antiqua"/>
          <w:color w:val="000000"/>
        </w:rPr>
        <w:t xml:space="preserve">, Markiet K, Smugała A, Stodulski D, Szurowska E, Stankiewicz C. Diffusion- and Perfusion-Weighted Magnetic Resonance Imaging-An Alternative to Fine Needle Biopsy or Only an Adjunct Test in Preoperative Differential Diagnostics of Malignant and Benign Parotid Tumors? </w:t>
      </w:r>
      <w:r w:rsidRPr="00BC6A1C">
        <w:rPr>
          <w:rFonts w:ascii="Book Antiqua" w:eastAsia="Book Antiqua" w:hAnsi="Book Antiqua" w:cs="Book Antiqua"/>
          <w:i/>
          <w:iCs/>
          <w:color w:val="000000"/>
        </w:rPr>
        <w:t>J Oral Maxillofac Surg</w:t>
      </w:r>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75</w:t>
      </w:r>
      <w:r w:rsidRPr="00BC6A1C">
        <w:rPr>
          <w:rFonts w:ascii="Book Antiqua" w:eastAsia="Book Antiqua" w:hAnsi="Book Antiqua" w:cs="Book Antiqua"/>
          <w:color w:val="000000"/>
        </w:rPr>
        <w:t>: 2248-2253 [PMID: 28412261 DOI: 10.1016/j.joms.2017.03.018]</w:t>
      </w:r>
    </w:p>
    <w:p w14:paraId="635AA0B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10 </w:t>
      </w:r>
      <w:r w:rsidRPr="00BC6A1C">
        <w:rPr>
          <w:rFonts w:ascii="Book Antiqua" w:eastAsia="Book Antiqua" w:hAnsi="Book Antiqua" w:cs="Book Antiqua"/>
          <w:b/>
          <w:bCs/>
          <w:color w:val="000000"/>
        </w:rPr>
        <w:t>Yabuuchi H</w:t>
      </w:r>
      <w:r w:rsidRPr="00BC6A1C">
        <w:rPr>
          <w:rFonts w:ascii="Book Antiqua" w:eastAsia="Book Antiqua" w:hAnsi="Book Antiqua" w:cs="Book Antiqua"/>
          <w:color w:val="000000"/>
        </w:rPr>
        <w:t xml:space="preserve">, Matsuo Y, Kamitani T, Setoguchi T, Okafuji T, Soeda H, Sakai S, Hatakenaka M, Nakashima T, Oda Y, Honda H. Parotid gland tumors: </w:t>
      </w:r>
      <w:r w:rsidR="007459CA" w:rsidRPr="00BC6A1C">
        <w:rPr>
          <w:rFonts w:ascii="Book Antiqua" w:eastAsia="Book Antiqua" w:hAnsi="Book Antiqua" w:cs="Book Antiqua"/>
          <w:color w:val="000000"/>
        </w:rPr>
        <w:t>C</w:t>
      </w:r>
      <w:r w:rsidRPr="00BC6A1C">
        <w:rPr>
          <w:rFonts w:ascii="Book Antiqua" w:eastAsia="Book Antiqua" w:hAnsi="Book Antiqua" w:cs="Book Antiqua"/>
          <w:color w:val="000000"/>
        </w:rPr>
        <w:t xml:space="preserve">an addition of diffusion-weighted MR imaging to dynamic contrast-enhanced MR imaging improve diagnostic accuracy in characterization? </w:t>
      </w:r>
      <w:r w:rsidRPr="00BC6A1C">
        <w:rPr>
          <w:rFonts w:ascii="Book Antiqua" w:eastAsia="Book Antiqua" w:hAnsi="Book Antiqua" w:cs="Book Antiqua"/>
          <w:i/>
          <w:iCs/>
          <w:color w:val="000000"/>
        </w:rPr>
        <w:t>Radiology</w:t>
      </w:r>
      <w:r w:rsidRPr="00BC6A1C">
        <w:rPr>
          <w:rFonts w:ascii="Book Antiqua" w:eastAsia="Book Antiqua" w:hAnsi="Book Antiqua" w:cs="Book Antiqua"/>
          <w:color w:val="000000"/>
        </w:rPr>
        <w:t xml:space="preserve"> 2008; </w:t>
      </w:r>
      <w:r w:rsidRPr="00BC6A1C">
        <w:rPr>
          <w:rFonts w:ascii="Book Antiqua" w:eastAsia="Book Antiqua" w:hAnsi="Book Antiqua" w:cs="Book Antiqua"/>
          <w:b/>
          <w:bCs/>
          <w:color w:val="000000"/>
        </w:rPr>
        <w:t>249</w:t>
      </w:r>
      <w:r w:rsidRPr="00BC6A1C">
        <w:rPr>
          <w:rFonts w:ascii="Book Antiqua" w:eastAsia="Book Antiqua" w:hAnsi="Book Antiqua" w:cs="Book Antiqua"/>
          <w:color w:val="000000"/>
        </w:rPr>
        <w:t>: 909-916 [PMID: 18941162 DOI: 10.1148/radiol.2493072045]</w:t>
      </w:r>
    </w:p>
    <w:p w14:paraId="26D38E8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11 </w:t>
      </w:r>
      <w:r w:rsidR="001F25DB" w:rsidRPr="00BC6A1C">
        <w:rPr>
          <w:rFonts w:ascii="Book Antiqua" w:eastAsia="Book Antiqua" w:hAnsi="Book Antiqua" w:cs="Book Antiqua"/>
          <w:b/>
          <w:bCs/>
          <w:color w:val="000000"/>
        </w:rPr>
        <w:t xml:space="preserve">Gökçe E, </w:t>
      </w:r>
      <w:r w:rsidR="001F25DB" w:rsidRPr="00BC6A1C">
        <w:rPr>
          <w:rFonts w:ascii="Book Antiqua" w:eastAsia="Book Antiqua" w:hAnsi="Book Antiqua" w:cs="Book Antiqua"/>
          <w:bCs/>
          <w:color w:val="000000"/>
        </w:rPr>
        <w:t xml:space="preserve">Beyhan M. Advanced magnetic resonance imaging findings in salivary gland tumors. </w:t>
      </w:r>
      <w:r w:rsidR="001F25DB" w:rsidRPr="00BC6A1C">
        <w:rPr>
          <w:rFonts w:ascii="Book Antiqua" w:eastAsia="Book Antiqua" w:hAnsi="Book Antiqua" w:cs="Book Antiqua"/>
          <w:bCs/>
          <w:i/>
          <w:color w:val="000000"/>
        </w:rPr>
        <w:t>World J Radiol</w:t>
      </w:r>
      <w:r w:rsidR="001F25DB" w:rsidRPr="00BC6A1C">
        <w:rPr>
          <w:rFonts w:ascii="Book Antiqua" w:eastAsia="Book Antiqua" w:hAnsi="Book Antiqua" w:cs="Book Antiqua"/>
          <w:bCs/>
          <w:color w:val="000000"/>
        </w:rPr>
        <w:t xml:space="preserve"> 2022</w:t>
      </w:r>
      <w:r w:rsidR="001F25DB" w:rsidRPr="00BC6A1C">
        <w:rPr>
          <w:rFonts w:ascii="Book Antiqua" w:eastAsia="Book Antiqua" w:hAnsi="Book Antiqua" w:cs="Book Antiqua"/>
          <w:color w:val="000000"/>
        </w:rPr>
        <w:t xml:space="preserve">; </w:t>
      </w:r>
      <w:r w:rsidR="001F25DB" w:rsidRPr="00BC6A1C">
        <w:rPr>
          <w:rFonts w:ascii="Book Antiqua" w:eastAsia="Book Antiqua" w:hAnsi="Book Antiqua" w:cs="Book Antiqua"/>
          <w:b/>
          <w:bCs/>
          <w:color w:val="000000"/>
        </w:rPr>
        <w:t>14</w:t>
      </w:r>
      <w:r w:rsidR="001F25DB" w:rsidRPr="00BC6A1C">
        <w:rPr>
          <w:rFonts w:ascii="Book Antiqua" w:eastAsia="Book Antiqua" w:hAnsi="Book Antiqua" w:cs="Book Antiqua"/>
          <w:bCs/>
          <w:color w:val="000000"/>
        </w:rPr>
        <w:t xml:space="preserve">: 256-271 [PMID: 36160835 DOI: 10.4329/wjr.v14.i8.256] </w:t>
      </w:r>
    </w:p>
    <w:p w14:paraId="1D0F9DE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12 </w:t>
      </w:r>
      <w:r w:rsidRPr="00BC6A1C">
        <w:rPr>
          <w:rFonts w:ascii="Book Antiqua" w:eastAsia="Book Antiqua" w:hAnsi="Book Antiqua" w:cs="Book Antiqua"/>
          <w:b/>
          <w:bCs/>
          <w:color w:val="000000"/>
        </w:rPr>
        <w:t>Eida S</w:t>
      </w:r>
      <w:r w:rsidRPr="00BC6A1C">
        <w:rPr>
          <w:rFonts w:ascii="Book Antiqua" w:eastAsia="Book Antiqua" w:hAnsi="Book Antiqua" w:cs="Book Antiqua"/>
          <w:color w:val="000000"/>
        </w:rPr>
        <w:t xml:space="preserve">, Sumi M, Nakamura T. Multiparametric magnetic resonance imaging for the differentiation between benign and malignant salivary gland tumors. </w:t>
      </w:r>
      <w:r w:rsidRPr="00BC6A1C">
        <w:rPr>
          <w:rFonts w:ascii="Book Antiqua" w:eastAsia="Book Antiqua" w:hAnsi="Book Antiqua" w:cs="Book Antiqua"/>
          <w:i/>
          <w:iCs/>
          <w:color w:val="000000"/>
        </w:rPr>
        <w:t>J Magn Reson Imaging</w:t>
      </w:r>
      <w:r w:rsidRPr="00BC6A1C">
        <w:rPr>
          <w:rFonts w:ascii="Book Antiqua" w:eastAsia="Book Antiqua" w:hAnsi="Book Antiqua" w:cs="Book Antiqua"/>
          <w:color w:val="000000"/>
        </w:rPr>
        <w:t xml:space="preserve"> 2010; </w:t>
      </w:r>
      <w:r w:rsidRPr="00BC6A1C">
        <w:rPr>
          <w:rFonts w:ascii="Book Antiqua" w:eastAsia="Book Antiqua" w:hAnsi="Book Antiqua" w:cs="Book Antiqua"/>
          <w:b/>
          <w:bCs/>
          <w:color w:val="000000"/>
        </w:rPr>
        <w:t>31</w:t>
      </w:r>
      <w:r w:rsidRPr="00BC6A1C">
        <w:rPr>
          <w:rFonts w:ascii="Book Antiqua" w:eastAsia="Book Antiqua" w:hAnsi="Book Antiqua" w:cs="Book Antiqua"/>
          <w:color w:val="000000"/>
        </w:rPr>
        <w:t>: 673-679 [PMID: 20187211 DOI: 10.1002/jmri.22091]</w:t>
      </w:r>
    </w:p>
    <w:p w14:paraId="7B2A282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13 </w:t>
      </w:r>
      <w:r w:rsidRPr="00BC6A1C">
        <w:rPr>
          <w:rFonts w:ascii="Book Antiqua" w:eastAsia="Book Antiqua" w:hAnsi="Book Antiqua" w:cs="Book Antiqua"/>
          <w:b/>
          <w:bCs/>
          <w:color w:val="000000"/>
        </w:rPr>
        <w:t>Munhoz L</w:t>
      </w:r>
      <w:r w:rsidRPr="00BC6A1C">
        <w:rPr>
          <w:rFonts w:ascii="Book Antiqua" w:eastAsia="Book Antiqua" w:hAnsi="Book Antiqua" w:cs="Book Antiqua"/>
          <w:color w:val="000000"/>
        </w:rPr>
        <w:t xml:space="preserve">, Ramos EADA, Im DC, Hisatomi M, Yanagi Y, Asaumi J, Arita ES. Application of diffusion-weighted magnetic resonance imaging in the diagnosis of </w:t>
      </w:r>
      <w:r w:rsidRPr="00BC6A1C">
        <w:rPr>
          <w:rFonts w:ascii="Book Antiqua" w:eastAsia="Book Antiqua" w:hAnsi="Book Antiqua" w:cs="Book Antiqua"/>
          <w:color w:val="000000"/>
        </w:rPr>
        <w:lastRenderedPageBreak/>
        <w:t xml:space="preserve">salivary gland diseases: </w:t>
      </w:r>
      <w:r w:rsidR="001F2E7C" w:rsidRPr="00BC6A1C">
        <w:rPr>
          <w:rFonts w:ascii="Book Antiqua" w:eastAsia="Book Antiqua" w:hAnsi="Book Antiqua" w:cs="Book Antiqua"/>
          <w:color w:val="000000"/>
        </w:rPr>
        <w:t>A</w:t>
      </w:r>
      <w:r w:rsidRPr="00BC6A1C">
        <w:rPr>
          <w:rFonts w:ascii="Book Antiqua" w:eastAsia="Book Antiqua" w:hAnsi="Book Antiqua" w:cs="Book Antiqua"/>
          <w:color w:val="000000"/>
        </w:rPr>
        <w:t xml:space="preserve"> systematic review. </w:t>
      </w:r>
      <w:r w:rsidRPr="00BC6A1C">
        <w:rPr>
          <w:rFonts w:ascii="Book Antiqua" w:eastAsia="Book Antiqua" w:hAnsi="Book Antiqua" w:cs="Book Antiqua"/>
          <w:i/>
          <w:iCs/>
          <w:color w:val="000000"/>
        </w:rPr>
        <w:t>Oral Surg Oral Med Oral Pathol Oral Radiol</w:t>
      </w:r>
      <w:r w:rsidRPr="00BC6A1C">
        <w:rPr>
          <w:rFonts w:ascii="Book Antiqua" w:eastAsia="Book Antiqua" w:hAnsi="Book Antiqua" w:cs="Book Antiqua"/>
          <w:color w:val="000000"/>
        </w:rPr>
        <w:t xml:space="preserve"> 2019; </w:t>
      </w:r>
      <w:r w:rsidRPr="00BC6A1C">
        <w:rPr>
          <w:rFonts w:ascii="Book Antiqua" w:eastAsia="Book Antiqua" w:hAnsi="Book Antiqua" w:cs="Book Antiqua"/>
          <w:b/>
          <w:bCs/>
          <w:color w:val="000000"/>
        </w:rPr>
        <w:t>128</w:t>
      </w:r>
      <w:r w:rsidRPr="00BC6A1C">
        <w:rPr>
          <w:rFonts w:ascii="Book Antiqua" w:eastAsia="Book Antiqua" w:hAnsi="Book Antiqua" w:cs="Book Antiqua"/>
          <w:color w:val="000000"/>
        </w:rPr>
        <w:t>: 280-310 [PMID: 31029591 DOI: 10.1016/j.oooo.2019.02.020]</w:t>
      </w:r>
    </w:p>
    <w:p w14:paraId="1B53033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14 </w:t>
      </w:r>
      <w:r w:rsidRPr="00BC6A1C">
        <w:rPr>
          <w:rFonts w:ascii="Book Antiqua" w:eastAsia="Book Antiqua" w:hAnsi="Book Antiqua" w:cs="Book Antiqua"/>
          <w:b/>
          <w:bCs/>
          <w:color w:val="000000"/>
        </w:rPr>
        <w:t>Yabuuchi H</w:t>
      </w:r>
      <w:r w:rsidRPr="00BC6A1C">
        <w:rPr>
          <w:rFonts w:ascii="Book Antiqua" w:eastAsia="Book Antiqua" w:hAnsi="Book Antiqua" w:cs="Book Antiqua"/>
          <w:color w:val="000000"/>
        </w:rPr>
        <w:t xml:space="preserve">, Kamitani T, Sagiyama K, Yamasaki Y, Hida T, Matsuura Y, Hino T, Murayama Y, Yasumatsu R, Yamamoto H. Characterization of parotid gland tumors: </w:t>
      </w:r>
      <w:r w:rsidR="005678B5" w:rsidRPr="00BC6A1C">
        <w:rPr>
          <w:rFonts w:ascii="Book Antiqua" w:eastAsia="Book Antiqua" w:hAnsi="Book Antiqua" w:cs="Book Antiqua"/>
          <w:color w:val="000000"/>
        </w:rPr>
        <w:t>A</w:t>
      </w:r>
      <w:r w:rsidRPr="00BC6A1C">
        <w:rPr>
          <w:rFonts w:ascii="Book Antiqua" w:eastAsia="Book Antiqua" w:hAnsi="Book Antiqua" w:cs="Book Antiqua"/>
          <w:color w:val="000000"/>
        </w:rPr>
        <w:t xml:space="preserve">dded value of permeability MR imaging to DWI and DCE-MRI. </w:t>
      </w:r>
      <w:r w:rsidRPr="00BC6A1C">
        <w:rPr>
          <w:rFonts w:ascii="Book Antiqua" w:eastAsia="Book Antiqua" w:hAnsi="Book Antiqua" w:cs="Book Antiqua"/>
          <w:i/>
          <w:iCs/>
          <w:color w:val="000000"/>
        </w:rPr>
        <w:t>Eur Radiol</w:t>
      </w:r>
      <w:r w:rsidRPr="00BC6A1C">
        <w:rPr>
          <w:rFonts w:ascii="Book Antiqua" w:eastAsia="Book Antiqua" w:hAnsi="Book Antiqua" w:cs="Book Antiqua"/>
          <w:color w:val="000000"/>
        </w:rPr>
        <w:t xml:space="preserve"> 2020; </w:t>
      </w:r>
      <w:r w:rsidRPr="00BC6A1C">
        <w:rPr>
          <w:rFonts w:ascii="Book Antiqua" w:eastAsia="Book Antiqua" w:hAnsi="Book Antiqua" w:cs="Book Antiqua"/>
          <w:b/>
          <w:bCs/>
          <w:color w:val="000000"/>
        </w:rPr>
        <w:t>30</w:t>
      </w:r>
      <w:r w:rsidRPr="00BC6A1C">
        <w:rPr>
          <w:rFonts w:ascii="Book Antiqua" w:eastAsia="Book Antiqua" w:hAnsi="Book Antiqua" w:cs="Book Antiqua"/>
          <w:color w:val="000000"/>
        </w:rPr>
        <w:t>: 6402-6412 [PMID: 32613285 DOI: 10.1007/s00330-020-07004-3]</w:t>
      </w:r>
    </w:p>
    <w:p w14:paraId="5AAFEEE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15 </w:t>
      </w:r>
      <w:r w:rsidRPr="00BC6A1C">
        <w:rPr>
          <w:rFonts w:ascii="Book Antiqua" w:eastAsia="Book Antiqua" w:hAnsi="Book Antiqua" w:cs="Book Antiqua"/>
          <w:b/>
          <w:bCs/>
          <w:color w:val="000000"/>
        </w:rPr>
        <w:t>Huang N</w:t>
      </w:r>
      <w:r w:rsidRPr="00BC6A1C">
        <w:rPr>
          <w:rFonts w:ascii="Book Antiqua" w:eastAsia="Book Antiqua" w:hAnsi="Book Antiqua" w:cs="Book Antiqua"/>
          <w:color w:val="000000"/>
        </w:rPr>
        <w:t xml:space="preserve">, Xiao Z, Chen Y, She D, Guo W, Yang X, Chen Q, Cao D, Chen T. Quantitative dynamic contrast-enhanced MRI and readout segmentation of long variable echo-trains diffusion-weighted imaging in differentiating parotid gland tumors. </w:t>
      </w:r>
      <w:r w:rsidRPr="00BC6A1C">
        <w:rPr>
          <w:rFonts w:ascii="Book Antiqua" w:eastAsia="Book Antiqua" w:hAnsi="Book Antiqua" w:cs="Book Antiqua"/>
          <w:i/>
          <w:iCs/>
          <w:color w:val="000000"/>
        </w:rPr>
        <w:t>Neuroradiology</w:t>
      </w:r>
      <w:r w:rsidRPr="00BC6A1C">
        <w:rPr>
          <w:rFonts w:ascii="Book Antiqua" w:eastAsia="Book Antiqua" w:hAnsi="Book Antiqua" w:cs="Book Antiqua"/>
          <w:color w:val="000000"/>
        </w:rPr>
        <w:t xml:space="preserve"> 2021; </w:t>
      </w:r>
      <w:r w:rsidRPr="00BC6A1C">
        <w:rPr>
          <w:rFonts w:ascii="Book Antiqua" w:eastAsia="Book Antiqua" w:hAnsi="Book Antiqua" w:cs="Book Antiqua"/>
          <w:b/>
          <w:bCs/>
          <w:color w:val="000000"/>
        </w:rPr>
        <w:t>63</w:t>
      </w:r>
      <w:r w:rsidRPr="00BC6A1C">
        <w:rPr>
          <w:rFonts w:ascii="Book Antiqua" w:eastAsia="Book Antiqua" w:hAnsi="Book Antiqua" w:cs="Book Antiqua"/>
          <w:color w:val="000000"/>
        </w:rPr>
        <w:t>: 1709-1719 [PMID: 34241661 DOI: 10.1007/s00234-021-02758-z]</w:t>
      </w:r>
    </w:p>
    <w:p w14:paraId="2A6E345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16 </w:t>
      </w:r>
      <w:r w:rsidRPr="00BC6A1C">
        <w:rPr>
          <w:rFonts w:ascii="Book Antiqua" w:eastAsia="Book Antiqua" w:hAnsi="Book Antiqua" w:cs="Book Antiqua"/>
          <w:b/>
          <w:bCs/>
          <w:color w:val="000000"/>
        </w:rPr>
        <w:t>Tofts PS</w:t>
      </w:r>
      <w:r w:rsidRPr="00BC6A1C">
        <w:rPr>
          <w:rFonts w:ascii="Book Antiqua" w:eastAsia="Book Antiqua" w:hAnsi="Book Antiqua" w:cs="Book Antiqua"/>
          <w:color w:val="000000"/>
        </w:rPr>
        <w:t xml:space="preserve">, Brix G, Buckley DL, Evelhoch JL, Henderson E, Knopp MV, Larsson HB, Lee TY, Mayr NA, Parker GJ, Port RE, Taylor J, Weisskoff RM. Estimating kinetic parameters from dynamic contrast-enhanced T(1)-weighted MRI of a diffusable tracer: </w:t>
      </w:r>
      <w:r w:rsidR="005678B5"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tandardized quantities and symbols. </w:t>
      </w:r>
      <w:r w:rsidRPr="00BC6A1C">
        <w:rPr>
          <w:rFonts w:ascii="Book Antiqua" w:eastAsia="Book Antiqua" w:hAnsi="Book Antiqua" w:cs="Book Antiqua"/>
          <w:i/>
          <w:iCs/>
          <w:color w:val="000000"/>
        </w:rPr>
        <w:t>J Magn Reson Imaging</w:t>
      </w:r>
      <w:r w:rsidRPr="00BC6A1C">
        <w:rPr>
          <w:rFonts w:ascii="Book Antiqua" w:eastAsia="Book Antiqua" w:hAnsi="Book Antiqua" w:cs="Book Antiqua"/>
          <w:color w:val="000000"/>
        </w:rPr>
        <w:t xml:space="preserve"> 1999; </w:t>
      </w:r>
      <w:r w:rsidRPr="00BC6A1C">
        <w:rPr>
          <w:rFonts w:ascii="Book Antiqua" w:eastAsia="Book Antiqua" w:hAnsi="Book Antiqua" w:cs="Book Antiqua"/>
          <w:b/>
          <w:bCs/>
          <w:color w:val="000000"/>
        </w:rPr>
        <w:t>10</w:t>
      </w:r>
      <w:r w:rsidRPr="00BC6A1C">
        <w:rPr>
          <w:rFonts w:ascii="Book Antiqua" w:eastAsia="Book Antiqua" w:hAnsi="Book Antiqua" w:cs="Book Antiqua"/>
          <w:color w:val="000000"/>
        </w:rPr>
        <w:t>: 223-232 [PMID: 10508281 DOI: 10.1002/(sici)1522-2586(199909)10:3&lt;223::aid-jmri2&gt;3.0.co;2-s]</w:t>
      </w:r>
    </w:p>
    <w:p w14:paraId="60DBE96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17 </w:t>
      </w:r>
      <w:r w:rsidRPr="00BC6A1C">
        <w:rPr>
          <w:rFonts w:ascii="Book Antiqua" w:eastAsia="Book Antiqua" w:hAnsi="Book Antiqua" w:cs="Book Antiqua"/>
          <w:b/>
          <w:bCs/>
          <w:color w:val="000000"/>
        </w:rPr>
        <w:t>Celebi I</w:t>
      </w:r>
      <w:r w:rsidRPr="00BC6A1C">
        <w:rPr>
          <w:rFonts w:ascii="Book Antiqua" w:eastAsia="Book Antiqua" w:hAnsi="Book Antiqua" w:cs="Book Antiqua"/>
          <w:color w:val="000000"/>
        </w:rPr>
        <w:t xml:space="preserve">, Mahmutoglu AS, Ucgul A, Ulusay SM, Basak T, Basak M. Quantitative diffusion-weighted magnetic resonance imaging in the evaluation of parotid gland masses: </w:t>
      </w:r>
      <w:r w:rsidR="005678B5" w:rsidRPr="00BC6A1C">
        <w:rPr>
          <w:rFonts w:ascii="Book Antiqua" w:eastAsia="Book Antiqua" w:hAnsi="Book Antiqua" w:cs="Book Antiqua"/>
          <w:color w:val="000000"/>
        </w:rPr>
        <w:t>A</w:t>
      </w:r>
      <w:r w:rsidRPr="00BC6A1C">
        <w:rPr>
          <w:rFonts w:ascii="Book Antiqua" w:eastAsia="Book Antiqua" w:hAnsi="Book Antiqua" w:cs="Book Antiqua"/>
          <w:color w:val="000000"/>
        </w:rPr>
        <w:t xml:space="preserve"> study with histopathological correlation. </w:t>
      </w:r>
      <w:r w:rsidRPr="00BC6A1C">
        <w:rPr>
          <w:rFonts w:ascii="Book Antiqua" w:eastAsia="Book Antiqua" w:hAnsi="Book Antiqua" w:cs="Book Antiqua"/>
          <w:i/>
          <w:iCs/>
          <w:color w:val="000000"/>
        </w:rPr>
        <w:t>Clin Imaging</w:t>
      </w:r>
      <w:r w:rsidRPr="00BC6A1C">
        <w:rPr>
          <w:rFonts w:ascii="Book Antiqua" w:eastAsia="Book Antiqua" w:hAnsi="Book Antiqua" w:cs="Book Antiqua"/>
          <w:color w:val="000000"/>
        </w:rPr>
        <w:t xml:space="preserve"> 2013; </w:t>
      </w:r>
      <w:r w:rsidRPr="00BC6A1C">
        <w:rPr>
          <w:rFonts w:ascii="Book Antiqua" w:eastAsia="Book Antiqua" w:hAnsi="Book Antiqua" w:cs="Book Antiqua"/>
          <w:b/>
          <w:bCs/>
          <w:color w:val="000000"/>
        </w:rPr>
        <w:t>37</w:t>
      </w:r>
      <w:r w:rsidRPr="00BC6A1C">
        <w:rPr>
          <w:rFonts w:ascii="Book Antiqua" w:eastAsia="Book Antiqua" w:hAnsi="Book Antiqua" w:cs="Book Antiqua"/>
          <w:color w:val="000000"/>
        </w:rPr>
        <w:t>: 232-238 [PMID: 23465973 DOI: 10.1016/j.clinimag.2012.04.025]</w:t>
      </w:r>
    </w:p>
    <w:p w14:paraId="6F967D98"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18 </w:t>
      </w:r>
      <w:r w:rsidRPr="00BC6A1C">
        <w:rPr>
          <w:rFonts w:ascii="Book Antiqua" w:eastAsia="Book Antiqua" w:hAnsi="Book Antiqua" w:cs="Book Antiqua"/>
          <w:b/>
          <w:bCs/>
          <w:color w:val="000000"/>
        </w:rPr>
        <w:t>Assili S</w:t>
      </w:r>
      <w:r w:rsidRPr="00BC6A1C">
        <w:rPr>
          <w:rFonts w:ascii="Book Antiqua" w:eastAsia="Book Antiqua" w:hAnsi="Book Antiqua" w:cs="Book Antiqua"/>
          <w:color w:val="000000"/>
        </w:rPr>
        <w:t xml:space="preserve">, Fathi Kazerooni A, Aghaghazvini L, Saligheh Rad HR, Pirayesh Islamian J. Dynamic Contrast Magnetic Resonance Imaging (DCE-MRI) and Diffusion Weighted MR Imaging (DWI) for Differentiation between Benign and Malignant Salivary Gland Tumors. </w:t>
      </w:r>
      <w:r w:rsidRPr="00BC6A1C">
        <w:rPr>
          <w:rFonts w:ascii="Book Antiqua" w:eastAsia="Book Antiqua" w:hAnsi="Book Antiqua" w:cs="Book Antiqua"/>
          <w:i/>
          <w:iCs/>
          <w:color w:val="000000"/>
        </w:rPr>
        <w:t>J Biomed Phys Eng</w:t>
      </w:r>
      <w:r w:rsidRPr="00BC6A1C">
        <w:rPr>
          <w:rFonts w:ascii="Book Antiqua" w:eastAsia="Book Antiqua" w:hAnsi="Book Antiqua" w:cs="Book Antiqua"/>
          <w:color w:val="000000"/>
        </w:rPr>
        <w:t xml:space="preserve"> 2015; </w:t>
      </w:r>
      <w:r w:rsidRPr="00BC6A1C">
        <w:rPr>
          <w:rFonts w:ascii="Book Antiqua" w:eastAsia="Book Antiqua" w:hAnsi="Book Antiqua" w:cs="Book Antiqua"/>
          <w:b/>
          <w:bCs/>
          <w:color w:val="000000"/>
        </w:rPr>
        <w:t>5</w:t>
      </w:r>
      <w:r w:rsidRPr="00BC6A1C">
        <w:rPr>
          <w:rFonts w:ascii="Book Antiqua" w:eastAsia="Book Antiqua" w:hAnsi="Book Antiqua" w:cs="Book Antiqua"/>
          <w:color w:val="000000"/>
        </w:rPr>
        <w:t>: 157-168 [PMID: 26688794]</w:t>
      </w:r>
    </w:p>
    <w:p w14:paraId="7B5D143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19 </w:t>
      </w:r>
      <w:r w:rsidRPr="00BC6A1C">
        <w:rPr>
          <w:rFonts w:ascii="Book Antiqua" w:eastAsia="Book Antiqua" w:hAnsi="Book Antiqua" w:cs="Book Antiqua"/>
          <w:b/>
          <w:bCs/>
          <w:color w:val="000000"/>
        </w:rPr>
        <w:t>Milad P</w:t>
      </w:r>
      <w:r w:rsidRPr="00BC6A1C">
        <w:rPr>
          <w:rFonts w:ascii="Book Antiqua" w:eastAsia="Book Antiqua" w:hAnsi="Book Antiqua" w:cs="Book Antiqua"/>
          <w:color w:val="000000"/>
        </w:rPr>
        <w:t xml:space="preserve">, Elbegiermy M, Shokry T, Mahmoud H, Kamal I, Taha MS, Keriakos N. The added value of pretreatment DW MRI in characterization of salivary glands pathologies. </w:t>
      </w:r>
      <w:r w:rsidRPr="00BC6A1C">
        <w:rPr>
          <w:rFonts w:ascii="Book Antiqua" w:eastAsia="Book Antiqua" w:hAnsi="Book Antiqua" w:cs="Book Antiqua"/>
          <w:i/>
          <w:iCs/>
          <w:color w:val="000000"/>
        </w:rPr>
        <w:t>Am J Otolaryngol</w:t>
      </w:r>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38</w:t>
      </w:r>
      <w:r w:rsidRPr="00BC6A1C">
        <w:rPr>
          <w:rFonts w:ascii="Book Antiqua" w:eastAsia="Book Antiqua" w:hAnsi="Book Antiqua" w:cs="Book Antiqua"/>
          <w:color w:val="000000"/>
        </w:rPr>
        <w:t>: 13-20 [PMID: 27806890 DOI: 10.1016/j.amjoto.2016.09.002]</w:t>
      </w:r>
    </w:p>
    <w:p w14:paraId="3CDEA19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20 </w:t>
      </w:r>
      <w:r w:rsidRPr="00BC6A1C">
        <w:rPr>
          <w:rFonts w:ascii="Book Antiqua" w:eastAsia="Book Antiqua" w:hAnsi="Book Antiqua" w:cs="Book Antiqua"/>
          <w:b/>
          <w:bCs/>
          <w:color w:val="000000"/>
        </w:rPr>
        <w:t>Tao X</w:t>
      </w:r>
      <w:r w:rsidRPr="00BC6A1C">
        <w:rPr>
          <w:rFonts w:ascii="Book Antiqua" w:eastAsia="Book Antiqua" w:hAnsi="Book Antiqua" w:cs="Book Antiqua"/>
          <w:color w:val="000000"/>
        </w:rPr>
        <w:t xml:space="preserve">, Yang G, Wang P, Wu Y, Zhu W, Shi H, Gong X, Gao W, Yu Q. The value of combining conventional, diffusion-weighted and dynamic contrast-enhanced MR </w:t>
      </w:r>
      <w:r w:rsidRPr="00BC6A1C">
        <w:rPr>
          <w:rFonts w:ascii="Book Antiqua" w:eastAsia="Book Antiqua" w:hAnsi="Book Antiqua" w:cs="Book Antiqua"/>
          <w:color w:val="000000"/>
        </w:rPr>
        <w:lastRenderedPageBreak/>
        <w:t xml:space="preserve">imaging for the diagnosis of parotid gland tumours. </w:t>
      </w:r>
      <w:r w:rsidRPr="00BC6A1C">
        <w:rPr>
          <w:rFonts w:ascii="Book Antiqua" w:eastAsia="Book Antiqua" w:hAnsi="Book Antiqua" w:cs="Book Antiqua"/>
          <w:i/>
          <w:iCs/>
          <w:color w:val="000000"/>
        </w:rPr>
        <w:t>Dentomaxillofac Radiol</w:t>
      </w:r>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46</w:t>
      </w:r>
      <w:r w:rsidRPr="00BC6A1C">
        <w:rPr>
          <w:rFonts w:ascii="Book Antiqua" w:eastAsia="Book Antiqua" w:hAnsi="Book Antiqua" w:cs="Book Antiqua"/>
          <w:color w:val="000000"/>
        </w:rPr>
        <w:t>: 20160434 [PMID: 28299943 DOI: 10.1259/dmfr.20160434]</w:t>
      </w:r>
    </w:p>
    <w:p w14:paraId="43EAA6B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21 </w:t>
      </w:r>
      <w:r w:rsidRPr="00BC6A1C">
        <w:rPr>
          <w:rFonts w:ascii="Book Antiqua" w:eastAsia="Book Antiqua" w:hAnsi="Book Antiqua" w:cs="Book Antiqua"/>
          <w:b/>
          <w:bCs/>
          <w:color w:val="000000"/>
        </w:rPr>
        <w:t>Eida S</w:t>
      </w:r>
      <w:r w:rsidRPr="00BC6A1C">
        <w:rPr>
          <w:rFonts w:ascii="Book Antiqua" w:eastAsia="Book Antiqua" w:hAnsi="Book Antiqua" w:cs="Book Antiqua"/>
          <w:color w:val="000000"/>
        </w:rPr>
        <w:t xml:space="preserve">, Sumi M, Sakihama N, Takahashi H, Nakamura T. Apparent diffusion coefficient mapping of salivary gland tumors: </w:t>
      </w:r>
      <w:r w:rsidR="005678B5" w:rsidRPr="00BC6A1C">
        <w:rPr>
          <w:rFonts w:ascii="Book Antiqua" w:eastAsia="Book Antiqua" w:hAnsi="Book Antiqua" w:cs="Book Antiqua"/>
          <w:color w:val="000000"/>
        </w:rPr>
        <w:t>P</w:t>
      </w:r>
      <w:r w:rsidRPr="00BC6A1C">
        <w:rPr>
          <w:rFonts w:ascii="Book Antiqua" w:eastAsia="Book Antiqua" w:hAnsi="Book Antiqua" w:cs="Book Antiqua"/>
          <w:color w:val="000000"/>
        </w:rPr>
        <w:t xml:space="preserve">rediction of the benignancy and malignancy. </w:t>
      </w:r>
      <w:r w:rsidRPr="00BC6A1C">
        <w:rPr>
          <w:rFonts w:ascii="Book Antiqua" w:eastAsia="Book Antiqua" w:hAnsi="Book Antiqua" w:cs="Book Antiqua"/>
          <w:i/>
          <w:iCs/>
          <w:color w:val="000000"/>
        </w:rPr>
        <w:t>AJNR Am J Neuroradiol</w:t>
      </w:r>
      <w:r w:rsidRPr="00BC6A1C">
        <w:rPr>
          <w:rFonts w:ascii="Book Antiqua" w:eastAsia="Book Antiqua" w:hAnsi="Book Antiqua" w:cs="Book Antiqua"/>
          <w:color w:val="000000"/>
        </w:rPr>
        <w:t xml:space="preserve"> 2007; </w:t>
      </w:r>
      <w:r w:rsidRPr="00BC6A1C">
        <w:rPr>
          <w:rFonts w:ascii="Book Antiqua" w:eastAsia="Book Antiqua" w:hAnsi="Book Antiqua" w:cs="Book Antiqua"/>
          <w:b/>
          <w:bCs/>
          <w:color w:val="000000"/>
        </w:rPr>
        <w:t>28</w:t>
      </w:r>
      <w:r w:rsidRPr="00BC6A1C">
        <w:rPr>
          <w:rFonts w:ascii="Book Antiqua" w:eastAsia="Book Antiqua" w:hAnsi="Book Antiqua" w:cs="Book Antiqua"/>
          <w:color w:val="000000"/>
        </w:rPr>
        <w:t>: 116-121 [PMID: 17213436]</w:t>
      </w:r>
    </w:p>
    <w:p w14:paraId="1C0B0B3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22 </w:t>
      </w:r>
      <w:r w:rsidRPr="00BC6A1C">
        <w:rPr>
          <w:rFonts w:ascii="Book Antiqua" w:eastAsia="Book Antiqua" w:hAnsi="Book Antiqua" w:cs="Book Antiqua"/>
          <w:b/>
          <w:bCs/>
          <w:color w:val="000000"/>
        </w:rPr>
        <w:t>Elmokadem AH</w:t>
      </w:r>
      <w:r w:rsidRPr="00BC6A1C">
        <w:rPr>
          <w:rFonts w:ascii="Book Antiqua" w:eastAsia="Book Antiqua" w:hAnsi="Book Antiqua" w:cs="Book Antiqua"/>
          <w:color w:val="000000"/>
        </w:rPr>
        <w:t xml:space="preserve">, Abdel Khalek AM, Abdel Wahab RM, Tharwat N, Gaballa GM, Elata MA, Amer T. Diagnostic Accuracy of Multiparametric Magnetic Resonance Imaging for Differentiation Between Parotid Neoplasms. </w:t>
      </w:r>
      <w:r w:rsidRPr="00BC6A1C">
        <w:rPr>
          <w:rFonts w:ascii="Book Antiqua" w:eastAsia="Book Antiqua" w:hAnsi="Book Antiqua" w:cs="Book Antiqua"/>
          <w:i/>
          <w:iCs/>
          <w:color w:val="000000"/>
        </w:rPr>
        <w:t>Can Assoc Radiol J</w:t>
      </w:r>
      <w:r w:rsidRPr="00BC6A1C">
        <w:rPr>
          <w:rFonts w:ascii="Book Antiqua" w:eastAsia="Book Antiqua" w:hAnsi="Book Antiqua" w:cs="Book Antiqua"/>
          <w:color w:val="000000"/>
        </w:rPr>
        <w:t xml:space="preserve"> 2019; </w:t>
      </w:r>
      <w:r w:rsidRPr="00BC6A1C">
        <w:rPr>
          <w:rFonts w:ascii="Book Antiqua" w:eastAsia="Book Antiqua" w:hAnsi="Book Antiqua" w:cs="Book Antiqua"/>
          <w:b/>
          <w:bCs/>
          <w:color w:val="000000"/>
        </w:rPr>
        <w:t>70</w:t>
      </w:r>
      <w:r w:rsidRPr="00BC6A1C">
        <w:rPr>
          <w:rFonts w:ascii="Book Antiqua" w:eastAsia="Book Antiqua" w:hAnsi="Book Antiqua" w:cs="Book Antiqua"/>
          <w:color w:val="000000"/>
        </w:rPr>
        <w:t>: 264-272 [PMID: 30922790 DOI: 10.1016/j.carj.2018.10.010]</w:t>
      </w:r>
    </w:p>
    <w:p w14:paraId="6EBAB238"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23 </w:t>
      </w:r>
      <w:r w:rsidRPr="00BC6A1C">
        <w:rPr>
          <w:rFonts w:ascii="Book Antiqua" w:eastAsia="Book Antiqua" w:hAnsi="Book Antiqua" w:cs="Book Antiqua"/>
          <w:b/>
          <w:bCs/>
          <w:color w:val="000000"/>
        </w:rPr>
        <w:t>Habermann CR</w:t>
      </w:r>
      <w:r w:rsidRPr="00BC6A1C">
        <w:rPr>
          <w:rFonts w:ascii="Book Antiqua" w:eastAsia="Book Antiqua" w:hAnsi="Book Antiqua" w:cs="Book Antiqua"/>
          <w:color w:val="000000"/>
        </w:rPr>
        <w:t xml:space="preserve">, Arndt C, Graessner J, Diestel L, Petersen KU, Reitmeier F, Ussmueller JO, Adam G, Jaehne M. Diffusion-weighted echo-planar MR imaging of primary parotid gland tumors: </w:t>
      </w:r>
      <w:r w:rsidR="005678B5" w:rsidRPr="00BC6A1C">
        <w:rPr>
          <w:rFonts w:ascii="Book Antiqua" w:eastAsia="Book Antiqua" w:hAnsi="Book Antiqua" w:cs="Book Antiqua"/>
          <w:color w:val="000000"/>
        </w:rPr>
        <w:t>I</w:t>
      </w:r>
      <w:r w:rsidRPr="00BC6A1C">
        <w:rPr>
          <w:rFonts w:ascii="Book Antiqua" w:eastAsia="Book Antiqua" w:hAnsi="Book Antiqua" w:cs="Book Antiqua"/>
          <w:color w:val="000000"/>
        </w:rPr>
        <w:t xml:space="preserve">s a prediction of different histologic subtypes possible? </w:t>
      </w:r>
      <w:r w:rsidRPr="00BC6A1C">
        <w:rPr>
          <w:rFonts w:ascii="Book Antiqua" w:eastAsia="Book Antiqua" w:hAnsi="Book Antiqua" w:cs="Book Antiqua"/>
          <w:i/>
          <w:iCs/>
          <w:color w:val="000000"/>
        </w:rPr>
        <w:t>AJNR Am J Neuroradiol</w:t>
      </w:r>
      <w:r w:rsidRPr="00BC6A1C">
        <w:rPr>
          <w:rFonts w:ascii="Book Antiqua" w:eastAsia="Book Antiqua" w:hAnsi="Book Antiqua" w:cs="Book Antiqua"/>
          <w:color w:val="000000"/>
        </w:rPr>
        <w:t xml:space="preserve"> 2009; </w:t>
      </w:r>
      <w:r w:rsidRPr="00BC6A1C">
        <w:rPr>
          <w:rFonts w:ascii="Book Antiqua" w:eastAsia="Book Antiqua" w:hAnsi="Book Antiqua" w:cs="Book Antiqua"/>
          <w:b/>
          <w:bCs/>
          <w:color w:val="000000"/>
        </w:rPr>
        <w:t>30</w:t>
      </w:r>
      <w:r w:rsidRPr="00BC6A1C">
        <w:rPr>
          <w:rFonts w:ascii="Book Antiqua" w:eastAsia="Book Antiqua" w:hAnsi="Book Antiqua" w:cs="Book Antiqua"/>
          <w:color w:val="000000"/>
        </w:rPr>
        <w:t>: 591-596 [PMID: 19131405 DOI: 10.3174/ajnr.A1412]</w:t>
      </w:r>
    </w:p>
    <w:p w14:paraId="0B53FBB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24 </w:t>
      </w:r>
      <w:r w:rsidRPr="00BC6A1C">
        <w:rPr>
          <w:rFonts w:ascii="Book Antiqua" w:eastAsia="Book Antiqua" w:hAnsi="Book Antiqua" w:cs="Book Antiqua"/>
          <w:b/>
          <w:bCs/>
          <w:color w:val="000000"/>
        </w:rPr>
        <w:t>Faheem MH,</w:t>
      </w:r>
      <w:r w:rsidRPr="00BC6A1C">
        <w:rPr>
          <w:rFonts w:ascii="Book Antiqua" w:eastAsia="Book Antiqua" w:hAnsi="Book Antiqua" w:cs="Book Antiqua"/>
          <w:color w:val="000000"/>
        </w:rPr>
        <w:t xml:space="preserve"> Shady S, Refaat MM. Role of magnetic resonance imaging (MRI) including diffusion weighted images (DWIs) in assessment of parotid gland masses with histopathological correlation. </w:t>
      </w:r>
      <w:r w:rsidRPr="00BC6A1C">
        <w:rPr>
          <w:rFonts w:ascii="Book Antiqua" w:eastAsia="Book Antiqua" w:hAnsi="Book Antiqua" w:cs="Book Antiqua"/>
          <w:i/>
          <w:color w:val="000000"/>
        </w:rPr>
        <w:t>Egypt J Radiol Nucl Med</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color w:val="000000"/>
        </w:rPr>
        <w:t>49</w:t>
      </w:r>
      <w:r w:rsidRPr="00BC6A1C">
        <w:rPr>
          <w:rFonts w:ascii="Book Antiqua" w:eastAsia="Book Antiqua" w:hAnsi="Book Antiqua" w:cs="Book Antiqua"/>
          <w:color w:val="000000"/>
        </w:rPr>
        <w:t>: 368-373 [DOI: 10.1016/j.ejrnm.2018.03.001]</w:t>
      </w:r>
    </w:p>
    <w:p w14:paraId="2FED62F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25 </w:t>
      </w:r>
      <w:r w:rsidRPr="00BC6A1C">
        <w:rPr>
          <w:rFonts w:ascii="Book Antiqua" w:eastAsia="Book Antiqua" w:hAnsi="Book Antiqua" w:cs="Book Antiqua"/>
          <w:b/>
          <w:bCs/>
          <w:color w:val="000000"/>
        </w:rPr>
        <w:t>Ogawa T</w:t>
      </w:r>
      <w:r w:rsidRPr="00BC6A1C">
        <w:rPr>
          <w:rFonts w:ascii="Book Antiqua" w:eastAsia="Book Antiqua" w:hAnsi="Book Antiqua" w:cs="Book Antiqua"/>
          <w:color w:val="000000"/>
        </w:rPr>
        <w:t xml:space="preserve">, Kojima I, Ishii R, Sakamoto M, Murata T, Suzuki T, Kato K, Nakanome A, Ohkoshi A, Ishida E, Kakehata S, Shiga K, Katori Y. Clinical utility of dynamic-enhanced MRI in salivary gland tumors: </w:t>
      </w:r>
      <w:r w:rsidR="005678B5" w:rsidRPr="00BC6A1C">
        <w:rPr>
          <w:rFonts w:ascii="Book Antiqua" w:eastAsia="Book Antiqua" w:hAnsi="Book Antiqua" w:cs="Book Antiqua"/>
          <w:color w:val="000000"/>
        </w:rPr>
        <w:t>R</w:t>
      </w:r>
      <w:r w:rsidRPr="00BC6A1C">
        <w:rPr>
          <w:rFonts w:ascii="Book Antiqua" w:eastAsia="Book Antiqua" w:hAnsi="Book Antiqua" w:cs="Book Antiqua"/>
          <w:color w:val="000000"/>
        </w:rPr>
        <w:t xml:space="preserve">etrospective study and literature review. </w:t>
      </w:r>
      <w:r w:rsidRPr="00BC6A1C">
        <w:rPr>
          <w:rFonts w:ascii="Book Antiqua" w:eastAsia="Book Antiqua" w:hAnsi="Book Antiqua" w:cs="Book Antiqua"/>
          <w:i/>
          <w:iCs/>
          <w:color w:val="000000"/>
        </w:rPr>
        <w:t>Eur Arch Otorhinolaryngol</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275</w:t>
      </w:r>
      <w:r w:rsidRPr="00BC6A1C">
        <w:rPr>
          <w:rFonts w:ascii="Book Antiqua" w:eastAsia="Book Antiqua" w:hAnsi="Book Antiqua" w:cs="Book Antiqua"/>
          <w:color w:val="000000"/>
        </w:rPr>
        <w:t>: 1613-1621 [PMID: 29623392 DOI: 10.1007/s00405-018-4965-9]</w:t>
      </w:r>
    </w:p>
    <w:p w14:paraId="40FB823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26 </w:t>
      </w:r>
      <w:r w:rsidRPr="00BC6A1C">
        <w:rPr>
          <w:rFonts w:ascii="Book Antiqua" w:eastAsia="Book Antiqua" w:hAnsi="Book Antiqua" w:cs="Book Antiqua"/>
          <w:b/>
          <w:bCs/>
          <w:color w:val="000000"/>
        </w:rPr>
        <w:t>Lam PD</w:t>
      </w:r>
      <w:r w:rsidRPr="00BC6A1C">
        <w:rPr>
          <w:rFonts w:ascii="Book Antiqua" w:eastAsia="Book Antiqua" w:hAnsi="Book Antiqua" w:cs="Book Antiqua"/>
          <w:color w:val="000000"/>
        </w:rPr>
        <w:t xml:space="preserve">, Kuribayashi A, Imaizumi A, Sakamoto J, Sumi Y, Yoshino N, Kurabayashi T. Differentiating benign and malignant salivary gland tumours: </w:t>
      </w:r>
      <w:r w:rsidR="005678B5" w:rsidRPr="00BC6A1C">
        <w:rPr>
          <w:rFonts w:ascii="Book Antiqua" w:eastAsia="Book Antiqua" w:hAnsi="Book Antiqua" w:cs="Book Antiqua"/>
          <w:color w:val="000000"/>
        </w:rPr>
        <w:t>D</w:t>
      </w:r>
      <w:r w:rsidRPr="00BC6A1C">
        <w:rPr>
          <w:rFonts w:ascii="Book Antiqua" w:eastAsia="Book Antiqua" w:hAnsi="Book Antiqua" w:cs="Book Antiqua"/>
          <w:color w:val="000000"/>
        </w:rPr>
        <w:t xml:space="preserve">iagnostic criteria and the accuracy of dynamic contrast-enhanced MRI with high temporal resolution. </w:t>
      </w:r>
      <w:r w:rsidRPr="00BC6A1C">
        <w:rPr>
          <w:rFonts w:ascii="Book Antiqua" w:eastAsia="Book Antiqua" w:hAnsi="Book Antiqua" w:cs="Book Antiqua"/>
          <w:i/>
          <w:iCs/>
          <w:color w:val="000000"/>
        </w:rPr>
        <w:t>Br J Radiol</w:t>
      </w:r>
      <w:r w:rsidRPr="00BC6A1C">
        <w:rPr>
          <w:rFonts w:ascii="Book Antiqua" w:eastAsia="Book Antiqua" w:hAnsi="Book Antiqua" w:cs="Book Antiqua"/>
          <w:color w:val="000000"/>
        </w:rPr>
        <w:t xml:space="preserve"> 2015; </w:t>
      </w:r>
      <w:r w:rsidRPr="00BC6A1C">
        <w:rPr>
          <w:rFonts w:ascii="Book Antiqua" w:eastAsia="Book Antiqua" w:hAnsi="Book Antiqua" w:cs="Book Antiqua"/>
          <w:b/>
          <w:bCs/>
          <w:color w:val="000000"/>
        </w:rPr>
        <w:t>88</w:t>
      </w:r>
      <w:r w:rsidRPr="00BC6A1C">
        <w:rPr>
          <w:rFonts w:ascii="Book Antiqua" w:eastAsia="Book Antiqua" w:hAnsi="Book Antiqua" w:cs="Book Antiqua"/>
          <w:color w:val="000000"/>
        </w:rPr>
        <w:t>: 20140685 [PMID: 25791568 DOI: 10.1259/bjr.20140685]</w:t>
      </w:r>
    </w:p>
    <w:p w14:paraId="0BC0417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27 </w:t>
      </w:r>
      <w:r w:rsidRPr="00BC6A1C">
        <w:rPr>
          <w:rFonts w:ascii="Book Antiqua" w:eastAsia="Book Antiqua" w:hAnsi="Book Antiqua" w:cs="Book Antiqua"/>
          <w:b/>
          <w:bCs/>
          <w:color w:val="000000"/>
        </w:rPr>
        <w:t>Abdel Razek AAK</w:t>
      </w:r>
      <w:r w:rsidRPr="00BC6A1C">
        <w:rPr>
          <w:rFonts w:ascii="Book Antiqua" w:eastAsia="Book Antiqua" w:hAnsi="Book Antiqua" w:cs="Book Antiqua"/>
          <w:color w:val="000000"/>
        </w:rPr>
        <w:t xml:space="preserve">, Mukherji SK. State-of-the-Art Imaging of Salivary Gland Tumors. </w:t>
      </w:r>
      <w:r w:rsidRPr="00BC6A1C">
        <w:rPr>
          <w:rFonts w:ascii="Book Antiqua" w:eastAsia="Book Antiqua" w:hAnsi="Book Antiqua" w:cs="Book Antiqua"/>
          <w:i/>
          <w:iCs/>
          <w:color w:val="000000"/>
        </w:rPr>
        <w:t>Neuroimaging Clin N Am</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28</w:t>
      </w:r>
      <w:r w:rsidRPr="00BC6A1C">
        <w:rPr>
          <w:rFonts w:ascii="Book Antiqua" w:eastAsia="Book Antiqua" w:hAnsi="Book Antiqua" w:cs="Book Antiqua"/>
          <w:color w:val="000000"/>
        </w:rPr>
        <w:t>: 303-317 [PMID: 29622121 DOI: 10.1016/j.nic.2018.01.009]</w:t>
      </w:r>
    </w:p>
    <w:p w14:paraId="699B596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lastRenderedPageBreak/>
        <w:t xml:space="preserve">28 </w:t>
      </w:r>
      <w:r w:rsidRPr="00BC6A1C">
        <w:rPr>
          <w:rFonts w:ascii="Book Antiqua" w:eastAsia="Book Antiqua" w:hAnsi="Book Antiqua" w:cs="Book Antiqua"/>
          <w:b/>
          <w:bCs/>
          <w:color w:val="000000"/>
        </w:rPr>
        <w:t>Huang N</w:t>
      </w:r>
      <w:r w:rsidRPr="00BC6A1C">
        <w:rPr>
          <w:rFonts w:ascii="Book Antiqua" w:eastAsia="Book Antiqua" w:hAnsi="Book Antiqua" w:cs="Book Antiqua"/>
          <w:color w:val="000000"/>
        </w:rPr>
        <w:t xml:space="preserve">, Chen Y, She D, Xing Z, Chen T, Cao D. Diffusion kurtosis imaging and dynamic contrast-enhanced MRI for the differentiation of parotid gland tumors. </w:t>
      </w:r>
      <w:r w:rsidRPr="00BC6A1C">
        <w:rPr>
          <w:rFonts w:ascii="Book Antiqua" w:eastAsia="Book Antiqua" w:hAnsi="Book Antiqua" w:cs="Book Antiqua"/>
          <w:i/>
          <w:iCs/>
          <w:color w:val="000000"/>
        </w:rPr>
        <w:t>Eur Radiol</w:t>
      </w:r>
      <w:r w:rsidRPr="00BC6A1C">
        <w:rPr>
          <w:rFonts w:ascii="Book Antiqua" w:eastAsia="Book Antiqua" w:hAnsi="Book Antiqua" w:cs="Book Antiqua"/>
          <w:color w:val="000000"/>
        </w:rPr>
        <w:t xml:space="preserve"> 2022; </w:t>
      </w:r>
      <w:r w:rsidRPr="00BC6A1C">
        <w:rPr>
          <w:rFonts w:ascii="Book Antiqua" w:eastAsia="Book Antiqua" w:hAnsi="Book Antiqua" w:cs="Book Antiqua"/>
          <w:b/>
          <w:bCs/>
          <w:color w:val="000000"/>
        </w:rPr>
        <w:t>32</w:t>
      </w:r>
      <w:r w:rsidRPr="00BC6A1C">
        <w:rPr>
          <w:rFonts w:ascii="Book Antiqua" w:eastAsia="Book Antiqua" w:hAnsi="Book Antiqua" w:cs="Book Antiqua"/>
          <w:color w:val="000000"/>
        </w:rPr>
        <w:t>: 2748-2759 [PMID: 34642805 DOI: 10.1007/s00330-021-08312-y]</w:t>
      </w:r>
    </w:p>
    <w:p w14:paraId="07C0A31A" w14:textId="77777777" w:rsidR="00A77B3E" w:rsidRPr="00BC6A1C" w:rsidRDefault="00A77B3E" w:rsidP="00BC6A1C">
      <w:pPr>
        <w:spacing w:line="360" w:lineRule="auto"/>
        <w:jc w:val="both"/>
        <w:rPr>
          <w:rFonts w:ascii="Book Antiqua" w:hAnsi="Book Antiqua"/>
        </w:rPr>
        <w:sectPr w:rsidR="00A77B3E" w:rsidRPr="00BC6A1C">
          <w:pgSz w:w="12240" w:h="15840"/>
          <w:pgMar w:top="1440" w:right="1440" w:bottom="1440" w:left="1440" w:header="720" w:footer="720" w:gutter="0"/>
          <w:cols w:space="720"/>
          <w:docGrid w:linePitch="360"/>
        </w:sectPr>
      </w:pPr>
    </w:p>
    <w:p w14:paraId="043DCD2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Footnotes</w:t>
      </w:r>
    </w:p>
    <w:p w14:paraId="51F4073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Institutional review board statement: </w:t>
      </w:r>
      <w:r w:rsidRPr="00BC6A1C">
        <w:rPr>
          <w:rFonts w:ascii="Book Antiqua" w:eastAsia="Book Antiqua" w:hAnsi="Book Antiqua" w:cs="Book Antiqua"/>
          <w:color w:val="000000"/>
        </w:rPr>
        <w:t>This study was reviewed and approved by the Ethics Committee of the Tokat Gaziosmanpasa University Faculty of Medicine (20-KAEK-105).</w:t>
      </w:r>
    </w:p>
    <w:p w14:paraId="19C4BB38" w14:textId="77777777" w:rsidR="00A77B3E" w:rsidRPr="00BC6A1C" w:rsidRDefault="00A77B3E" w:rsidP="00BC6A1C">
      <w:pPr>
        <w:spacing w:line="360" w:lineRule="auto"/>
        <w:jc w:val="both"/>
        <w:rPr>
          <w:rFonts w:ascii="Book Antiqua" w:hAnsi="Book Antiqua"/>
        </w:rPr>
      </w:pPr>
    </w:p>
    <w:p w14:paraId="2B4F13B5" w14:textId="04DAB318"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Informed consent statement: </w:t>
      </w:r>
      <w:r w:rsidRPr="00BC6A1C">
        <w:rPr>
          <w:rFonts w:ascii="Book Antiqua" w:eastAsia="Book Antiqua" w:hAnsi="Book Antiqua" w:cs="Book Antiqua"/>
          <w:color w:val="000000"/>
        </w:rPr>
        <w:t xml:space="preserve">Patients were not required to give informed consent for the study </w:t>
      </w:r>
      <w:r w:rsidR="00740B11">
        <w:rPr>
          <w:rFonts w:ascii="Book Antiqua" w:eastAsia="Book Antiqua" w:hAnsi="Book Antiqua" w:cs="Book Antiqua"/>
          <w:color w:val="000000"/>
        </w:rPr>
        <w:t>as</w:t>
      </w:r>
      <w:r w:rsidRPr="00BC6A1C">
        <w:rPr>
          <w:rFonts w:ascii="Book Antiqua" w:eastAsia="Book Antiqua" w:hAnsi="Book Antiqua" w:cs="Book Antiqua"/>
          <w:color w:val="000000"/>
        </w:rPr>
        <w:t xml:space="preserve"> figures from picture archiving and communication system</w:t>
      </w:r>
      <w:r w:rsidR="00122913">
        <w:rPr>
          <w:rFonts w:ascii="Book Antiqua" w:eastAsia="Book Antiqua" w:hAnsi="Book Antiqua" w:cs="Book Antiqua"/>
          <w:color w:val="000000"/>
        </w:rPr>
        <w:t>s</w:t>
      </w:r>
      <w:r w:rsidRPr="00BC6A1C">
        <w:rPr>
          <w:rFonts w:ascii="Book Antiqua" w:eastAsia="Book Antiqua" w:hAnsi="Book Antiqua" w:cs="Book Antiqua"/>
          <w:color w:val="000000"/>
        </w:rPr>
        <w:t xml:space="preserve"> were studied retrospectively.</w:t>
      </w:r>
    </w:p>
    <w:p w14:paraId="13B3E1B8" w14:textId="77777777" w:rsidR="00A77B3E" w:rsidRPr="00BC6A1C" w:rsidRDefault="00A77B3E" w:rsidP="00BC6A1C">
      <w:pPr>
        <w:spacing w:line="360" w:lineRule="auto"/>
        <w:jc w:val="both"/>
        <w:rPr>
          <w:rFonts w:ascii="Book Antiqua" w:hAnsi="Book Antiqua"/>
        </w:rPr>
      </w:pPr>
    </w:p>
    <w:p w14:paraId="76E716F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Conflict-of-interest statement: </w:t>
      </w:r>
      <w:r w:rsidRPr="00BC6A1C">
        <w:rPr>
          <w:rFonts w:ascii="Book Antiqua" w:eastAsia="Book Antiqua" w:hAnsi="Book Antiqua" w:cs="Book Antiqua"/>
          <w:color w:val="000000"/>
        </w:rPr>
        <w:t>All the authors report no relevant conflicts of interest for this article.</w:t>
      </w:r>
    </w:p>
    <w:p w14:paraId="1A685095" w14:textId="77777777" w:rsidR="00A77B3E" w:rsidRPr="00BC6A1C" w:rsidRDefault="00A77B3E" w:rsidP="00BC6A1C">
      <w:pPr>
        <w:spacing w:line="360" w:lineRule="auto"/>
        <w:jc w:val="both"/>
        <w:rPr>
          <w:rFonts w:ascii="Book Antiqua" w:hAnsi="Book Antiqua"/>
        </w:rPr>
      </w:pPr>
    </w:p>
    <w:p w14:paraId="2EE8119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Data sharing statement: </w:t>
      </w:r>
      <w:r w:rsidRPr="00BC6A1C">
        <w:rPr>
          <w:rFonts w:ascii="Book Antiqua" w:eastAsia="Book Antiqua" w:hAnsi="Book Antiqua" w:cs="Book Antiqua"/>
          <w:color w:val="000000"/>
        </w:rPr>
        <w:t>No additional data are available.</w:t>
      </w:r>
    </w:p>
    <w:p w14:paraId="17F87154" w14:textId="77777777" w:rsidR="00A77B3E" w:rsidRPr="00BC6A1C" w:rsidRDefault="00A77B3E" w:rsidP="00BC6A1C">
      <w:pPr>
        <w:spacing w:line="360" w:lineRule="auto"/>
        <w:jc w:val="both"/>
        <w:rPr>
          <w:rFonts w:ascii="Book Antiqua" w:hAnsi="Book Antiqua"/>
        </w:rPr>
      </w:pPr>
    </w:p>
    <w:p w14:paraId="31206D5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Open-Access: </w:t>
      </w:r>
      <w:r w:rsidRPr="00BC6A1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0EB968" w14:textId="77777777" w:rsidR="00A77B3E" w:rsidRPr="00BC6A1C" w:rsidRDefault="00A77B3E" w:rsidP="00BC6A1C">
      <w:pPr>
        <w:spacing w:line="360" w:lineRule="auto"/>
        <w:jc w:val="both"/>
        <w:rPr>
          <w:rFonts w:ascii="Book Antiqua" w:hAnsi="Book Antiqua"/>
        </w:rPr>
      </w:pPr>
    </w:p>
    <w:p w14:paraId="03EBA3BA" w14:textId="77777777" w:rsidR="00A77B3E"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b/>
          <w:color w:val="000000"/>
        </w:rPr>
        <w:t xml:space="preserve">Provenance and peer review: </w:t>
      </w:r>
      <w:r w:rsidRPr="00BC6A1C">
        <w:rPr>
          <w:rFonts w:ascii="Book Antiqua" w:eastAsia="Book Antiqua" w:hAnsi="Book Antiqua" w:cs="Book Antiqua"/>
          <w:color w:val="000000"/>
        </w:rPr>
        <w:t>Invited article; Externally peer reviewed.</w:t>
      </w:r>
    </w:p>
    <w:p w14:paraId="01F4BAFD" w14:textId="77777777" w:rsidR="003A2B53" w:rsidRPr="00BC6A1C" w:rsidRDefault="003A2B53" w:rsidP="00BC6A1C">
      <w:pPr>
        <w:spacing w:line="360" w:lineRule="auto"/>
        <w:jc w:val="both"/>
        <w:rPr>
          <w:rFonts w:ascii="Book Antiqua" w:hAnsi="Book Antiqua"/>
        </w:rPr>
      </w:pPr>
    </w:p>
    <w:p w14:paraId="24B63A0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Peer-review model: </w:t>
      </w:r>
      <w:r w:rsidRPr="00BC6A1C">
        <w:rPr>
          <w:rFonts w:ascii="Book Antiqua" w:eastAsia="Book Antiqua" w:hAnsi="Book Antiqua" w:cs="Book Antiqua"/>
          <w:color w:val="000000"/>
        </w:rPr>
        <w:t>Single blind</w:t>
      </w:r>
    </w:p>
    <w:p w14:paraId="7DDCE845" w14:textId="77777777" w:rsidR="00A77B3E" w:rsidRPr="00BC6A1C" w:rsidRDefault="00A77B3E" w:rsidP="00BC6A1C">
      <w:pPr>
        <w:spacing w:line="360" w:lineRule="auto"/>
        <w:jc w:val="both"/>
        <w:rPr>
          <w:rFonts w:ascii="Book Antiqua" w:hAnsi="Book Antiqua"/>
        </w:rPr>
      </w:pPr>
    </w:p>
    <w:p w14:paraId="1EC7AC1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Peer-review started: </w:t>
      </w:r>
      <w:r w:rsidRPr="00BC6A1C">
        <w:rPr>
          <w:rFonts w:ascii="Book Antiqua" w:eastAsia="Book Antiqua" w:hAnsi="Book Antiqua" w:cs="Book Antiqua"/>
          <w:color w:val="000000"/>
        </w:rPr>
        <w:t>July 5, 2022</w:t>
      </w:r>
    </w:p>
    <w:p w14:paraId="6D2175C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First decision: </w:t>
      </w:r>
      <w:r w:rsidRPr="00BC6A1C">
        <w:rPr>
          <w:rFonts w:ascii="Book Antiqua" w:eastAsia="Book Antiqua" w:hAnsi="Book Antiqua" w:cs="Book Antiqua"/>
          <w:color w:val="000000"/>
        </w:rPr>
        <w:t>September 5, 2022</w:t>
      </w:r>
    </w:p>
    <w:p w14:paraId="37B00618" w14:textId="13FBC6D2"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Article in press: </w:t>
      </w:r>
      <w:r w:rsidR="00FF2E77" w:rsidRPr="0034339F">
        <w:rPr>
          <w:rFonts w:ascii="Book Antiqua" w:eastAsia="Book Antiqua" w:hAnsi="Book Antiqua" w:cs="Book Antiqua"/>
          <w:color w:val="000000"/>
        </w:rPr>
        <w:t>December 13, 2022</w:t>
      </w:r>
    </w:p>
    <w:p w14:paraId="76E6A68D" w14:textId="77777777" w:rsidR="00A77B3E" w:rsidRPr="00BC6A1C" w:rsidRDefault="00A77B3E" w:rsidP="00BC6A1C">
      <w:pPr>
        <w:spacing w:line="360" w:lineRule="auto"/>
        <w:jc w:val="both"/>
        <w:rPr>
          <w:rFonts w:ascii="Book Antiqua" w:hAnsi="Book Antiqua"/>
        </w:rPr>
      </w:pPr>
    </w:p>
    <w:p w14:paraId="0990554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 xml:space="preserve">Specialty type: </w:t>
      </w:r>
      <w:r w:rsidR="00AB4072" w:rsidRPr="00BC6A1C">
        <w:rPr>
          <w:rFonts w:ascii="Book Antiqua" w:eastAsia="微软雅黑" w:hAnsi="Book Antiqua" w:cs="宋体"/>
        </w:rPr>
        <w:t>Radiology, nuclear medicine and medical imaging</w:t>
      </w:r>
    </w:p>
    <w:p w14:paraId="0124478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Country/Territory of origin: </w:t>
      </w:r>
      <w:r w:rsidRPr="00BC6A1C">
        <w:rPr>
          <w:rFonts w:ascii="Book Antiqua" w:eastAsia="Book Antiqua" w:hAnsi="Book Antiqua" w:cs="Book Antiqua"/>
          <w:color w:val="000000"/>
        </w:rPr>
        <w:t>Turkey</w:t>
      </w:r>
    </w:p>
    <w:p w14:paraId="67D9E65B"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Peer-review report’s scientific quality classification</w:t>
      </w:r>
    </w:p>
    <w:p w14:paraId="2D670DB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A (Excellent): 0</w:t>
      </w:r>
    </w:p>
    <w:p w14:paraId="658731C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B (Very good): B</w:t>
      </w:r>
    </w:p>
    <w:p w14:paraId="0E8D6D8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C (Good): C</w:t>
      </w:r>
    </w:p>
    <w:p w14:paraId="62AF531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D (Fair): 0</w:t>
      </w:r>
    </w:p>
    <w:p w14:paraId="7B12A58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E (Poor): 0</w:t>
      </w:r>
    </w:p>
    <w:p w14:paraId="156499D7" w14:textId="77777777" w:rsidR="00A77B3E" w:rsidRPr="00BC6A1C" w:rsidRDefault="00A77B3E" w:rsidP="00BC6A1C">
      <w:pPr>
        <w:spacing w:line="360" w:lineRule="auto"/>
        <w:jc w:val="both"/>
        <w:rPr>
          <w:rFonts w:ascii="Book Antiqua" w:hAnsi="Book Antiqua"/>
        </w:rPr>
      </w:pPr>
    </w:p>
    <w:p w14:paraId="4F6E7B56" w14:textId="19FC007C" w:rsidR="00A77B3E"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b/>
          <w:color w:val="000000"/>
        </w:rPr>
        <w:t xml:space="preserve">P-Reviewer: </w:t>
      </w:r>
      <w:r w:rsidRPr="00BC6A1C">
        <w:rPr>
          <w:rFonts w:ascii="Book Antiqua" w:eastAsia="Book Antiqua" w:hAnsi="Book Antiqua" w:cs="Book Antiqua"/>
          <w:color w:val="000000"/>
        </w:rPr>
        <w:t>Li T, China; Ma C, China</w:t>
      </w:r>
      <w:r w:rsidRPr="00BC6A1C">
        <w:rPr>
          <w:rFonts w:ascii="Book Antiqua" w:eastAsia="Book Antiqua" w:hAnsi="Book Antiqua" w:cs="Book Antiqua"/>
          <w:b/>
          <w:color w:val="000000"/>
        </w:rPr>
        <w:t xml:space="preserve"> S-Editor: </w:t>
      </w:r>
      <w:r w:rsidR="00F122F3" w:rsidRPr="00BC6A1C">
        <w:rPr>
          <w:rFonts w:ascii="Book Antiqua" w:eastAsia="Book Antiqua" w:hAnsi="Book Antiqua" w:cs="Book Antiqua"/>
          <w:color w:val="000000"/>
        </w:rPr>
        <w:t>Liu XF</w:t>
      </w:r>
      <w:r w:rsidR="00F122F3" w:rsidRPr="00BC6A1C">
        <w:rPr>
          <w:rFonts w:ascii="Book Antiqua" w:eastAsia="Book Antiqua" w:hAnsi="Book Antiqua" w:cs="Book Antiqua"/>
          <w:b/>
          <w:color w:val="000000"/>
        </w:rPr>
        <w:t xml:space="preserve"> </w:t>
      </w:r>
      <w:r w:rsidRPr="00BC6A1C">
        <w:rPr>
          <w:rFonts w:ascii="Book Antiqua" w:eastAsia="Book Antiqua" w:hAnsi="Book Antiqua" w:cs="Book Antiqua"/>
          <w:b/>
          <w:color w:val="000000"/>
        </w:rPr>
        <w:t xml:space="preserve">L-Editor: </w:t>
      </w:r>
      <w:r w:rsidR="005B0479">
        <w:rPr>
          <w:rFonts w:ascii="Book Antiqua" w:eastAsia="Book Antiqua" w:hAnsi="Book Antiqua" w:cs="Book Antiqua"/>
          <w:color w:val="000000"/>
        </w:rPr>
        <w:t>Wang TQ</w:t>
      </w:r>
      <w:r w:rsidRPr="00BC6A1C">
        <w:rPr>
          <w:rFonts w:ascii="Book Antiqua" w:eastAsia="Book Antiqua" w:hAnsi="Book Antiqua" w:cs="Book Antiqua"/>
          <w:b/>
          <w:color w:val="000000"/>
        </w:rPr>
        <w:t xml:space="preserve"> P-Editor:</w:t>
      </w:r>
      <w:r w:rsidRPr="00BC6A1C">
        <w:rPr>
          <w:rFonts w:ascii="Book Antiqua" w:eastAsia="Book Antiqua" w:hAnsi="Book Antiqua" w:cs="Book Antiqua"/>
          <w:color w:val="000000"/>
        </w:rPr>
        <w:t xml:space="preserve"> </w:t>
      </w:r>
      <w:r w:rsidR="00F122F3" w:rsidRPr="00BC6A1C">
        <w:rPr>
          <w:rFonts w:ascii="Book Antiqua" w:eastAsia="Book Antiqua" w:hAnsi="Book Antiqua" w:cs="Book Antiqua"/>
          <w:color w:val="000000"/>
        </w:rPr>
        <w:t>Liu XF</w:t>
      </w:r>
    </w:p>
    <w:p w14:paraId="0A95BD82" w14:textId="77777777" w:rsidR="00513033" w:rsidRPr="00BC6A1C" w:rsidRDefault="00513033" w:rsidP="00BC6A1C">
      <w:pPr>
        <w:spacing w:line="360" w:lineRule="auto"/>
        <w:jc w:val="both"/>
        <w:rPr>
          <w:rFonts w:ascii="Book Antiqua" w:hAnsi="Book Antiqua"/>
        </w:rPr>
        <w:sectPr w:rsidR="00513033" w:rsidRPr="00BC6A1C">
          <w:pgSz w:w="12240" w:h="15840"/>
          <w:pgMar w:top="1440" w:right="1440" w:bottom="1440" w:left="1440" w:header="720" w:footer="720" w:gutter="0"/>
          <w:cols w:space="720"/>
          <w:docGrid w:linePitch="360"/>
        </w:sectPr>
      </w:pPr>
    </w:p>
    <w:p w14:paraId="5C7E6ED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Figure Legends</w:t>
      </w:r>
    </w:p>
    <w:p w14:paraId="796F8E83" w14:textId="760A719A" w:rsidR="00736CB6" w:rsidRPr="00BC6A1C" w:rsidRDefault="004C3F77" w:rsidP="00BC6A1C">
      <w:pPr>
        <w:spacing w:line="360" w:lineRule="auto"/>
        <w:jc w:val="both"/>
        <w:rPr>
          <w:rFonts w:ascii="Book Antiqua" w:eastAsia="Book Antiqua" w:hAnsi="Book Antiqua" w:cs="Book Antiqua"/>
          <w:b/>
          <w:bCs/>
          <w:color w:val="000000"/>
        </w:rPr>
      </w:pPr>
      <w:r>
        <w:rPr>
          <w:noProof/>
        </w:rPr>
        <w:drawing>
          <wp:inline distT="0" distB="0" distL="0" distR="0" wp14:anchorId="663107DB" wp14:editId="1E7127A4">
            <wp:extent cx="3411220" cy="35166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1220" cy="3516630"/>
                    </a:xfrm>
                    <a:prstGeom prst="rect">
                      <a:avLst/>
                    </a:prstGeom>
                    <a:noFill/>
                    <a:ln>
                      <a:noFill/>
                    </a:ln>
                  </pic:spPr>
                </pic:pic>
              </a:graphicData>
            </a:graphic>
          </wp:inline>
        </w:drawing>
      </w:r>
    </w:p>
    <w:p w14:paraId="47BB3851" w14:textId="73AB5DF3" w:rsidR="00A77B3E" w:rsidRPr="00BC6A1C" w:rsidRDefault="004563E1" w:rsidP="00BC6A1C">
      <w:pPr>
        <w:spacing w:line="360" w:lineRule="auto"/>
        <w:jc w:val="both"/>
        <w:rPr>
          <w:rFonts w:ascii="Book Antiqua" w:hAnsi="Book Antiqua"/>
          <w:b/>
        </w:rPr>
      </w:pPr>
      <w:r w:rsidRPr="00BC6A1C">
        <w:rPr>
          <w:rFonts w:ascii="Book Antiqua" w:eastAsia="Book Antiqua" w:hAnsi="Book Antiqua" w:cs="Book Antiqua"/>
          <w:b/>
          <w:bCs/>
          <w:color w:val="000000"/>
        </w:rPr>
        <w:t>Figure 1</w:t>
      </w:r>
      <w:r w:rsidRPr="00BC6A1C">
        <w:rPr>
          <w:rFonts w:ascii="Book Antiqua" w:eastAsia="Book Antiqua" w:hAnsi="Book Antiqua" w:cs="Book Antiqua"/>
          <w:b/>
          <w:color w:val="000000"/>
        </w:rPr>
        <w:t xml:space="preserve"> </w:t>
      </w:r>
      <w:r w:rsidR="005B0479" w:rsidRPr="00BC6A1C">
        <w:rPr>
          <w:rFonts w:ascii="Book Antiqua" w:eastAsia="Book Antiqua" w:hAnsi="Book Antiqua" w:cs="Book Antiqua"/>
          <w:b/>
          <w:color w:val="000000"/>
        </w:rPr>
        <w:t>Patient</w:t>
      </w:r>
      <w:r w:rsidR="005B0479">
        <w:rPr>
          <w:rFonts w:ascii="Book Antiqua" w:eastAsia="Book Antiqua" w:hAnsi="Book Antiqua" w:cs="Book Antiqua"/>
          <w:b/>
          <w:color w:val="000000"/>
        </w:rPr>
        <w:t xml:space="preserve"> </w:t>
      </w:r>
      <w:r w:rsidRPr="00BC6A1C">
        <w:rPr>
          <w:rFonts w:ascii="Book Antiqua" w:eastAsia="Book Antiqua" w:hAnsi="Book Antiqua" w:cs="Book Antiqua"/>
          <w:b/>
          <w:color w:val="000000"/>
        </w:rPr>
        <w:t>inclusion and exclusion flowchart</w:t>
      </w:r>
      <w:r w:rsidR="003031E7" w:rsidRPr="00BC6A1C">
        <w:rPr>
          <w:rFonts w:ascii="Book Antiqua" w:eastAsia="Book Antiqua" w:hAnsi="Book Antiqua" w:cs="Book Antiqua"/>
          <w:b/>
          <w:color w:val="000000"/>
        </w:rPr>
        <w:t>.</w:t>
      </w:r>
    </w:p>
    <w:p w14:paraId="746C57A9" w14:textId="3832E42A" w:rsidR="00A77B3E" w:rsidRPr="00BC6A1C" w:rsidRDefault="00BE7DCF" w:rsidP="00BC6A1C">
      <w:pPr>
        <w:spacing w:line="360" w:lineRule="auto"/>
        <w:jc w:val="both"/>
        <w:rPr>
          <w:rFonts w:ascii="Book Antiqua" w:hAnsi="Book Antiqua"/>
        </w:rPr>
      </w:pPr>
      <w:r w:rsidRPr="00BC6A1C">
        <w:rPr>
          <w:rFonts w:ascii="Book Antiqua" w:hAnsi="Book Antiqua"/>
        </w:rPr>
        <w:br w:type="page"/>
      </w:r>
    </w:p>
    <w:p w14:paraId="51557BB3" w14:textId="2082EFA3" w:rsidR="006D52BC" w:rsidRDefault="002B4E41" w:rsidP="00BC6A1C">
      <w:pPr>
        <w:spacing w:line="360" w:lineRule="auto"/>
        <w:jc w:val="both"/>
        <w:rPr>
          <w:rFonts w:ascii="Book Antiqua" w:eastAsia="Book Antiqua" w:hAnsi="Book Antiqua" w:cs="Book Antiqua"/>
          <w:b/>
          <w:bCs/>
          <w:color w:val="000000"/>
        </w:rPr>
      </w:pPr>
      <w:r>
        <w:rPr>
          <w:noProof/>
        </w:rPr>
        <w:lastRenderedPageBreak/>
        <w:drawing>
          <wp:inline distT="0" distB="0" distL="0" distR="0" wp14:anchorId="40017278" wp14:editId="51400815">
            <wp:extent cx="4431030" cy="2679700"/>
            <wp:effectExtent l="0" t="0" r="762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1030" cy="2679700"/>
                    </a:xfrm>
                    <a:prstGeom prst="rect">
                      <a:avLst/>
                    </a:prstGeom>
                    <a:noFill/>
                    <a:ln>
                      <a:noFill/>
                    </a:ln>
                  </pic:spPr>
                </pic:pic>
              </a:graphicData>
            </a:graphic>
          </wp:inline>
        </w:drawing>
      </w:r>
    </w:p>
    <w:p w14:paraId="0FFDE86A" w14:textId="5EF0AECB" w:rsidR="00A77B3E" w:rsidRPr="00BC6A1C" w:rsidRDefault="004563E1" w:rsidP="004D65AE">
      <w:pPr>
        <w:spacing w:line="360" w:lineRule="auto"/>
        <w:jc w:val="both"/>
        <w:rPr>
          <w:rFonts w:ascii="Book Antiqua" w:hAnsi="Book Antiqua"/>
        </w:rPr>
      </w:pPr>
      <w:r w:rsidRPr="00BC6A1C">
        <w:rPr>
          <w:rFonts w:ascii="Book Antiqua" w:eastAsia="Book Antiqua" w:hAnsi="Book Antiqua" w:cs="Book Antiqua"/>
          <w:b/>
          <w:bCs/>
          <w:color w:val="000000"/>
        </w:rPr>
        <w:t xml:space="preserve">Figure 2 </w:t>
      </w:r>
      <w:r w:rsidR="00740B11">
        <w:rPr>
          <w:rFonts w:ascii="Book Antiqua" w:eastAsia="Book Antiqua" w:hAnsi="Book Antiqua" w:cs="Book Antiqua"/>
          <w:b/>
          <w:bCs/>
          <w:color w:val="000000"/>
        </w:rPr>
        <w:t xml:space="preserve">A </w:t>
      </w:r>
      <w:r w:rsidR="005B0479">
        <w:rPr>
          <w:rFonts w:ascii="Book Antiqua" w:eastAsia="Book Antiqua" w:hAnsi="Book Antiqua" w:cs="Book Antiqua"/>
          <w:b/>
          <w:bCs/>
          <w:color w:val="000000"/>
        </w:rPr>
        <w:t>72</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 xml:space="preserve">old male patient with a Warthin’s tumor in </w:t>
      </w:r>
      <w:r w:rsidR="00740B11">
        <w:rPr>
          <w:rFonts w:ascii="Book Antiqua" w:eastAsia="Book Antiqua" w:hAnsi="Book Antiqua" w:cs="Book Antiqua"/>
          <w:b/>
          <w:bCs/>
          <w:color w:val="000000"/>
        </w:rPr>
        <w:t xml:space="preserve">the </w:t>
      </w:r>
      <w:r w:rsidRPr="00BC6A1C">
        <w:rPr>
          <w:rFonts w:ascii="Book Antiqua" w:eastAsia="Book Antiqua" w:hAnsi="Book Antiqua" w:cs="Book Antiqua"/>
          <w:b/>
          <w:bCs/>
          <w:color w:val="000000"/>
        </w:rPr>
        <w:t>right parotid gland.</w:t>
      </w:r>
      <w:r w:rsidRPr="00BC6A1C">
        <w:rPr>
          <w:rFonts w:ascii="Book Antiqua" w:eastAsia="Book Antiqua" w:hAnsi="Book Antiqua" w:cs="Book Antiqua"/>
          <w:color w:val="000000"/>
        </w:rPr>
        <w:t xml:space="preserve"> A: On axial plane T2-weighted image, a mildly hypointense </w:t>
      </w:r>
      <w:r w:rsidR="005B0479">
        <w:rPr>
          <w:rFonts w:ascii="Book Antiqua" w:eastAsia="Book Antiqua" w:hAnsi="Book Antiqua" w:cs="Book Antiqua"/>
          <w:color w:val="000000"/>
        </w:rPr>
        <w:t>(</w:t>
      </w:r>
      <w:r w:rsidRPr="00BC6A1C">
        <w:rPr>
          <w:rFonts w:ascii="Book Antiqua" w:eastAsia="Book Antiqua" w:hAnsi="Book Antiqua" w:cs="Book Antiqua"/>
          <w:color w:val="000000"/>
        </w:rPr>
        <w:t>compared to the gland</w:t>
      </w:r>
      <w:r w:rsidR="005B0479">
        <w:rPr>
          <w:rFonts w:ascii="Book Antiqua" w:eastAsia="Book Antiqua" w:hAnsi="Book Antiqua" w:cs="Book Antiqua"/>
          <w:color w:val="000000"/>
        </w:rPr>
        <w:t>)</w:t>
      </w:r>
      <w:r w:rsidRPr="00BC6A1C">
        <w:rPr>
          <w:rFonts w:ascii="Book Antiqua" w:eastAsia="Book Antiqua" w:hAnsi="Book Antiqua" w:cs="Book Antiqua"/>
          <w:color w:val="000000"/>
        </w:rPr>
        <w:t xml:space="preserve">, smooth-contoured mass localized in the center of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parotid gland is observed; B: On the diffusion-weighted image, the mass appears to be hyperintense; C: ADC value was 0.8</w:t>
      </w:r>
      <w:r w:rsidR="001D6DD8" w:rsidRPr="00BC6A1C">
        <w:rPr>
          <w:rFonts w:ascii="Book Antiqua" w:eastAsia="Book Antiqua" w:hAnsi="Book Antiqua" w:cs="Book Antiqua"/>
          <w:color w:val="000000"/>
        </w:rPr>
        <w:t xml:space="preserve"> </w:t>
      </w:r>
      <w:r w:rsidR="003031E7" w:rsidRPr="00BC6A1C">
        <w:rPr>
          <w:rFonts w:ascii="Book Antiqua" w:eastAsia="Book Antiqua" w:hAnsi="Book Antiqua" w:cs="Book Antiqua"/>
          <w:color w:val="000000"/>
        </w:rPr>
        <w:t>×</w:t>
      </w:r>
      <w:r w:rsidR="001D6DD8"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on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apparent diffusion coefficient map; D: The mass is hyperperfused on color-coded perfusion image; E: Type B </w:t>
      </w:r>
      <w:r w:rsidR="001D6DD8" w:rsidRPr="00BC6A1C">
        <w:rPr>
          <w:rFonts w:ascii="Book Antiqua" w:eastAsia="Book Antiqua" w:hAnsi="Book Antiqua" w:cs="Book Antiqua"/>
          <w:color w:val="000000"/>
        </w:rPr>
        <w:t>t</w:t>
      </w:r>
      <w:r w:rsidRPr="00BC6A1C">
        <w:rPr>
          <w:rFonts w:ascii="Book Antiqua" w:eastAsia="Book Antiqua" w:hAnsi="Book Antiqua" w:cs="Book Antiqua"/>
          <w:color w:val="000000"/>
        </w:rPr>
        <w:t xml:space="preserve">ime intensity curve </w:t>
      </w:r>
      <w:r w:rsidR="005B0479">
        <w:rPr>
          <w:rFonts w:ascii="Book Antiqua" w:eastAsia="Book Antiqua" w:hAnsi="Book Antiqua" w:cs="Book Antiqua"/>
          <w:color w:val="000000"/>
        </w:rPr>
        <w:t>shows</w:t>
      </w:r>
      <w:r w:rsidR="005B047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 washout ratio of 75%; F, G</w:t>
      </w:r>
      <w:r w:rsidR="005B0479">
        <w:rPr>
          <w:rFonts w:ascii="Book Antiqua" w:eastAsia="Book Antiqua" w:hAnsi="Book Antiqua" w:cs="Book Antiqua"/>
          <w:color w:val="000000"/>
        </w:rPr>
        <w:t>,</w:t>
      </w:r>
      <w:r w:rsidR="001D6DD8" w:rsidRPr="00BC6A1C">
        <w:rPr>
          <w:rFonts w:ascii="Book Antiqua" w:eastAsia="Book Antiqua" w:hAnsi="Book Antiqua" w:cs="Book Antiqua"/>
          <w:color w:val="000000"/>
        </w:rPr>
        <w:t xml:space="preserve"> and </w:t>
      </w:r>
      <w:r w:rsidRPr="00BC6A1C">
        <w:rPr>
          <w:rFonts w:ascii="Book Antiqua" w:eastAsia="Book Antiqua" w:hAnsi="Book Antiqua" w:cs="Book Antiqua"/>
          <w:color w:val="000000"/>
        </w:rPr>
        <w:t>H: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w:t>
      </w:r>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on quantitative perfusion images were 0.617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6.438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0.073, respectively.</w:t>
      </w:r>
      <w:r w:rsidR="00431F18" w:rsidRPr="00BC6A1C">
        <w:rPr>
          <w:rFonts w:ascii="Book Antiqua" w:eastAsia="Book Antiqua" w:hAnsi="Book Antiqua" w:cs="Book Antiqua"/>
          <w:color w:val="000000"/>
        </w:rPr>
        <w:t xml:space="preserve"> ADC:</w:t>
      </w:r>
      <w:r w:rsidR="001D6DD8" w:rsidRPr="00BC6A1C">
        <w:rPr>
          <w:rFonts w:ascii="Book Antiqua" w:eastAsia="Book Antiqua" w:hAnsi="Book Antiqua" w:cs="Book Antiqua"/>
          <w:color w:val="000000"/>
        </w:rPr>
        <w:t xml:space="preserve"> Apparent diffusion coefficient.</w:t>
      </w:r>
      <w:r w:rsidR="006D52BC">
        <w:rPr>
          <w:rFonts w:ascii="Book Antiqua" w:hAnsi="Book Antiqua"/>
          <w:noProof/>
          <w:lang w:eastAsia="zh-CN"/>
        </w:rPr>
        <w:br w:type="page"/>
      </w:r>
      <w:r w:rsidR="004A3DCE">
        <w:rPr>
          <w:noProof/>
        </w:rPr>
        <w:lastRenderedPageBreak/>
        <w:drawing>
          <wp:inline distT="0" distB="0" distL="0" distR="0" wp14:anchorId="37056712" wp14:editId="3E0EF598">
            <wp:extent cx="4431030" cy="2644775"/>
            <wp:effectExtent l="0" t="0" r="762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1030" cy="2644775"/>
                    </a:xfrm>
                    <a:prstGeom prst="rect">
                      <a:avLst/>
                    </a:prstGeom>
                    <a:noFill/>
                    <a:ln>
                      <a:noFill/>
                    </a:ln>
                  </pic:spPr>
                </pic:pic>
              </a:graphicData>
            </a:graphic>
          </wp:inline>
        </w:drawing>
      </w:r>
    </w:p>
    <w:p w14:paraId="1E3EE6C0" w14:textId="02B52418" w:rsidR="006D52BC" w:rsidRDefault="004563E1" w:rsidP="008E0EE7">
      <w:pPr>
        <w:spacing w:line="360" w:lineRule="auto"/>
        <w:jc w:val="both"/>
        <w:rPr>
          <w:rFonts w:ascii="Book Antiqua" w:hAnsi="Book Antiqua"/>
          <w:noProof/>
          <w:lang w:eastAsia="zh-CN"/>
        </w:rPr>
      </w:pPr>
      <w:r w:rsidRPr="00BC6A1C">
        <w:rPr>
          <w:rFonts w:ascii="Book Antiqua" w:eastAsia="Book Antiqua" w:hAnsi="Book Antiqua" w:cs="Book Antiqua"/>
          <w:b/>
          <w:bCs/>
          <w:color w:val="000000"/>
        </w:rPr>
        <w:t xml:space="preserve">Figure 3 </w:t>
      </w:r>
      <w:r w:rsidR="00740B11">
        <w:rPr>
          <w:rFonts w:ascii="Book Antiqua" w:eastAsia="Book Antiqua" w:hAnsi="Book Antiqua" w:cs="Book Antiqua"/>
          <w:b/>
          <w:bCs/>
          <w:color w:val="000000"/>
        </w:rPr>
        <w:t xml:space="preserve">A </w:t>
      </w:r>
      <w:r w:rsidR="005B0479">
        <w:rPr>
          <w:rFonts w:ascii="Book Antiqua" w:eastAsia="Book Antiqua" w:hAnsi="Book Antiqua" w:cs="Book Antiqua"/>
          <w:b/>
          <w:bCs/>
          <w:color w:val="000000"/>
        </w:rPr>
        <w:t>38</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 xml:space="preserve">old male patient with </w:t>
      </w:r>
      <w:r w:rsidR="00740B11">
        <w:rPr>
          <w:rFonts w:ascii="Book Antiqua" w:eastAsia="Book Antiqua" w:hAnsi="Book Antiqua" w:cs="Book Antiqua"/>
          <w:b/>
          <w:bCs/>
          <w:color w:val="000000"/>
        </w:rPr>
        <w:t xml:space="preserve">a </w:t>
      </w:r>
      <w:r w:rsidRPr="00BC6A1C">
        <w:rPr>
          <w:rFonts w:ascii="Book Antiqua" w:eastAsia="Book Antiqua" w:hAnsi="Book Antiqua" w:cs="Book Antiqua"/>
          <w:b/>
          <w:bCs/>
          <w:color w:val="000000"/>
        </w:rPr>
        <w:t xml:space="preserve">pleomorphic adenoma in the right submandibular gland. </w:t>
      </w:r>
      <w:r w:rsidRPr="00BC6A1C">
        <w:rPr>
          <w:rFonts w:ascii="Book Antiqua" w:eastAsia="Book Antiqua" w:hAnsi="Book Antiqua" w:cs="Book Antiqua"/>
          <w:color w:val="000000"/>
        </w:rPr>
        <w:t xml:space="preserve">A: On sagittal plane T2-weighted image, a hyperintense </w:t>
      </w:r>
      <w:r w:rsidR="005B0479">
        <w:rPr>
          <w:rFonts w:ascii="Book Antiqua" w:eastAsia="Book Antiqua" w:hAnsi="Book Antiqua" w:cs="Book Antiqua"/>
          <w:color w:val="000000"/>
        </w:rPr>
        <w:t>(</w:t>
      </w:r>
      <w:r w:rsidRPr="00BC6A1C">
        <w:rPr>
          <w:rFonts w:ascii="Book Antiqua" w:eastAsia="Book Antiqua" w:hAnsi="Book Antiqua" w:cs="Book Antiqua"/>
          <w:color w:val="000000"/>
        </w:rPr>
        <w:t>compared to the gland</w:t>
      </w:r>
      <w:r w:rsidR="005B0479">
        <w:rPr>
          <w:rFonts w:ascii="Book Antiqua" w:eastAsia="Book Antiqua" w:hAnsi="Book Antiqua" w:cs="Book Antiqua"/>
          <w:color w:val="000000"/>
        </w:rPr>
        <w:t>)</w:t>
      </w:r>
      <w:r w:rsidRPr="00BC6A1C">
        <w:rPr>
          <w:rFonts w:ascii="Book Antiqua" w:eastAsia="Book Antiqua" w:hAnsi="Book Antiqua" w:cs="Book Antiqua"/>
          <w:color w:val="000000"/>
        </w:rPr>
        <w:t xml:space="preserve">, smooth, slightly lobule-contoured mass is observed; B: On contrast-enhanced axial plane T1-weighted image, intense contrast-enhancement is observed in the mass; C: The mass is hyperintense on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apparent diffusion coefficient map due to facilitated diffusion (ADC value: 1.7</w:t>
      </w:r>
      <w:r w:rsidR="00545588"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D: The mass is hypoperfused on color coded perfusion image; E: The tumor has </w:t>
      </w:r>
      <w:r w:rsidR="005B0479">
        <w:rPr>
          <w:rFonts w:ascii="Book Antiqua" w:eastAsia="Book Antiqua" w:hAnsi="Book Antiqua" w:cs="Book Antiqua"/>
          <w:color w:val="000000"/>
        </w:rPr>
        <w:t>t</w:t>
      </w:r>
      <w:r w:rsidR="005B0479" w:rsidRPr="00BC6A1C">
        <w:rPr>
          <w:rFonts w:ascii="Book Antiqua" w:eastAsia="Book Antiqua" w:hAnsi="Book Antiqua" w:cs="Book Antiqua"/>
          <w:color w:val="000000"/>
        </w:rPr>
        <w:t xml:space="preserve">ype </w:t>
      </w:r>
      <w:r w:rsidRPr="00BC6A1C">
        <w:rPr>
          <w:rFonts w:ascii="Book Antiqua" w:eastAsia="Book Antiqua" w:hAnsi="Book Antiqua" w:cs="Book Antiqua"/>
          <w:color w:val="000000"/>
        </w:rPr>
        <w:t>A time intensity curve; F, G</w:t>
      </w:r>
      <w:r w:rsidR="005B0479">
        <w:rPr>
          <w:rFonts w:ascii="Book Antiqua" w:eastAsia="Book Antiqua" w:hAnsi="Book Antiqua" w:cs="Book Antiqua"/>
          <w:color w:val="000000"/>
        </w:rPr>
        <w:t>,</w:t>
      </w:r>
      <w:r w:rsidR="00545588" w:rsidRPr="00BC6A1C">
        <w:rPr>
          <w:rFonts w:ascii="Book Antiqua" w:eastAsia="Book Antiqua" w:hAnsi="Book Antiqua" w:cs="Book Antiqua"/>
          <w:color w:val="000000"/>
        </w:rPr>
        <w:t xml:space="preserve"> and</w:t>
      </w:r>
      <w:r w:rsidRPr="00BC6A1C">
        <w:rPr>
          <w:rFonts w:ascii="Book Antiqua" w:eastAsia="Book Antiqua" w:hAnsi="Book Antiqua" w:cs="Book Antiqua"/>
          <w:color w:val="000000"/>
        </w:rPr>
        <w:t xml:space="preserve"> H: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w:t>
      </w:r>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on quantitative perfusion images were 0.211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0.383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0.593, respectively.</w:t>
      </w:r>
      <w:r w:rsidR="00545588" w:rsidRPr="00BC6A1C">
        <w:rPr>
          <w:rFonts w:ascii="Book Antiqua" w:eastAsia="Book Antiqua" w:hAnsi="Book Antiqua" w:cs="Book Antiqua"/>
          <w:color w:val="000000"/>
        </w:rPr>
        <w:t xml:space="preserve"> ADC: Apparent diffusion coefficient.</w:t>
      </w:r>
      <w:r w:rsidR="006D52BC">
        <w:rPr>
          <w:rFonts w:ascii="Book Antiqua" w:hAnsi="Book Antiqua"/>
          <w:noProof/>
          <w:lang w:eastAsia="zh-CN"/>
        </w:rPr>
        <w:br w:type="page"/>
      </w:r>
    </w:p>
    <w:p w14:paraId="3673B7A6" w14:textId="1643209F" w:rsidR="00A77B3E" w:rsidRPr="00BC6A1C" w:rsidRDefault="00A547AC" w:rsidP="00BC6A1C">
      <w:pPr>
        <w:spacing w:line="360" w:lineRule="auto"/>
        <w:jc w:val="both"/>
        <w:rPr>
          <w:rFonts w:ascii="Book Antiqua" w:hAnsi="Book Antiqua"/>
        </w:rPr>
      </w:pPr>
      <w:r>
        <w:rPr>
          <w:noProof/>
        </w:rPr>
        <w:lastRenderedPageBreak/>
        <w:drawing>
          <wp:inline distT="0" distB="0" distL="0" distR="0" wp14:anchorId="173141BF" wp14:editId="2F4F74DD">
            <wp:extent cx="4431030" cy="277114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1030" cy="2771140"/>
                    </a:xfrm>
                    <a:prstGeom prst="rect">
                      <a:avLst/>
                    </a:prstGeom>
                    <a:noFill/>
                    <a:ln>
                      <a:noFill/>
                    </a:ln>
                  </pic:spPr>
                </pic:pic>
              </a:graphicData>
            </a:graphic>
          </wp:inline>
        </w:drawing>
      </w:r>
    </w:p>
    <w:p w14:paraId="6D6F09A8" w14:textId="0F043B02" w:rsidR="006D52BC" w:rsidRDefault="004563E1" w:rsidP="008E0EE7">
      <w:pPr>
        <w:spacing w:line="360" w:lineRule="auto"/>
        <w:jc w:val="both"/>
        <w:rPr>
          <w:rFonts w:ascii="Book Antiqua" w:hAnsi="Book Antiqua"/>
          <w:noProof/>
          <w:lang w:eastAsia="zh-CN"/>
        </w:rPr>
      </w:pPr>
      <w:r w:rsidRPr="00BC6A1C">
        <w:rPr>
          <w:rFonts w:ascii="Book Antiqua" w:eastAsia="Book Antiqua" w:hAnsi="Book Antiqua" w:cs="Book Antiqua"/>
          <w:b/>
          <w:bCs/>
          <w:color w:val="000000"/>
        </w:rPr>
        <w:t>Figure 4</w:t>
      </w:r>
      <w:r w:rsidRPr="00BC6A1C">
        <w:rPr>
          <w:rFonts w:ascii="Book Antiqua" w:eastAsia="Book Antiqua" w:hAnsi="Book Antiqua" w:cs="Book Antiqua"/>
          <w:color w:val="000000"/>
        </w:rPr>
        <w:t xml:space="preserve"> </w:t>
      </w:r>
      <w:r w:rsidR="00A444DE" w:rsidRPr="005B3D1B">
        <w:rPr>
          <w:rFonts w:ascii="Book Antiqua" w:eastAsia="Book Antiqua" w:hAnsi="Book Antiqua" w:cs="Book Antiqua"/>
          <w:b/>
          <w:color w:val="000000"/>
        </w:rPr>
        <w:t xml:space="preserve">A </w:t>
      </w:r>
      <w:r w:rsidR="005B0479">
        <w:rPr>
          <w:rFonts w:ascii="Book Antiqua" w:eastAsia="Book Antiqua" w:hAnsi="Book Antiqua" w:cs="Book Antiqua"/>
          <w:b/>
          <w:color w:val="000000"/>
        </w:rPr>
        <w:t>76</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 xml:space="preserve">old female patient with diffuse large B cell lymphoma </w:t>
      </w:r>
      <w:r w:rsidR="00A444DE">
        <w:rPr>
          <w:rFonts w:ascii="Book Antiqua" w:eastAsia="Book Antiqua" w:hAnsi="Book Antiqua" w:cs="Book Antiqua"/>
          <w:b/>
          <w:bCs/>
          <w:color w:val="000000"/>
        </w:rPr>
        <w:t>and</w:t>
      </w:r>
      <w:r w:rsidRPr="00BC6A1C">
        <w:rPr>
          <w:rFonts w:ascii="Book Antiqua" w:eastAsia="Book Antiqua" w:hAnsi="Book Antiqua" w:cs="Book Antiqua"/>
          <w:b/>
          <w:bCs/>
          <w:color w:val="000000"/>
        </w:rPr>
        <w:t xml:space="preserve"> a mass in </w:t>
      </w:r>
      <w:r w:rsidR="00A444DE">
        <w:rPr>
          <w:rFonts w:ascii="Book Antiqua" w:eastAsia="Book Antiqua" w:hAnsi="Book Antiqua" w:cs="Book Antiqua"/>
          <w:b/>
          <w:bCs/>
          <w:color w:val="000000"/>
        </w:rPr>
        <w:t xml:space="preserve">the </w:t>
      </w:r>
      <w:r w:rsidRPr="00BC6A1C">
        <w:rPr>
          <w:rFonts w:ascii="Book Antiqua" w:eastAsia="Book Antiqua" w:hAnsi="Book Antiqua" w:cs="Book Antiqua"/>
          <w:b/>
          <w:bCs/>
          <w:color w:val="000000"/>
        </w:rPr>
        <w:t>left submandibular gland region.</w:t>
      </w:r>
      <w:r w:rsidRPr="00BC6A1C">
        <w:rPr>
          <w:rFonts w:ascii="Book Antiqua" w:eastAsia="Book Antiqua" w:hAnsi="Book Antiqua" w:cs="Book Antiqua"/>
          <w:color w:val="000000"/>
        </w:rPr>
        <w:t xml:space="preserve"> A: On axial T2-weighted image, a smooth-contoured mass with homogeneous internal structure and an intensity similar to that of </w:t>
      </w:r>
      <w:r w:rsidR="00A444DE">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submandibular gland is observed; B: Axial contrast-enhanced image shows the intense homogeneous contrast enhancement of the mass; C: On </w:t>
      </w:r>
      <w:r w:rsidR="00122913">
        <w:rPr>
          <w:rFonts w:ascii="Book Antiqua" w:eastAsia="Book Antiqua" w:hAnsi="Book Antiqua" w:cs="Book Antiqua"/>
          <w:color w:val="000000"/>
        </w:rPr>
        <w:t xml:space="preserve">the </w:t>
      </w:r>
      <w:r w:rsidRPr="00BC6A1C">
        <w:rPr>
          <w:rFonts w:ascii="Book Antiqua" w:eastAsia="Book Antiqua" w:hAnsi="Book Antiqua" w:cs="Book Antiqua"/>
          <w:color w:val="000000"/>
        </w:rPr>
        <w:t>apparent coefficient mapping image, the mass features prominent diffusion restriction (ADC value: 0.6</w:t>
      </w:r>
      <w:r w:rsidR="00336D50"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D: The mass is hyperperfused on color coded perfusion image; E: Type B time intensity curve </w:t>
      </w:r>
      <w:r w:rsidR="005B0479">
        <w:rPr>
          <w:rFonts w:ascii="Book Antiqua" w:eastAsia="Book Antiqua" w:hAnsi="Book Antiqua" w:cs="Book Antiqua"/>
          <w:color w:val="000000"/>
        </w:rPr>
        <w:t>shows</w:t>
      </w:r>
      <w:r w:rsidR="005B047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 48% washout ratio; F, G</w:t>
      </w:r>
      <w:r w:rsidR="005B0479">
        <w:rPr>
          <w:rFonts w:ascii="Book Antiqua" w:eastAsia="Book Antiqua" w:hAnsi="Book Antiqua" w:cs="Book Antiqua"/>
          <w:color w:val="000000"/>
        </w:rPr>
        <w:t>,</w:t>
      </w:r>
      <w:r w:rsidR="00336D50" w:rsidRPr="00BC6A1C">
        <w:rPr>
          <w:rFonts w:ascii="Book Antiqua" w:eastAsia="Book Antiqua" w:hAnsi="Book Antiqua" w:cs="Book Antiqua"/>
          <w:color w:val="000000"/>
        </w:rPr>
        <w:t xml:space="preserve"> and </w:t>
      </w:r>
      <w:r w:rsidRPr="00BC6A1C">
        <w:rPr>
          <w:rFonts w:ascii="Book Antiqua" w:eastAsia="Book Antiqua" w:hAnsi="Book Antiqua" w:cs="Book Antiqua"/>
          <w:color w:val="000000"/>
        </w:rPr>
        <w:t>H: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w:t>
      </w:r>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on quantitative perfusion images were 1.058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3.391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0.356, respectively.</w:t>
      </w:r>
      <w:r w:rsidR="00336D50" w:rsidRPr="00BC6A1C">
        <w:rPr>
          <w:rFonts w:ascii="Book Antiqua" w:eastAsia="Book Antiqua" w:hAnsi="Book Antiqua" w:cs="Book Antiqua"/>
          <w:color w:val="000000"/>
        </w:rPr>
        <w:t xml:space="preserve"> ADC: Apparent diffusion coefficient.</w:t>
      </w:r>
      <w:r w:rsidR="006D52BC">
        <w:rPr>
          <w:rFonts w:ascii="Book Antiqua" w:hAnsi="Book Antiqua"/>
          <w:noProof/>
          <w:lang w:eastAsia="zh-CN"/>
        </w:rPr>
        <w:br w:type="page"/>
      </w:r>
    </w:p>
    <w:p w14:paraId="278503CB" w14:textId="0DE35DBE" w:rsidR="00A77B3E" w:rsidRPr="00BC6A1C" w:rsidRDefault="00F46D6A" w:rsidP="00BC6A1C">
      <w:pPr>
        <w:spacing w:line="360" w:lineRule="auto"/>
        <w:jc w:val="both"/>
        <w:rPr>
          <w:rFonts w:ascii="Book Antiqua" w:hAnsi="Book Antiqua"/>
        </w:rPr>
      </w:pPr>
      <w:r>
        <w:rPr>
          <w:noProof/>
        </w:rPr>
        <w:lastRenderedPageBreak/>
        <w:drawing>
          <wp:inline distT="0" distB="0" distL="0" distR="0" wp14:anchorId="68065B67" wp14:editId="5AD3E41F">
            <wp:extent cx="4431030" cy="2532380"/>
            <wp:effectExtent l="0" t="0" r="762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1030" cy="2532380"/>
                    </a:xfrm>
                    <a:prstGeom prst="rect">
                      <a:avLst/>
                    </a:prstGeom>
                    <a:noFill/>
                    <a:ln>
                      <a:noFill/>
                    </a:ln>
                  </pic:spPr>
                </pic:pic>
              </a:graphicData>
            </a:graphic>
          </wp:inline>
        </w:drawing>
      </w:r>
    </w:p>
    <w:p w14:paraId="57D272FB" w14:textId="60729284" w:rsidR="00A77B3E"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b/>
          <w:bCs/>
          <w:color w:val="000000"/>
        </w:rPr>
        <w:t>Figure 5</w:t>
      </w:r>
      <w:r w:rsidRPr="00BC6A1C">
        <w:rPr>
          <w:rFonts w:ascii="Book Antiqua" w:eastAsia="Book Antiqua" w:hAnsi="Book Antiqua" w:cs="Book Antiqua"/>
          <w:color w:val="000000"/>
        </w:rPr>
        <w:t xml:space="preserve"> </w:t>
      </w:r>
      <w:r w:rsidR="00A444DE" w:rsidRPr="005B3D1B">
        <w:rPr>
          <w:rFonts w:ascii="Book Antiqua" w:eastAsia="Book Antiqua" w:hAnsi="Book Antiqua" w:cs="Book Antiqua"/>
          <w:b/>
          <w:color w:val="000000"/>
        </w:rPr>
        <w:t xml:space="preserve">A </w:t>
      </w:r>
      <w:r w:rsidR="005B0479">
        <w:rPr>
          <w:rFonts w:ascii="Book Antiqua" w:eastAsia="Book Antiqua" w:hAnsi="Book Antiqua" w:cs="Book Antiqua"/>
          <w:b/>
          <w:color w:val="000000"/>
        </w:rPr>
        <w:t>79</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old male patient with squamous cell cancer in the left parotid gland.</w:t>
      </w:r>
      <w:r w:rsidRPr="00BC6A1C">
        <w:rPr>
          <w:rFonts w:ascii="Book Antiqua" w:eastAsia="Book Antiqua" w:hAnsi="Book Antiqua" w:cs="Book Antiqua"/>
          <w:color w:val="000000"/>
        </w:rPr>
        <w:t xml:space="preserve"> A: On axial plane T1-weighted image, an irregularly contoured, hypointense mass involving skin and subcutaneous tissues is observed; B: On axial contrast-enhanced T1-weighted image, the mass shows an intense heterogeneous contrast enhancement; C:</w:t>
      </w:r>
      <w:r w:rsidRPr="00BC6A1C">
        <w:rPr>
          <w:rFonts w:ascii="Book Antiqua" w:eastAsia="Book Antiqua" w:hAnsi="Book Antiqua" w:cs="Book Antiqua"/>
          <w:b/>
          <w:bCs/>
          <w:color w:val="000000"/>
        </w:rPr>
        <w:t xml:space="preserve"> </w:t>
      </w:r>
      <w:r w:rsidRPr="00BC6A1C">
        <w:rPr>
          <w:rFonts w:ascii="Book Antiqua" w:eastAsia="Book Antiqua" w:hAnsi="Book Antiqua" w:cs="Book Antiqua"/>
          <w:color w:val="000000"/>
        </w:rPr>
        <w:t xml:space="preserve">ADC value on </w:t>
      </w:r>
      <w:r w:rsidR="00A444DE">
        <w:rPr>
          <w:rFonts w:ascii="Book Antiqua" w:eastAsia="Book Antiqua" w:hAnsi="Book Antiqua" w:cs="Book Antiqua"/>
          <w:color w:val="000000"/>
        </w:rPr>
        <w:t xml:space="preserve">the </w:t>
      </w:r>
      <w:r w:rsidRPr="00BC6A1C">
        <w:rPr>
          <w:rFonts w:ascii="Book Antiqua" w:eastAsia="Book Antiqua" w:hAnsi="Book Antiqua" w:cs="Book Antiqua"/>
          <w:color w:val="000000"/>
        </w:rPr>
        <w:t>apparent diffusion coefficient map was 1.1</w:t>
      </w:r>
      <w:r w:rsidR="00336D50"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D: The mass is heterogeneously hyperperfused on color coded perfusion image; E: Type C </w:t>
      </w:r>
      <w:r w:rsidR="00A444DE">
        <w:rPr>
          <w:rFonts w:ascii="Book Antiqua" w:eastAsia="Book Antiqua" w:hAnsi="Book Antiqua" w:cs="Book Antiqua"/>
          <w:color w:val="000000"/>
        </w:rPr>
        <w:t>t</w:t>
      </w:r>
      <w:r w:rsidRPr="00BC6A1C">
        <w:rPr>
          <w:rFonts w:ascii="Book Antiqua" w:eastAsia="Book Antiqua" w:hAnsi="Book Antiqua" w:cs="Book Antiqua"/>
          <w:color w:val="000000"/>
        </w:rPr>
        <w:t xml:space="preserve">ime intensity curve </w:t>
      </w:r>
      <w:r w:rsidR="005B0479">
        <w:rPr>
          <w:rFonts w:ascii="Book Antiqua" w:eastAsia="Book Antiqua" w:hAnsi="Book Antiqua" w:cs="Book Antiqua"/>
          <w:color w:val="000000"/>
        </w:rPr>
        <w:t>shows</w:t>
      </w:r>
      <w:r w:rsidR="005B047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 10% washout ratio; F, G</w:t>
      </w:r>
      <w:r w:rsidR="005B0479">
        <w:rPr>
          <w:rFonts w:ascii="Book Antiqua" w:eastAsia="Book Antiqua" w:hAnsi="Book Antiqua" w:cs="Book Antiqua"/>
          <w:color w:val="000000"/>
        </w:rPr>
        <w:t>,</w:t>
      </w:r>
      <w:r w:rsidR="00336D50" w:rsidRPr="00BC6A1C">
        <w:rPr>
          <w:rFonts w:ascii="Book Antiqua" w:eastAsia="Book Antiqua" w:hAnsi="Book Antiqua" w:cs="Book Antiqua"/>
          <w:color w:val="000000"/>
        </w:rPr>
        <w:t xml:space="preserve"> and </w:t>
      </w:r>
      <w:r w:rsidRPr="00BC6A1C">
        <w:rPr>
          <w:rFonts w:ascii="Book Antiqua" w:eastAsia="Book Antiqua" w:hAnsi="Book Antiqua" w:cs="Book Antiqua"/>
          <w:color w:val="000000"/>
        </w:rPr>
        <w:t>H: K</w:t>
      </w:r>
      <w:r w:rsidRPr="00BC6A1C">
        <w:rPr>
          <w:rFonts w:ascii="Book Antiqua" w:eastAsia="Book Antiqua" w:hAnsi="Book Antiqua" w:cs="Book Antiqua"/>
          <w:color w:val="000000"/>
          <w:vertAlign w:val="subscript"/>
        </w:rPr>
        <w:t>trans</w:t>
      </w:r>
      <w:r w:rsidRPr="00BC6A1C">
        <w:rPr>
          <w:rFonts w:ascii="Book Antiqua" w:eastAsia="Book Antiqua" w:hAnsi="Book Antiqua" w:cs="Book Antiqua"/>
          <w:color w:val="000000"/>
        </w:rPr>
        <w:t xml:space="preserve">, </w:t>
      </w:r>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V</w:t>
      </w:r>
      <w:r w:rsidRPr="00BC6A1C">
        <w:rPr>
          <w:rFonts w:ascii="Book Antiqua" w:eastAsia="Book Antiqua" w:hAnsi="Book Antiqua" w:cs="Book Antiqua"/>
          <w:color w:val="000000"/>
          <w:vertAlign w:val="subscript"/>
        </w:rPr>
        <w:t>e</w:t>
      </w:r>
      <w:r w:rsidRPr="00BC6A1C">
        <w:rPr>
          <w:rFonts w:ascii="Book Antiqua" w:eastAsia="Book Antiqua" w:hAnsi="Book Antiqua" w:cs="Book Antiqua"/>
          <w:color w:val="000000"/>
        </w:rPr>
        <w:t xml:space="preserve"> values on quantitative perfusion images were 0.993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1.659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0.612, respectively.</w:t>
      </w:r>
      <w:r w:rsidR="00336D50" w:rsidRPr="00BC6A1C">
        <w:rPr>
          <w:rFonts w:ascii="Book Antiqua" w:eastAsia="Book Antiqua" w:hAnsi="Book Antiqua" w:cs="Book Antiqua"/>
          <w:color w:val="000000"/>
        </w:rPr>
        <w:t xml:space="preserve"> ADC: Apparent diffusion coefficient.</w:t>
      </w:r>
    </w:p>
    <w:p w14:paraId="3F91F840" w14:textId="77777777" w:rsidR="004563E1" w:rsidRPr="00BC6A1C" w:rsidRDefault="00336D50"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br w:type="page"/>
      </w:r>
    </w:p>
    <w:p w14:paraId="5DED8CC2" w14:textId="0531C1FE" w:rsidR="004563E1" w:rsidRPr="00BC6A1C" w:rsidRDefault="004563E1" w:rsidP="00BC6A1C">
      <w:pPr>
        <w:spacing w:line="360" w:lineRule="auto"/>
        <w:jc w:val="both"/>
        <w:rPr>
          <w:rFonts w:ascii="Book Antiqua" w:eastAsiaTheme="minorHAnsi" w:hAnsi="Book Antiqua"/>
          <w:b/>
        </w:rPr>
      </w:pPr>
      <w:r w:rsidRPr="00BC6A1C">
        <w:rPr>
          <w:rFonts w:ascii="Book Antiqua" w:eastAsiaTheme="minorHAnsi" w:hAnsi="Book Antiqua"/>
          <w:b/>
          <w:bCs/>
        </w:rPr>
        <w:lastRenderedPageBreak/>
        <w:t>Table 1</w:t>
      </w:r>
      <w:r w:rsidRPr="00BC6A1C">
        <w:rPr>
          <w:rFonts w:ascii="Book Antiqua" w:eastAsiaTheme="minorHAnsi" w:hAnsi="Book Antiqua"/>
          <w:b/>
        </w:rPr>
        <w:t xml:space="preserve"> Locations, numbers</w:t>
      </w:r>
      <w:r w:rsidR="005B0479">
        <w:rPr>
          <w:rFonts w:ascii="Book Antiqua" w:eastAsiaTheme="minorHAnsi" w:hAnsi="Book Antiqua"/>
          <w:b/>
        </w:rPr>
        <w:t>,</w:t>
      </w:r>
      <w:r w:rsidRPr="00BC6A1C">
        <w:rPr>
          <w:rFonts w:ascii="Book Antiqua" w:eastAsiaTheme="minorHAnsi" w:hAnsi="Book Antiqua"/>
          <w:b/>
        </w:rPr>
        <w:t xml:space="preserve"> and frequencies of salivary gland tumors </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6531"/>
        <w:gridCol w:w="2829"/>
      </w:tblGrid>
      <w:tr w:rsidR="004563E1" w:rsidRPr="00BC6A1C" w14:paraId="727B3B22" w14:textId="77777777" w:rsidTr="00A3328E">
        <w:trPr>
          <w:cantSplit/>
        </w:trPr>
        <w:tc>
          <w:tcPr>
            <w:tcW w:w="2525" w:type="pct"/>
            <w:tcBorders>
              <w:top w:val="single" w:sz="4" w:space="0" w:color="auto"/>
              <w:bottom w:val="single" w:sz="4" w:space="0" w:color="auto"/>
            </w:tcBorders>
            <w:shd w:val="clear" w:color="auto" w:fill="FFFFFF"/>
          </w:tcPr>
          <w:p w14:paraId="7D3DE2B0"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b/>
                <w:bCs/>
              </w:rPr>
            </w:pPr>
            <w:r w:rsidRPr="00BC6A1C">
              <w:rPr>
                <w:rFonts w:ascii="Book Antiqua" w:eastAsiaTheme="minorHAnsi" w:hAnsi="Book Antiqua"/>
                <w:b/>
                <w:bCs/>
              </w:rPr>
              <w:t>Location</w:t>
            </w:r>
          </w:p>
        </w:tc>
        <w:tc>
          <w:tcPr>
            <w:tcW w:w="1093" w:type="pct"/>
            <w:tcBorders>
              <w:top w:val="single" w:sz="4" w:space="0" w:color="auto"/>
              <w:bottom w:val="single" w:sz="4" w:space="0" w:color="auto"/>
            </w:tcBorders>
            <w:shd w:val="clear" w:color="auto" w:fill="FFFFFF"/>
            <w:vAlign w:val="bottom"/>
          </w:tcPr>
          <w:p w14:paraId="4A2E6F93" w14:textId="77777777" w:rsidR="004563E1" w:rsidRPr="00BC6A1C" w:rsidRDefault="004563E1" w:rsidP="00BC6A1C">
            <w:pPr>
              <w:spacing w:line="360" w:lineRule="auto"/>
              <w:jc w:val="both"/>
              <w:rPr>
                <w:rFonts w:ascii="Book Antiqua" w:eastAsiaTheme="minorHAnsi" w:hAnsi="Book Antiqua"/>
                <w:b/>
                <w:i/>
              </w:rPr>
            </w:pPr>
            <w:r w:rsidRPr="00BC6A1C">
              <w:rPr>
                <w:rFonts w:ascii="Book Antiqua" w:eastAsiaTheme="minorHAnsi" w:hAnsi="Book Antiqua"/>
                <w:b/>
                <w:i/>
              </w:rPr>
              <w:t>n (%)</w:t>
            </w:r>
          </w:p>
        </w:tc>
      </w:tr>
      <w:tr w:rsidR="004563E1" w:rsidRPr="00BC6A1C" w14:paraId="79F24347" w14:textId="77777777" w:rsidTr="00A3328E">
        <w:trPr>
          <w:cantSplit/>
        </w:trPr>
        <w:tc>
          <w:tcPr>
            <w:tcW w:w="2525" w:type="pct"/>
            <w:tcBorders>
              <w:top w:val="single" w:sz="4" w:space="0" w:color="auto"/>
            </w:tcBorders>
            <w:shd w:val="clear" w:color="auto" w:fill="FFFFFF"/>
          </w:tcPr>
          <w:p w14:paraId="7C98744B"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Unilateral parotid gland</w:t>
            </w:r>
          </w:p>
        </w:tc>
        <w:tc>
          <w:tcPr>
            <w:tcW w:w="1093" w:type="pct"/>
            <w:tcBorders>
              <w:top w:val="single" w:sz="4" w:space="0" w:color="auto"/>
            </w:tcBorders>
            <w:shd w:val="clear" w:color="auto" w:fill="FFFFFF"/>
            <w:vAlign w:val="bottom"/>
          </w:tcPr>
          <w:p w14:paraId="7FB265A4"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color w:val="000000" w:themeColor="text1"/>
              </w:rPr>
              <w:t>61</w:t>
            </w:r>
            <w:r w:rsidRPr="00BC6A1C">
              <w:rPr>
                <w:rFonts w:ascii="Book Antiqua" w:eastAsiaTheme="minorHAnsi" w:hAnsi="Book Antiqua"/>
              </w:rPr>
              <w:t xml:space="preserve"> (83.6)</w:t>
            </w:r>
          </w:p>
        </w:tc>
      </w:tr>
      <w:tr w:rsidR="004563E1" w:rsidRPr="00BC6A1C" w14:paraId="3ACFD937" w14:textId="77777777" w:rsidTr="00A3328E">
        <w:trPr>
          <w:cantSplit/>
        </w:trPr>
        <w:tc>
          <w:tcPr>
            <w:tcW w:w="2525" w:type="pct"/>
            <w:shd w:val="clear" w:color="auto" w:fill="FFFFFF"/>
          </w:tcPr>
          <w:p w14:paraId="5E0C00FD"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Submandibular gland</w:t>
            </w:r>
          </w:p>
        </w:tc>
        <w:tc>
          <w:tcPr>
            <w:tcW w:w="1093" w:type="pct"/>
            <w:shd w:val="clear" w:color="auto" w:fill="FFFFFF"/>
            <w:vAlign w:val="bottom"/>
          </w:tcPr>
          <w:p w14:paraId="0D8ED00A"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6 (8.2)</w:t>
            </w:r>
          </w:p>
        </w:tc>
      </w:tr>
      <w:tr w:rsidR="004563E1" w:rsidRPr="00BC6A1C" w14:paraId="39AE56F7" w14:textId="77777777" w:rsidTr="00A3328E">
        <w:trPr>
          <w:cantSplit/>
        </w:trPr>
        <w:tc>
          <w:tcPr>
            <w:tcW w:w="2525" w:type="pct"/>
            <w:shd w:val="clear" w:color="auto" w:fill="FFFFFF"/>
          </w:tcPr>
          <w:p w14:paraId="52CCD4B1"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Minor salivary gland</w:t>
            </w:r>
          </w:p>
        </w:tc>
        <w:tc>
          <w:tcPr>
            <w:tcW w:w="1093" w:type="pct"/>
            <w:shd w:val="clear" w:color="auto" w:fill="FFFFFF"/>
            <w:vAlign w:val="bottom"/>
          </w:tcPr>
          <w:p w14:paraId="17086F9B"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3 (4.1)</w:t>
            </w:r>
          </w:p>
        </w:tc>
      </w:tr>
      <w:tr w:rsidR="004563E1" w:rsidRPr="00BC6A1C" w14:paraId="3B19439F" w14:textId="77777777" w:rsidTr="00A3328E">
        <w:trPr>
          <w:cantSplit/>
        </w:trPr>
        <w:tc>
          <w:tcPr>
            <w:tcW w:w="2525" w:type="pct"/>
            <w:shd w:val="clear" w:color="auto" w:fill="FFFFFF"/>
          </w:tcPr>
          <w:p w14:paraId="704B0A69" w14:textId="3E97F4BF"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Bilateral parotid gland</w:t>
            </w:r>
          </w:p>
        </w:tc>
        <w:tc>
          <w:tcPr>
            <w:tcW w:w="1093" w:type="pct"/>
            <w:shd w:val="clear" w:color="auto" w:fill="FFFFFF"/>
            <w:vAlign w:val="bottom"/>
          </w:tcPr>
          <w:p w14:paraId="09DB3F55"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2 (2.7)</w:t>
            </w:r>
          </w:p>
        </w:tc>
      </w:tr>
      <w:tr w:rsidR="004563E1" w:rsidRPr="00BC6A1C" w14:paraId="0A3229CD" w14:textId="77777777" w:rsidTr="00A3328E">
        <w:trPr>
          <w:cantSplit/>
        </w:trPr>
        <w:tc>
          <w:tcPr>
            <w:tcW w:w="2525" w:type="pct"/>
            <w:shd w:val="clear" w:color="auto" w:fill="FFFFFF"/>
          </w:tcPr>
          <w:p w14:paraId="5343F6E3"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 xml:space="preserve">Sublingual gland </w:t>
            </w:r>
          </w:p>
        </w:tc>
        <w:tc>
          <w:tcPr>
            <w:tcW w:w="1093" w:type="pct"/>
            <w:shd w:val="clear" w:color="auto" w:fill="FFFFFF"/>
            <w:vAlign w:val="bottom"/>
          </w:tcPr>
          <w:p w14:paraId="71635148"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1 (1.4)</w:t>
            </w:r>
          </w:p>
        </w:tc>
      </w:tr>
    </w:tbl>
    <w:p w14:paraId="417A4DA7" w14:textId="77777777" w:rsidR="004563E1" w:rsidRPr="00BC6A1C" w:rsidRDefault="004563E1" w:rsidP="00BC6A1C">
      <w:pPr>
        <w:spacing w:line="360" w:lineRule="auto"/>
        <w:contextualSpacing/>
        <w:jc w:val="both"/>
        <w:rPr>
          <w:rFonts w:ascii="Book Antiqua" w:eastAsiaTheme="minorHAnsi" w:hAnsi="Book Antiqua" w:cstheme="minorBidi"/>
          <w:color w:val="000000" w:themeColor="text1"/>
          <w:lang w:val="tr-TR"/>
        </w:rPr>
      </w:pPr>
      <w:r w:rsidRPr="005B3D1B">
        <w:rPr>
          <w:rFonts w:ascii="Book Antiqua" w:eastAsiaTheme="minorHAnsi" w:hAnsi="Book Antiqua" w:cstheme="minorBidi"/>
          <w:i/>
          <w:color w:val="000000" w:themeColor="text1"/>
          <w:lang w:val="tr-TR"/>
        </w:rPr>
        <w:t>n</w:t>
      </w:r>
      <w:r w:rsidRPr="00BC6A1C">
        <w:rPr>
          <w:rFonts w:ascii="Book Antiqua" w:eastAsiaTheme="minorHAnsi" w:hAnsi="Book Antiqua" w:cstheme="minorBidi"/>
          <w:color w:val="000000" w:themeColor="text1"/>
          <w:lang w:val="tr-TR"/>
        </w:rPr>
        <w:t xml:space="preserve">: </w:t>
      </w:r>
      <w:r w:rsidR="006D071E" w:rsidRPr="00BC6A1C">
        <w:rPr>
          <w:rFonts w:ascii="Book Antiqua" w:eastAsiaTheme="minorHAnsi" w:hAnsi="Book Antiqua" w:cstheme="minorBidi"/>
          <w:color w:val="000000" w:themeColor="text1"/>
          <w:lang w:val="tr-TR"/>
        </w:rPr>
        <w:t>N</w:t>
      </w:r>
      <w:r w:rsidRPr="00BC6A1C">
        <w:rPr>
          <w:rFonts w:ascii="Book Antiqua" w:eastAsiaTheme="minorHAnsi" w:hAnsi="Book Antiqua" w:cstheme="minorBidi"/>
          <w:color w:val="000000" w:themeColor="text1"/>
          <w:lang w:val="tr-TR"/>
        </w:rPr>
        <w:t>umber of</w:t>
      </w:r>
      <w:r w:rsidRPr="00BC6A1C">
        <w:rPr>
          <w:rFonts w:ascii="Book Antiqua" w:eastAsiaTheme="minorHAnsi" w:hAnsi="Book Antiqua"/>
          <w:b/>
          <w:color w:val="000000" w:themeColor="text1"/>
        </w:rPr>
        <w:t xml:space="preserve"> </w:t>
      </w:r>
      <w:r w:rsidRPr="00BC6A1C">
        <w:rPr>
          <w:rFonts w:ascii="Book Antiqua" w:eastAsiaTheme="minorHAnsi" w:hAnsi="Book Antiqua"/>
          <w:color w:val="000000" w:themeColor="text1"/>
        </w:rPr>
        <w:t xml:space="preserve">salivary </w:t>
      </w:r>
      <w:r w:rsidR="00010275" w:rsidRPr="00BC6A1C">
        <w:rPr>
          <w:rFonts w:ascii="Book Antiqua" w:eastAsiaTheme="minorHAnsi" w:hAnsi="Book Antiqua"/>
          <w:color w:val="000000" w:themeColor="text1"/>
        </w:rPr>
        <w:t>gland tumors</w:t>
      </w:r>
    </w:p>
    <w:p w14:paraId="0C01D1A5"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CD44F7A"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7F9DF6D"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07FD25DA"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15A1DA17"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7D38592D"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75C215B8"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1C83625"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68D1FE7C"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B1CBB1B"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7842CF66"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61B7F08"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7E51CDD"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0B9124A7"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A37D064"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2A426F3C"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1B221A5"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9C19068"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18F97066" w14:textId="77777777" w:rsidR="00F502FB" w:rsidRPr="00BC6A1C" w:rsidRDefault="00F502FB" w:rsidP="00BC6A1C">
      <w:pPr>
        <w:spacing w:line="360" w:lineRule="auto"/>
        <w:contextualSpacing/>
        <w:jc w:val="both"/>
        <w:rPr>
          <w:rFonts w:ascii="Book Antiqua" w:eastAsiaTheme="minorHAnsi" w:hAnsi="Book Antiqua" w:cstheme="minorBidi"/>
          <w:lang w:val="tr-TR"/>
        </w:rPr>
      </w:pPr>
    </w:p>
    <w:p w14:paraId="51CDBAF9"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C8AD073"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46BBE7E" w14:textId="77777777" w:rsidR="004563E1" w:rsidRPr="00BC6A1C" w:rsidRDefault="004563E1" w:rsidP="00BC6A1C">
      <w:pPr>
        <w:spacing w:line="360" w:lineRule="auto"/>
        <w:jc w:val="both"/>
        <w:rPr>
          <w:rFonts w:ascii="Book Antiqua" w:eastAsiaTheme="minorHAnsi" w:hAnsi="Book Antiqua"/>
          <w:b/>
          <w:bCs/>
        </w:rPr>
      </w:pPr>
      <w:r w:rsidRPr="00BC6A1C">
        <w:rPr>
          <w:rFonts w:ascii="Book Antiqua" w:eastAsiaTheme="minorHAnsi" w:hAnsi="Book Antiqua"/>
          <w:b/>
          <w:bCs/>
          <w:color w:val="000000" w:themeColor="text1"/>
        </w:rPr>
        <w:lastRenderedPageBreak/>
        <w:t xml:space="preserve">Table 2 </w:t>
      </w:r>
      <w:r w:rsidRPr="00BC6A1C">
        <w:rPr>
          <w:rFonts w:ascii="Book Antiqua" w:eastAsiaTheme="minorHAnsi" w:hAnsi="Book Antiqua"/>
          <w:b/>
        </w:rPr>
        <w:t>Numbers of benign and malignant salivary gland tumors</w:t>
      </w:r>
    </w:p>
    <w:tbl>
      <w:tblPr>
        <w:tblStyle w:val="TabloKlavuzu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34"/>
        <w:gridCol w:w="4111"/>
        <w:gridCol w:w="992"/>
      </w:tblGrid>
      <w:tr w:rsidR="004563E1" w:rsidRPr="00BC6A1C" w14:paraId="26A71538" w14:textId="77777777" w:rsidTr="00987792">
        <w:tc>
          <w:tcPr>
            <w:tcW w:w="2660" w:type="dxa"/>
            <w:tcBorders>
              <w:top w:val="single" w:sz="4" w:space="0" w:color="auto"/>
              <w:bottom w:val="single" w:sz="4" w:space="0" w:color="auto"/>
            </w:tcBorders>
          </w:tcPr>
          <w:p w14:paraId="4477C522"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Benign SGTs</w:t>
            </w:r>
          </w:p>
        </w:tc>
        <w:tc>
          <w:tcPr>
            <w:tcW w:w="1134" w:type="dxa"/>
            <w:tcBorders>
              <w:top w:val="single" w:sz="4" w:space="0" w:color="auto"/>
              <w:bottom w:val="single" w:sz="4" w:space="0" w:color="auto"/>
            </w:tcBorders>
          </w:tcPr>
          <w:p w14:paraId="41D28FA1" w14:textId="77777777" w:rsidR="004563E1" w:rsidRPr="00BC6A1C" w:rsidRDefault="004563E1" w:rsidP="00BC6A1C">
            <w:pPr>
              <w:spacing w:line="360" w:lineRule="auto"/>
              <w:jc w:val="both"/>
              <w:rPr>
                <w:rFonts w:ascii="Book Antiqua" w:hAnsi="Book Antiqua" w:cs="Times New Roman"/>
                <w:b/>
                <w:bCs/>
                <w:i/>
              </w:rPr>
            </w:pPr>
            <w:r w:rsidRPr="00BC6A1C">
              <w:rPr>
                <w:rFonts w:ascii="Book Antiqua" w:hAnsi="Book Antiqua" w:cs="Times New Roman"/>
                <w:b/>
                <w:bCs/>
                <w:i/>
              </w:rPr>
              <w:t xml:space="preserve">n </w:t>
            </w:r>
            <w:r w:rsidRPr="00BC6A1C">
              <w:rPr>
                <w:rFonts w:ascii="Book Antiqua" w:hAnsi="Book Antiqua" w:cs="Times New Roman"/>
                <w:b/>
                <w:bCs/>
              </w:rPr>
              <w:t>(%)</w:t>
            </w:r>
          </w:p>
        </w:tc>
        <w:tc>
          <w:tcPr>
            <w:tcW w:w="4111" w:type="dxa"/>
            <w:tcBorders>
              <w:top w:val="single" w:sz="4" w:space="0" w:color="auto"/>
              <w:bottom w:val="single" w:sz="4" w:space="0" w:color="auto"/>
            </w:tcBorders>
          </w:tcPr>
          <w:p w14:paraId="45DCEB01"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Malignant SGTs</w:t>
            </w:r>
          </w:p>
        </w:tc>
        <w:tc>
          <w:tcPr>
            <w:tcW w:w="992" w:type="dxa"/>
            <w:tcBorders>
              <w:top w:val="single" w:sz="4" w:space="0" w:color="auto"/>
              <w:bottom w:val="single" w:sz="4" w:space="0" w:color="auto"/>
            </w:tcBorders>
          </w:tcPr>
          <w:p w14:paraId="47306532" w14:textId="77777777" w:rsidR="004563E1" w:rsidRPr="00BC6A1C" w:rsidRDefault="004563E1" w:rsidP="00BC6A1C">
            <w:pPr>
              <w:spacing w:line="360" w:lineRule="auto"/>
              <w:jc w:val="both"/>
              <w:rPr>
                <w:rFonts w:ascii="Book Antiqua" w:hAnsi="Book Antiqua" w:cs="Times New Roman"/>
                <w:b/>
                <w:bCs/>
                <w:i/>
              </w:rPr>
            </w:pPr>
            <w:r w:rsidRPr="00BC6A1C">
              <w:rPr>
                <w:rFonts w:ascii="Book Antiqua" w:hAnsi="Book Antiqua" w:cs="Times New Roman"/>
                <w:b/>
                <w:bCs/>
                <w:i/>
              </w:rPr>
              <w:t xml:space="preserve">n </w:t>
            </w:r>
            <w:r w:rsidRPr="00BC6A1C">
              <w:rPr>
                <w:rFonts w:ascii="Book Antiqua" w:hAnsi="Book Antiqua" w:cs="Times New Roman"/>
                <w:b/>
                <w:bCs/>
              </w:rPr>
              <w:t>(%)</w:t>
            </w:r>
          </w:p>
        </w:tc>
      </w:tr>
      <w:tr w:rsidR="004563E1" w:rsidRPr="00BC6A1C" w14:paraId="4969808D" w14:textId="77777777" w:rsidTr="00987792">
        <w:tc>
          <w:tcPr>
            <w:tcW w:w="2660" w:type="dxa"/>
            <w:tcBorders>
              <w:top w:val="single" w:sz="4" w:space="0" w:color="auto"/>
            </w:tcBorders>
          </w:tcPr>
          <w:p w14:paraId="72E5C7F4"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Warthin’s tumor</w:t>
            </w:r>
          </w:p>
        </w:tc>
        <w:tc>
          <w:tcPr>
            <w:tcW w:w="1134" w:type="dxa"/>
            <w:tcBorders>
              <w:top w:val="single" w:sz="4" w:space="0" w:color="auto"/>
            </w:tcBorders>
          </w:tcPr>
          <w:p w14:paraId="7434C7D6"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18 (24.7)</w:t>
            </w:r>
          </w:p>
        </w:tc>
        <w:tc>
          <w:tcPr>
            <w:tcW w:w="4111" w:type="dxa"/>
            <w:tcBorders>
              <w:top w:val="single" w:sz="4" w:space="0" w:color="auto"/>
            </w:tcBorders>
          </w:tcPr>
          <w:p w14:paraId="27E341AC"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Squamous cell carcinoma</w:t>
            </w:r>
          </w:p>
        </w:tc>
        <w:tc>
          <w:tcPr>
            <w:tcW w:w="992" w:type="dxa"/>
            <w:tcBorders>
              <w:top w:val="single" w:sz="4" w:space="0" w:color="auto"/>
            </w:tcBorders>
          </w:tcPr>
          <w:p w14:paraId="545B30BC"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11 (15.1)</w:t>
            </w:r>
          </w:p>
        </w:tc>
      </w:tr>
      <w:tr w:rsidR="004563E1" w:rsidRPr="00BC6A1C" w14:paraId="45105B8D" w14:textId="77777777" w:rsidTr="00987792">
        <w:tc>
          <w:tcPr>
            <w:tcW w:w="2660" w:type="dxa"/>
          </w:tcPr>
          <w:p w14:paraId="6F757C68"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Pleomorphic adenoma</w:t>
            </w:r>
          </w:p>
        </w:tc>
        <w:tc>
          <w:tcPr>
            <w:tcW w:w="1134" w:type="dxa"/>
          </w:tcPr>
          <w:p w14:paraId="0932A429"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14 (19.2)</w:t>
            </w:r>
          </w:p>
        </w:tc>
        <w:tc>
          <w:tcPr>
            <w:tcW w:w="4111" w:type="dxa"/>
          </w:tcPr>
          <w:p w14:paraId="76D06E77"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Adenoid cystic carcinoma</w:t>
            </w:r>
          </w:p>
        </w:tc>
        <w:tc>
          <w:tcPr>
            <w:tcW w:w="992" w:type="dxa"/>
          </w:tcPr>
          <w:p w14:paraId="352AC690"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3 (4.1)</w:t>
            </w:r>
          </w:p>
        </w:tc>
      </w:tr>
      <w:tr w:rsidR="004563E1" w:rsidRPr="00BC6A1C" w14:paraId="177DD1DD" w14:textId="77777777" w:rsidTr="00987792">
        <w:tc>
          <w:tcPr>
            <w:tcW w:w="2660" w:type="dxa"/>
          </w:tcPr>
          <w:p w14:paraId="1F9516E0"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Inflammatory process</w:t>
            </w:r>
          </w:p>
        </w:tc>
        <w:tc>
          <w:tcPr>
            <w:tcW w:w="1134" w:type="dxa"/>
          </w:tcPr>
          <w:p w14:paraId="359B635F"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12 (16.4)</w:t>
            </w:r>
          </w:p>
        </w:tc>
        <w:tc>
          <w:tcPr>
            <w:tcW w:w="4111" w:type="dxa"/>
          </w:tcPr>
          <w:p w14:paraId="253FFEBE" w14:textId="53E1EB91"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Malign</w:t>
            </w:r>
            <w:r w:rsidR="00A444DE">
              <w:rPr>
                <w:rFonts w:ascii="Book Antiqua" w:hAnsi="Book Antiqua" w:cs="Times New Roman"/>
                <w:color w:val="000000" w:themeColor="text1"/>
              </w:rPr>
              <w:t>ant</w:t>
            </w:r>
            <w:r w:rsidRPr="00BC6A1C">
              <w:rPr>
                <w:rFonts w:ascii="Book Antiqua" w:hAnsi="Book Antiqua" w:cs="Times New Roman"/>
                <w:color w:val="000000" w:themeColor="text1"/>
              </w:rPr>
              <w:t xml:space="preserve"> lymphoma</w:t>
            </w:r>
          </w:p>
        </w:tc>
        <w:tc>
          <w:tcPr>
            <w:tcW w:w="992" w:type="dxa"/>
          </w:tcPr>
          <w:p w14:paraId="231C8096"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3 (4.1)</w:t>
            </w:r>
          </w:p>
        </w:tc>
      </w:tr>
      <w:tr w:rsidR="004563E1" w:rsidRPr="00BC6A1C" w14:paraId="165F53C9" w14:textId="77777777" w:rsidTr="00987792">
        <w:tc>
          <w:tcPr>
            <w:tcW w:w="2660" w:type="dxa"/>
          </w:tcPr>
          <w:p w14:paraId="50E8B6D1"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Lipoma</w:t>
            </w:r>
          </w:p>
        </w:tc>
        <w:tc>
          <w:tcPr>
            <w:tcW w:w="1134" w:type="dxa"/>
          </w:tcPr>
          <w:p w14:paraId="0ABA5E39"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4 (5.5)</w:t>
            </w:r>
          </w:p>
        </w:tc>
        <w:tc>
          <w:tcPr>
            <w:tcW w:w="4111" w:type="dxa"/>
          </w:tcPr>
          <w:p w14:paraId="2ABD7292"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Adenocarcinoma</w:t>
            </w:r>
          </w:p>
        </w:tc>
        <w:tc>
          <w:tcPr>
            <w:tcW w:w="992" w:type="dxa"/>
          </w:tcPr>
          <w:p w14:paraId="40E117EA"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093654" w:rsidRPr="00BC6A1C" w14:paraId="59EBB9DB" w14:textId="77777777" w:rsidTr="00987792">
        <w:tc>
          <w:tcPr>
            <w:tcW w:w="2660" w:type="dxa"/>
          </w:tcPr>
          <w:p w14:paraId="624EED7F" w14:textId="1641006D" w:rsidR="00093654" w:rsidRPr="00BC6A1C" w:rsidRDefault="00093654" w:rsidP="00BC6A1C">
            <w:pPr>
              <w:spacing w:line="360" w:lineRule="auto"/>
              <w:jc w:val="both"/>
              <w:rPr>
                <w:rFonts w:ascii="Book Antiqua" w:hAnsi="Book Antiqua"/>
                <w:color w:val="000000" w:themeColor="text1"/>
              </w:rPr>
            </w:pPr>
            <w:r w:rsidRPr="00BC6A1C">
              <w:rPr>
                <w:rFonts w:ascii="Book Antiqua" w:hAnsi="Book Antiqua" w:cs="Times New Roman"/>
                <w:color w:val="000000" w:themeColor="text1"/>
              </w:rPr>
              <w:t>Benign cystic lesions</w:t>
            </w:r>
          </w:p>
        </w:tc>
        <w:tc>
          <w:tcPr>
            <w:tcW w:w="1134" w:type="dxa"/>
          </w:tcPr>
          <w:p w14:paraId="08F9FDAD" w14:textId="63B75AEC" w:rsidR="00093654" w:rsidRPr="00093654" w:rsidRDefault="00093654"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c>
          <w:tcPr>
            <w:tcW w:w="4111" w:type="dxa"/>
          </w:tcPr>
          <w:p w14:paraId="798595D5" w14:textId="309C6EDF" w:rsidR="00093654" w:rsidRPr="00093654" w:rsidRDefault="00093654"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Mucoepidermoid carcinoma</w:t>
            </w:r>
          </w:p>
        </w:tc>
        <w:tc>
          <w:tcPr>
            <w:tcW w:w="992" w:type="dxa"/>
          </w:tcPr>
          <w:p w14:paraId="14D2113B" w14:textId="4595B1B2" w:rsidR="00093654" w:rsidRPr="00093654" w:rsidRDefault="00093654"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37A5977F" w14:textId="77777777" w:rsidTr="00987792">
        <w:tc>
          <w:tcPr>
            <w:tcW w:w="2660" w:type="dxa"/>
          </w:tcPr>
          <w:p w14:paraId="718CC5BD" w14:textId="6DACB8F8" w:rsidR="004563E1" w:rsidRDefault="004563E1" w:rsidP="00BC6A1C">
            <w:pPr>
              <w:spacing w:line="360" w:lineRule="auto"/>
              <w:jc w:val="both"/>
              <w:rPr>
                <w:rFonts w:ascii="Book Antiqua" w:hAnsi="Book Antiqua" w:cs="Times New Roman"/>
                <w:color w:val="000000" w:themeColor="text1"/>
              </w:rPr>
            </w:pPr>
          </w:p>
          <w:p w14:paraId="621E0F73" w14:textId="77777777" w:rsidR="00093654" w:rsidRPr="00BC6A1C" w:rsidRDefault="00093654" w:rsidP="00BC6A1C">
            <w:pPr>
              <w:spacing w:line="360" w:lineRule="auto"/>
              <w:jc w:val="both"/>
              <w:rPr>
                <w:rFonts w:ascii="Book Antiqua" w:hAnsi="Book Antiqua" w:cs="Times New Roman"/>
                <w:color w:val="000000" w:themeColor="text1"/>
              </w:rPr>
            </w:pPr>
          </w:p>
        </w:tc>
        <w:tc>
          <w:tcPr>
            <w:tcW w:w="1134" w:type="dxa"/>
          </w:tcPr>
          <w:p w14:paraId="364388EB" w14:textId="77777777" w:rsidR="00093654" w:rsidRPr="00BC6A1C" w:rsidRDefault="00093654" w:rsidP="00093654">
            <w:pPr>
              <w:spacing w:line="360" w:lineRule="auto"/>
              <w:jc w:val="both"/>
              <w:rPr>
                <w:rFonts w:ascii="Book Antiqua" w:hAnsi="Book Antiqua" w:cs="Times New Roman"/>
                <w:color w:val="000000" w:themeColor="text1"/>
              </w:rPr>
            </w:pPr>
          </w:p>
        </w:tc>
        <w:tc>
          <w:tcPr>
            <w:tcW w:w="4111" w:type="dxa"/>
          </w:tcPr>
          <w:p w14:paraId="57E8668D" w14:textId="494BB8B2" w:rsidR="004563E1" w:rsidRPr="00BC6A1C" w:rsidRDefault="00A444DE" w:rsidP="00A444DE">
            <w:pPr>
              <w:spacing w:line="360" w:lineRule="auto"/>
              <w:jc w:val="both"/>
              <w:rPr>
                <w:rFonts w:ascii="Book Antiqua" w:hAnsi="Book Antiqua" w:cs="Times New Roman"/>
                <w:color w:val="000000" w:themeColor="text1"/>
              </w:rPr>
            </w:pPr>
            <w:r>
              <w:rPr>
                <w:rFonts w:ascii="Book Antiqua" w:hAnsi="Book Antiqua" w:cs="Times New Roman"/>
                <w:color w:val="000000" w:themeColor="text1"/>
              </w:rPr>
              <w:t>C</w:t>
            </w:r>
            <w:r w:rsidRPr="00BC6A1C">
              <w:rPr>
                <w:rFonts w:ascii="Book Antiqua" w:hAnsi="Book Antiqua" w:cs="Times New Roman"/>
                <w:color w:val="000000" w:themeColor="text1"/>
              </w:rPr>
              <w:t xml:space="preserve">arcinoma </w:t>
            </w:r>
            <w:r>
              <w:rPr>
                <w:rFonts w:ascii="Book Antiqua" w:hAnsi="Book Antiqua" w:cs="Times New Roman"/>
                <w:color w:val="000000" w:themeColor="text1"/>
              </w:rPr>
              <w:t>ex p</w:t>
            </w:r>
            <w:r w:rsidR="004563E1" w:rsidRPr="00BC6A1C">
              <w:rPr>
                <w:rFonts w:ascii="Book Antiqua" w:hAnsi="Book Antiqua" w:cs="Times New Roman"/>
                <w:color w:val="000000" w:themeColor="text1"/>
              </w:rPr>
              <w:t xml:space="preserve">leomorphic adenoma </w:t>
            </w:r>
          </w:p>
        </w:tc>
        <w:tc>
          <w:tcPr>
            <w:tcW w:w="992" w:type="dxa"/>
          </w:tcPr>
          <w:p w14:paraId="09B31E7F" w14:textId="179E58EA"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0C2A96FC" w14:textId="77777777" w:rsidTr="00987792">
        <w:tc>
          <w:tcPr>
            <w:tcW w:w="2660" w:type="dxa"/>
          </w:tcPr>
          <w:p w14:paraId="66B1C72A"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Other benign lesions</w:t>
            </w:r>
          </w:p>
        </w:tc>
        <w:tc>
          <w:tcPr>
            <w:tcW w:w="1134" w:type="dxa"/>
          </w:tcPr>
          <w:p w14:paraId="4D3282E7"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c>
          <w:tcPr>
            <w:tcW w:w="4111" w:type="dxa"/>
          </w:tcPr>
          <w:p w14:paraId="25D4C04C"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Acinic cell carcinoma</w:t>
            </w:r>
          </w:p>
        </w:tc>
        <w:tc>
          <w:tcPr>
            <w:tcW w:w="992" w:type="dxa"/>
          </w:tcPr>
          <w:p w14:paraId="6DE1D80F"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B52E50" w:rsidRPr="00BC6A1C" w14:paraId="3D00BAD5" w14:textId="77777777" w:rsidTr="00987792">
        <w:tc>
          <w:tcPr>
            <w:tcW w:w="2660" w:type="dxa"/>
          </w:tcPr>
          <w:p w14:paraId="30F5951A" w14:textId="77777777" w:rsidR="00B52E50" w:rsidRPr="00BC6A1C" w:rsidRDefault="00B52E50" w:rsidP="00BC6A1C">
            <w:pPr>
              <w:spacing w:line="360" w:lineRule="auto"/>
              <w:jc w:val="both"/>
              <w:rPr>
                <w:rFonts w:ascii="Book Antiqua" w:hAnsi="Book Antiqua"/>
                <w:color w:val="000000" w:themeColor="text1"/>
              </w:rPr>
            </w:pPr>
          </w:p>
        </w:tc>
        <w:tc>
          <w:tcPr>
            <w:tcW w:w="1134" w:type="dxa"/>
          </w:tcPr>
          <w:p w14:paraId="5865CAC7" w14:textId="77777777" w:rsidR="00B52E50" w:rsidRPr="00BC6A1C" w:rsidRDefault="00B52E50" w:rsidP="00BC6A1C">
            <w:pPr>
              <w:spacing w:line="360" w:lineRule="auto"/>
              <w:jc w:val="both"/>
              <w:rPr>
                <w:rFonts w:ascii="Book Antiqua" w:hAnsi="Book Antiqua"/>
                <w:color w:val="000000" w:themeColor="text1"/>
              </w:rPr>
            </w:pPr>
          </w:p>
        </w:tc>
        <w:tc>
          <w:tcPr>
            <w:tcW w:w="4111" w:type="dxa"/>
          </w:tcPr>
          <w:p w14:paraId="5421274F" w14:textId="49AAD30C" w:rsidR="00B52E50" w:rsidRPr="00B52E50" w:rsidRDefault="00B52E50"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Follicular dendritic cell sarcoma</w:t>
            </w:r>
          </w:p>
        </w:tc>
        <w:tc>
          <w:tcPr>
            <w:tcW w:w="992" w:type="dxa"/>
          </w:tcPr>
          <w:p w14:paraId="16EDD493" w14:textId="3C80F3E1" w:rsidR="00B52E50" w:rsidRPr="00B52E50" w:rsidRDefault="00B52E50"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72BF82C5" w14:textId="77777777" w:rsidTr="00987792">
        <w:tc>
          <w:tcPr>
            <w:tcW w:w="2660" w:type="dxa"/>
          </w:tcPr>
          <w:p w14:paraId="58EF0BCD" w14:textId="77777777" w:rsidR="004563E1" w:rsidRPr="00BC6A1C" w:rsidRDefault="004563E1" w:rsidP="00BC6A1C">
            <w:pPr>
              <w:spacing w:line="360" w:lineRule="auto"/>
              <w:jc w:val="both"/>
              <w:rPr>
                <w:rFonts w:ascii="Book Antiqua" w:hAnsi="Book Antiqua" w:cs="Times New Roman"/>
                <w:color w:val="000000" w:themeColor="text1"/>
              </w:rPr>
            </w:pPr>
          </w:p>
        </w:tc>
        <w:tc>
          <w:tcPr>
            <w:tcW w:w="1134" w:type="dxa"/>
          </w:tcPr>
          <w:p w14:paraId="65A49189" w14:textId="77777777" w:rsidR="004563E1" w:rsidRPr="00BC6A1C" w:rsidRDefault="004563E1" w:rsidP="00BC6A1C">
            <w:pPr>
              <w:spacing w:line="360" w:lineRule="auto"/>
              <w:jc w:val="both"/>
              <w:rPr>
                <w:rFonts w:ascii="Book Antiqua" w:hAnsi="Book Antiqua" w:cs="Times New Roman"/>
                <w:color w:val="000000" w:themeColor="text1"/>
              </w:rPr>
            </w:pPr>
          </w:p>
        </w:tc>
        <w:tc>
          <w:tcPr>
            <w:tcW w:w="4111" w:type="dxa"/>
          </w:tcPr>
          <w:p w14:paraId="75701B58" w14:textId="77C7B2AF" w:rsidR="004563E1" w:rsidRPr="00BC6A1C" w:rsidRDefault="004563E1" w:rsidP="00681330">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Salivary duct carcinoma</w:t>
            </w:r>
          </w:p>
        </w:tc>
        <w:tc>
          <w:tcPr>
            <w:tcW w:w="992" w:type="dxa"/>
          </w:tcPr>
          <w:p w14:paraId="68D5F25B" w14:textId="21F3AD94" w:rsidR="004563E1" w:rsidRPr="00BC6A1C" w:rsidRDefault="004563E1" w:rsidP="00681330">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39A4F99D" w14:textId="77777777" w:rsidTr="00987792">
        <w:tc>
          <w:tcPr>
            <w:tcW w:w="2660" w:type="dxa"/>
          </w:tcPr>
          <w:p w14:paraId="3808A71E"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Total</w:t>
            </w:r>
          </w:p>
        </w:tc>
        <w:tc>
          <w:tcPr>
            <w:tcW w:w="1134" w:type="dxa"/>
          </w:tcPr>
          <w:p w14:paraId="3F0004F0"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50 (68.5)</w:t>
            </w:r>
          </w:p>
        </w:tc>
        <w:tc>
          <w:tcPr>
            <w:tcW w:w="4111" w:type="dxa"/>
          </w:tcPr>
          <w:p w14:paraId="7ECA3942" w14:textId="77777777" w:rsidR="004563E1" w:rsidRPr="00BC6A1C" w:rsidRDefault="004563E1" w:rsidP="00BC6A1C">
            <w:pPr>
              <w:spacing w:line="360" w:lineRule="auto"/>
              <w:jc w:val="both"/>
              <w:rPr>
                <w:rFonts w:ascii="Book Antiqua" w:hAnsi="Book Antiqua" w:cs="Times New Roman"/>
                <w:bCs/>
                <w:color w:val="000000" w:themeColor="text1"/>
              </w:rPr>
            </w:pPr>
          </w:p>
        </w:tc>
        <w:tc>
          <w:tcPr>
            <w:tcW w:w="992" w:type="dxa"/>
          </w:tcPr>
          <w:p w14:paraId="2F03A385"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23 (31.5)</w:t>
            </w:r>
          </w:p>
        </w:tc>
      </w:tr>
    </w:tbl>
    <w:p w14:paraId="0908BCC7" w14:textId="0A5769C3" w:rsidR="004563E1" w:rsidRPr="00BC6A1C" w:rsidRDefault="004563E1" w:rsidP="00BC6A1C">
      <w:pPr>
        <w:spacing w:line="360" w:lineRule="auto"/>
        <w:contextualSpacing/>
        <w:jc w:val="both"/>
        <w:rPr>
          <w:rFonts w:ascii="Book Antiqua" w:eastAsiaTheme="minorHAnsi" w:hAnsi="Book Antiqua" w:cstheme="minorBidi"/>
          <w:color w:val="000000" w:themeColor="text1"/>
          <w:lang w:val="tr-TR"/>
        </w:rPr>
      </w:pPr>
      <w:r w:rsidRPr="00BC6A1C">
        <w:rPr>
          <w:rFonts w:ascii="Book Antiqua" w:eastAsiaTheme="minorHAnsi" w:hAnsi="Book Antiqua"/>
          <w:color w:val="000000" w:themeColor="text1"/>
        </w:rPr>
        <w:t xml:space="preserve">SGTs: </w:t>
      </w:r>
      <w:r w:rsidR="00A444DE">
        <w:rPr>
          <w:rFonts w:ascii="Book Antiqua" w:eastAsiaTheme="minorHAnsi" w:hAnsi="Book Antiqua"/>
          <w:color w:val="000000" w:themeColor="text1"/>
        </w:rPr>
        <w:t>S</w:t>
      </w:r>
      <w:r w:rsidRPr="00BC6A1C">
        <w:rPr>
          <w:rFonts w:ascii="Book Antiqua" w:eastAsiaTheme="minorHAnsi" w:hAnsi="Book Antiqua"/>
          <w:color w:val="000000" w:themeColor="text1"/>
        </w:rPr>
        <w:t>alivary gland tumors;</w:t>
      </w:r>
      <w:r w:rsidRPr="00BC6A1C">
        <w:rPr>
          <w:rFonts w:ascii="Book Antiqua" w:eastAsiaTheme="minorHAnsi" w:hAnsi="Book Antiqua" w:cstheme="minorBidi"/>
          <w:color w:val="000000" w:themeColor="text1"/>
          <w:lang w:val="tr-TR"/>
        </w:rPr>
        <w:t xml:space="preserve"> </w:t>
      </w:r>
      <w:r w:rsidRPr="005B3D1B">
        <w:rPr>
          <w:rFonts w:ascii="Book Antiqua" w:eastAsiaTheme="minorHAnsi" w:hAnsi="Book Antiqua" w:cstheme="minorBidi"/>
          <w:i/>
          <w:color w:val="000000" w:themeColor="text1"/>
          <w:lang w:val="tr-TR"/>
        </w:rPr>
        <w:t>n</w:t>
      </w:r>
      <w:r w:rsidRPr="00BC6A1C">
        <w:rPr>
          <w:rFonts w:ascii="Book Antiqua" w:eastAsiaTheme="minorHAnsi" w:hAnsi="Book Antiqua" w:cstheme="minorBidi"/>
          <w:color w:val="000000" w:themeColor="text1"/>
          <w:lang w:val="tr-TR"/>
        </w:rPr>
        <w:t xml:space="preserve">: </w:t>
      </w:r>
      <w:r w:rsidR="00F028A0" w:rsidRPr="00BC6A1C">
        <w:rPr>
          <w:rFonts w:ascii="Book Antiqua" w:eastAsiaTheme="minorHAnsi" w:hAnsi="Book Antiqua" w:cstheme="minorBidi"/>
          <w:color w:val="000000" w:themeColor="text1"/>
          <w:lang w:val="tr-TR"/>
        </w:rPr>
        <w:t>N</w:t>
      </w:r>
      <w:r w:rsidRPr="00BC6A1C">
        <w:rPr>
          <w:rFonts w:ascii="Book Antiqua" w:eastAsiaTheme="minorHAnsi" w:hAnsi="Book Antiqua" w:cstheme="minorBidi"/>
          <w:color w:val="000000" w:themeColor="text1"/>
          <w:lang w:val="tr-TR"/>
        </w:rPr>
        <w:t>umber of</w:t>
      </w:r>
      <w:r w:rsidRPr="00BC6A1C">
        <w:rPr>
          <w:rFonts w:ascii="Book Antiqua" w:eastAsiaTheme="minorHAnsi" w:hAnsi="Book Antiqua"/>
          <w:b/>
          <w:color w:val="000000" w:themeColor="text1"/>
        </w:rPr>
        <w:t xml:space="preserve"> </w:t>
      </w:r>
      <w:r w:rsidR="00F028A0" w:rsidRPr="00BC6A1C">
        <w:rPr>
          <w:rFonts w:ascii="Book Antiqua" w:eastAsiaTheme="minorHAnsi" w:hAnsi="Book Antiqua"/>
          <w:color w:val="000000" w:themeColor="text1"/>
        </w:rPr>
        <w:t>salivary gland tumors</w:t>
      </w:r>
    </w:p>
    <w:p w14:paraId="2F3ECF5F" w14:textId="77777777" w:rsidR="004563E1" w:rsidRPr="00BC6A1C" w:rsidRDefault="00957546" w:rsidP="00BC6A1C">
      <w:pPr>
        <w:spacing w:line="360" w:lineRule="auto"/>
        <w:jc w:val="both"/>
        <w:rPr>
          <w:rFonts w:ascii="Book Antiqua" w:eastAsiaTheme="minorHAnsi" w:hAnsi="Book Antiqua"/>
        </w:rPr>
      </w:pPr>
      <w:bookmarkStart w:id="2" w:name="_Hlk45370263"/>
      <w:r w:rsidRPr="00BC6A1C">
        <w:rPr>
          <w:rFonts w:ascii="Book Antiqua" w:eastAsiaTheme="minorHAnsi" w:hAnsi="Book Antiqua"/>
          <w:lang w:val="tr-TR"/>
        </w:rPr>
        <w:br w:type="page"/>
      </w:r>
      <w:r w:rsidR="004563E1" w:rsidRPr="00BC6A1C">
        <w:rPr>
          <w:rFonts w:ascii="Book Antiqua" w:eastAsiaTheme="minorHAnsi" w:hAnsi="Book Antiqua"/>
          <w:b/>
          <w:bCs/>
          <w:color w:val="000000" w:themeColor="text1"/>
        </w:rPr>
        <w:lastRenderedPageBreak/>
        <w:t xml:space="preserve">Table 3 </w:t>
      </w:r>
      <w:r w:rsidR="004563E1" w:rsidRPr="00BC6A1C">
        <w:rPr>
          <w:rFonts w:ascii="Book Antiqua" w:eastAsiaTheme="minorHAnsi" w:hAnsi="Book Antiqua"/>
          <w:b/>
        </w:rPr>
        <w:t>Mean ADC values and quantitative dynamic contrast-enhanced magnetic resonance imaging parameters of different histopathologic salivary gland tumors</w:t>
      </w:r>
    </w:p>
    <w:tbl>
      <w:tblPr>
        <w:tblStyle w:val="TabloKlavuzu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625"/>
        <w:gridCol w:w="1548"/>
        <w:gridCol w:w="1479"/>
        <w:gridCol w:w="1559"/>
        <w:gridCol w:w="1288"/>
      </w:tblGrid>
      <w:tr w:rsidR="004563E1" w:rsidRPr="00BC6A1C" w14:paraId="2A5D9007" w14:textId="77777777" w:rsidTr="00623385">
        <w:trPr>
          <w:jc w:val="center"/>
        </w:trPr>
        <w:tc>
          <w:tcPr>
            <w:tcW w:w="1563" w:type="dxa"/>
            <w:tcBorders>
              <w:top w:val="single" w:sz="4" w:space="0" w:color="auto"/>
              <w:bottom w:val="single" w:sz="4" w:space="0" w:color="auto"/>
            </w:tcBorders>
          </w:tcPr>
          <w:p w14:paraId="17A64861" w14:textId="77777777" w:rsidR="004563E1" w:rsidRPr="00BC6A1C" w:rsidRDefault="004563E1" w:rsidP="00BC6A1C">
            <w:pPr>
              <w:spacing w:line="360" w:lineRule="auto"/>
              <w:jc w:val="both"/>
              <w:rPr>
                <w:rFonts w:ascii="Book Antiqua" w:hAnsi="Book Antiqua" w:cs="Times New Roman"/>
              </w:rPr>
            </w:pPr>
          </w:p>
        </w:tc>
        <w:tc>
          <w:tcPr>
            <w:tcW w:w="1625" w:type="dxa"/>
            <w:tcBorders>
              <w:top w:val="single" w:sz="4" w:space="0" w:color="auto"/>
              <w:bottom w:val="single" w:sz="4" w:space="0" w:color="auto"/>
            </w:tcBorders>
          </w:tcPr>
          <w:p w14:paraId="6133750C"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Pleomorphic adenoma</w:t>
            </w:r>
          </w:p>
        </w:tc>
        <w:tc>
          <w:tcPr>
            <w:tcW w:w="1548" w:type="dxa"/>
            <w:tcBorders>
              <w:top w:val="single" w:sz="4" w:space="0" w:color="auto"/>
              <w:bottom w:val="single" w:sz="4" w:space="0" w:color="auto"/>
            </w:tcBorders>
          </w:tcPr>
          <w:p w14:paraId="0E1E35F6"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Warthin’s tumor</w:t>
            </w:r>
          </w:p>
        </w:tc>
        <w:tc>
          <w:tcPr>
            <w:tcW w:w="1479" w:type="dxa"/>
            <w:tcBorders>
              <w:top w:val="single" w:sz="4" w:space="0" w:color="auto"/>
              <w:bottom w:val="single" w:sz="4" w:space="0" w:color="auto"/>
            </w:tcBorders>
          </w:tcPr>
          <w:p w14:paraId="3808E7B9"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Other benign tumors</w:t>
            </w:r>
          </w:p>
        </w:tc>
        <w:tc>
          <w:tcPr>
            <w:tcW w:w="1559" w:type="dxa"/>
            <w:tcBorders>
              <w:top w:val="single" w:sz="4" w:space="0" w:color="auto"/>
              <w:bottom w:val="single" w:sz="4" w:space="0" w:color="auto"/>
            </w:tcBorders>
          </w:tcPr>
          <w:p w14:paraId="48AE7761"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Malignant tumors</w:t>
            </w:r>
          </w:p>
        </w:tc>
        <w:tc>
          <w:tcPr>
            <w:tcW w:w="1288" w:type="dxa"/>
            <w:tcBorders>
              <w:top w:val="single" w:sz="4" w:space="0" w:color="auto"/>
              <w:bottom w:val="single" w:sz="4" w:space="0" w:color="auto"/>
            </w:tcBorders>
          </w:tcPr>
          <w:p w14:paraId="68268F8A"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i/>
              </w:rPr>
              <w:t xml:space="preserve">P </w:t>
            </w:r>
            <w:r w:rsidRPr="00BC6A1C">
              <w:rPr>
                <w:rFonts w:ascii="Book Antiqua" w:hAnsi="Book Antiqua" w:cs="Times New Roman"/>
                <w:b/>
                <w:bCs/>
              </w:rPr>
              <w:t>value</w:t>
            </w:r>
          </w:p>
        </w:tc>
      </w:tr>
      <w:tr w:rsidR="004563E1" w:rsidRPr="00BC6A1C" w14:paraId="415DA4FF" w14:textId="77777777" w:rsidTr="00623385">
        <w:trPr>
          <w:jc w:val="center"/>
        </w:trPr>
        <w:tc>
          <w:tcPr>
            <w:tcW w:w="1563" w:type="dxa"/>
            <w:tcBorders>
              <w:top w:val="single" w:sz="4" w:space="0" w:color="auto"/>
            </w:tcBorders>
          </w:tcPr>
          <w:p w14:paraId="626B2FC9"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ADC (×</w:t>
            </w:r>
            <w:r w:rsidR="00D9538E" w:rsidRPr="00BC6A1C">
              <w:rPr>
                <w:rFonts w:ascii="Book Antiqua" w:hAnsi="Book Antiqua" w:cs="Times New Roman"/>
                <w:bCs/>
                <w:color w:val="000000" w:themeColor="text1"/>
              </w:rPr>
              <w:t xml:space="preserve"> </w:t>
            </w:r>
            <w:r w:rsidRPr="00BC6A1C">
              <w:rPr>
                <w:rFonts w:ascii="Book Antiqua" w:hAnsi="Book Antiqua" w:cs="Times New Roman"/>
                <w:bCs/>
                <w:color w:val="000000" w:themeColor="text1"/>
              </w:rPr>
              <w:t>10</w:t>
            </w:r>
            <w:r w:rsidRPr="00BC6A1C">
              <w:rPr>
                <w:rFonts w:ascii="Book Antiqua" w:hAnsi="Book Antiqua" w:cs="Times New Roman"/>
                <w:bCs/>
                <w:color w:val="000000" w:themeColor="text1"/>
                <w:vertAlign w:val="superscript"/>
              </w:rPr>
              <w:t>−3</w:t>
            </w:r>
            <w:r w:rsidRPr="00BC6A1C">
              <w:rPr>
                <w:rFonts w:ascii="Book Antiqua" w:hAnsi="Book Antiqua" w:cs="Times New Roman"/>
                <w:bCs/>
                <w:color w:val="000000" w:themeColor="text1"/>
              </w:rPr>
              <w:t xml:space="preserve"> mm</w:t>
            </w:r>
            <w:r w:rsidRPr="00BC6A1C">
              <w:rPr>
                <w:rFonts w:ascii="Book Antiqua" w:hAnsi="Book Antiqua" w:cs="Times New Roman"/>
                <w:bCs/>
                <w:color w:val="000000" w:themeColor="text1"/>
                <w:vertAlign w:val="superscript"/>
              </w:rPr>
              <w:t>2</w:t>
            </w:r>
            <w:r w:rsidRPr="00BC6A1C">
              <w:rPr>
                <w:rFonts w:ascii="Book Antiqua" w:hAnsi="Book Antiqua" w:cs="Times New Roman"/>
                <w:bCs/>
                <w:color w:val="000000" w:themeColor="text1"/>
              </w:rPr>
              <w:t>/s)</w:t>
            </w:r>
          </w:p>
        </w:tc>
        <w:tc>
          <w:tcPr>
            <w:tcW w:w="1625" w:type="dxa"/>
            <w:tcBorders>
              <w:top w:val="single" w:sz="4" w:space="0" w:color="auto"/>
            </w:tcBorders>
          </w:tcPr>
          <w:p w14:paraId="45152AA7"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1.61 ± 0.26</w:t>
            </w:r>
          </w:p>
          <w:p w14:paraId="58123371"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(a)</w:t>
            </w:r>
          </w:p>
        </w:tc>
        <w:tc>
          <w:tcPr>
            <w:tcW w:w="1548" w:type="dxa"/>
            <w:tcBorders>
              <w:top w:val="single" w:sz="4" w:space="0" w:color="auto"/>
            </w:tcBorders>
          </w:tcPr>
          <w:p w14:paraId="4D4C49AC"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 xml:space="preserve">0.72 ± 0.09 </w:t>
            </w:r>
          </w:p>
          <w:p w14:paraId="02B31A3D"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(b)</w:t>
            </w:r>
          </w:p>
        </w:tc>
        <w:tc>
          <w:tcPr>
            <w:tcW w:w="1479" w:type="dxa"/>
            <w:tcBorders>
              <w:top w:val="single" w:sz="4" w:space="0" w:color="auto"/>
            </w:tcBorders>
          </w:tcPr>
          <w:p w14:paraId="2C0245F7"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0.77 ± 0.19 (b)</w:t>
            </w:r>
          </w:p>
        </w:tc>
        <w:tc>
          <w:tcPr>
            <w:tcW w:w="1559" w:type="dxa"/>
            <w:tcBorders>
              <w:top w:val="single" w:sz="4" w:space="0" w:color="auto"/>
            </w:tcBorders>
          </w:tcPr>
          <w:p w14:paraId="6E42EA39"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0.96 ± 0.33</w:t>
            </w:r>
          </w:p>
          <w:p w14:paraId="18208738"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(b)</w:t>
            </w:r>
          </w:p>
        </w:tc>
        <w:tc>
          <w:tcPr>
            <w:tcW w:w="1288" w:type="dxa"/>
            <w:tcBorders>
              <w:top w:val="single" w:sz="4" w:space="0" w:color="auto"/>
            </w:tcBorders>
          </w:tcPr>
          <w:p w14:paraId="32F02239"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&lt; 0.001</w:t>
            </w:r>
          </w:p>
        </w:tc>
      </w:tr>
      <w:tr w:rsidR="004563E1" w:rsidRPr="00BC6A1C" w14:paraId="5A8CAC1C" w14:textId="77777777" w:rsidTr="00623385">
        <w:trPr>
          <w:jc w:val="center"/>
        </w:trPr>
        <w:tc>
          <w:tcPr>
            <w:tcW w:w="1563" w:type="dxa"/>
          </w:tcPr>
          <w:p w14:paraId="408F9EA2"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K</w:t>
            </w:r>
            <w:r w:rsidRPr="00BC6A1C">
              <w:rPr>
                <w:rFonts w:ascii="Book Antiqua" w:hAnsi="Book Antiqua" w:cs="Times New Roman"/>
                <w:bCs/>
                <w:color w:val="000000" w:themeColor="text1"/>
                <w:vertAlign w:val="subscript"/>
              </w:rPr>
              <w:t>trans</w:t>
            </w:r>
            <w:r w:rsidRPr="00BC6A1C">
              <w:rPr>
                <w:rFonts w:ascii="Book Antiqua" w:hAnsi="Book Antiqua" w:cs="Times New Roman"/>
                <w:bCs/>
                <w:color w:val="000000" w:themeColor="text1"/>
              </w:rPr>
              <w:t xml:space="preserve"> (min</w:t>
            </w:r>
            <w:r w:rsidRPr="00BC6A1C">
              <w:rPr>
                <w:rFonts w:ascii="Book Antiqua" w:hAnsi="Book Antiqua" w:cs="Times New Roman"/>
                <w:bCs/>
                <w:color w:val="000000" w:themeColor="text1"/>
                <w:vertAlign w:val="superscript"/>
              </w:rPr>
              <w:t>−1</w:t>
            </w:r>
            <w:r w:rsidRPr="00BC6A1C">
              <w:rPr>
                <w:rFonts w:ascii="Book Antiqua" w:hAnsi="Book Antiqua" w:cs="Times New Roman"/>
                <w:bCs/>
                <w:color w:val="000000" w:themeColor="text1"/>
              </w:rPr>
              <w:t>)</w:t>
            </w:r>
          </w:p>
        </w:tc>
        <w:tc>
          <w:tcPr>
            <w:tcW w:w="1625" w:type="dxa"/>
            <w:shd w:val="clear" w:color="auto" w:fill="auto"/>
            <w:vAlign w:val="center"/>
          </w:tcPr>
          <w:p w14:paraId="60C57814"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0.42 ± 0.35</w:t>
            </w:r>
          </w:p>
        </w:tc>
        <w:tc>
          <w:tcPr>
            <w:tcW w:w="1548" w:type="dxa"/>
            <w:shd w:val="clear" w:color="auto" w:fill="auto"/>
            <w:vAlign w:val="center"/>
          </w:tcPr>
          <w:p w14:paraId="129C7F32"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0.75 ± 0.55</w:t>
            </w:r>
          </w:p>
        </w:tc>
        <w:tc>
          <w:tcPr>
            <w:tcW w:w="1479" w:type="dxa"/>
            <w:shd w:val="clear" w:color="auto" w:fill="auto"/>
            <w:vAlign w:val="center"/>
          </w:tcPr>
          <w:p w14:paraId="18C8522B"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0.57 ± 0.37</w:t>
            </w:r>
          </w:p>
        </w:tc>
        <w:tc>
          <w:tcPr>
            <w:tcW w:w="1559" w:type="dxa"/>
            <w:shd w:val="clear" w:color="auto" w:fill="auto"/>
            <w:vAlign w:val="center"/>
          </w:tcPr>
          <w:p w14:paraId="58050D84"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0.77 ± 0.56</w:t>
            </w:r>
          </w:p>
        </w:tc>
        <w:tc>
          <w:tcPr>
            <w:tcW w:w="1288" w:type="dxa"/>
            <w:shd w:val="clear" w:color="auto" w:fill="auto"/>
            <w:vAlign w:val="center"/>
          </w:tcPr>
          <w:p w14:paraId="54E46F3F"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0.131</w:t>
            </w:r>
          </w:p>
        </w:tc>
      </w:tr>
      <w:tr w:rsidR="004563E1" w:rsidRPr="00BC6A1C" w14:paraId="7CFA4B4D" w14:textId="77777777" w:rsidTr="00623385">
        <w:trPr>
          <w:jc w:val="center"/>
        </w:trPr>
        <w:tc>
          <w:tcPr>
            <w:tcW w:w="1563" w:type="dxa"/>
          </w:tcPr>
          <w:p w14:paraId="61B3A169"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K</w:t>
            </w:r>
            <w:r w:rsidRPr="00BC6A1C">
              <w:rPr>
                <w:rFonts w:ascii="Book Antiqua" w:hAnsi="Book Antiqua" w:cs="Times New Roman"/>
                <w:bCs/>
                <w:color w:val="000000" w:themeColor="text1"/>
                <w:vertAlign w:val="subscript"/>
              </w:rPr>
              <w:t>ep</w:t>
            </w:r>
            <w:r w:rsidRPr="00BC6A1C">
              <w:rPr>
                <w:rFonts w:ascii="Book Antiqua" w:hAnsi="Book Antiqua" w:cs="Times New Roman"/>
                <w:bCs/>
                <w:color w:val="000000" w:themeColor="text1"/>
              </w:rPr>
              <w:t xml:space="preserve"> (min</w:t>
            </w:r>
            <w:r w:rsidRPr="00BC6A1C">
              <w:rPr>
                <w:rFonts w:ascii="Book Antiqua" w:hAnsi="Book Antiqua" w:cs="Times New Roman"/>
                <w:bCs/>
                <w:color w:val="000000" w:themeColor="text1"/>
                <w:vertAlign w:val="superscript"/>
              </w:rPr>
              <w:t>−1</w:t>
            </w:r>
            <w:r w:rsidRPr="00BC6A1C">
              <w:rPr>
                <w:rFonts w:ascii="Book Antiqua" w:hAnsi="Book Antiqua" w:cs="Times New Roman"/>
                <w:bCs/>
                <w:color w:val="000000" w:themeColor="text1"/>
              </w:rPr>
              <w:t>)</w:t>
            </w:r>
          </w:p>
        </w:tc>
        <w:tc>
          <w:tcPr>
            <w:tcW w:w="1625" w:type="dxa"/>
            <w:shd w:val="clear" w:color="auto" w:fill="auto"/>
            <w:vAlign w:val="center"/>
          </w:tcPr>
          <w:p w14:paraId="434420EC"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0.69 ± 0.33</w:t>
            </w:r>
          </w:p>
          <w:p w14:paraId="27AFC72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(a)</w:t>
            </w:r>
          </w:p>
        </w:tc>
        <w:tc>
          <w:tcPr>
            <w:tcW w:w="1548" w:type="dxa"/>
            <w:shd w:val="clear" w:color="auto" w:fill="auto"/>
            <w:vAlign w:val="center"/>
          </w:tcPr>
          <w:p w14:paraId="1D787066"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 xml:space="preserve">6.2 ± 3.13 </w:t>
            </w:r>
          </w:p>
          <w:p w14:paraId="307CC03D"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(b)</w:t>
            </w:r>
          </w:p>
        </w:tc>
        <w:tc>
          <w:tcPr>
            <w:tcW w:w="1479" w:type="dxa"/>
            <w:shd w:val="clear" w:color="auto" w:fill="auto"/>
            <w:vAlign w:val="center"/>
          </w:tcPr>
          <w:p w14:paraId="3CE7AD11"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1.95 ± 0.94 (c)</w:t>
            </w:r>
          </w:p>
        </w:tc>
        <w:tc>
          <w:tcPr>
            <w:tcW w:w="1559" w:type="dxa"/>
            <w:shd w:val="clear" w:color="auto" w:fill="auto"/>
            <w:vAlign w:val="bottom"/>
          </w:tcPr>
          <w:p w14:paraId="1EE734E7"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 xml:space="preserve">1.72 ± 0.92 </w:t>
            </w:r>
          </w:p>
          <w:p w14:paraId="26E53F96"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(c)</w:t>
            </w:r>
          </w:p>
        </w:tc>
        <w:tc>
          <w:tcPr>
            <w:tcW w:w="1288" w:type="dxa"/>
            <w:shd w:val="clear" w:color="auto" w:fill="auto"/>
            <w:vAlign w:val="center"/>
          </w:tcPr>
          <w:p w14:paraId="43C523C6"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&lt; 0.001</w:t>
            </w:r>
          </w:p>
        </w:tc>
      </w:tr>
      <w:tr w:rsidR="004563E1" w:rsidRPr="00BC6A1C" w14:paraId="3A002A23" w14:textId="77777777" w:rsidTr="00623385">
        <w:trPr>
          <w:jc w:val="center"/>
        </w:trPr>
        <w:tc>
          <w:tcPr>
            <w:tcW w:w="1563" w:type="dxa"/>
          </w:tcPr>
          <w:p w14:paraId="2927CA27"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V</w:t>
            </w:r>
            <w:r w:rsidRPr="00BC6A1C">
              <w:rPr>
                <w:rFonts w:ascii="Book Antiqua" w:hAnsi="Book Antiqua" w:cs="Times New Roman"/>
                <w:bCs/>
                <w:color w:val="000000" w:themeColor="text1"/>
                <w:vertAlign w:val="subscript"/>
              </w:rPr>
              <w:t>e</w:t>
            </w:r>
          </w:p>
        </w:tc>
        <w:tc>
          <w:tcPr>
            <w:tcW w:w="1625" w:type="dxa"/>
            <w:shd w:val="clear" w:color="auto" w:fill="auto"/>
            <w:vAlign w:val="center"/>
          </w:tcPr>
          <w:p w14:paraId="7682F356"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0.65 ± 0.25</w:t>
            </w:r>
          </w:p>
          <w:p w14:paraId="18BE1AC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(a)</w:t>
            </w:r>
          </w:p>
        </w:tc>
        <w:tc>
          <w:tcPr>
            <w:tcW w:w="1548" w:type="dxa"/>
            <w:shd w:val="clear" w:color="auto" w:fill="auto"/>
            <w:vAlign w:val="center"/>
          </w:tcPr>
          <w:p w14:paraId="50166444"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 xml:space="preserve">0.11 ± 0.04 </w:t>
            </w:r>
          </w:p>
          <w:p w14:paraId="061156F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(b)</w:t>
            </w:r>
          </w:p>
        </w:tc>
        <w:tc>
          <w:tcPr>
            <w:tcW w:w="1479" w:type="dxa"/>
            <w:shd w:val="clear" w:color="auto" w:fill="auto"/>
            <w:vAlign w:val="center"/>
          </w:tcPr>
          <w:p w14:paraId="6242793A"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0.3 ± 0.12</w:t>
            </w:r>
          </w:p>
          <w:p w14:paraId="2B31A00E"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(c)</w:t>
            </w:r>
          </w:p>
        </w:tc>
        <w:tc>
          <w:tcPr>
            <w:tcW w:w="1559" w:type="dxa"/>
            <w:shd w:val="clear" w:color="auto" w:fill="auto"/>
            <w:vAlign w:val="bottom"/>
          </w:tcPr>
          <w:p w14:paraId="29D607D6"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0.48 ± 0.24 (ac)</w:t>
            </w:r>
          </w:p>
        </w:tc>
        <w:tc>
          <w:tcPr>
            <w:tcW w:w="1288" w:type="dxa"/>
            <w:shd w:val="clear" w:color="auto" w:fill="auto"/>
            <w:vAlign w:val="center"/>
          </w:tcPr>
          <w:p w14:paraId="12F772E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&lt; 0.001</w:t>
            </w:r>
          </w:p>
        </w:tc>
      </w:tr>
    </w:tbl>
    <w:p w14:paraId="335D6439" w14:textId="52200E2F" w:rsidR="004563E1" w:rsidRPr="00BC6A1C" w:rsidRDefault="004563E1" w:rsidP="00BC6A1C">
      <w:pPr>
        <w:spacing w:line="360" w:lineRule="auto"/>
        <w:jc w:val="both"/>
        <w:rPr>
          <w:rFonts w:ascii="Book Antiqua" w:eastAsiaTheme="minorHAnsi" w:hAnsi="Book Antiqua" w:cstheme="minorBidi"/>
          <w:lang w:val="tr-TR"/>
        </w:rPr>
      </w:pPr>
      <w:bookmarkStart w:id="3" w:name="_Hlk49088287"/>
      <w:r w:rsidRPr="00BC6A1C">
        <w:rPr>
          <w:rFonts w:ascii="Book Antiqua" w:eastAsiaTheme="minorHAnsi" w:hAnsi="Book Antiqua"/>
          <w:color w:val="000000" w:themeColor="text1"/>
        </w:rPr>
        <w:t>Data are shown as</w:t>
      </w:r>
      <w:r w:rsidR="005B0479">
        <w:rPr>
          <w:rFonts w:ascii="Book Antiqua" w:eastAsiaTheme="minorHAnsi" w:hAnsi="Book Antiqua"/>
          <w:color w:val="000000" w:themeColor="text1"/>
        </w:rPr>
        <w:t xml:space="preserve"> the</w:t>
      </w:r>
      <w:r w:rsidRPr="00BC6A1C">
        <w:rPr>
          <w:rFonts w:ascii="Book Antiqua" w:eastAsiaTheme="minorHAnsi" w:hAnsi="Book Antiqua"/>
          <w:color w:val="000000" w:themeColor="text1"/>
        </w:rPr>
        <w:t xml:space="preserve"> mean ± standard deviation. One-way ANOVA was used. (abc): </w:t>
      </w:r>
      <w:r w:rsidR="00A444DE">
        <w:rPr>
          <w:rFonts w:ascii="Book Antiqua" w:eastAsiaTheme="minorHAnsi" w:hAnsi="Book Antiqua"/>
          <w:color w:val="000000" w:themeColor="text1"/>
        </w:rPr>
        <w:t>Indicates that m</w:t>
      </w:r>
      <w:r w:rsidRPr="00BC6A1C">
        <w:rPr>
          <w:rFonts w:ascii="Book Antiqua" w:eastAsiaTheme="minorHAnsi" w:hAnsi="Book Antiqua"/>
          <w:color w:val="000000" w:themeColor="text1"/>
        </w:rPr>
        <w:t>eans with the same letters in the same column are not significantly different</w:t>
      </w:r>
      <w:r w:rsidR="00D9538E" w:rsidRPr="00BC6A1C">
        <w:rPr>
          <w:rFonts w:ascii="Book Antiqua" w:hAnsi="Book Antiqua"/>
          <w:color w:val="000000" w:themeColor="text1"/>
          <w:lang w:eastAsia="zh-CN"/>
        </w:rPr>
        <w:t>;</w:t>
      </w:r>
      <w:r w:rsidR="00D9538E" w:rsidRPr="00BC6A1C">
        <w:rPr>
          <w:rFonts w:ascii="Book Antiqua" w:eastAsiaTheme="minorHAnsi" w:hAnsi="Book Antiqua"/>
          <w:color w:val="000000" w:themeColor="text1"/>
        </w:rPr>
        <w:t xml:space="preserve"> </w:t>
      </w:r>
      <w:r w:rsidRPr="00BC6A1C">
        <w:rPr>
          <w:rFonts w:ascii="Book Antiqua" w:eastAsiaTheme="minorHAnsi" w:hAnsi="Book Antiqua"/>
          <w:i/>
          <w:color w:val="000000" w:themeColor="text1"/>
          <w:lang w:val="tr-TR"/>
        </w:rPr>
        <w:t>P</w:t>
      </w:r>
      <w:r w:rsidRPr="00BC6A1C">
        <w:rPr>
          <w:rFonts w:ascii="Book Antiqua" w:eastAsiaTheme="minorHAnsi" w:hAnsi="Book Antiqua"/>
          <w:color w:val="000000" w:themeColor="text1"/>
          <w:lang w:val="tr-TR"/>
        </w:rPr>
        <w:t xml:space="preserve"> &lt; 0.05 indicates a statistically signific</w:t>
      </w:r>
      <w:r w:rsidR="00D9538E" w:rsidRPr="00BC6A1C">
        <w:rPr>
          <w:rFonts w:ascii="Book Antiqua" w:eastAsiaTheme="minorHAnsi" w:hAnsi="Book Antiqua"/>
          <w:color w:val="000000" w:themeColor="text1"/>
          <w:lang w:val="tr-TR"/>
        </w:rPr>
        <w:t xml:space="preserve">ant difference among the groups. </w:t>
      </w:r>
      <w:bookmarkEnd w:id="2"/>
      <w:bookmarkEnd w:id="3"/>
      <w:r w:rsidRPr="00BC6A1C">
        <w:rPr>
          <w:rFonts w:ascii="Book Antiqua" w:eastAsiaTheme="minorHAnsi" w:hAnsi="Book Antiqua"/>
          <w:bCs/>
          <w:color w:val="000000" w:themeColor="text1"/>
        </w:rPr>
        <w:t>ADC</w:t>
      </w:r>
      <w:r w:rsidRPr="00BC6A1C">
        <w:rPr>
          <w:rFonts w:ascii="Book Antiqua" w:eastAsia="Times New Roman" w:hAnsi="Book Antiqua"/>
          <w:color w:val="000000" w:themeColor="text1"/>
        </w:rPr>
        <w:t>: Apparent diffusion coefficient; K</w:t>
      </w:r>
      <w:r w:rsidRPr="00BC6A1C">
        <w:rPr>
          <w:rFonts w:ascii="Book Antiqua" w:eastAsia="Times New Roman" w:hAnsi="Book Antiqua"/>
          <w:color w:val="000000" w:themeColor="text1"/>
          <w:vertAlign w:val="subscript"/>
        </w:rPr>
        <w:t>trans</w:t>
      </w:r>
      <w:r w:rsidRPr="00BC6A1C">
        <w:rPr>
          <w:rFonts w:ascii="Book Antiqua" w:eastAsia="Times New Roman" w:hAnsi="Book Antiqua"/>
          <w:color w:val="000000" w:themeColor="text1"/>
        </w:rPr>
        <w:t xml:space="preserve">: Volume transfer constant between blood plasma and </w:t>
      </w:r>
      <w:r w:rsidR="00A444DE">
        <w:rPr>
          <w:rFonts w:ascii="Book Antiqua" w:eastAsia="Times New Roman" w:hAnsi="Book Antiqua"/>
          <w:color w:val="000000" w:themeColor="text1"/>
        </w:rPr>
        <w:t xml:space="preserve">the </w:t>
      </w:r>
      <w:r w:rsidRPr="00BC6A1C">
        <w:rPr>
          <w:rFonts w:ascii="Book Antiqua" w:eastAsia="Times New Roman" w:hAnsi="Book Antiqua"/>
          <w:color w:val="000000" w:themeColor="text1"/>
        </w:rPr>
        <w:t>extracellular extravascular space; K</w:t>
      </w:r>
      <w:r w:rsidRPr="00BC6A1C">
        <w:rPr>
          <w:rFonts w:ascii="Book Antiqua" w:eastAsia="Times New Roman" w:hAnsi="Book Antiqua"/>
          <w:color w:val="000000" w:themeColor="text1"/>
          <w:vertAlign w:val="subscript"/>
        </w:rPr>
        <w:t>ep</w:t>
      </w:r>
      <w:r w:rsidRPr="00BC6A1C">
        <w:rPr>
          <w:rFonts w:ascii="Book Antiqua" w:eastAsia="Times New Roman" w:hAnsi="Book Antiqua"/>
          <w:color w:val="000000" w:themeColor="text1"/>
        </w:rPr>
        <w:t>: Flux rate constant between the EES and plasma; V</w:t>
      </w:r>
      <w:r w:rsidRPr="00BC6A1C">
        <w:rPr>
          <w:rFonts w:ascii="Book Antiqua" w:eastAsia="Times New Roman" w:hAnsi="Book Antiqua"/>
          <w:color w:val="000000" w:themeColor="text1"/>
          <w:vertAlign w:val="subscript"/>
        </w:rPr>
        <w:t>e</w:t>
      </w:r>
      <w:r w:rsidRPr="00BC6A1C">
        <w:rPr>
          <w:rFonts w:ascii="Book Antiqua" w:eastAsia="Times New Roman" w:hAnsi="Book Antiqua"/>
          <w:color w:val="000000" w:themeColor="text1"/>
        </w:rPr>
        <w:t>: EES fractional volume</w:t>
      </w:r>
      <w:r w:rsidR="00D9538E" w:rsidRPr="00BC6A1C">
        <w:rPr>
          <w:rFonts w:ascii="Book Antiqua" w:eastAsia="Times New Roman" w:hAnsi="Book Antiqua"/>
          <w:color w:val="000000" w:themeColor="text1"/>
        </w:rPr>
        <w:t xml:space="preserve">; EES: </w:t>
      </w:r>
      <w:r w:rsidR="007B1A91" w:rsidRPr="00BC6A1C">
        <w:rPr>
          <w:rFonts w:ascii="Book Antiqua" w:eastAsia="Times New Roman" w:hAnsi="Book Antiqua"/>
          <w:color w:val="000000" w:themeColor="text1"/>
        </w:rPr>
        <w:t>E</w:t>
      </w:r>
      <w:r w:rsidR="00D17DB0" w:rsidRPr="00BC6A1C">
        <w:rPr>
          <w:rFonts w:ascii="Book Antiqua" w:eastAsia="Book Antiqua" w:hAnsi="Book Antiqua" w:cs="Book Antiqua"/>
          <w:color w:val="000000"/>
        </w:rPr>
        <w:t>xtracellular extravascular space.</w:t>
      </w:r>
    </w:p>
    <w:p w14:paraId="20DA9A94" w14:textId="77777777" w:rsidR="004563E1" w:rsidRPr="00BC6A1C" w:rsidRDefault="004563E1" w:rsidP="00BC6A1C">
      <w:pPr>
        <w:spacing w:line="360" w:lineRule="auto"/>
        <w:jc w:val="both"/>
        <w:rPr>
          <w:rFonts w:ascii="Book Antiqua" w:eastAsiaTheme="minorHAnsi" w:hAnsi="Book Antiqua" w:cstheme="minorBidi"/>
          <w:lang w:val="tr-TR"/>
        </w:rPr>
      </w:pPr>
    </w:p>
    <w:p w14:paraId="7D68D842" w14:textId="77777777" w:rsidR="004563E1" w:rsidRPr="00BC6A1C" w:rsidRDefault="004563E1" w:rsidP="00BC6A1C">
      <w:pPr>
        <w:spacing w:line="360" w:lineRule="auto"/>
        <w:jc w:val="both"/>
        <w:rPr>
          <w:rFonts w:ascii="Book Antiqua" w:eastAsiaTheme="minorHAnsi" w:hAnsi="Book Antiqua" w:cstheme="minorBidi"/>
          <w:lang w:val="tr-TR"/>
        </w:rPr>
      </w:pPr>
    </w:p>
    <w:p w14:paraId="3A3D5A88" w14:textId="77777777" w:rsidR="004563E1" w:rsidRPr="00BC6A1C" w:rsidRDefault="004563E1" w:rsidP="00BC6A1C">
      <w:pPr>
        <w:spacing w:line="360" w:lineRule="auto"/>
        <w:jc w:val="both"/>
        <w:rPr>
          <w:rFonts w:ascii="Book Antiqua" w:eastAsiaTheme="minorHAnsi" w:hAnsi="Book Antiqua" w:cstheme="minorBidi"/>
          <w:lang w:val="tr-TR"/>
        </w:rPr>
      </w:pPr>
    </w:p>
    <w:p w14:paraId="5EC6E54D" w14:textId="77777777" w:rsidR="004563E1" w:rsidRPr="00BC6A1C" w:rsidRDefault="004563E1" w:rsidP="00BC6A1C">
      <w:pPr>
        <w:spacing w:line="360" w:lineRule="auto"/>
        <w:jc w:val="both"/>
        <w:rPr>
          <w:rFonts w:ascii="Book Antiqua" w:eastAsiaTheme="minorHAnsi" w:hAnsi="Book Antiqua" w:cstheme="minorBidi"/>
          <w:lang w:val="tr-TR"/>
        </w:rPr>
      </w:pPr>
    </w:p>
    <w:p w14:paraId="0F57A945" w14:textId="77777777" w:rsidR="004563E1" w:rsidRPr="00BC6A1C" w:rsidRDefault="004563E1" w:rsidP="00BC6A1C">
      <w:pPr>
        <w:spacing w:line="360" w:lineRule="auto"/>
        <w:jc w:val="both"/>
        <w:rPr>
          <w:rFonts w:ascii="Book Antiqua" w:eastAsiaTheme="minorHAnsi" w:hAnsi="Book Antiqua" w:cstheme="minorBidi"/>
          <w:lang w:val="tr-TR"/>
        </w:rPr>
      </w:pPr>
    </w:p>
    <w:p w14:paraId="31057DEE" w14:textId="77777777" w:rsidR="004563E1" w:rsidRPr="00BC6A1C" w:rsidRDefault="004563E1" w:rsidP="00BC6A1C">
      <w:pPr>
        <w:spacing w:line="360" w:lineRule="auto"/>
        <w:jc w:val="both"/>
        <w:rPr>
          <w:rFonts w:ascii="Book Antiqua" w:eastAsiaTheme="minorHAnsi" w:hAnsi="Book Antiqua" w:cstheme="minorBidi"/>
          <w:lang w:val="tr-TR"/>
        </w:rPr>
      </w:pPr>
    </w:p>
    <w:p w14:paraId="3ABCE057" w14:textId="77777777" w:rsidR="004563E1" w:rsidRPr="00BC6A1C" w:rsidRDefault="004563E1" w:rsidP="00BC6A1C">
      <w:pPr>
        <w:spacing w:line="360" w:lineRule="auto"/>
        <w:jc w:val="both"/>
        <w:rPr>
          <w:rFonts w:ascii="Book Antiqua" w:eastAsiaTheme="minorHAnsi" w:hAnsi="Book Antiqua" w:cstheme="minorBidi"/>
          <w:lang w:val="tr-TR"/>
        </w:rPr>
      </w:pPr>
    </w:p>
    <w:p w14:paraId="7AF72B04" w14:textId="77777777" w:rsidR="004563E1" w:rsidRPr="00BC6A1C" w:rsidRDefault="004563E1" w:rsidP="00BC6A1C">
      <w:pPr>
        <w:spacing w:line="360" w:lineRule="auto"/>
        <w:jc w:val="both"/>
        <w:rPr>
          <w:rFonts w:ascii="Book Antiqua" w:eastAsiaTheme="minorHAnsi" w:hAnsi="Book Antiqua" w:cstheme="minorBidi"/>
          <w:lang w:val="tr-TR"/>
        </w:rPr>
      </w:pPr>
    </w:p>
    <w:p w14:paraId="773A283E" w14:textId="77777777" w:rsidR="004563E1" w:rsidRPr="00BC6A1C" w:rsidRDefault="004563E1" w:rsidP="00BC6A1C">
      <w:pPr>
        <w:spacing w:line="360" w:lineRule="auto"/>
        <w:jc w:val="both"/>
        <w:rPr>
          <w:rFonts w:ascii="Book Antiqua" w:eastAsiaTheme="minorHAnsi" w:hAnsi="Book Antiqua" w:cstheme="minorBidi"/>
          <w:lang w:val="tr-TR"/>
        </w:rPr>
      </w:pPr>
    </w:p>
    <w:p w14:paraId="0D26D307" w14:textId="77777777" w:rsidR="004563E1" w:rsidRPr="00BC6A1C" w:rsidRDefault="004563E1" w:rsidP="00BC6A1C">
      <w:pPr>
        <w:spacing w:line="360" w:lineRule="auto"/>
        <w:jc w:val="both"/>
        <w:rPr>
          <w:rFonts w:ascii="Book Antiqua" w:eastAsiaTheme="minorHAnsi" w:hAnsi="Book Antiqua" w:cstheme="minorBidi"/>
          <w:lang w:val="tr-TR"/>
        </w:rPr>
      </w:pPr>
    </w:p>
    <w:p w14:paraId="257A7ACD" w14:textId="77777777" w:rsidR="004563E1" w:rsidRPr="00BC6A1C" w:rsidRDefault="004563E1" w:rsidP="00BC6A1C">
      <w:pPr>
        <w:spacing w:line="360" w:lineRule="auto"/>
        <w:jc w:val="both"/>
        <w:rPr>
          <w:rFonts w:ascii="Book Antiqua" w:eastAsiaTheme="minorHAnsi" w:hAnsi="Book Antiqua" w:cstheme="minorBidi"/>
          <w:lang w:val="tr-TR"/>
        </w:rPr>
      </w:pPr>
    </w:p>
    <w:p w14:paraId="66C5DA58" w14:textId="77777777" w:rsidR="004563E1" w:rsidRPr="00BC6A1C" w:rsidRDefault="004563E1" w:rsidP="00BC6A1C">
      <w:pPr>
        <w:spacing w:line="360" w:lineRule="auto"/>
        <w:jc w:val="both"/>
        <w:rPr>
          <w:rFonts w:ascii="Book Antiqua" w:eastAsiaTheme="minorHAnsi" w:hAnsi="Book Antiqua"/>
          <w:b/>
        </w:rPr>
      </w:pPr>
      <w:r w:rsidRPr="00BC6A1C">
        <w:rPr>
          <w:rFonts w:ascii="Book Antiqua" w:eastAsiaTheme="minorHAnsi" w:hAnsi="Book Antiqua"/>
          <w:b/>
          <w:bCs/>
        </w:rPr>
        <w:lastRenderedPageBreak/>
        <w:t>Table 4</w:t>
      </w:r>
      <w:r w:rsidRPr="00BC6A1C">
        <w:rPr>
          <w:rFonts w:ascii="Book Antiqua" w:eastAsiaTheme="minorHAnsi" w:hAnsi="Book Antiqua"/>
        </w:rPr>
        <w:t xml:space="preserve"> </w:t>
      </w:r>
      <w:r w:rsidRPr="00BC6A1C">
        <w:rPr>
          <w:rFonts w:ascii="Book Antiqua" w:eastAsiaTheme="minorHAnsi" w:hAnsi="Book Antiqua"/>
          <w:b/>
        </w:rPr>
        <w:t>Semiquantitative dynamic contrast-enhanced magnetic resonance imaging parameters of different histopathologic salivary gland tumors</w:t>
      </w:r>
    </w:p>
    <w:tbl>
      <w:tblPr>
        <w:tblStyle w:val="TabloKlavuzu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160"/>
        <w:gridCol w:w="1088"/>
        <w:gridCol w:w="1160"/>
        <w:gridCol w:w="1088"/>
        <w:gridCol w:w="1551"/>
        <w:gridCol w:w="1429"/>
      </w:tblGrid>
      <w:tr w:rsidR="004563E1" w:rsidRPr="00BC6A1C" w14:paraId="527BC132" w14:textId="77777777" w:rsidTr="00BE0349">
        <w:trPr>
          <w:trHeight w:val="222"/>
          <w:jc w:val="center"/>
        </w:trPr>
        <w:tc>
          <w:tcPr>
            <w:tcW w:w="1586" w:type="dxa"/>
            <w:vMerge w:val="restart"/>
          </w:tcPr>
          <w:p w14:paraId="4F5653EF" w14:textId="77777777" w:rsidR="004563E1" w:rsidRPr="00BC6A1C" w:rsidRDefault="004563E1" w:rsidP="00BC6A1C">
            <w:pPr>
              <w:spacing w:line="360" w:lineRule="auto"/>
              <w:jc w:val="both"/>
              <w:rPr>
                <w:rFonts w:ascii="Book Antiqua" w:hAnsi="Book Antiqua" w:cs="Times New Roman"/>
                <w:b/>
              </w:rPr>
            </w:pPr>
          </w:p>
        </w:tc>
        <w:tc>
          <w:tcPr>
            <w:tcW w:w="4496" w:type="dxa"/>
            <w:gridSpan w:val="4"/>
            <w:tcBorders>
              <w:top w:val="single" w:sz="4" w:space="0" w:color="auto"/>
              <w:bottom w:val="single" w:sz="4" w:space="0" w:color="auto"/>
            </w:tcBorders>
          </w:tcPr>
          <w:p w14:paraId="3DDEDC3B" w14:textId="3F83B9C4" w:rsidR="004563E1" w:rsidRPr="00BC6A1C" w:rsidRDefault="004563E1" w:rsidP="00BC6A1C">
            <w:pPr>
              <w:spacing w:line="360" w:lineRule="auto"/>
              <w:jc w:val="both"/>
              <w:rPr>
                <w:rFonts w:ascii="Book Antiqua" w:hAnsi="Book Antiqua" w:cs="Times New Roman"/>
                <w:b/>
              </w:rPr>
            </w:pPr>
            <w:r w:rsidRPr="00BC6A1C">
              <w:rPr>
                <w:rFonts w:ascii="Book Antiqua" w:hAnsi="Book Antiqua" w:cs="Times New Roman"/>
                <w:b/>
              </w:rPr>
              <w:t>TIC Pattern</w:t>
            </w:r>
            <w:r w:rsidR="00101F60">
              <w:rPr>
                <w:rFonts w:ascii="Book Antiqua" w:hAnsi="Book Antiqua" w:cs="Times New Roman"/>
                <w:b/>
              </w:rPr>
              <w:t xml:space="preserve">, </w:t>
            </w:r>
            <w:r w:rsidR="00101F60" w:rsidRPr="00101F60">
              <w:rPr>
                <w:rFonts w:ascii="Book Antiqua" w:hAnsi="Book Antiqua" w:cs="Times New Roman"/>
                <w:b/>
                <w:i/>
              </w:rPr>
              <w:t>n</w:t>
            </w:r>
            <w:r w:rsidR="00101F60">
              <w:rPr>
                <w:rFonts w:ascii="Book Antiqua" w:hAnsi="Book Antiqua" w:cs="Times New Roman"/>
                <w:b/>
              </w:rPr>
              <w:t>(%)</w:t>
            </w:r>
          </w:p>
        </w:tc>
        <w:tc>
          <w:tcPr>
            <w:tcW w:w="1551" w:type="dxa"/>
            <w:vMerge w:val="restart"/>
          </w:tcPr>
          <w:p w14:paraId="29B38632" w14:textId="77777777" w:rsidR="004563E1" w:rsidRPr="00BC6A1C" w:rsidRDefault="004563E1" w:rsidP="00BC6A1C">
            <w:pPr>
              <w:spacing w:line="360" w:lineRule="auto"/>
              <w:jc w:val="both"/>
              <w:rPr>
                <w:rFonts w:ascii="Book Antiqua" w:eastAsia="Times New Roman" w:hAnsi="Book Antiqua" w:cs="Times New Roman"/>
                <w:color w:val="000000" w:themeColor="text1"/>
              </w:rPr>
            </w:pPr>
            <w:r w:rsidRPr="00BC6A1C">
              <w:rPr>
                <w:rFonts w:ascii="Book Antiqua" w:hAnsi="Book Antiqua" w:cs="Times New Roman"/>
                <w:b/>
                <w:color w:val="000000" w:themeColor="text1"/>
              </w:rPr>
              <w:t>T</w:t>
            </w:r>
            <w:r w:rsidRPr="00BC6A1C">
              <w:rPr>
                <w:rFonts w:ascii="Book Antiqua" w:hAnsi="Book Antiqua" w:cs="Times New Roman"/>
                <w:b/>
                <w:color w:val="000000" w:themeColor="text1"/>
                <w:vertAlign w:val="subscript"/>
              </w:rPr>
              <w:t>peak</w:t>
            </w:r>
            <w:r w:rsidRPr="00BC6A1C">
              <w:rPr>
                <w:rFonts w:ascii="Book Antiqua" w:eastAsia="Times New Roman" w:hAnsi="Book Antiqua" w:cs="Times New Roman"/>
                <w:color w:val="000000" w:themeColor="text1"/>
              </w:rPr>
              <w:t xml:space="preserve"> </w:t>
            </w:r>
          </w:p>
          <w:p w14:paraId="672FFFEF" w14:textId="77777777" w:rsidR="004563E1" w:rsidRPr="00BC6A1C" w:rsidRDefault="004563E1" w:rsidP="00BC6A1C">
            <w:pPr>
              <w:spacing w:line="360" w:lineRule="auto"/>
              <w:jc w:val="both"/>
              <w:rPr>
                <w:rFonts w:ascii="Book Antiqua" w:hAnsi="Book Antiqua" w:cs="Times New Roman"/>
                <w:b/>
                <w:color w:val="000000" w:themeColor="text1"/>
              </w:rPr>
            </w:pPr>
            <w:r w:rsidRPr="00BC6A1C">
              <w:rPr>
                <w:rFonts w:ascii="Book Antiqua" w:eastAsia="Times New Roman" w:hAnsi="Book Antiqua" w:cs="Times New Roman"/>
                <w:b/>
                <w:color w:val="000000" w:themeColor="text1"/>
              </w:rPr>
              <w:t>(s)</w:t>
            </w:r>
          </w:p>
        </w:tc>
        <w:tc>
          <w:tcPr>
            <w:tcW w:w="1429" w:type="dxa"/>
            <w:vMerge w:val="restart"/>
          </w:tcPr>
          <w:p w14:paraId="377A5083" w14:textId="77777777" w:rsidR="004563E1" w:rsidRPr="00BC6A1C" w:rsidRDefault="004563E1" w:rsidP="00BC6A1C">
            <w:pPr>
              <w:spacing w:line="360" w:lineRule="auto"/>
              <w:jc w:val="both"/>
              <w:rPr>
                <w:rFonts w:ascii="Book Antiqua" w:eastAsia="Times New Roman" w:hAnsi="Book Antiqua" w:cs="Times New Roman"/>
                <w:color w:val="000000" w:themeColor="text1"/>
              </w:rPr>
            </w:pPr>
            <w:r w:rsidRPr="00BC6A1C">
              <w:rPr>
                <w:rFonts w:ascii="Book Antiqua" w:hAnsi="Book Antiqua" w:cs="Times New Roman"/>
                <w:b/>
                <w:color w:val="000000" w:themeColor="text1"/>
              </w:rPr>
              <w:t>WR</w:t>
            </w:r>
            <w:r w:rsidRPr="00BC6A1C">
              <w:rPr>
                <w:rFonts w:ascii="Book Antiqua" w:eastAsia="Times New Roman" w:hAnsi="Book Antiqua" w:cs="Times New Roman"/>
                <w:color w:val="000000" w:themeColor="text1"/>
              </w:rPr>
              <w:t xml:space="preserve"> </w:t>
            </w:r>
          </w:p>
          <w:p w14:paraId="6A6F7F83" w14:textId="77777777" w:rsidR="004563E1" w:rsidRPr="00BC6A1C" w:rsidRDefault="004563E1" w:rsidP="00BC6A1C">
            <w:pPr>
              <w:spacing w:line="360" w:lineRule="auto"/>
              <w:jc w:val="both"/>
              <w:rPr>
                <w:rFonts w:ascii="Book Antiqua" w:hAnsi="Book Antiqua" w:cs="Times New Roman"/>
                <w:b/>
                <w:color w:val="000000" w:themeColor="text1"/>
              </w:rPr>
            </w:pPr>
            <w:r w:rsidRPr="00BC6A1C">
              <w:rPr>
                <w:rFonts w:ascii="Book Antiqua" w:eastAsia="Times New Roman" w:hAnsi="Book Antiqua" w:cs="Times New Roman"/>
                <w:b/>
                <w:color w:val="000000" w:themeColor="text1"/>
              </w:rPr>
              <w:t>(%)</w:t>
            </w:r>
          </w:p>
        </w:tc>
      </w:tr>
      <w:tr w:rsidR="004563E1" w:rsidRPr="00BC6A1C" w14:paraId="5C57B3D6" w14:textId="77777777" w:rsidTr="00BE0349">
        <w:trPr>
          <w:trHeight w:val="222"/>
          <w:jc w:val="center"/>
        </w:trPr>
        <w:tc>
          <w:tcPr>
            <w:tcW w:w="1586" w:type="dxa"/>
            <w:vMerge/>
            <w:tcBorders>
              <w:bottom w:val="single" w:sz="4" w:space="0" w:color="auto"/>
            </w:tcBorders>
          </w:tcPr>
          <w:p w14:paraId="70AF779F" w14:textId="77777777" w:rsidR="004563E1" w:rsidRPr="00BC6A1C" w:rsidRDefault="004563E1" w:rsidP="00BC6A1C">
            <w:pPr>
              <w:spacing w:line="360" w:lineRule="auto"/>
              <w:jc w:val="both"/>
              <w:rPr>
                <w:rFonts w:ascii="Book Antiqua" w:hAnsi="Book Antiqua" w:cs="Times New Roman"/>
                <w:b/>
              </w:rPr>
            </w:pPr>
          </w:p>
        </w:tc>
        <w:tc>
          <w:tcPr>
            <w:tcW w:w="1160" w:type="dxa"/>
            <w:tcBorders>
              <w:top w:val="single" w:sz="4" w:space="0" w:color="auto"/>
              <w:bottom w:val="single" w:sz="4" w:space="0" w:color="auto"/>
            </w:tcBorders>
          </w:tcPr>
          <w:p w14:paraId="3D58A1E8" w14:textId="6177FDB4" w:rsidR="004563E1" w:rsidRPr="00BC6A1C" w:rsidRDefault="004563E1" w:rsidP="00BC6A1C">
            <w:pPr>
              <w:spacing w:line="360" w:lineRule="auto"/>
              <w:jc w:val="both"/>
              <w:rPr>
                <w:rFonts w:ascii="Book Antiqua" w:hAnsi="Book Antiqua" w:cs="Times New Roman"/>
                <w:b/>
              </w:rPr>
            </w:pPr>
            <w:r w:rsidRPr="00BC6A1C">
              <w:rPr>
                <w:rFonts w:ascii="Book Antiqua" w:hAnsi="Book Antiqua" w:cs="Times New Roman"/>
                <w:b/>
              </w:rPr>
              <w:t>A</w:t>
            </w:r>
          </w:p>
        </w:tc>
        <w:tc>
          <w:tcPr>
            <w:tcW w:w="1088" w:type="dxa"/>
            <w:tcBorders>
              <w:top w:val="single" w:sz="4" w:space="0" w:color="auto"/>
              <w:bottom w:val="single" w:sz="4" w:space="0" w:color="auto"/>
            </w:tcBorders>
          </w:tcPr>
          <w:p w14:paraId="468A1752" w14:textId="534CC811" w:rsidR="004563E1" w:rsidRPr="00BC6A1C" w:rsidRDefault="004563E1" w:rsidP="00101F60">
            <w:pPr>
              <w:spacing w:line="360" w:lineRule="auto"/>
              <w:jc w:val="both"/>
              <w:rPr>
                <w:rFonts w:ascii="Book Antiqua" w:hAnsi="Book Antiqua" w:cs="Times New Roman"/>
                <w:b/>
              </w:rPr>
            </w:pPr>
            <w:r w:rsidRPr="00BC6A1C">
              <w:rPr>
                <w:rFonts w:ascii="Book Antiqua" w:hAnsi="Book Antiqua" w:cs="Times New Roman"/>
                <w:b/>
              </w:rPr>
              <w:t>B</w:t>
            </w:r>
          </w:p>
        </w:tc>
        <w:tc>
          <w:tcPr>
            <w:tcW w:w="1160" w:type="dxa"/>
            <w:tcBorders>
              <w:top w:val="single" w:sz="4" w:space="0" w:color="auto"/>
              <w:bottom w:val="single" w:sz="4" w:space="0" w:color="auto"/>
            </w:tcBorders>
          </w:tcPr>
          <w:p w14:paraId="2C02621F" w14:textId="6CB6F269" w:rsidR="004563E1" w:rsidRPr="00BC6A1C" w:rsidRDefault="004563E1" w:rsidP="00101F60">
            <w:pPr>
              <w:spacing w:line="360" w:lineRule="auto"/>
              <w:jc w:val="both"/>
              <w:rPr>
                <w:rFonts w:ascii="Book Antiqua" w:hAnsi="Book Antiqua" w:cs="Times New Roman"/>
                <w:b/>
              </w:rPr>
            </w:pPr>
            <w:r w:rsidRPr="00BC6A1C">
              <w:rPr>
                <w:rFonts w:ascii="Book Antiqua" w:hAnsi="Book Antiqua" w:cs="Times New Roman"/>
                <w:b/>
              </w:rPr>
              <w:t>C</w:t>
            </w:r>
          </w:p>
        </w:tc>
        <w:tc>
          <w:tcPr>
            <w:tcW w:w="1088" w:type="dxa"/>
            <w:tcBorders>
              <w:top w:val="single" w:sz="4" w:space="0" w:color="auto"/>
              <w:bottom w:val="single" w:sz="4" w:space="0" w:color="auto"/>
            </w:tcBorders>
          </w:tcPr>
          <w:p w14:paraId="733D5D21" w14:textId="2BAC5835" w:rsidR="004563E1" w:rsidRPr="00BC6A1C" w:rsidRDefault="004563E1" w:rsidP="00101F60">
            <w:pPr>
              <w:spacing w:line="360" w:lineRule="auto"/>
              <w:jc w:val="both"/>
              <w:rPr>
                <w:rFonts w:ascii="Book Antiqua" w:hAnsi="Book Antiqua" w:cs="Times New Roman"/>
                <w:b/>
              </w:rPr>
            </w:pPr>
            <w:r w:rsidRPr="00BC6A1C">
              <w:rPr>
                <w:rFonts w:ascii="Book Antiqua" w:hAnsi="Book Antiqua" w:cs="Times New Roman"/>
                <w:b/>
              </w:rPr>
              <w:t>D</w:t>
            </w:r>
          </w:p>
        </w:tc>
        <w:tc>
          <w:tcPr>
            <w:tcW w:w="1551" w:type="dxa"/>
            <w:vMerge/>
            <w:tcBorders>
              <w:bottom w:val="single" w:sz="4" w:space="0" w:color="auto"/>
            </w:tcBorders>
          </w:tcPr>
          <w:p w14:paraId="142AAFCE" w14:textId="77777777" w:rsidR="004563E1" w:rsidRPr="00BC6A1C" w:rsidRDefault="004563E1" w:rsidP="00BC6A1C">
            <w:pPr>
              <w:spacing w:line="360" w:lineRule="auto"/>
              <w:jc w:val="both"/>
              <w:rPr>
                <w:rFonts w:ascii="Book Antiqua" w:hAnsi="Book Antiqua" w:cs="Times New Roman"/>
                <w:b/>
              </w:rPr>
            </w:pPr>
          </w:p>
        </w:tc>
        <w:tc>
          <w:tcPr>
            <w:tcW w:w="1429" w:type="dxa"/>
            <w:vMerge/>
            <w:tcBorders>
              <w:bottom w:val="single" w:sz="4" w:space="0" w:color="auto"/>
            </w:tcBorders>
          </w:tcPr>
          <w:p w14:paraId="44A72C35" w14:textId="77777777" w:rsidR="004563E1" w:rsidRPr="00BC6A1C" w:rsidRDefault="004563E1" w:rsidP="00BC6A1C">
            <w:pPr>
              <w:spacing w:line="360" w:lineRule="auto"/>
              <w:jc w:val="both"/>
              <w:rPr>
                <w:rFonts w:ascii="Book Antiqua" w:hAnsi="Book Antiqua" w:cs="Times New Roman"/>
                <w:b/>
              </w:rPr>
            </w:pPr>
          </w:p>
        </w:tc>
      </w:tr>
      <w:tr w:rsidR="004563E1" w:rsidRPr="00BC6A1C" w14:paraId="41F15FD8" w14:textId="77777777" w:rsidTr="00BE0349">
        <w:trPr>
          <w:jc w:val="center"/>
        </w:trPr>
        <w:tc>
          <w:tcPr>
            <w:tcW w:w="1586" w:type="dxa"/>
            <w:tcBorders>
              <w:top w:val="single" w:sz="4" w:space="0" w:color="auto"/>
              <w:bottom w:val="nil"/>
            </w:tcBorders>
          </w:tcPr>
          <w:p w14:paraId="2B9AF6A1"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Pleomorphic adenomas</w:t>
            </w:r>
          </w:p>
        </w:tc>
        <w:tc>
          <w:tcPr>
            <w:tcW w:w="1160" w:type="dxa"/>
            <w:tcBorders>
              <w:top w:val="single" w:sz="4" w:space="0" w:color="auto"/>
              <w:bottom w:val="nil"/>
            </w:tcBorders>
            <w:shd w:val="clear" w:color="auto" w:fill="auto"/>
            <w:vAlign w:val="bottom"/>
          </w:tcPr>
          <w:p w14:paraId="72F448D0"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14 (70.0)</w:t>
            </w:r>
          </w:p>
        </w:tc>
        <w:tc>
          <w:tcPr>
            <w:tcW w:w="1088" w:type="dxa"/>
            <w:tcBorders>
              <w:top w:val="single" w:sz="4" w:space="0" w:color="auto"/>
              <w:bottom w:val="nil"/>
            </w:tcBorders>
            <w:shd w:val="clear" w:color="auto" w:fill="auto"/>
            <w:vAlign w:val="bottom"/>
          </w:tcPr>
          <w:p w14:paraId="209A5AF6"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160" w:type="dxa"/>
            <w:tcBorders>
              <w:top w:val="single" w:sz="4" w:space="0" w:color="auto"/>
              <w:bottom w:val="nil"/>
            </w:tcBorders>
            <w:shd w:val="clear" w:color="auto" w:fill="auto"/>
            <w:vAlign w:val="bottom"/>
          </w:tcPr>
          <w:p w14:paraId="5CA04B88"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088" w:type="dxa"/>
            <w:tcBorders>
              <w:top w:val="single" w:sz="4" w:space="0" w:color="auto"/>
              <w:bottom w:val="nil"/>
            </w:tcBorders>
            <w:shd w:val="clear" w:color="auto" w:fill="auto"/>
            <w:vAlign w:val="bottom"/>
          </w:tcPr>
          <w:p w14:paraId="0C7E9B24"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551" w:type="dxa"/>
            <w:tcBorders>
              <w:top w:val="single" w:sz="4" w:space="0" w:color="auto"/>
              <w:bottom w:val="nil"/>
            </w:tcBorders>
            <w:vAlign w:val="center"/>
          </w:tcPr>
          <w:p w14:paraId="70127BC8"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202.74 ± 21.48 (a)</w:t>
            </w:r>
          </w:p>
        </w:tc>
        <w:tc>
          <w:tcPr>
            <w:tcW w:w="1429" w:type="dxa"/>
            <w:tcBorders>
              <w:top w:val="single" w:sz="4" w:space="0" w:color="auto"/>
              <w:bottom w:val="nil"/>
            </w:tcBorders>
            <w:shd w:val="clear" w:color="auto" w:fill="auto"/>
            <w:vAlign w:val="center"/>
          </w:tcPr>
          <w:p w14:paraId="1023A158"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hAnsi="Book Antiqua"/>
                <w:color w:val="000000" w:themeColor="text1"/>
                <w:sz w:val="20"/>
              </w:rPr>
              <w:t>-</w:t>
            </w:r>
          </w:p>
        </w:tc>
      </w:tr>
      <w:tr w:rsidR="004563E1" w:rsidRPr="00BC6A1C" w14:paraId="263FBDF1" w14:textId="77777777" w:rsidTr="00BE0349">
        <w:trPr>
          <w:jc w:val="center"/>
        </w:trPr>
        <w:tc>
          <w:tcPr>
            <w:tcW w:w="1586" w:type="dxa"/>
            <w:tcBorders>
              <w:top w:val="nil"/>
            </w:tcBorders>
          </w:tcPr>
          <w:p w14:paraId="63F6C81E" w14:textId="32CCF6DE"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Warthin’s tumor</w:t>
            </w:r>
            <w:r w:rsidR="005B0479">
              <w:rPr>
                <w:rFonts w:ascii="Book Antiqua" w:hAnsi="Book Antiqua"/>
                <w:sz w:val="20"/>
              </w:rPr>
              <w:t>s</w:t>
            </w:r>
          </w:p>
        </w:tc>
        <w:tc>
          <w:tcPr>
            <w:tcW w:w="1160" w:type="dxa"/>
            <w:tcBorders>
              <w:top w:val="nil"/>
            </w:tcBorders>
            <w:shd w:val="clear" w:color="auto" w:fill="auto"/>
            <w:vAlign w:val="bottom"/>
          </w:tcPr>
          <w:p w14:paraId="0D682142"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088" w:type="dxa"/>
            <w:tcBorders>
              <w:top w:val="nil"/>
            </w:tcBorders>
            <w:shd w:val="clear" w:color="auto" w:fill="auto"/>
            <w:vAlign w:val="bottom"/>
          </w:tcPr>
          <w:p w14:paraId="6ED0AC34"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18 (66.7)</w:t>
            </w:r>
          </w:p>
        </w:tc>
        <w:tc>
          <w:tcPr>
            <w:tcW w:w="1160" w:type="dxa"/>
            <w:tcBorders>
              <w:top w:val="nil"/>
            </w:tcBorders>
            <w:shd w:val="clear" w:color="auto" w:fill="auto"/>
            <w:vAlign w:val="bottom"/>
          </w:tcPr>
          <w:p w14:paraId="566B2ED1"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088" w:type="dxa"/>
            <w:tcBorders>
              <w:top w:val="nil"/>
            </w:tcBorders>
            <w:shd w:val="clear" w:color="auto" w:fill="auto"/>
            <w:vAlign w:val="bottom"/>
          </w:tcPr>
          <w:p w14:paraId="68EFDF5D"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551" w:type="dxa"/>
            <w:tcBorders>
              <w:top w:val="nil"/>
            </w:tcBorders>
            <w:vAlign w:val="center"/>
          </w:tcPr>
          <w:p w14:paraId="5558F20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20.26 ± 11.72 (b)</w:t>
            </w:r>
          </w:p>
        </w:tc>
        <w:tc>
          <w:tcPr>
            <w:tcW w:w="1429" w:type="dxa"/>
            <w:tcBorders>
              <w:top w:val="nil"/>
            </w:tcBorders>
            <w:shd w:val="clear" w:color="auto" w:fill="auto"/>
            <w:vAlign w:val="center"/>
          </w:tcPr>
          <w:p w14:paraId="5049474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59.33 ±</w:t>
            </w:r>
            <w:r w:rsidR="008F3022"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10.99</w:t>
            </w:r>
            <w:r w:rsidR="008F3022"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(a)</w:t>
            </w:r>
          </w:p>
        </w:tc>
      </w:tr>
      <w:tr w:rsidR="004563E1" w:rsidRPr="00BC6A1C" w14:paraId="07C6BCC0" w14:textId="77777777" w:rsidTr="00BE0349">
        <w:trPr>
          <w:jc w:val="center"/>
        </w:trPr>
        <w:tc>
          <w:tcPr>
            <w:tcW w:w="1586" w:type="dxa"/>
          </w:tcPr>
          <w:p w14:paraId="76668FE7"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Other benign tumors</w:t>
            </w:r>
          </w:p>
        </w:tc>
        <w:tc>
          <w:tcPr>
            <w:tcW w:w="1160" w:type="dxa"/>
            <w:shd w:val="clear" w:color="auto" w:fill="auto"/>
            <w:vAlign w:val="bottom"/>
          </w:tcPr>
          <w:p w14:paraId="57AB8A7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4 (20.0)</w:t>
            </w:r>
          </w:p>
        </w:tc>
        <w:tc>
          <w:tcPr>
            <w:tcW w:w="1088" w:type="dxa"/>
            <w:shd w:val="clear" w:color="auto" w:fill="auto"/>
            <w:vAlign w:val="bottom"/>
          </w:tcPr>
          <w:p w14:paraId="6AEB4F97"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4 (14.8)</w:t>
            </w:r>
          </w:p>
        </w:tc>
        <w:tc>
          <w:tcPr>
            <w:tcW w:w="1160" w:type="dxa"/>
            <w:shd w:val="clear" w:color="auto" w:fill="auto"/>
            <w:vAlign w:val="bottom"/>
          </w:tcPr>
          <w:p w14:paraId="605950AF"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10 (45.5)</w:t>
            </w:r>
          </w:p>
        </w:tc>
        <w:tc>
          <w:tcPr>
            <w:tcW w:w="1088" w:type="dxa"/>
            <w:shd w:val="clear" w:color="auto" w:fill="auto"/>
            <w:vAlign w:val="bottom"/>
          </w:tcPr>
          <w:p w14:paraId="5D793B17"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551" w:type="dxa"/>
            <w:vAlign w:val="center"/>
          </w:tcPr>
          <w:p w14:paraId="0EDCC251"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74.94 ± 75.47 (c)</w:t>
            </w:r>
          </w:p>
        </w:tc>
        <w:tc>
          <w:tcPr>
            <w:tcW w:w="1429" w:type="dxa"/>
            <w:shd w:val="clear" w:color="auto" w:fill="auto"/>
            <w:vAlign w:val="center"/>
          </w:tcPr>
          <w:p w14:paraId="4617528D" w14:textId="76ECD324"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17.89 ±</w:t>
            </w:r>
            <w:r w:rsidR="005230CB"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14.99 (b)</w:t>
            </w:r>
          </w:p>
        </w:tc>
      </w:tr>
      <w:tr w:rsidR="004563E1" w:rsidRPr="00BC6A1C" w14:paraId="7B672CBE" w14:textId="77777777" w:rsidTr="00BE0349">
        <w:trPr>
          <w:jc w:val="center"/>
        </w:trPr>
        <w:tc>
          <w:tcPr>
            <w:tcW w:w="1586" w:type="dxa"/>
          </w:tcPr>
          <w:p w14:paraId="6E43B6D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Malignant tumors</w:t>
            </w:r>
          </w:p>
        </w:tc>
        <w:tc>
          <w:tcPr>
            <w:tcW w:w="1160" w:type="dxa"/>
            <w:shd w:val="clear" w:color="auto" w:fill="auto"/>
            <w:vAlign w:val="bottom"/>
          </w:tcPr>
          <w:p w14:paraId="36CA2C9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2 (10.0)</w:t>
            </w:r>
          </w:p>
        </w:tc>
        <w:tc>
          <w:tcPr>
            <w:tcW w:w="1088" w:type="dxa"/>
            <w:shd w:val="clear" w:color="auto" w:fill="auto"/>
            <w:vAlign w:val="bottom"/>
          </w:tcPr>
          <w:p w14:paraId="051CCE8F"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5 (18.5)</w:t>
            </w:r>
          </w:p>
        </w:tc>
        <w:tc>
          <w:tcPr>
            <w:tcW w:w="1160" w:type="dxa"/>
            <w:shd w:val="clear" w:color="auto" w:fill="auto"/>
            <w:vAlign w:val="bottom"/>
          </w:tcPr>
          <w:p w14:paraId="3D2CFE8B"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12 (54.5)</w:t>
            </w:r>
          </w:p>
        </w:tc>
        <w:tc>
          <w:tcPr>
            <w:tcW w:w="1088" w:type="dxa"/>
            <w:shd w:val="clear" w:color="auto" w:fill="auto"/>
            <w:vAlign w:val="bottom"/>
          </w:tcPr>
          <w:p w14:paraId="022DF5FD"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4 (100)</w:t>
            </w:r>
          </w:p>
        </w:tc>
        <w:tc>
          <w:tcPr>
            <w:tcW w:w="1551" w:type="dxa"/>
            <w:vAlign w:val="center"/>
          </w:tcPr>
          <w:p w14:paraId="38429612"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60.60 ± 55.78 (c)</w:t>
            </w:r>
          </w:p>
        </w:tc>
        <w:tc>
          <w:tcPr>
            <w:tcW w:w="1429" w:type="dxa"/>
            <w:shd w:val="clear" w:color="auto" w:fill="auto"/>
            <w:vAlign w:val="center"/>
          </w:tcPr>
          <w:p w14:paraId="6D83FBFE" w14:textId="15396EF3"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18.48 ±</w:t>
            </w:r>
            <w:r w:rsidR="000A68DF"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18.38 (b)</w:t>
            </w:r>
          </w:p>
        </w:tc>
      </w:tr>
      <w:tr w:rsidR="004563E1" w:rsidRPr="00BC6A1C" w14:paraId="638B2D69" w14:textId="77777777" w:rsidTr="00BE0349">
        <w:trPr>
          <w:jc w:val="center"/>
        </w:trPr>
        <w:tc>
          <w:tcPr>
            <w:tcW w:w="1586" w:type="dxa"/>
          </w:tcPr>
          <w:p w14:paraId="402C5D66" w14:textId="77777777" w:rsidR="004563E1" w:rsidRPr="005B3D1B" w:rsidRDefault="004563E1" w:rsidP="00BC6A1C">
            <w:pPr>
              <w:spacing w:line="360" w:lineRule="auto"/>
              <w:jc w:val="both"/>
              <w:rPr>
                <w:rFonts w:ascii="Book Antiqua" w:hAnsi="Book Antiqua" w:cs="Times New Roman"/>
                <w:i/>
                <w:sz w:val="20"/>
              </w:rPr>
            </w:pPr>
            <w:r w:rsidRPr="005B3D1B">
              <w:rPr>
                <w:rFonts w:ascii="Book Antiqua" w:hAnsi="Book Antiqua"/>
                <w:i/>
                <w:sz w:val="20"/>
              </w:rPr>
              <w:t xml:space="preserve">P </w:t>
            </w:r>
            <w:r w:rsidRPr="005B3D1B">
              <w:rPr>
                <w:rFonts w:ascii="Book Antiqua" w:hAnsi="Book Antiqua"/>
                <w:sz w:val="20"/>
              </w:rPr>
              <w:t xml:space="preserve">value </w:t>
            </w:r>
          </w:p>
        </w:tc>
        <w:tc>
          <w:tcPr>
            <w:tcW w:w="4496" w:type="dxa"/>
            <w:gridSpan w:val="4"/>
            <w:shd w:val="clear" w:color="auto" w:fill="auto"/>
            <w:vAlign w:val="bottom"/>
          </w:tcPr>
          <w:p w14:paraId="0107ECF2" w14:textId="77777777" w:rsidR="004563E1" w:rsidRPr="005B3D1B" w:rsidRDefault="004563E1" w:rsidP="00BC6A1C">
            <w:pPr>
              <w:spacing w:line="360" w:lineRule="auto"/>
              <w:jc w:val="both"/>
              <w:rPr>
                <w:rFonts w:ascii="Book Antiqua" w:eastAsia="Times New Roman" w:hAnsi="Book Antiqua" w:cs="Times New Roman"/>
                <w:color w:val="000000" w:themeColor="text1"/>
                <w:sz w:val="20"/>
              </w:rPr>
            </w:pPr>
            <w:r w:rsidRPr="005B3D1B">
              <w:rPr>
                <w:rFonts w:ascii="Book Antiqua" w:eastAsia="Times New Roman" w:hAnsi="Book Antiqua"/>
                <w:color w:val="000000" w:themeColor="text1"/>
                <w:sz w:val="20"/>
              </w:rPr>
              <w:t>&lt; 0.001</w:t>
            </w:r>
          </w:p>
        </w:tc>
        <w:tc>
          <w:tcPr>
            <w:tcW w:w="1551" w:type="dxa"/>
            <w:vAlign w:val="center"/>
          </w:tcPr>
          <w:p w14:paraId="2819C00E" w14:textId="77777777" w:rsidR="004563E1" w:rsidRPr="005B3D1B" w:rsidRDefault="004563E1" w:rsidP="00BC6A1C">
            <w:pPr>
              <w:spacing w:line="360" w:lineRule="auto"/>
              <w:jc w:val="both"/>
              <w:rPr>
                <w:rFonts w:ascii="Book Antiqua" w:eastAsia="Times New Roman" w:hAnsi="Book Antiqua" w:cs="Times New Roman"/>
                <w:color w:val="000000" w:themeColor="text1"/>
                <w:sz w:val="20"/>
              </w:rPr>
            </w:pPr>
            <w:r w:rsidRPr="005B3D1B">
              <w:rPr>
                <w:rFonts w:ascii="Book Antiqua" w:eastAsia="Times New Roman" w:hAnsi="Book Antiqua"/>
                <w:color w:val="000000" w:themeColor="text1"/>
                <w:sz w:val="20"/>
              </w:rPr>
              <w:t>&lt; 0.001</w:t>
            </w:r>
          </w:p>
        </w:tc>
        <w:tc>
          <w:tcPr>
            <w:tcW w:w="1429" w:type="dxa"/>
          </w:tcPr>
          <w:p w14:paraId="7EE99F24"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hAnsi="Book Antiqua"/>
                <w:color w:val="000000" w:themeColor="text1"/>
                <w:sz w:val="20"/>
              </w:rPr>
              <w:t>&lt; 0.001</w:t>
            </w:r>
          </w:p>
        </w:tc>
      </w:tr>
    </w:tbl>
    <w:p w14:paraId="6D5A0B01" w14:textId="7C277BA9" w:rsidR="004563E1" w:rsidRPr="00BC6A1C" w:rsidRDefault="004563E1" w:rsidP="00BC6A1C">
      <w:pPr>
        <w:spacing w:line="360" w:lineRule="auto"/>
        <w:jc w:val="both"/>
        <w:rPr>
          <w:rFonts w:ascii="Book Antiqua" w:eastAsiaTheme="minorHAnsi" w:hAnsi="Book Antiqua" w:cstheme="minorBidi"/>
          <w:color w:val="0070C0"/>
          <w:lang w:val="tr-TR"/>
        </w:rPr>
      </w:pPr>
      <w:r w:rsidRPr="00BC6A1C">
        <w:rPr>
          <w:rFonts w:ascii="Book Antiqua" w:eastAsiaTheme="minorHAnsi" w:hAnsi="Book Antiqua"/>
        </w:rPr>
        <w:t xml:space="preserve">Data are shown as </w:t>
      </w:r>
      <w:r w:rsidR="005B0479">
        <w:rPr>
          <w:rFonts w:ascii="Book Antiqua" w:eastAsiaTheme="minorHAnsi" w:hAnsi="Book Antiqua"/>
        </w:rPr>
        <w:t xml:space="preserve">the </w:t>
      </w:r>
      <w:r w:rsidRPr="00BC6A1C">
        <w:rPr>
          <w:rFonts w:ascii="Book Antiqua" w:eastAsiaTheme="minorHAnsi" w:hAnsi="Book Antiqua"/>
        </w:rPr>
        <w:t xml:space="preserve">mean ± standard deviation. One-way ANOVA was used. (abc): </w:t>
      </w:r>
      <w:r w:rsidR="00A444DE">
        <w:rPr>
          <w:rFonts w:ascii="Book Antiqua" w:eastAsiaTheme="minorHAnsi" w:hAnsi="Book Antiqua"/>
        </w:rPr>
        <w:t>Indicates that the m</w:t>
      </w:r>
      <w:r w:rsidRPr="00BC6A1C">
        <w:rPr>
          <w:rFonts w:ascii="Book Antiqua" w:eastAsiaTheme="minorHAnsi" w:hAnsi="Book Antiqua"/>
        </w:rPr>
        <w:t xml:space="preserve">eans with the same letters in the same </w:t>
      </w:r>
      <w:r w:rsidRPr="00BC6A1C">
        <w:rPr>
          <w:rFonts w:ascii="Book Antiqua" w:eastAsiaTheme="minorHAnsi" w:hAnsi="Book Antiqua"/>
          <w:color w:val="000000" w:themeColor="text1"/>
        </w:rPr>
        <w:t>column</w:t>
      </w:r>
      <w:r w:rsidRPr="00BC6A1C">
        <w:rPr>
          <w:rFonts w:ascii="Book Antiqua" w:eastAsiaTheme="minorHAnsi" w:hAnsi="Book Antiqua"/>
        </w:rPr>
        <w:t xml:space="preserve"> are not significantly different.</w:t>
      </w:r>
      <w:r w:rsidR="008F3022" w:rsidRPr="00BC6A1C">
        <w:rPr>
          <w:rFonts w:ascii="Book Antiqua" w:eastAsiaTheme="minorHAnsi" w:hAnsi="Book Antiqua"/>
        </w:rPr>
        <w:t xml:space="preserve"> </w:t>
      </w:r>
      <w:r w:rsidRPr="00BC6A1C">
        <w:rPr>
          <w:rFonts w:ascii="Book Antiqua" w:eastAsiaTheme="minorHAnsi" w:hAnsi="Book Antiqua"/>
        </w:rPr>
        <w:t>TIC: Time intensity curve; T</w:t>
      </w:r>
      <w:r w:rsidRPr="00BC6A1C">
        <w:rPr>
          <w:rFonts w:ascii="Book Antiqua" w:eastAsiaTheme="minorHAnsi" w:hAnsi="Book Antiqua"/>
          <w:vertAlign w:val="subscript"/>
        </w:rPr>
        <w:t>peak</w:t>
      </w:r>
      <w:r w:rsidRPr="00BC6A1C">
        <w:rPr>
          <w:rFonts w:ascii="Book Antiqua" w:eastAsiaTheme="minorHAnsi" w:hAnsi="Book Antiqua"/>
        </w:rPr>
        <w:t xml:space="preserve">: Time to peak; WR: Washout ratio; </w:t>
      </w:r>
      <w:r w:rsidRPr="005B3D1B">
        <w:rPr>
          <w:rFonts w:ascii="Book Antiqua" w:eastAsiaTheme="minorHAnsi" w:hAnsi="Book Antiqua" w:cstheme="minorBidi"/>
          <w:i/>
          <w:color w:val="000000" w:themeColor="text1"/>
          <w:lang w:val="tr-TR"/>
        </w:rPr>
        <w:t>n</w:t>
      </w:r>
      <w:r w:rsidRPr="00BC6A1C">
        <w:rPr>
          <w:rFonts w:ascii="Book Antiqua" w:eastAsiaTheme="minorHAnsi" w:hAnsi="Book Antiqua" w:cstheme="minorBidi"/>
          <w:color w:val="000000" w:themeColor="text1"/>
          <w:lang w:val="tr-TR"/>
        </w:rPr>
        <w:t xml:space="preserve">: </w:t>
      </w:r>
      <w:r w:rsidR="008F3022" w:rsidRPr="00BC6A1C">
        <w:rPr>
          <w:rFonts w:ascii="Book Antiqua" w:eastAsiaTheme="minorHAnsi" w:hAnsi="Book Antiqua" w:cstheme="minorBidi"/>
          <w:color w:val="000000" w:themeColor="text1"/>
          <w:lang w:val="tr-TR"/>
        </w:rPr>
        <w:t>N</w:t>
      </w:r>
      <w:r w:rsidRPr="00BC6A1C">
        <w:rPr>
          <w:rFonts w:ascii="Book Antiqua" w:eastAsiaTheme="minorHAnsi" w:hAnsi="Book Antiqua" w:cstheme="minorBidi"/>
          <w:color w:val="000000" w:themeColor="text1"/>
          <w:lang w:val="tr-TR"/>
        </w:rPr>
        <w:t>umber of</w:t>
      </w:r>
      <w:r w:rsidRPr="00BC6A1C">
        <w:rPr>
          <w:rFonts w:ascii="Book Antiqua" w:eastAsiaTheme="minorHAnsi" w:hAnsi="Book Antiqua"/>
          <w:b/>
          <w:color w:val="000000" w:themeColor="text1"/>
        </w:rPr>
        <w:t xml:space="preserve"> </w:t>
      </w:r>
      <w:r w:rsidRPr="00BC6A1C">
        <w:rPr>
          <w:rFonts w:ascii="Book Antiqua" w:eastAsiaTheme="minorHAnsi" w:hAnsi="Book Antiqua"/>
          <w:color w:val="000000" w:themeColor="text1"/>
        </w:rPr>
        <w:t>salivary gland tumors.</w:t>
      </w:r>
    </w:p>
    <w:p w14:paraId="32651ADA" w14:textId="77777777" w:rsidR="004563E1" w:rsidRPr="00BC6A1C" w:rsidRDefault="004563E1" w:rsidP="00BC6A1C">
      <w:pPr>
        <w:spacing w:line="360" w:lineRule="auto"/>
        <w:jc w:val="both"/>
        <w:rPr>
          <w:rFonts w:ascii="Book Antiqua" w:eastAsiaTheme="minorHAnsi" w:hAnsi="Book Antiqua"/>
        </w:rPr>
      </w:pPr>
    </w:p>
    <w:p w14:paraId="6BC3EFD7" w14:textId="77777777" w:rsidR="004563E1" w:rsidRPr="00BC6A1C" w:rsidRDefault="004563E1" w:rsidP="00BC6A1C">
      <w:pPr>
        <w:spacing w:line="360" w:lineRule="auto"/>
        <w:jc w:val="both"/>
        <w:rPr>
          <w:rFonts w:ascii="Book Antiqua" w:eastAsiaTheme="minorHAnsi" w:hAnsi="Book Antiqua" w:cstheme="minorBidi"/>
          <w:color w:val="0000FF"/>
        </w:rPr>
      </w:pPr>
    </w:p>
    <w:p w14:paraId="56D4F25B" w14:textId="77777777" w:rsidR="004563E1" w:rsidRPr="00BC6A1C" w:rsidRDefault="004563E1" w:rsidP="00BC6A1C">
      <w:pPr>
        <w:spacing w:line="360" w:lineRule="auto"/>
        <w:jc w:val="both"/>
        <w:rPr>
          <w:rFonts w:ascii="Book Antiqua" w:eastAsiaTheme="minorHAnsi" w:hAnsi="Book Antiqua" w:cstheme="minorBidi"/>
          <w:lang w:val="tr-TR"/>
        </w:rPr>
      </w:pPr>
    </w:p>
    <w:p w14:paraId="42627296" w14:textId="77777777" w:rsidR="004563E1" w:rsidRPr="00BC6A1C" w:rsidRDefault="004563E1" w:rsidP="00BC6A1C">
      <w:pPr>
        <w:spacing w:line="360" w:lineRule="auto"/>
        <w:jc w:val="both"/>
        <w:rPr>
          <w:rFonts w:ascii="Book Antiqua" w:eastAsiaTheme="minorHAnsi" w:hAnsi="Book Antiqua" w:cstheme="minorBidi"/>
          <w:lang w:val="tr-TR"/>
        </w:rPr>
      </w:pPr>
    </w:p>
    <w:p w14:paraId="55D2C30D" w14:textId="77777777" w:rsidR="004563E1" w:rsidRPr="00BC6A1C" w:rsidRDefault="004563E1" w:rsidP="00BC6A1C">
      <w:pPr>
        <w:spacing w:line="360" w:lineRule="auto"/>
        <w:jc w:val="both"/>
        <w:rPr>
          <w:rFonts w:ascii="Book Antiqua" w:eastAsiaTheme="minorHAnsi" w:hAnsi="Book Antiqua" w:cstheme="minorBidi"/>
          <w:lang w:val="tr-TR"/>
        </w:rPr>
      </w:pPr>
    </w:p>
    <w:p w14:paraId="1191AC68" w14:textId="77777777" w:rsidR="004563E1" w:rsidRPr="00BC6A1C" w:rsidRDefault="004563E1" w:rsidP="00BC6A1C">
      <w:pPr>
        <w:spacing w:line="360" w:lineRule="auto"/>
        <w:jc w:val="both"/>
        <w:rPr>
          <w:rFonts w:ascii="Book Antiqua" w:eastAsiaTheme="minorHAnsi" w:hAnsi="Book Antiqua" w:cstheme="minorBidi"/>
          <w:lang w:val="tr-TR"/>
        </w:rPr>
      </w:pPr>
    </w:p>
    <w:p w14:paraId="1C8FCDBA" w14:textId="77777777" w:rsidR="004563E1" w:rsidRPr="00BC6A1C" w:rsidRDefault="004563E1" w:rsidP="00BC6A1C">
      <w:pPr>
        <w:spacing w:line="360" w:lineRule="auto"/>
        <w:jc w:val="both"/>
        <w:rPr>
          <w:rFonts w:ascii="Book Antiqua" w:eastAsiaTheme="minorHAnsi" w:hAnsi="Book Antiqua" w:cstheme="minorBidi"/>
          <w:lang w:val="tr-TR"/>
        </w:rPr>
      </w:pPr>
    </w:p>
    <w:p w14:paraId="53D41809" w14:textId="77777777" w:rsidR="004563E1" w:rsidRPr="00BC6A1C" w:rsidRDefault="004563E1" w:rsidP="00BC6A1C">
      <w:pPr>
        <w:spacing w:line="360" w:lineRule="auto"/>
        <w:jc w:val="both"/>
        <w:rPr>
          <w:rFonts w:ascii="Book Antiqua" w:eastAsiaTheme="minorHAnsi" w:hAnsi="Book Antiqua" w:cstheme="minorBidi"/>
          <w:lang w:val="tr-TR"/>
        </w:rPr>
      </w:pPr>
    </w:p>
    <w:p w14:paraId="0AAAE558" w14:textId="4E8FDE11" w:rsidR="00B1584D" w:rsidRDefault="00B1584D">
      <w:pPr>
        <w:rPr>
          <w:rFonts w:ascii="Book Antiqua" w:eastAsiaTheme="minorHAnsi" w:hAnsi="Book Antiqua" w:cstheme="minorBidi"/>
          <w:lang w:val="tr-TR"/>
        </w:rPr>
      </w:pPr>
      <w:r>
        <w:rPr>
          <w:rFonts w:ascii="Book Antiqua" w:eastAsiaTheme="minorHAnsi" w:hAnsi="Book Antiqua" w:cstheme="minorBidi"/>
          <w:lang w:val="tr-TR"/>
        </w:rPr>
        <w:br w:type="page"/>
      </w:r>
    </w:p>
    <w:p w14:paraId="004704E7" w14:textId="77777777" w:rsidR="004563E1" w:rsidRPr="00BC6A1C" w:rsidRDefault="004563E1" w:rsidP="00BC6A1C">
      <w:pPr>
        <w:spacing w:line="360" w:lineRule="auto"/>
        <w:jc w:val="both"/>
        <w:rPr>
          <w:rFonts w:ascii="Book Antiqua" w:eastAsiaTheme="minorHAnsi" w:hAnsi="Book Antiqua" w:cstheme="minorBidi"/>
          <w:lang w:val="tr-TR"/>
        </w:rPr>
      </w:pPr>
    </w:p>
    <w:p w14:paraId="592D0CCD" w14:textId="77777777" w:rsidR="004563E1" w:rsidRPr="00BC6A1C" w:rsidRDefault="004563E1" w:rsidP="00BC6A1C">
      <w:pPr>
        <w:spacing w:line="360" w:lineRule="auto"/>
        <w:jc w:val="both"/>
        <w:rPr>
          <w:rFonts w:ascii="Book Antiqua" w:eastAsiaTheme="minorHAnsi" w:hAnsi="Book Antiqua" w:cstheme="minorBidi"/>
          <w:lang w:val="tr-TR"/>
        </w:rPr>
      </w:pPr>
    </w:p>
    <w:p w14:paraId="3050F847" w14:textId="5EF5A50D" w:rsidR="004563E1" w:rsidRPr="00BC6A1C" w:rsidRDefault="004563E1" w:rsidP="00BC6A1C">
      <w:pPr>
        <w:spacing w:line="360" w:lineRule="auto"/>
        <w:jc w:val="both"/>
        <w:rPr>
          <w:rFonts w:ascii="Book Antiqua" w:eastAsiaTheme="minorHAnsi" w:hAnsi="Book Antiqua"/>
        </w:rPr>
      </w:pPr>
      <w:bookmarkStart w:id="4" w:name="_Hlk49088823"/>
      <w:r w:rsidRPr="00BC6A1C">
        <w:rPr>
          <w:rFonts w:ascii="Book Antiqua" w:eastAsiaTheme="minorHAnsi" w:hAnsi="Book Antiqua"/>
          <w:b/>
          <w:bCs/>
          <w:color w:val="000000" w:themeColor="text1"/>
        </w:rPr>
        <w:t xml:space="preserve">Table </w:t>
      </w:r>
      <w:r w:rsidRPr="00BC6A1C">
        <w:rPr>
          <w:rFonts w:ascii="Book Antiqua" w:eastAsiaTheme="minorHAnsi" w:hAnsi="Book Antiqua"/>
          <w:b/>
          <w:color w:val="000000" w:themeColor="text1"/>
          <w:lang w:val="tr-TR"/>
        </w:rPr>
        <w:t>5</w:t>
      </w:r>
      <w:r w:rsidRPr="00BC6A1C">
        <w:rPr>
          <w:rFonts w:ascii="Book Antiqua" w:eastAsiaTheme="minorHAnsi" w:hAnsi="Book Antiqua"/>
        </w:rPr>
        <w:t xml:space="preserve"> </w:t>
      </w:r>
      <w:r w:rsidRPr="00BC6A1C">
        <w:rPr>
          <w:rFonts w:ascii="Book Antiqua" w:eastAsiaTheme="minorHAnsi" w:hAnsi="Book Antiqua"/>
          <w:b/>
        </w:rPr>
        <w:t>Compari</w:t>
      </w:r>
      <w:r w:rsidR="00A444DE">
        <w:rPr>
          <w:rFonts w:ascii="Book Antiqua" w:eastAsiaTheme="minorHAnsi" w:hAnsi="Book Antiqua"/>
          <w:b/>
        </w:rPr>
        <w:t>son of</w:t>
      </w:r>
      <w:r w:rsidRPr="00BC6A1C">
        <w:rPr>
          <w:rFonts w:ascii="Book Antiqua" w:eastAsiaTheme="minorHAnsi" w:hAnsi="Book Antiqua"/>
          <w:b/>
        </w:rPr>
        <w:t xml:space="preserve"> pleomorphic adenomas, Warthin’s tumors</w:t>
      </w:r>
      <w:r w:rsidR="005B0479">
        <w:rPr>
          <w:rFonts w:ascii="Book Antiqua" w:eastAsiaTheme="minorHAnsi" w:hAnsi="Book Antiqua"/>
          <w:b/>
        </w:rPr>
        <w:t>,</w:t>
      </w:r>
      <w:r w:rsidRPr="00BC6A1C">
        <w:rPr>
          <w:rFonts w:ascii="Book Antiqua" w:eastAsiaTheme="minorHAnsi" w:hAnsi="Book Antiqua"/>
          <w:b/>
        </w:rPr>
        <w:t xml:space="preserve"> and malignant salivary gland tumors </w:t>
      </w:r>
      <w:r w:rsidR="00A444DE">
        <w:rPr>
          <w:rFonts w:ascii="Book Antiqua" w:eastAsiaTheme="minorHAnsi" w:hAnsi="Book Antiqua"/>
          <w:b/>
        </w:rPr>
        <w:t>by</w:t>
      </w:r>
      <w:r w:rsidRPr="00BC6A1C">
        <w:rPr>
          <w:rFonts w:ascii="Book Antiqua" w:eastAsiaTheme="minorHAnsi" w:hAnsi="Book Antiqua"/>
          <w:b/>
        </w:rPr>
        <w:t xml:space="preserve"> ROC analysis using ADC, T</w:t>
      </w:r>
      <w:r w:rsidRPr="00BC6A1C">
        <w:rPr>
          <w:rFonts w:ascii="Book Antiqua" w:eastAsiaTheme="minorHAnsi" w:hAnsi="Book Antiqua"/>
          <w:b/>
          <w:vertAlign w:val="subscript"/>
        </w:rPr>
        <w:t>peak</w:t>
      </w:r>
      <w:r w:rsidRPr="00BC6A1C">
        <w:rPr>
          <w:rFonts w:ascii="Book Antiqua" w:eastAsiaTheme="minorHAnsi" w:hAnsi="Book Antiqua"/>
          <w:b/>
        </w:rPr>
        <w:t>, K</w:t>
      </w:r>
      <w:r w:rsidRPr="00BC6A1C">
        <w:rPr>
          <w:rFonts w:ascii="Book Antiqua" w:eastAsiaTheme="minorHAnsi" w:hAnsi="Book Antiqua"/>
          <w:b/>
          <w:vertAlign w:val="subscript"/>
        </w:rPr>
        <w:t>trans</w:t>
      </w:r>
      <w:r w:rsidRPr="00BC6A1C">
        <w:rPr>
          <w:rFonts w:ascii="Book Antiqua" w:eastAsiaTheme="minorHAnsi" w:hAnsi="Book Antiqua"/>
          <w:b/>
        </w:rPr>
        <w:t xml:space="preserve">, </w:t>
      </w:r>
      <w:r w:rsidR="005B0479" w:rsidRPr="00BC6A1C">
        <w:rPr>
          <w:rFonts w:ascii="Book Antiqua" w:eastAsiaTheme="minorHAnsi" w:hAnsi="Book Antiqua"/>
          <w:b/>
        </w:rPr>
        <w:t>K</w:t>
      </w:r>
      <w:r w:rsidR="005B0479" w:rsidRPr="00BC6A1C">
        <w:rPr>
          <w:rFonts w:ascii="Book Antiqua" w:eastAsiaTheme="minorHAnsi" w:hAnsi="Book Antiqua"/>
          <w:b/>
          <w:vertAlign w:val="subscript"/>
        </w:rPr>
        <w:t>ep</w:t>
      </w:r>
      <w:r w:rsidR="005B0479">
        <w:rPr>
          <w:rFonts w:ascii="Book Antiqua" w:eastAsiaTheme="minorHAnsi" w:hAnsi="Book Antiqua"/>
          <w:b/>
        </w:rPr>
        <w:t xml:space="preserve">, </w:t>
      </w:r>
      <w:r w:rsidRPr="00BC6A1C">
        <w:rPr>
          <w:rFonts w:ascii="Book Antiqua" w:eastAsiaTheme="minorHAnsi" w:hAnsi="Book Antiqua"/>
          <w:b/>
        </w:rPr>
        <w:t>and V</w:t>
      </w:r>
      <w:r w:rsidRPr="00BC6A1C">
        <w:rPr>
          <w:rFonts w:ascii="Book Antiqua" w:eastAsiaTheme="minorHAnsi" w:hAnsi="Book Antiqua"/>
          <w:b/>
          <w:vertAlign w:val="subscript"/>
        </w:rPr>
        <w:t>e</w:t>
      </w:r>
      <w:r w:rsidRPr="00BC6A1C">
        <w:rPr>
          <w:rFonts w:ascii="Book Antiqua" w:eastAsiaTheme="minorHAnsi" w:hAnsi="Book Antiqua"/>
          <w:b/>
        </w:rPr>
        <w:t xml:space="preserve"> values</w:t>
      </w:r>
      <w:bookmarkEnd w:id="4"/>
    </w:p>
    <w:tbl>
      <w:tblPr>
        <w:tblStyle w:val="TabloKlavuz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1261"/>
        <w:gridCol w:w="1055"/>
        <w:gridCol w:w="2018"/>
        <w:gridCol w:w="1327"/>
        <w:gridCol w:w="1313"/>
        <w:gridCol w:w="708"/>
        <w:gridCol w:w="811"/>
        <w:gridCol w:w="867"/>
      </w:tblGrid>
      <w:tr w:rsidR="004563E1" w:rsidRPr="00BC6A1C" w14:paraId="1A5040C0" w14:textId="77777777" w:rsidTr="001A0A02">
        <w:trPr>
          <w:trHeight w:val="300"/>
        </w:trPr>
        <w:tc>
          <w:tcPr>
            <w:tcW w:w="1272" w:type="dxa"/>
            <w:tcBorders>
              <w:top w:val="single" w:sz="4" w:space="0" w:color="auto"/>
              <w:bottom w:val="single" w:sz="4" w:space="0" w:color="auto"/>
            </w:tcBorders>
          </w:tcPr>
          <w:p w14:paraId="2D519389"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Variable</w:t>
            </w:r>
          </w:p>
        </w:tc>
        <w:tc>
          <w:tcPr>
            <w:tcW w:w="1083" w:type="dxa"/>
            <w:tcBorders>
              <w:top w:val="single" w:sz="4" w:space="0" w:color="auto"/>
              <w:bottom w:val="single" w:sz="4" w:space="0" w:color="auto"/>
            </w:tcBorders>
          </w:tcPr>
          <w:p w14:paraId="2D95BD25"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Cut-off</w:t>
            </w:r>
          </w:p>
        </w:tc>
        <w:tc>
          <w:tcPr>
            <w:tcW w:w="2096" w:type="dxa"/>
            <w:tcBorders>
              <w:top w:val="single" w:sz="4" w:space="0" w:color="auto"/>
              <w:bottom w:val="single" w:sz="4" w:space="0" w:color="auto"/>
            </w:tcBorders>
          </w:tcPr>
          <w:p w14:paraId="64860E21"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AUC (95% CI)</w:t>
            </w:r>
          </w:p>
        </w:tc>
        <w:tc>
          <w:tcPr>
            <w:tcW w:w="1103" w:type="dxa"/>
            <w:tcBorders>
              <w:top w:val="single" w:sz="4" w:space="0" w:color="auto"/>
              <w:bottom w:val="single" w:sz="4" w:space="0" w:color="auto"/>
            </w:tcBorders>
          </w:tcPr>
          <w:p w14:paraId="05D8F217"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Sensitivity</w:t>
            </w:r>
          </w:p>
        </w:tc>
        <w:tc>
          <w:tcPr>
            <w:tcW w:w="1112" w:type="dxa"/>
            <w:tcBorders>
              <w:top w:val="single" w:sz="4" w:space="0" w:color="auto"/>
              <w:bottom w:val="single" w:sz="4" w:space="0" w:color="auto"/>
            </w:tcBorders>
          </w:tcPr>
          <w:p w14:paraId="6ECC179F"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Specificity</w:t>
            </w:r>
          </w:p>
        </w:tc>
        <w:tc>
          <w:tcPr>
            <w:tcW w:w="711" w:type="dxa"/>
            <w:tcBorders>
              <w:top w:val="single" w:sz="4" w:space="0" w:color="auto"/>
              <w:bottom w:val="single" w:sz="4" w:space="0" w:color="auto"/>
            </w:tcBorders>
          </w:tcPr>
          <w:p w14:paraId="26B3229A"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PPV</w:t>
            </w:r>
          </w:p>
        </w:tc>
        <w:tc>
          <w:tcPr>
            <w:tcW w:w="820" w:type="dxa"/>
            <w:tcBorders>
              <w:top w:val="single" w:sz="4" w:space="0" w:color="auto"/>
              <w:bottom w:val="single" w:sz="4" w:space="0" w:color="auto"/>
            </w:tcBorders>
          </w:tcPr>
          <w:p w14:paraId="414340E4"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NPV</w:t>
            </w:r>
          </w:p>
        </w:tc>
        <w:tc>
          <w:tcPr>
            <w:tcW w:w="875" w:type="dxa"/>
            <w:tcBorders>
              <w:top w:val="single" w:sz="4" w:space="0" w:color="auto"/>
              <w:bottom w:val="single" w:sz="4" w:space="0" w:color="auto"/>
            </w:tcBorders>
          </w:tcPr>
          <w:p w14:paraId="4C1D4797" w14:textId="77777777" w:rsidR="004563E1" w:rsidRPr="00BC6A1C" w:rsidRDefault="004563E1" w:rsidP="00BC6A1C">
            <w:pPr>
              <w:spacing w:line="360" w:lineRule="auto"/>
              <w:jc w:val="both"/>
              <w:rPr>
                <w:rFonts w:ascii="Book Antiqua" w:hAnsi="Book Antiqua" w:cs="Times New Roman"/>
                <w:b/>
                <w:bCs/>
                <w:i/>
              </w:rPr>
            </w:pPr>
            <w:r w:rsidRPr="00BC6A1C">
              <w:rPr>
                <w:rFonts w:ascii="Book Antiqua" w:eastAsia="Times New Roman" w:hAnsi="Book Antiqua" w:cs="Times New Roman"/>
                <w:b/>
                <w:bCs/>
                <w:i/>
              </w:rPr>
              <w:t>P</w:t>
            </w:r>
            <w:r w:rsidRPr="00BC6A1C">
              <w:rPr>
                <w:rFonts w:ascii="Book Antiqua" w:eastAsia="Times New Roman" w:hAnsi="Book Antiqua" w:cs="Times New Roman"/>
                <w:b/>
                <w:bCs/>
              </w:rPr>
              <w:t xml:space="preserve"> value</w:t>
            </w:r>
          </w:p>
        </w:tc>
      </w:tr>
      <w:tr w:rsidR="004563E1" w:rsidRPr="008838E5" w14:paraId="4DF662D9" w14:textId="77777777" w:rsidTr="001A0A02">
        <w:tblPrEx>
          <w:tblCellMar>
            <w:left w:w="108" w:type="dxa"/>
            <w:right w:w="108" w:type="dxa"/>
          </w:tblCellMar>
          <w:tblLook w:val="04A0" w:firstRow="1" w:lastRow="0" w:firstColumn="1" w:lastColumn="0" w:noHBand="0" w:noVBand="1"/>
        </w:tblPrEx>
        <w:trPr>
          <w:trHeight w:val="80"/>
        </w:trPr>
        <w:tc>
          <w:tcPr>
            <w:tcW w:w="9072" w:type="dxa"/>
            <w:gridSpan w:val="8"/>
            <w:tcBorders>
              <w:top w:val="single" w:sz="4" w:space="0" w:color="auto"/>
            </w:tcBorders>
          </w:tcPr>
          <w:p w14:paraId="13D0D7E0" w14:textId="77777777" w:rsidR="004563E1" w:rsidRPr="005B3D1B" w:rsidRDefault="004563E1" w:rsidP="00BC6A1C">
            <w:pPr>
              <w:spacing w:line="360" w:lineRule="auto"/>
              <w:jc w:val="both"/>
              <w:rPr>
                <w:rFonts w:ascii="Book Antiqua" w:hAnsi="Book Antiqua" w:cs="Times New Roman"/>
                <w:bCs/>
                <w:i/>
                <w:sz w:val="20"/>
              </w:rPr>
            </w:pPr>
            <w:r w:rsidRPr="005B3D1B">
              <w:rPr>
                <w:rFonts w:ascii="Book Antiqua" w:hAnsi="Book Antiqua"/>
                <w:bCs/>
                <w:i/>
                <w:sz w:val="20"/>
              </w:rPr>
              <w:t>Pleomorphic adenomas</w:t>
            </w:r>
          </w:p>
        </w:tc>
      </w:tr>
      <w:tr w:rsidR="004563E1" w:rsidRPr="008838E5" w14:paraId="7B3CB32C" w14:textId="77777777" w:rsidTr="001A0A02">
        <w:tblPrEx>
          <w:tblCellMar>
            <w:left w:w="108" w:type="dxa"/>
            <w:right w:w="108" w:type="dxa"/>
          </w:tblCellMar>
          <w:tblLook w:val="04A0" w:firstRow="1" w:lastRow="0" w:firstColumn="1" w:lastColumn="0" w:noHBand="0" w:noVBand="1"/>
        </w:tblPrEx>
        <w:tc>
          <w:tcPr>
            <w:tcW w:w="1272" w:type="dxa"/>
          </w:tcPr>
          <w:p w14:paraId="003AFAB3"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ADC value</w:t>
            </w:r>
          </w:p>
        </w:tc>
        <w:tc>
          <w:tcPr>
            <w:tcW w:w="1083" w:type="dxa"/>
            <w:shd w:val="clear" w:color="auto" w:fill="auto"/>
            <w:vAlign w:val="center"/>
          </w:tcPr>
          <w:p w14:paraId="71B04CA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&gt; 1.1</w:t>
            </w:r>
          </w:p>
        </w:tc>
        <w:tc>
          <w:tcPr>
            <w:tcW w:w="2096" w:type="dxa"/>
            <w:shd w:val="clear" w:color="auto" w:fill="auto"/>
            <w:vAlign w:val="bottom"/>
          </w:tcPr>
          <w:p w14:paraId="1379F2F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0.977</w:t>
            </w:r>
            <w:r w:rsidR="00911924" w:rsidRPr="005B3D1B">
              <w:rPr>
                <w:rFonts w:ascii="Book Antiqua" w:hAnsi="Book Antiqua"/>
                <w:color w:val="000000"/>
                <w:sz w:val="20"/>
              </w:rPr>
              <w:t xml:space="preserve"> </w:t>
            </w:r>
            <w:r w:rsidRPr="005B3D1B">
              <w:rPr>
                <w:rFonts w:ascii="Book Antiqua" w:hAnsi="Book Antiqua"/>
                <w:color w:val="000000"/>
                <w:sz w:val="20"/>
              </w:rPr>
              <w:t>(0.911-0.998)</w:t>
            </w:r>
          </w:p>
        </w:tc>
        <w:tc>
          <w:tcPr>
            <w:tcW w:w="1103" w:type="dxa"/>
            <w:shd w:val="clear" w:color="auto" w:fill="auto"/>
            <w:vAlign w:val="center"/>
          </w:tcPr>
          <w:p w14:paraId="486AFAD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4B25254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0.898</w:t>
            </w:r>
          </w:p>
        </w:tc>
        <w:tc>
          <w:tcPr>
            <w:tcW w:w="711" w:type="dxa"/>
            <w:shd w:val="clear" w:color="auto" w:fill="auto"/>
            <w:vAlign w:val="center"/>
          </w:tcPr>
          <w:p w14:paraId="6B12F5B8"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0.700</w:t>
            </w:r>
          </w:p>
        </w:tc>
        <w:tc>
          <w:tcPr>
            <w:tcW w:w="820" w:type="dxa"/>
            <w:shd w:val="clear" w:color="auto" w:fill="auto"/>
            <w:vAlign w:val="center"/>
          </w:tcPr>
          <w:p w14:paraId="51697C2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56CC6B4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52619634" w14:textId="77777777" w:rsidTr="001A0A02">
        <w:tblPrEx>
          <w:tblCellMar>
            <w:left w:w="108" w:type="dxa"/>
            <w:right w:w="108" w:type="dxa"/>
          </w:tblCellMar>
          <w:tblLook w:val="04A0" w:firstRow="1" w:lastRow="0" w:firstColumn="1" w:lastColumn="0" w:noHBand="0" w:noVBand="1"/>
        </w:tblPrEx>
        <w:tc>
          <w:tcPr>
            <w:tcW w:w="1272" w:type="dxa"/>
          </w:tcPr>
          <w:p w14:paraId="62B28F2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T</w:t>
            </w:r>
            <w:r w:rsidRPr="005B3D1B">
              <w:rPr>
                <w:rFonts w:ascii="Book Antiqua" w:hAnsi="Book Antiqua"/>
                <w:sz w:val="20"/>
                <w:vertAlign w:val="subscript"/>
              </w:rPr>
              <w:t xml:space="preserve">peak </w:t>
            </w:r>
          </w:p>
        </w:tc>
        <w:tc>
          <w:tcPr>
            <w:tcW w:w="1083" w:type="dxa"/>
            <w:shd w:val="clear" w:color="auto" w:fill="auto"/>
            <w:vAlign w:val="center"/>
          </w:tcPr>
          <w:p w14:paraId="772AA1D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&gt; 120 </w:t>
            </w:r>
          </w:p>
        </w:tc>
        <w:tc>
          <w:tcPr>
            <w:tcW w:w="2096" w:type="dxa"/>
            <w:shd w:val="clear" w:color="auto" w:fill="auto"/>
            <w:vAlign w:val="bottom"/>
          </w:tcPr>
          <w:p w14:paraId="399054D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0.947 (0.868-0.986)</w:t>
            </w:r>
          </w:p>
        </w:tc>
        <w:tc>
          <w:tcPr>
            <w:tcW w:w="1103" w:type="dxa"/>
            <w:shd w:val="clear" w:color="auto" w:fill="auto"/>
            <w:vAlign w:val="center"/>
          </w:tcPr>
          <w:p w14:paraId="7113360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090CDC2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0.898</w:t>
            </w:r>
          </w:p>
        </w:tc>
        <w:tc>
          <w:tcPr>
            <w:tcW w:w="711" w:type="dxa"/>
            <w:shd w:val="clear" w:color="auto" w:fill="auto"/>
            <w:vAlign w:val="center"/>
          </w:tcPr>
          <w:p w14:paraId="4D657DFB"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0.700</w:t>
            </w:r>
          </w:p>
        </w:tc>
        <w:tc>
          <w:tcPr>
            <w:tcW w:w="820" w:type="dxa"/>
            <w:shd w:val="clear" w:color="auto" w:fill="auto"/>
            <w:vAlign w:val="center"/>
          </w:tcPr>
          <w:p w14:paraId="499EF58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723E12B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&lt; 0.001</w:t>
            </w:r>
          </w:p>
        </w:tc>
      </w:tr>
      <w:tr w:rsidR="00101F60" w:rsidRPr="008838E5" w14:paraId="60B4867A" w14:textId="77777777" w:rsidTr="001A0A02">
        <w:tblPrEx>
          <w:tblCellMar>
            <w:left w:w="108" w:type="dxa"/>
            <w:right w:w="108" w:type="dxa"/>
          </w:tblCellMar>
          <w:tblLook w:val="04A0" w:firstRow="1" w:lastRow="0" w:firstColumn="1" w:lastColumn="0" w:noHBand="0" w:noVBand="1"/>
        </w:tblPrEx>
        <w:tc>
          <w:tcPr>
            <w:tcW w:w="1272" w:type="dxa"/>
          </w:tcPr>
          <w:p w14:paraId="6F108729" w14:textId="72801CD0" w:rsidR="00101F60" w:rsidRPr="00101F60" w:rsidRDefault="00101F60"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trans</w:t>
            </w:r>
          </w:p>
        </w:tc>
        <w:tc>
          <w:tcPr>
            <w:tcW w:w="1083" w:type="dxa"/>
            <w:shd w:val="clear" w:color="auto" w:fill="auto"/>
            <w:vAlign w:val="center"/>
          </w:tcPr>
          <w:p w14:paraId="681E2275" w14:textId="46D05279" w:rsidR="00101F60" w:rsidRPr="00101F60" w:rsidRDefault="00101F60" w:rsidP="00BC6A1C">
            <w:pPr>
              <w:spacing w:line="360" w:lineRule="auto"/>
              <w:jc w:val="both"/>
              <w:rPr>
                <w:rFonts w:ascii="Book Antiqua" w:eastAsia="Times New Roman" w:hAnsi="Book Antiqua" w:cs="Times New Roman"/>
                <w:sz w:val="20"/>
              </w:rPr>
            </w:pPr>
            <w:r w:rsidRPr="005B3D1B">
              <w:rPr>
                <w:rFonts w:ascii="Book Antiqua" w:eastAsia="Times New Roman" w:hAnsi="Book Antiqua"/>
                <w:sz w:val="20"/>
              </w:rPr>
              <w:t>≤ 0.46</w:t>
            </w:r>
          </w:p>
        </w:tc>
        <w:tc>
          <w:tcPr>
            <w:tcW w:w="2096" w:type="dxa"/>
            <w:shd w:val="clear" w:color="auto" w:fill="auto"/>
            <w:vAlign w:val="bottom"/>
          </w:tcPr>
          <w:p w14:paraId="671CD85D" w14:textId="3E14D1AC"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0.702 (0.584-0.804)</w:t>
            </w:r>
          </w:p>
        </w:tc>
        <w:tc>
          <w:tcPr>
            <w:tcW w:w="1103" w:type="dxa"/>
            <w:shd w:val="clear" w:color="auto" w:fill="auto"/>
            <w:vAlign w:val="center"/>
          </w:tcPr>
          <w:p w14:paraId="58A55D46" w14:textId="3EB62A9F"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0.857</w:t>
            </w:r>
          </w:p>
        </w:tc>
        <w:tc>
          <w:tcPr>
            <w:tcW w:w="1112" w:type="dxa"/>
            <w:shd w:val="clear" w:color="auto" w:fill="auto"/>
            <w:vAlign w:val="center"/>
          </w:tcPr>
          <w:p w14:paraId="5AF81913" w14:textId="254F24A1"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0.627</w:t>
            </w:r>
          </w:p>
        </w:tc>
        <w:tc>
          <w:tcPr>
            <w:tcW w:w="711" w:type="dxa"/>
            <w:shd w:val="clear" w:color="auto" w:fill="auto"/>
            <w:vAlign w:val="center"/>
          </w:tcPr>
          <w:p w14:paraId="7AE6D526" w14:textId="74B6C2E2"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0.353</w:t>
            </w:r>
          </w:p>
        </w:tc>
        <w:tc>
          <w:tcPr>
            <w:tcW w:w="820" w:type="dxa"/>
            <w:shd w:val="clear" w:color="auto" w:fill="auto"/>
            <w:vAlign w:val="center"/>
          </w:tcPr>
          <w:p w14:paraId="048C1E8D" w14:textId="40BFDD61"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0.949</w:t>
            </w:r>
          </w:p>
        </w:tc>
        <w:tc>
          <w:tcPr>
            <w:tcW w:w="875" w:type="dxa"/>
            <w:shd w:val="clear" w:color="auto" w:fill="auto"/>
            <w:vAlign w:val="bottom"/>
          </w:tcPr>
          <w:p w14:paraId="0E7CB18F" w14:textId="665911DA" w:rsidR="00101F60" w:rsidRPr="00101F60" w:rsidRDefault="00101F60" w:rsidP="00BC6A1C">
            <w:pPr>
              <w:spacing w:line="360" w:lineRule="auto"/>
              <w:jc w:val="both"/>
              <w:rPr>
                <w:rFonts w:ascii="Book Antiqua" w:eastAsia="Times New Roman" w:hAnsi="Book Antiqua" w:cs="Times New Roman"/>
                <w:sz w:val="20"/>
              </w:rPr>
            </w:pPr>
            <w:r w:rsidRPr="005B3D1B">
              <w:rPr>
                <w:rFonts w:ascii="Book Antiqua" w:eastAsia="Times New Roman" w:hAnsi="Book Antiqua"/>
                <w:sz w:val="20"/>
              </w:rPr>
              <w:t>0.005</w:t>
            </w:r>
          </w:p>
        </w:tc>
      </w:tr>
      <w:tr w:rsidR="004563E1" w:rsidRPr="008838E5" w14:paraId="4E06AB87" w14:textId="77777777" w:rsidTr="001A0A02">
        <w:tblPrEx>
          <w:tblCellMar>
            <w:left w:w="108" w:type="dxa"/>
            <w:right w:w="108" w:type="dxa"/>
          </w:tblCellMar>
          <w:tblLook w:val="04A0" w:firstRow="1" w:lastRow="0" w:firstColumn="1" w:lastColumn="0" w:noHBand="0" w:noVBand="1"/>
        </w:tblPrEx>
        <w:trPr>
          <w:trHeight w:val="460"/>
        </w:trPr>
        <w:tc>
          <w:tcPr>
            <w:tcW w:w="1272" w:type="dxa"/>
            <w:shd w:val="clear" w:color="auto" w:fill="auto"/>
            <w:vAlign w:val="center"/>
          </w:tcPr>
          <w:p w14:paraId="293D108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ep</w:t>
            </w:r>
          </w:p>
        </w:tc>
        <w:tc>
          <w:tcPr>
            <w:tcW w:w="1083" w:type="dxa"/>
            <w:shd w:val="clear" w:color="auto" w:fill="auto"/>
            <w:vAlign w:val="center"/>
          </w:tcPr>
          <w:p w14:paraId="19BD352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1.14</w:t>
            </w:r>
          </w:p>
        </w:tc>
        <w:tc>
          <w:tcPr>
            <w:tcW w:w="2096" w:type="dxa"/>
            <w:shd w:val="clear" w:color="auto" w:fill="auto"/>
            <w:vAlign w:val="bottom"/>
          </w:tcPr>
          <w:p w14:paraId="3436582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0.926 (0.840-0.974)</w:t>
            </w:r>
          </w:p>
        </w:tc>
        <w:tc>
          <w:tcPr>
            <w:tcW w:w="1103" w:type="dxa"/>
            <w:shd w:val="clear" w:color="auto" w:fill="auto"/>
            <w:vAlign w:val="center"/>
          </w:tcPr>
          <w:p w14:paraId="1D93A81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0.929</w:t>
            </w:r>
          </w:p>
        </w:tc>
        <w:tc>
          <w:tcPr>
            <w:tcW w:w="1112" w:type="dxa"/>
            <w:shd w:val="clear" w:color="auto" w:fill="auto"/>
            <w:vAlign w:val="center"/>
          </w:tcPr>
          <w:p w14:paraId="437FCBB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0.831</w:t>
            </w:r>
          </w:p>
        </w:tc>
        <w:tc>
          <w:tcPr>
            <w:tcW w:w="711" w:type="dxa"/>
            <w:shd w:val="clear" w:color="auto" w:fill="auto"/>
            <w:vAlign w:val="center"/>
          </w:tcPr>
          <w:p w14:paraId="1AFB5A9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0.565</w:t>
            </w:r>
          </w:p>
        </w:tc>
        <w:tc>
          <w:tcPr>
            <w:tcW w:w="820" w:type="dxa"/>
            <w:shd w:val="clear" w:color="auto" w:fill="auto"/>
            <w:vAlign w:val="center"/>
          </w:tcPr>
          <w:p w14:paraId="2F0463C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0.980</w:t>
            </w:r>
          </w:p>
        </w:tc>
        <w:tc>
          <w:tcPr>
            <w:tcW w:w="875" w:type="dxa"/>
            <w:shd w:val="clear" w:color="auto" w:fill="auto"/>
            <w:vAlign w:val="bottom"/>
          </w:tcPr>
          <w:p w14:paraId="75D6D71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&lt; 0.001</w:t>
            </w:r>
          </w:p>
        </w:tc>
      </w:tr>
      <w:tr w:rsidR="004563E1" w:rsidRPr="008838E5" w14:paraId="4287C24A"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0EF44F7"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V</w:t>
            </w:r>
            <w:r w:rsidRPr="005B3D1B">
              <w:rPr>
                <w:rFonts w:ascii="Book Antiqua" w:hAnsi="Book Antiqua"/>
                <w:sz w:val="20"/>
                <w:vertAlign w:val="subscript"/>
              </w:rPr>
              <w:t>e</w:t>
            </w:r>
          </w:p>
        </w:tc>
        <w:tc>
          <w:tcPr>
            <w:tcW w:w="1083" w:type="dxa"/>
            <w:shd w:val="clear" w:color="auto" w:fill="auto"/>
            <w:vAlign w:val="center"/>
          </w:tcPr>
          <w:p w14:paraId="2635994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0.4</w:t>
            </w:r>
          </w:p>
        </w:tc>
        <w:tc>
          <w:tcPr>
            <w:tcW w:w="2096" w:type="dxa"/>
            <w:shd w:val="clear" w:color="auto" w:fill="auto"/>
            <w:vAlign w:val="bottom"/>
          </w:tcPr>
          <w:p w14:paraId="7146728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0.849 (0.746-0.922)</w:t>
            </w:r>
          </w:p>
        </w:tc>
        <w:tc>
          <w:tcPr>
            <w:tcW w:w="1103" w:type="dxa"/>
            <w:shd w:val="clear" w:color="auto" w:fill="auto"/>
            <w:vAlign w:val="center"/>
          </w:tcPr>
          <w:p w14:paraId="36A4FCF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0.929</w:t>
            </w:r>
          </w:p>
        </w:tc>
        <w:tc>
          <w:tcPr>
            <w:tcW w:w="1112" w:type="dxa"/>
            <w:shd w:val="clear" w:color="auto" w:fill="auto"/>
            <w:vAlign w:val="center"/>
          </w:tcPr>
          <w:p w14:paraId="728A3C4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0.729</w:t>
            </w:r>
          </w:p>
        </w:tc>
        <w:tc>
          <w:tcPr>
            <w:tcW w:w="711" w:type="dxa"/>
            <w:shd w:val="clear" w:color="auto" w:fill="auto"/>
            <w:vAlign w:val="center"/>
          </w:tcPr>
          <w:p w14:paraId="3C36EC0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0.448</w:t>
            </w:r>
          </w:p>
        </w:tc>
        <w:tc>
          <w:tcPr>
            <w:tcW w:w="820" w:type="dxa"/>
            <w:shd w:val="clear" w:color="auto" w:fill="auto"/>
            <w:vAlign w:val="center"/>
          </w:tcPr>
          <w:p w14:paraId="220A5F3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0.977</w:t>
            </w:r>
          </w:p>
        </w:tc>
        <w:tc>
          <w:tcPr>
            <w:tcW w:w="875" w:type="dxa"/>
            <w:shd w:val="clear" w:color="auto" w:fill="auto"/>
            <w:vAlign w:val="bottom"/>
          </w:tcPr>
          <w:p w14:paraId="02F3156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370F6F94" w14:textId="77777777" w:rsidTr="001A0A02">
        <w:tblPrEx>
          <w:tblCellMar>
            <w:left w:w="108" w:type="dxa"/>
            <w:right w:w="108" w:type="dxa"/>
          </w:tblCellMar>
          <w:tblLook w:val="04A0" w:firstRow="1" w:lastRow="0" w:firstColumn="1" w:lastColumn="0" w:noHBand="0" w:noVBand="1"/>
        </w:tblPrEx>
        <w:tc>
          <w:tcPr>
            <w:tcW w:w="9072" w:type="dxa"/>
            <w:gridSpan w:val="8"/>
          </w:tcPr>
          <w:p w14:paraId="6D35767C" w14:textId="77777777" w:rsidR="004563E1" w:rsidRPr="005B3D1B" w:rsidRDefault="004563E1" w:rsidP="00BC6A1C">
            <w:pPr>
              <w:spacing w:line="360" w:lineRule="auto"/>
              <w:jc w:val="both"/>
              <w:rPr>
                <w:rFonts w:ascii="Book Antiqua" w:hAnsi="Book Antiqua" w:cs="Times New Roman"/>
                <w:bCs/>
                <w:i/>
                <w:sz w:val="20"/>
              </w:rPr>
            </w:pPr>
            <w:r w:rsidRPr="005B3D1B">
              <w:rPr>
                <w:rFonts w:ascii="Book Antiqua" w:hAnsi="Book Antiqua"/>
                <w:bCs/>
                <w:i/>
                <w:sz w:val="20"/>
              </w:rPr>
              <w:t>Warthin’s tumors</w:t>
            </w:r>
          </w:p>
        </w:tc>
      </w:tr>
      <w:tr w:rsidR="004563E1" w:rsidRPr="008838E5" w14:paraId="110EF6E2" w14:textId="77777777" w:rsidTr="001A0A02">
        <w:tblPrEx>
          <w:tblCellMar>
            <w:left w:w="108" w:type="dxa"/>
            <w:right w:w="108" w:type="dxa"/>
          </w:tblCellMar>
          <w:tblLook w:val="04A0" w:firstRow="1" w:lastRow="0" w:firstColumn="1" w:lastColumn="0" w:noHBand="0" w:noVBand="1"/>
        </w:tblPrEx>
        <w:tc>
          <w:tcPr>
            <w:tcW w:w="1272" w:type="dxa"/>
          </w:tcPr>
          <w:p w14:paraId="6638566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ADC value</w:t>
            </w:r>
          </w:p>
        </w:tc>
        <w:tc>
          <w:tcPr>
            <w:tcW w:w="1083" w:type="dxa"/>
            <w:shd w:val="clear" w:color="auto" w:fill="auto"/>
            <w:vAlign w:val="center"/>
          </w:tcPr>
          <w:p w14:paraId="1A57C53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0.8</w:t>
            </w:r>
          </w:p>
        </w:tc>
        <w:tc>
          <w:tcPr>
            <w:tcW w:w="2096" w:type="dxa"/>
            <w:shd w:val="clear" w:color="auto" w:fill="auto"/>
            <w:vAlign w:val="bottom"/>
          </w:tcPr>
          <w:p w14:paraId="3435F5B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0.742 (0.626-0.837)</w:t>
            </w:r>
          </w:p>
        </w:tc>
        <w:tc>
          <w:tcPr>
            <w:tcW w:w="1103" w:type="dxa"/>
            <w:shd w:val="clear" w:color="auto" w:fill="auto"/>
            <w:vAlign w:val="center"/>
          </w:tcPr>
          <w:p w14:paraId="151F8D4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0.944</w:t>
            </w:r>
          </w:p>
        </w:tc>
        <w:tc>
          <w:tcPr>
            <w:tcW w:w="1112" w:type="dxa"/>
            <w:shd w:val="clear" w:color="auto" w:fill="auto"/>
            <w:vAlign w:val="center"/>
          </w:tcPr>
          <w:p w14:paraId="767B879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0.582</w:t>
            </w:r>
          </w:p>
        </w:tc>
        <w:tc>
          <w:tcPr>
            <w:tcW w:w="711" w:type="dxa"/>
            <w:shd w:val="clear" w:color="auto" w:fill="auto"/>
            <w:vAlign w:val="center"/>
          </w:tcPr>
          <w:p w14:paraId="7C0D07B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0.425</w:t>
            </w:r>
          </w:p>
        </w:tc>
        <w:tc>
          <w:tcPr>
            <w:tcW w:w="820" w:type="dxa"/>
            <w:shd w:val="clear" w:color="auto" w:fill="auto"/>
            <w:vAlign w:val="center"/>
          </w:tcPr>
          <w:p w14:paraId="1AEEC8E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0.970</w:t>
            </w:r>
          </w:p>
        </w:tc>
        <w:tc>
          <w:tcPr>
            <w:tcW w:w="875" w:type="dxa"/>
            <w:shd w:val="clear" w:color="auto" w:fill="auto"/>
            <w:vAlign w:val="bottom"/>
          </w:tcPr>
          <w:p w14:paraId="559D5D3E"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15F82C2B" w14:textId="77777777" w:rsidTr="001A0A02">
        <w:tblPrEx>
          <w:tblCellMar>
            <w:left w:w="108" w:type="dxa"/>
            <w:right w:w="108" w:type="dxa"/>
          </w:tblCellMar>
          <w:tblLook w:val="04A0" w:firstRow="1" w:lastRow="0" w:firstColumn="1" w:lastColumn="0" w:noHBand="0" w:noVBand="1"/>
        </w:tblPrEx>
        <w:tc>
          <w:tcPr>
            <w:tcW w:w="1272" w:type="dxa"/>
          </w:tcPr>
          <w:p w14:paraId="0621EA0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T</w:t>
            </w:r>
            <w:r w:rsidRPr="005B3D1B">
              <w:rPr>
                <w:rFonts w:ascii="Book Antiqua" w:hAnsi="Book Antiqua"/>
                <w:sz w:val="20"/>
                <w:vertAlign w:val="subscript"/>
              </w:rPr>
              <w:t xml:space="preserve">peak </w:t>
            </w:r>
          </w:p>
        </w:tc>
        <w:tc>
          <w:tcPr>
            <w:tcW w:w="1083" w:type="dxa"/>
            <w:shd w:val="clear" w:color="auto" w:fill="auto"/>
            <w:vAlign w:val="center"/>
          </w:tcPr>
          <w:p w14:paraId="5E1C1C02"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 19.1 </w:t>
            </w:r>
          </w:p>
        </w:tc>
        <w:tc>
          <w:tcPr>
            <w:tcW w:w="2096" w:type="dxa"/>
            <w:shd w:val="clear" w:color="auto" w:fill="auto"/>
            <w:vAlign w:val="bottom"/>
          </w:tcPr>
          <w:p w14:paraId="776B502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0.869 (0.769-0.936)</w:t>
            </w:r>
          </w:p>
        </w:tc>
        <w:tc>
          <w:tcPr>
            <w:tcW w:w="1103" w:type="dxa"/>
            <w:shd w:val="clear" w:color="auto" w:fill="auto"/>
            <w:vAlign w:val="center"/>
          </w:tcPr>
          <w:p w14:paraId="6AEF5A7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0.667</w:t>
            </w:r>
          </w:p>
        </w:tc>
        <w:tc>
          <w:tcPr>
            <w:tcW w:w="1112" w:type="dxa"/>
            <w:shd w:val="clear" w:color="auto" w:fill="auto"/>
            <w:vAlign w:val="center"/>
          </w:tcPr>
          <w:p w14:paraId="7B6F315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0.909</w:t>
            </w:r>
          </w:p>
        </w:tc>
        <w:tc>
          <w:tcPr>
            <w:tcW w:w="711" w:type="dxa"/>
            <w:shd w:val="clear" w:color="auto" w:fill="auto"/>
            <w:vAlign w:val="center"/>
          </w:tcPr>
          <w:p w14:paraId="73C5D9C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0.706</w:t>
            </w:r>
          </w:p>
        </w:tc>
        <w:tc>
          <w:tcPr>
            <w:tcW w:w="820" w:type="dxa"/>
            <w:shd w:val="clear" w:color="auto" w:fill="auto"/>
            <w:vAlign w:val="center"/>
          </w:tcPr>
          <w:p w14:paraId="083FD60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0.893</w:t>
            </w:r>
          </w:p>
        </w:tc>
        <w:tc>
          <w:tcPr>
            <w:tcW w:w="875" w:type="dxa"/>
            <w:shd w:val="clear" w:color="auto" w:fill="auto"/>
            <w:vAlign w:val="bottom"/>
          </w:tcPr>
          <w:p w14:paraId="14016E7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665E9B80" w14:textId="77777777" w:rsidTr="001A0A02">
        <w:tblPrEx>
          <w:tblCellMar>
            <w:left w:w="108" w:type="dxa"/>
            <w:right w:w="108" w:type="dxa"/>
          </w:tblCellMar>
          <w:tblLook w:val="04A0" w:firstRow="1" w:lastRow="0" w:firstColumn="1" w:lastColumn="0" w:noHBand="0" w:noVBand="1"/>
        </w:tblPrEx>
        <w:tc>
          <w:tcPr>
            <w:tcW w:w="1272" w:type="dxa"/>
          </w:tcPr>
          <w:p w14:paraId="6CC32C0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 xml:space="preserve">WR </w:t>
            </w:r>
          </w:p>
        </w:tc>
        <w:tc>
          <w:tcPr>
            <w:tcW w:w="1083" w:type="dxa"/>
            <w:shd w:val="clear" w:color="auto" w:fill="auto"/>
            <w:vAlign w:val="center"/>
          </w:tcPr>
          <w:p w14:paraId="167D3AE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&gt; 43</w:t>
            </w:r>
          </w:p>
        </w:tc>
        <w:tc>
          <w:tcPr>
            <w:tcW w:w="2096" w:type="dxa"/>
            <w:shd w:val="clear" w:color="auto" w:fill="auto"/>
            <w:vAlign w:val="bottom"/>
          </w:tcPr>
          <w:p w14:paraId="5D48628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0.981 (0.917-0.999)</w:t>
            </w:r>
          </w:p>
        </w:tc>
        <w:tc>
          <w:tcPr>
            <w:tcW w:w="1103" w:type="dxa"/>
            <w:shd w:val="clear" w:color="auto" w:fill="auto"/>
            <w:vAlign w:val="center"/>
          </w:tcPr>
          <w:p w14:paraId="3CF926B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0.944</w:t>
            </w:r>
          </w:p>
        </w:tc>
        <w:tc>
          <w:tcPr>
            <w:tcW w:w="1112" w:type="dxa"/>
            <w:shd w:val="clear" w:color="auto" w:fill="auto"/>
            <w:vAlign w:val="center"/>
          </w:tcPr>
          <w:p w14:paraId="3D4E36FB"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0.909</w:t>
            </w:r>
          </w:p>
        </w:tc>
        <w:tc>
          <w:tcPr>
            <w:tcW w:w="711" w:type="dxa"/>
            <w:shd w:val="clear" w:color="auto" w:fill="auto"/>
            <w:vAlign w:val="center"/>
          </w:tcPr>
          <w:p w14:paraId="7CA01D7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0.773</w:t>
            </w:r>
          </w:p>
        </w:tc>
        <w:tc>
          <w:tcPr>
            <w:tcW w:w="820" w:type="dxa"/>
            <w:shd w:val="clear" w:color="auto" w:fill="auto"/>
            <w:vAlign w:val="center"/>
          </w:tcPr>
          <w:p w14:paraId="25982A3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0.980</w:t>
            </w:r>
          </w:p>
        </w:tc>
        <w:tc>
          <w:tcPr>
            <w:tcW w:w="875" w:type="dxa"/>
            <w:shd w:val="clear" w:color="auto" w:fill="auto"/>
            <w:vAlign w:val="bottom"/>
          </w:tcPr>
          <w:p w14:paraId="59993A4E"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7E41CD1B"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56805D2F"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trans</w:t>
            </w:r>
          </w:p>
        </w:tc>
        <w:tc>
          <w:tcPr>
            <w:tcW w:w="1083" w:type="dxa"/>
            <w:shd w:val="clear" w:color="auto" w:fill="auto"/>
            <w:vAlign w:val="center"/>
          </w:tcPr>
          <w:p w14:paraId="1583AC31"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&gt; 0.3</w:t>
            </w:r>
          </w:p>
        </w:tc>
        <w:tc>
          <w:tcPr>
            <w:tcW w:w="2096" w:type="dxa"/>
            <w:shd w:val="clear" w:color="auto" w:fill="auto"/>
            <w:vAlign w:val="bottom"/>
          </w:tcPr>
          <w:p w14:paraId="77719EA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0.577 (0.455-0.692)</w:t>
            </w:r>
          </w:p>
        </w:tc>
        <w:tc>
          <w:tcPr>
            <w:tcW w:w="1103" w:type="dxa"/>
            <w:shd w:val="clear" w:color="auto" w:fill="auto"/>
            <w:vAlign w:val="center"/>
          </w:tcPr>
          <w:p w14:paraId="5CE0581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0.889</w:t>
            </w:r>
          </w:p>
        </w:tc>
        <w:tc>
          <w:tcPr>
            <w:tcW w:w="1112" w:type="dxa"/>
            <w:shd w:val="clear" w:color="auto" w:fill="auto"/>
            <w:vAlign w:val="center"/>
          </w:tcPr>
          <w:p w14:paraId="25A13CA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0.346</w:t>
            </w:r>
          </w:p>
        </w:tc>
        <w:tc>
          <w:tcPr>
            <w:tcW w:w="711" w:type="dxa"/>
            <w:shd w:val="clear" w:color="auto" w:fill="auto"/>
            <w:vAlign w:val="center"/>
          </w:tcPr>
          <w:p w14:paraId="35A0D6F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0.308</w:t>
            </w:r>
          </w:p>
        </w:tc>
        <w:tc>
          <w:tcPr>
            <w:tcW w:w="820" w:type="dxa"/>
            <w:shd w:val="clear" w:color="auto" w:fill="auto"/>
            <w:vAlign w:val="center"/>
          </w:tcPr>
          <w:p w14:paraId="76649F9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0.905</w:t>
            </w:r>
          </w:p>
        </w:tc>
        <w:tc>
          <w:tcPr>
            <w:tcW w:w="875" w:type="dxa"/>
            <w:shd w:val="clear" w:color="auto" w:fill="auto"/>
            <w:vAlign w:val="bottom"/>
          </w:tcPr>
          <w:p w14:paraId="0D4A80F4"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 0.291</w:t>
            </w:r>
          </w:p>
        </w:tc>
      </w:tr>
      <w:tr w:rsidR="004563E1" w:rsidRPr="008838E5" w14:paraId="65E763FB"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3D66750D"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ep</w:t>
            </w:r>
          </w:p>
        </w:tc>
        <w:tc>
          <w:tcPr>
            <w:tcW w:w="1083" w:type="dxa"/>
          </w:tcPr>
          <w:p w14:paraId="1EA5517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&gt; 2.44</w:t>
            </w:r>
          </w:p>
        </w:tc>
        <w:tc>
          <w:tcPr>
            <w:tcW w:w="2096" w:type="dxa"/>
            <w:shd w:val="clear" w:color="auto" w:fill="auto"/>
            <w:vAlign w:val="bottom"/>
          </w:tcPr>
          <w:p w14:paraId="4732D84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0.973 (0.905-0.997)</w:t>
            </w:r>
          </w:p>
        </w:tc>
        <w:tc>
          <w:tcPr>
            <w:tcW w:w="1103" w:type="dxa"/>
            <w:shd w:val="clear" w:color="auto" w:fill="auto"/>
            <w:vAlign w:val="center"/>
          </w:tcPr>
          <w:p w14:paraId="049F454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6D3089F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0.855</w:t>
            </w:r>
          </w:p>
        </w:tc>
        <w:tc>
          <w:tcPr>
            <w:tcW w:w="711" w:type="dxa"/>
            <w:shd w:val="clear" w:color="auto" w:fill="auto"/>
            <w:vAlign w:val="center"/>
          </w:tcPr>
          <w:p w14:paraId="7A29507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0.692</w:t>
            </w:r>
          </w:p>
        </w:tc>
        <w:tc>
          <w:tcPr>
            <w:tcW w:w="820" w:type="dxa"/>
            <w:shd w:val="clear" w:color="auto" w:fill="auto"/>
            <w:vAlign w:val="center"/>
          </w:tcPr>
          <w:p w14:paraId="1E001A88"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tcPr>
          <w:p w14:paraId="0506834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&lt; 0.001</w:t>
            </w:r>
          </w:p>
        </w:tc>
      </w:tr>
      <w:tr w:rsidR="004563E1" w:rsidRPr="008838E5" w14:paraId="68E8733C"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8F3739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V</w:t>
            </w:r>
            <w:r w:rsidRPr="005B3D1B">
              <w:rPr>
                <w:rFonts w:ascii="Book Antiqua" w:hAnsi="Book Antiqua"/>
                <w:sz w:val="20"/>
                <w:vertAlign w:val="subscript"/>
              </w:rPr>
              <w:t>e</w:t>
            </w:r>
          </w:p>
        </w:tc>
        <w:tc>
          <w:tcPr>
            <w:tcW w:w="1083" w:type="dxa"/>
            <w:shd w:val="clear" w:color="auto" w:fill="auto"/>
            <w:vAlign w:val="center"/>
          </w:tcPr>
          <w:p w14:paraId="2EA5644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0.17</w:t>
            </w:r>
          </w:p>
        </w:tc>
        <w:tc>
          <w:tcPr>
            <w:tcW w:w="2096" w:type="dxa"/>
            <w:shd w:val="clear" w:color="auto" w:fill="auto"/>
            <w:vAlign w:val="bottom"/>
          </w:tcPr>
          <w:p w14:paraId="1A04F97F"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0.958 (0.883-0.991)</w:t>
            </w:r>
          </w:p>
        </w:tc>
        <w:tc>
          <w:tcPr>
            <w:tcW w:w="1103" w:type="dxa"/>
            <w:shd w:val="clear" w:color="auto" w:fill="auto"/>
            <w:vAlign w:val="center"/>
          </w:tcPr>
          <w:p w14:paraId="4BE440B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0E93CCE8"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0.909</w:t>
            </w:r>
          </w:p>
        </w:tc>
        <w:tc>
          <w:tcPr>
            <w:tcW w:w="711" w:type="dxa"/>
            <w:shd w:val="clear" w:color="auto" w:fill="auto"/>
            <w:vAlign w:val="center"/>
          </w:tcPr>
          <w:p w14:paraId="57288FA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0.783</w:t>
            </w:r>
          </w:p>
        </w:tc>
        <w:tc>
          <w:tcPr>
            <w:tcW w:w="820" w:type="dxa"/>
            <w:shd w:val="clear" w:color="auto" w:fill="auto"/>
            <w:vAlign w:val="center"/>
          </w:tcPr>
          <w:p w14:paraId="4A1B324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10640A3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7C52D7C0" w14:textId="77777777" w:rsidTr="001A0A02">
        <w:tblPrEx>
          <w:tblCellMar>
            <w:left w:w="108" w:type="dxa"/>
            <w:right w:w="108" w:type="dxa"/>
          </w:tblCellMar>
          <w:tblLook w:val="04A0" w:firstRow="1" w:lastRow="0" w:firstColumn="1" w:lastColumn="0" w:noHBand="0" w:noVBand="1"/>
        </w:tblPrEx>
        <w:tc>
          <w:tcPr>
            <w:tcW w:w="9072" w:type="dxa"/>
            <w:gridSpan w:val="8"/>
          </w:tcPr>
          <w:p w14:paraId="3899B8C9" w14:textId="77777777" w:rsidR="004563E1" w:rsidRPr="005B3D1B" w:rsidRDefault="004563E1" w:rsidP="00BC6A1C">
            <w:pPr>
              <w:spacing w:line="360" w:lineRule="auto"/>
              <w:jc w:val="both"/>
              <w:rPr>
                <w:rFonts w:ascii="Book Antiqua" w:hAnsi="Book Antiqua" w:cs="Times New Roman"/>
                <w:bCs/>
                <w:i/>
                <w:sz w:val="20"/>
              </w:rPr>
            </w:pPr>
            <w:r w:rsidRPr="005B3D1B">
              <w:rPr>
                <w:rFonts w:ascii="Book Antiqua" w:hAnsi="Book Antiqua"/>
                <w:bCs/>
                <w:i/>
                <w:sz w:val="20"/>
              </w:rPr>
              <w:t>Malignant tumors</w:t>
            </w:r>
          </w:p>
        </w:tc>
      </w:tr>
      <w:tr w:rsidR="004563E1" w:rsidRPr="008838E5" w14:paraId="2221C5AF" w14:textId="77777777" w:rsidTr="001A0A02">
        <w:tblPrEx>
          <w:tblCellMar>
            <w:left w:w="108" w:type="dxa"/>
            <w:right w:w="108" w:type="dxa"/>
          </w:tblCellMar>
          <w:tblLook w:val="04A0" w:firstRow="1" w:lastRow="0" w:firstColumn="1" w:lastColumn="0" w:noHBand="0" w:noVBand="1"/>
        </w:tblPrEx>
        <w:tc>
          <w:tcPr>
            <w:tcW w:w="1272" w:type="dxa"/>
          </w:tcPr>
          <w:p w14:paraId="112BCDB3"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ADC value</w:t>
            </w:r>
          </w:p>
        </w:tc>
        <w:tc>
          <w:tcPr>
            <w:tcW w:w="1083" w:type="dxa"/>
            <w:shd w:val="clear" w:color="auto" w:fill="auto"/>
            <w:vAlign w:val="center"/>
          </w:tcPr>
          <w:p w14:paraId="587F03B3" w14:textId="77777777" w:rsidR="004563E1" w:rsidRPr="005B3D1B" w:rsidRDefault="004563E1" w:rsidP="00BC6A1C">
            <w:pPr>
              <w:spacing w:line="360" w:lineRule="auto"/>
              <w:jc w:val="both"/>
              <w:rPr>
                <w:rFonts w:ascii="Book Antiqua" w:hAnsi="Book Antiqua" w:cs="Times New Roman"/>
                <w:color w:val="FF0000"/>
                <w:sz w:val="20"/>
              </w:rPr>
            </w:pPr>
            <w:r w:rsidRPr="005B3D1B">
              <w:rPr>
                <w:rFonts w:ascii="Book Antiqua" w:eastAsia="Times New Roman" w:hAnsi="Book Antiqua"/>
                <w:sz w:val="20"/>
              </w:rPr>
              <w:t>&gt; 0.7</w:t>
            </w:r>
          </w:p>
        </w:tc>
        <w:tc>
          <w:tcPr>
            <w:tcW w:w="2096" w:type="dxa"/>
            <w:shd w:val="clear" w:color="auto" w:fill="auto"/>
            <w:vAlign w:val="bottom"/>
          </w:tcPr>
          <w:p w14:paraId="1BBDC24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0.541 (0.420-0.658)</w:t>
            </w:r>
          </w:p>
        </w:tc>
        <w:tc>
          <w:tcPr>
            <w:tcW w:w="1103" w:type="dxa"/>
            <w:shd w:val="clear" w:color="auto" w:fill="auto"/>
            <w:vAlign w:val="center"/>
          </w:tcPr>
          <w:p w14:paraId="59D3900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0.783</w:t>
            </w:r>
          </w:p>
        </w:tc>
        <w:tc>
          <w:tcPr>
            <w:tcW w:w="1112" w:type="dxa"/>
            <w:shd w:val="clear" w:color="auto" w:fill="auto"/>
            <w:vAlign w:val="center"/>
          </w:tcPr>
          <w:p w14:paraId="24498C7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0.440</w:t>
            </w:r>
          </w:p>
        </w:tc>
        <w:tc>
          <w:tcPr>
            <w:tcW w:w="711" w:type="dxa"/>
            <w:shd w:val="clear" w:color="auto" w:fill="auto"/>
            <w:vAlign w:val="center"/>
          </w:tcPr>
          <w:p w14:paraId="349EEAA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0.391</w:t>
            </w:r>
          </w:p>
        </w:tc>
        <w:tc>
          <w:tcPr>
            <w:tcW w:w="820" w:type="dxa"/>
            <w:shd w:val="clear" w:color="auto" w:fill="auto"/>
            <w:vAlign w:val="center"/>
          </w:tcPr>
          <w:p w14:paraId="4F9DDE3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0.815</w:t>
            </w:r>
          </w:p>
        </w:tc>
        <w:tc>
          <w:tcPr>
            <w:tcW w:w="875" w:type="dxa"/>
            <w:shd w:val="clear" w:color="auto" w:fill="auto"/>
            <w:vAlign w:val="bottom"/>
          </w:tcPr>
          <w:p w14:paraId="7661D47D" w14:textId="43E02FD4"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0.569</w:t>
            </w:r>
          </w:p>
        </w:tc>
      </w:tr>
      <w:tr w:rsidR="004563E1" w:rsidRPr="008838E5" w14:paraId="69D4D17D" w14:textId="77777777" w:rsidTr="001A0A02">
        <w:tblPrEx>
          <w:tblCellMar>
            <w:left w:w="108" w:type="dxa"/>
            <w:right w:w="108" w:type="dxa"/>
          </w:tblCellMar>
          <w:tblLook w:val="04A0" w:firstRow="1" w:lastRow="0" w:firstColumn="1" w:lastColumn="0" w:noHBand="0" w:noVBand="1"/>
        </w:tblPrEx>
        <w:tc>
          <w:tcPr>
            <w:tcW w:w="1272" w:type="dxa"/>
          </w:tcPr>
          <w:p w14:paraId="04A9913C"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T</w:t>
            </w:r>
            <w:r w:rsidRPr="005B3D1B">
              <w:rPr>
                <w:rFonts w:ascii="Book Antiqua" w:hAnsi="Book Antiqua"/>
                <w:sz w:val="20"/>
                <w:vertAlign w:val="subscript"/>
              </w:rPr>
              <w:t xml:space="preserve">peak </w:t>
            </w:r>
          </w:p>
        </w:tc>
        <w:tc>
          <w:tcPr>
            <w:tcW w:w="1083" w:type="dxa"/>
            <w:shd w:val="clear" w:color="auto" w:fill="auto"/>
            <w:vAlign w:val="center"/>
          </w:tcPr>
          <w:p w14:paraId="7835694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 120 </w:t>
            </w:r>
          </w:p>
        </w:tc>
        <w:tc>
          <w:tcPr>
            <w:tcW w:w="2096" w:type="dxa"/>
            <w:shd w:val="clear" w:color="auto" w:fill="auto"/>
            <w:vAlign w:val="bottom"/>
          </w:tcPr>
          <w:p w14:paraId="3415021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0.531 (0.410-0.649)</w:t>
            </w:r>
          </w:p>
        </w:tc>
        <w:tc>
          <w:tcPr>
            <w:tcW w:w="1103" w:type="dxa"/>
            <w:shd w:val="clear" w:color="auto" w:fill="auto"/>
            <w:vAlign w:val="center"/>
          </w:tcPr>
          <w:p w14:paraId="24FE0DD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0.913</w:t>
            </w:r>
          </w:p>
        </w:tc>
        <w:tc>
          <w:tcPr>
            <w:tcW w:w="1112" w:type="dxa"/>
            <w:shd w:val="clear" w:color="auto" w:fill="auto"/>
            <w:vAlign w:val="center"/>
          </w:tcPr>
          <w:p w14:paraId="4165B0A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0.360</w:t>
            </w:r>
          </w:p>
        </w:tc>
        <w:tc>
          <w:tcPr>
            <w:tcW w:w="711" w:type="dxa"/>
            <w:shd w:val="clear" w:color="auto" w:fill="auto"/>
            <w:vAlign w:val="center"/>
          </w:tcPr>
          <w:p w14:paraId="753684F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0.396</w:t>
            </w:r>
          </w:p>
        </w:tc>
        <w:tc>
          <w:tcPr>
            <w:tcW w:w="820" w:type="dxa"/>
            <w:shd w:val="clear" w:color="auto" w:fill="auto"/>
            <w:vAlign w:val="center"/>
          </w:tcPr>
          <w:p w14:paraId="47985F4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0.900</w:t>
            </w:r>
          </w:p>
        </w:tc>
        <w:tc>
          <w:tcPr>
            <w:tcW w:w="875" w:type="dxa"/>
            <w:shd w:val="clear" w:color="auto" w:fill="auto"/>
            <w:vAlign w:val="bottom"/>
          </w:tcPr>
          <w:p w14:paraId="3B8B4B4E" w14:textId="0A97A33F" w:rsidR="004563E1" w:rsidRPr="00101F60" w:rsidRDefault="004563E1" w:rsidP="00BC6A1C">
            <w:pPr>
              <w:spacing w:line="360" w:lineRule="auto"/>
              <w:jc w:val="both"/>
              <w:rPr>
                <w:rFonts w:ascii="Book Antiqua" w:eastAsia="Times New Roman" w:hAnsi="Book Antiqua"/>
                <w:sz w:val="20"/>
              </w:rPr>
            </w:pPr>
            <w:r w:rsidRPr="005B3D1B">
              <w:rPr>
                <w:rFonts w:ascii="Book Antiqua" w:eastAsia="Times New Roman" w:hAnsi="Book Antiqua"/>
                <w:sz w:val="20"/>
              </w:rPr>
              <w:t>0.648</w:t>
            </w:r>
          </w:p>
        </w:tc>
      </w:tr>
      <w:tr w:rsidR="004563E1" w:rsidRPr="008838E5" w14:paraId="5B01EF5C" w14:textId="77777777" w:rsidTr="001A0A02">
        <w:tblPrEx>
          <w:tblCellMar>
            <w:left w:w="108" w:type="dxa"/>
            <w:right w:w="108" w:type="dxa"/>
          </w:tblCellMar>
          <w:tblLook w:val="04A0" w:firstRow="1" w:lastRow="0" w:firstColumn="1" w:lastColumn="0" w:noHBand="0" w:noVBand="1"/>
        </w:tblPrEx>
        <w:tc>
          <w:tcPr>
            <w:tcW w:w="1272" w:type="dxa"/>
          </w:tcPr>
          <w:p w14:paraId="2475A6A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 xml:space="preserve">WR </w:t>
            </w:r>
          </w:p>
        </w:tc>
        <w:tc>
          <w:tcPr>
            <w:tcW w:w="1083" w:type="dxa"/>
            <w:shd w:val="clear" w:color="auto" w:fill="auto"/>
            <w:vAlign w:val="center"/>
          </w:tcPr>
          <w:p w14:paraId="5087A412"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49</w:t>
            </w:r>
          </w:p>
        </w:tc>
        <w:tc>
          <w:tcPr>
            <w:tcW w:w="2096" w:type="dxa"/>
            <w:shd w:val="clear" w:color="auto" w:fill="auto"/>
            <w:vAlign w:val="bottom"/>
          </w:tcPr>
          <w:p w14:paraId="7EAE17F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0.562 (0.441-0.678)</w:t>
            </w:r>
          </w:p>
        </w:tc>
        <w:tc>
          <w:tcPr>
            <w:tcW w:w="1103" w:type="dxa"/>
            <w:shd w:val="clear" w:color="auto" w:fill="auto"/>
            <w:vAlign w:val="center"/>
          </w:tcPr>
          <w:p w14:paraId="77DB096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2904426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0.300</w:t>
            </w:r>
          </w:p>
        </w:tc>
        <w:tc>
          <w:tcPr>
            <w:tcW w:w="711" w:type="dxa"/>
            <w:shd w:val="clear" w:color="auto" w:fill="auto"/>
            <w:vAlign w:val="center"/>
          </w:tcPr>
          <w:p w14:paraId="23754E9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0.397</w:t>
            </w:r>
          </w:p>
        </w:tc>
        <w:tc>
          <w:tcPr>
            <w:tcW w:w="820" w:type="dxa"/>
            <w:shd w:val="clear" w:color="auto" w:fill="auto"/>
            <w:vAlign w:val="center"/>
          </w:tcPr>
          <w:p w14:paraId="66553F36"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6F66EF94" w14:textId="4DC2C3D9" w:rsidR="004563E1" w:rsidRPr="00101F60" w:rsidRDefault="004563E1" w:rsidP="005C5BF6">
            <w:pPr>
              <w:spacing w:line="360" w:lineRule="auto"/>
              <w:jc w:val="both"/>
              <w:rPr>
                <w:rFonts w:ascii="Book Antiqua" w:eastAsia="Times New Roman" w:hAnsi="Book Antiqua"/>
                <w:sz w:val="20"/>
              </w:rPr>
            </w:pPr>
            <w:r w:rsidRPr="005B3D1B">
              <w:rPr>
                <w:rFonts w:ascii="Book Antiqua" w:eastAsia="Times New Roman" w:hAnsi="Book Antiqua"/>
                <w:sz w:val="20"/>
              </w:rPr>
              <w:t>0.351</w:t>
            </w:r>
          </w:p>
        </w:tc>
      </w:tr>
      <w:tr w:rsidR="004563E1" w:rsidRPr="008838E5" w14:paraId="75F2C882"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4487A2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trans</w:t>
            </w:r>
          </w:p>
        </w:tc>
        <w:tc>
          <w:tcPr>
            <w:tcW w:w="1083" w:type="dxa"/>
            <w:shd w:val="clear" w:color="auto" w:fill="auto"/>
            <w:vAlign w:val="center"/>
          </w:tcPr>
          <w:p w14:paraId="1B83334A" w14:textId="77777777" w:rsidR="004563E1" w:rsidRPr="005B3D1B" w:rsidRDefault="004563E1" w:rsidP="00BC6A1C">
            <w:pPr>
              <w:spacing w:line="360" w:lineRule="auto"/>
              <w:jc w:val="both"/>
              <w:rPr>
                <w:rFonts w:ascii="Book Antiqua" w:hAnsi="Book Antiqua" w:cs="Times New Roman"/>
                <w:color w:val="FF0000"/>
                <w:sz w:val="20"/>
              </w:rPr>
            </w:pPr>
            <w:r w:rsidRPr="005B3D1B">
              <w:rPr>
                <w:rFonts w:ascii="Book Antiqua" w:eastAsia="Times New Roman" w:hAnsi="Book Antiqua"/>
                <w:sz w:val="20"/>
              </w:rPr>
              <w:t>&gt; 0.53</w:t>
            </w:r>
          </w:p>
        </w:tc>
        <w:tc>
          <w:tcPr>
            <w:tcW w:w="2096" w:type="dxa"/>
            <w:shd w:val="clear" w:color="auto" w:fill="auto"/>
            <w:vAlign w:val="bottom"/>
          </w:tcPr>
          <w:p w14:paraId="135360F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0.599 (0.477-0.712)</w:t>
            </w:r>
          </w:p>
        </w:tc>
        <w:tc>
          <w:tcPr>
            <w:tcW w:w="1103" w:type="dxa"/>
            <w:shd w:val="clear" w:color="auto" w:fill="auto"/>
            <w:vAlign w:val="center"/>
          </w:tcPr>
          <w:p w14:paraId="00BAED3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0.652</w:t>
            </w:r>
          </w:p>
        </w:tc>
        <w:tc>
          <w:tcPr>
            <w:tcW w:w="1112" w:type="dxa"/>
            <w:shd w:val="clear" w:color="auto" w:fill="auto"/>
            <w:vAlign w:val="center"/>
          </w:tcPr>
          <w:p w14:paraId="1E2A635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0.600</w:t>
            </w:r>
          </w:p>
        </w:tc>
        <w:tc>
          <w:tcPr>
            <w:tcW w:w="711" w:type="dxa"/>
            <w:shd w:val="clear" w:color="auto" w:fill="auto"/>
            <w:vAlign w:val="center"/>
          </w:tcPr>
          <w:p w14:paraId="5B32DC9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0.429</w:t>
            </w:r>
          </w:p>
        </w:tc>
        <w:tc>
          <w:tcPr>
            <w:tcW w:w="820" w:type="dxa"/>
            <w:shd w:val="clear" w:color="auto" w:fill="auto"/>
            <w:vAlign w:val="center"/>
          </w:tcPr>
          <w:p w14:paraId="4944C70F"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0.789</w:t>
            </w:r>
          </w:p>
        </w:tc>
        <w:tc>
          <w:tcPr>
            <w:tcW w:w="875" w:type="dxa"/>
            <w:shd w:val="clear" w:color="auto" w:fill="auto"/>
            <w:vAlign w:val="bottom"/>
          </w:tcPr>
          <w:p w14:paraId="6E956FE6" w14:textId="77777777" w:rsidR="004563E1" w:rsidRPr="00101F60" w:rsidRDefault="004563E1" w:rsidP="005C5BF6">
            <w:pPr>
              <w:spacing w:line="360" w:lineRule="auto"/>
              <w:jc w:val="both"/>
              <w:rPr>
                <w:rFonts w:ascii="Book Antiqua" w:eastAsia="Times New Roman" w:hAnsi="Book Antiqua"/>
                <w:sz w:val="20"/>
              </w:rPr>
            </w:pPr>
            <w:r w:rsidRPr="005B3D1B">
              <w:rPr>
                <w:rFonts w:ascii="Book Antiqua" w:eastAsia="Times New Roman" w:hAnsi="Book Antiqua"/>
                <w:sz w:val="20"/>
              </w:rPr>
              <w:t>0.194</w:t>
            </w:r>
          </w:p>
        </w:tc>
      </w:tr>
      <w:tr w:rsidR="004563E1" w:rsidRPr="008838E5" w14:paraId="12A3E205"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E030A1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ep</w:t>
            </w:r>
          </w:p>
        </w:tc>
        <w:tc>
          <w:tcPr>
            <w:tcW w:w="1083" w:type="dxa"/>
            <w:shd w:val="clear" w:color="auto" w:fill="auto"/>
            <w:vAlign w:val="center"/>
          </w:tcPr>
          <w:p w14:paraId="55A7706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3.7</w:t>
            </w:r>
          </w:p>
        </w:tc>
        <w:tc>
          <w:tcPr>
            <w:tcW w:w="2096" w:type="dxa"/>
            <w:vAlign w:val="bottom"/>
          </w:tcPr>
          <w:p w14:paraId="1390A52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0.592 (0.471-0.706)</w:t>
            </w:r>
          </w:p>
        </w:tc>
        <w:tc>
          <w:tcPr>
            <w:tcW w:w="1103" w:type="dxa"/>
            <w:shd w:val="clear" w:color="auto" w:fill="auto"/>
            <w:vAlign w:val="center"/>
          </w:tcPr>
          <w:p w14:paraId="2F1C41F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6A1BDCE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0.300</w:t>
            </w:r>
          </w:p>
        </w:tc>
        <w:tc>
          <w:tcPr>
            <w:tcW w:w="711" w:type="dxa"/>
            <w:shd w:val="clear" w:color="auto" w:fill="auto"/>
            <w:vAlign w:val="center"/>
          </w:tcPr>
          <w:p w14:paraId="49F55B0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0.397</w:t>
            </w:r>
          </w:p>
        </w:tc>
        <w:tc>
          <w:tcPr>
            <w:tcW w:w="820" w:type="dxa"/>
            <w:shd w:val="clear" w:color="auto" w:fill="auto"/>
            <w:vAlign w:val="center"/>
          </w:tcPr>
          <w:p w14:paraId="64B2440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tcPr>
          <w:p w14:paraId="25E9BA7C" w14:textId="77777777" w:rsidR="004563E1" w:rsidRPr="00101F60" w:rsidRDefault="004563E1" w:rsidP="00BC6A1C">
            <w:pPr>
              <w:spacing w:line="360" w:lineRule="auto"/>
              <w:jc w:val="both"/>
              <w:rPr>
                <w:rFonts w:ascii="Book Antiqua" w:eastAsia="Times New Roman" w:hAnsi="Book Antiqua"/>
                <w:sz w:val="20"/>
              </w:rPr>
            </w:pPr>
            <w:r w:rsidRPr="00101F60">
              <w:rPr>
                <w:rFonts w:ascii="Book Antiqua" w:eastAsia="Times New Roman" w:hAnsi="Book Antiqua"/>
                <w:sz w:val="20"/>
              </w:rPr>
              <w:t>0.160</w:t>
            </w:r>
          </w:p>
        </w:tc>
      </w:tr>
      <w:tr w:rsidR="004563E1" w:rsidRPr="008838E5" w14:paraId="38962F0E" w14:textId="77777777" w:rsidTr="001A0A02">
        <w:tblPrEx>
          <w:tblCellMar>
            <w:left w:w="108" w:type="dxa"/>
            <w:right w:w="108" w:type="dxa"/>
          </w:tblCellMar>
          <w:tblLook w:val="04A0" w:firstRow="1" w:lastRow="0" w:firstColumn="1" w:lastColumn="0" w:noHBand="0" w:noVBand="1"/>
        </w:tblPrEx>
        <w:tc>
          <w:tcPr>
            <w:tcW w:w="1272" w:type="dxa"/>
            <w:tcBorders>
              <w:bottom w:val="single" w:sz="4" w:space="0" w:color="auto"/>
            </w:tcBorders>
            <w:shd w:val="clear" w:color="auto" w:fill="auto"/>
            <w:vAlign w:val="center"/>
          </w:tcPr>
          <w:p w14:paraId="34228B6C"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V</w:t>
            </w:r>
            <w:r w:rsidRPr="005B3D1B">
              <w:rPr>
                <w:rFonts w:ascii="Book Antiqua" w:hAnsi="Book Antiqua"/>
                <w:sz w:val="20"/>
                <w:vertAlign w:val="subscript"/>
              </w:rPr>
              <w:t>e</w:t>
            </w:r>
          </w:p>
        </w:tc>
        <w:tc>
          <w:tcPr>
            <w:tcW w:w="1083" w:type="dxa"/>
            <w:tcBorders>
              <w:bottom w:val="single" w:sz="4" w:space="0" w:color="auto"/>
            </w:tcBorders>
            <w:shd w:val="clear" w:color="auto" w:fill="auto"/>
            <w:vAlign w:val="center"/>
          </w:tcPr>
          <w:p w14:paraId="2C4B6B27" w14:textId="77777777" w:rsidR="004563E1" w:rsidRPr="005B3D1B" w:rsidRDefault="004563E1" w:rsidP="00BC6A1C">
            <w:pPr>
              <w:spacing w:line="360" w:lineRule="auto"/>
              <w:jc w:val="both"/>
              <w:rPr>
                <w:rFonts w:ascii="Book Antiqua" w:hAnsi="Book Antiqua" w:cs="Times New Roman"/>
                <w:color w:val="FF0000"/>
                <w:sz w:val="20"/>
              </w:rPr>
            </w:pPr>
            <w:r w:rsidRPr="005B3D1B">
              <w:rPr>
                <w:rFonts w:ascii="Book Antiqua" w:eastAsia="Times New Roman" w:hAnsi="Book Antiqua"/>
                <w:sz w:val="20"/>
              </w:rPr>
              <w:t>&gt; 0.35</w:t>
            </w:r>
          </w:p>
        </w:tc>
        <w:tc>
          <w:tcPr>
            <w:tcW w:w="2096" w:type="dxa"/>
            <w:tcBorders>
              <w:bottom w:val="single" w:sz="4" w:space="0" w:color="auto"/>
            </w:tcBorders>
            <w:shd w:val="clear" w:color="auto" w:fill="auto"/>
            <w:vAlign w:val="bottom"/>
          </w:tcPr>
          <w:p w14:paraId="645A847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0.702 (0.584-0.804)</w:t>
            </w:r>
          </w:p>
        </w:tc>
        <w:tc>
          <w:tcPr>
            <w:tcW w:w="1103" w:type="dxa"/>
            <w:tcBorders>
              <w:bottom w:val="single" w:sz="4" w:space="0" w:color="auto"/>
            </w:tcBorders>
            <w:shd w:val="clear" w:color="auto" w:fill="auto"/>
            <w:vAlign w:val="center"/>
          </w:tcPr>
          <w:p w14:paraId="7F99C0F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0.696</w:t>
            </w:r>
          </w:p>
        </w:tc>
        <w:tc>
          <w:tcPr>
            <w:tcW w:w="1112" w:type="dxa"/>
            <w:tcBorders>
              <w:bottom w:val="single" w:sz="4" w:space="0" w:color="auto"/>
            </w:tcBorders>
            <w:shd w:val="clear" w:color="auto" w:fill="auto"/>
            <w:vAlign w:val="center"/>
          </w:tcPr>
          <w:p w14:paraId="488DCDB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0.660</w:t>
            </w:r>
          </w:p>
        </w:tc>
        <w:tc>
          <w:tcPr>
            <w:tcW w:w="711" w:type="dxa"/>
            <w:tcBorders>
              <w:bottom w:val="single" w:sz="4" w:space="0" w:color="auto"/>
            </w:tcBorders>
            <w:shd w:val="clear" w:color="auto" w:fill="auto"/>
            <w:vAlign w:val="center"/>
          </w:tcPr>
          <w:p w14:paraId="03194EE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0.485</w:t>
            </w:r>
          </w:p>
        </w:tc>
        <w:tc>
          <w:tcPr>
            <w:tcW w:w="820" w:type="dxa"/>
            <w:tcBorders>
              <w:bottom w:val="single" w:sz="4" w:space="0" w:color="auto"/>
            </w:tcBorders>
            <w:shd w:val="clear" w:color="auto" w:fill="auto"/>
            <w:vAlign w:val="center"/>
          </w:tcPr>
          <w:p w14:paraId="7CF5C07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0.825</w:t>
            </w:r>
          </w:p>
        </w:tc>
        <w:tc>
          <w:tcPr>
            <w:tcW w:w="875" w:type="dxa"/>
            <w:tcBorders>
              <w:bottom w:val="single" w:sz="4" w:space="0" w:color="auto"/>
            </w:tcBorders>
            <w:shd w:val="clear" w:color="auto" w:fill="auto"/>
            <w:vAlign w:val="bottom"/>
          </w:tcPr>
          <w:p w14:paraId="7AE4DA43" w14:textId="77777777" w:rsidR="004563E1" w:rsidRPr="00101F60" w:rsidRDefault="004563E1" w:rsidP="00BC6A1C">
            <w:pPr>
              <w:spacing w:line="360" w:lineRule="auto"/>
              <w:jc w:val="both"/>
              <w:rPr>
                <w:rFonts w:ascii="Book Antiqua" w:eastAsia="Times New Roman" w:hAnsi="Book Antiqua"/>
                <w:sz w:val="20"/>
              </w:rPr>
            </w:pPr>
            <w:r w:rsidRPr="005B3D1B">
              <w:rPr>
                <w:rFonts w:ascii="Book Antiqua" w:eastAsia="Times New Roman" w:hAnsi="Book Antiqua"/>
                <w:sz w:val="20"/>
              </w:rPr>
              <w:t>0.001</w:t>
            </w:r>
          </w:p>
        </w:tc>
      </w:tr>
    </w:tbl>
    <w:p w14:paraId="1414359C" w14:textId="7EBC1285" w:rsidR="00A22093" w:rsidRDefault="004563E1" w:rsidP="00BC6A1C">
      <w:pPr>
        <w:spacing w:line="360" w:lineRule="auto"/>
        <w:jc w:val="both"/>
        <w:rPr>
          <w:rFonts w:ascii="Book Antiqua" w:eastAsia="Book Antiqua" w:hAnsi="Book Antiqua" w:cs="Book Antiqua"/>
          <w:color w:val="000000"/>
        </w:rPr>
      </w:pPr>
      <w:r w:rsidRPr="00BC6A1C">
        <w:rPr>
          <w:rFonts w:ascii="Book Antiqua" w:eastAsiaTheme="minorHAnsi" w:hAnsi="Book Antiqua"/>
          <w:bCs/>
          <w:color w:val="000000" w:themeColor="text1"/>
        </w:rPr>
        <w:t>ADC</w:t>
      </w:r>
      <w:r w:rsidRPr="00BC6A1C">
        <w:rPr>
          <w:rFonts w:ascii="Book Antiqua" w:hAnsi="Book Antiqua"/>
          <w:bCs/>
          <w:color w:val="000000" w:themeColor="text1"/>
        </w:rPr>
        <w:t xml:space="preserve"> (×</w:t>
      </w:r>
      <w:r w:rsidR="007B1A91" w:rsidRPr="00BC6A1C">
        <w:rPr>
          <w:rFonts w:ascii="Book Antiqua" w:hAnsi="Book Antiqua"/>
          <w:bCs/>
          <w:color w:val="000000" w:themeColor="text1"/>
        </w:rPr>
        <w:t xml:space="preserve"> </w:t>
      </w:r>
      <w:r w:rsidRPr="00BC6A1C">
        <w:rPr>
          <w:rFonts w:ascii="Book Antiqua" w:hAnsi="Book Antiqua"/>
          <w:bCs/>
          <w:color w:val="000000" w:themeColor="text1"/>
        </w:rPr>
        <w:t>10</w:t>
      </w:r>
      <w:r w:rsidRPr="00BC6A1C">
        <w:rPr>
          <w:rFonts w:ascii="Book Antiqua" w:hAnsi="Book Antiqua"/>
          <w:bCs/>
          <w:color w:val="000000" w:themeColor="text1"/>
          <w:vertAlign w:val="superscript"/>
        </w:rPr>
        <w:t>−3</w:t>
      </w:r>
      <w:r w:rsidRPr="00BC6A1C">
        <w:rPr>
          <w:rFonts w:ascii="Book Antiqua" w:hAnsi="Book Antiqua"/>
          <w:bCs/>
          <w:color w:val="000000" w:themeColor="text1"/>
        </w:rPr>
        <w:t xml:space="preserve"> mm</w:t>
      </w:r>
      <w:r w:rsidRPr="00BC6A1C">
        <w:rPr>
          <w:rFonts w:ascii="Book Antiqua" w:hAnsi="Book Antiqua"/>
          <w:bCs/>
          <w:color w:val="000000" w:themeColor="text1"/>
          <w:vertAlign w:val="superscript"/>
        </w:rPr>
        <w:t>2</w:t>
      </w:r>
      <w:r w:rsidRPr="00BC6A1C">
        <w:rPr>
          <w:rFonts w:ascii="Book Antiqua" w:hAnsi="Book Antiqua"/>
          <w:bCs/>
          <w:color w:val="000000" w:themeColor="text1"/>
        </w:rPr>
        <w:t>/s)</w:t>
      </w:r>
      <w:r w:rsidRPr="00BC6A1C">
        <w:rPr>
          <w:rFonts w:ascii="Book Antiqua" w:eastAsia="Times New Roman" w:hAnsi="Book Antiqua"/>
          <w:color w:val="000000" w:themeColor="text1"/>
        </w:rPr>
        <w:t xml:space="preserve">: Apparent diffusion coefficient; </w:t>
      </w:r>
      <w:r w:rsidRPr="00BC6A1C">
        <w:rPr>
          <w:rFonts w:ascii="Book Antiqua" w:eastAsiaTheme="minorHAnsi" w:hAnsi="Book Antiqua"/>
          <w:color w:val="000000" w:themeColor="text1"/>
        </w:rPr>
        <w:t>T</w:t>
      </w:r>
      <w:r w:rsidRPr="00BC6A1C">
        <w:rPr>
          <w:rFonts w:ascii="Book Antiqua" w:eastAsiaTheme="minorHAnsi" w:hAnsi="Book Antiqua"/>
          <w:color w:val="000000" w:themeColor="text1"/>
          <w:vertAlign w:val="subscript"/>
        </w:rPr>
        <w:t>peak</w:t>
      </w:r>
      <w:r w:rsidRPr="00BC6A1C">
        <w:rPr>
          <w:rFonts w:ascii="Book Antiqua" w:eastAsiaTheme="minorHAnsi" w:hAnsi="Book Antiqua"/>
          <w:color w:val="000000" w:themeColor="text1"/>
        </w:rPr>
        <w:t xml:space="preserve"> (s): Time to peak; </w:t>
      </w:r>
      <w:r w:rsidRPr="00BC6A1C">
        <w:rPr>
          <w:rFonts w:ascii="Book Antiqua" w:eastAsia="Times New Roman" w:hAnsi="Book Antiqua"/>
          <w:color w:val="000000" w:themeColor="text1"/>
        </w:rPr>
        <w:t>K</w:t>
      </w:r>
      <w:r w:rsidRPr="00BC6A1C">
        <w:rPr>
          <w:rFonts w:ascii="Book Antiqua" w:eastAsia="Times New Roman" w:hAnsi="Book Antiqua"/>
          <w:color w:val="000000" w:themeColor="text1"/>
          <w:vertAlign w:val="subscript"/>
        </w:rPr>
        <w:t xml:space="preserve">trans </w:t>
      </w:r>
      <w:r w:rsidRPr="00BC6A1C">
        <w:rPr>
          <w:rFonts w:ascii="Book Antiqua" w:hAnsi="Book Antiqua"/>
          <w:bCs/>
          <w:color w:val="000000" w:themeColor="text1"/>
        </w:rPr>
        <w:t>(min</w:t>
      </w:r>
      <w:r w:rsidRPr="00BC6A1C">
        <w:rPr>
          <w:rFonts w:ascii="Book Antiqua" w:hAnsi="Book Antiqua"/>
          <w:bCs/>
          <w:color w:val="000000" w:themeColor="text1"/>
          <w:vertAlign w:val="superscript"/>
        </w:rPr>
        <w:t>−1</w:t>
      </w:r>
      <w:r w:rsidRPr="00BC6A1C">
        <w:rPr>
          <w:rFonts w:ascii="Book Antiqua" w:hAnsi="Book Antiqua"/>
          <w:bCs/>
          <w:color w:val="000000" w:themeColor="text1"/>
        </w:rPr>
        <w:t>)</w:t>
      </w:r>
      <w:r w:rsidRPr="00BC6A1C">
        <w:rPr>
          <w:rFonts w:ascii="Book Antiqua" w:eastAsia="Times New Roman" w:hAnsi="Book Antiqua"/>
          <w:color w:val="000000" w:themeColor="text1"/>
        </w:rPr>
        <w:t xml:space="preserve">: Volume transfer constant between blood plasma and </w:t>
      </w:r>
      <w:r w:rsidR="00F84BAF">
        <w:rPr>
          <w:rFonts w:ascii="Book Antiqua" w:eastAsia="Times New Roman" w:hAnsi="Book Antiqua"/>
          <w:color w:val="000000" w:themeColor="text1"/>
        </w:rPr>
        <w:t xml:space="preserve">the </w:t>
      </w:r>
      <w:r w:rsidRPr="00BC6A1C">
        <w:rPr>
          <w:rFonts w:ascii="Book Antiqua" w:eastAsia="Times New Roman" w:hAnsi="Book Antiqua"/>
          <w:color w:val="000000" w:themeColor="text1"/>
        </w:rPr>
        <w:t>extracellular extravascular space; K</w:t>
      </w:r>
      <w:r w:rsidRPr="00BC6A1C">
        <w:rPr>
          <w:rFonts w:ascii="Book Antiqua" w:eastAsia="Times New Roman" w:hAnsi="Book Antiqua"/>
          <w:color w:val="000000" w:themeColor="text1"/>
          <w:vertAlign w:val="subscript"/>
        </w:rPr>
        <w:t xml:space="preserve">ep </w:t>
      </w:r>
      <w:r w:rsidRPr="00BC6A1C">
        <w:rPr>
          <w:rFonts w:ascii="Book Antiqua" w:hAnsi="Book Antiqua"/>
          <w:bCs/>
          <w:color w:val="000000" w:themeColor="text1"/>
        </w:rPr>
        <w:t>(min</w:t>
      </w:r>
      <w:r w:rsidRPr="00BC6A1C">
        <w:rPr>
          <w:rFonts w:ascii="Book Antiqua" w:hAnsi="Book Antiqua"/>
          <w:bCs/>
          <w:color w:val="000000" w:themeColor="text1"/>
          <w:vertAlign w:val="superscript"/>
        </w:rPr>
        <w:t>−1</w:t>
      </w:r>
      <w:r w:rsidRPr="00BC6A1C">
        <w:rPr>
          <w:rFonts w:ascii="Book Antiqua" w:hAnsi="Book Antiqua"/>
          <w:bCs/>
          <w:color w:val="000000" w:themeColor="text1"/>
        </w:rPr>
        <w:t>)</w:t>
      </w:r>
      <w:r w:rsidRPr="00BC6A1C">
        <w:rPr>
          <w:rFonts w:ascii="Book Antiqua" w:eastAsia="Times New Roman" w:hAnsi="Book Antiqua"/>
          <w:color w:val="000000" w:themeColor="text1"/>
        </w:rPr>
        <w:t>: Flux rate constant between the EES and plasma; V</w:t>
      </w:r>
      <w:r w:rsidRPr="00BC6A1C">
        <w:rPr>
          <w:rFonts w:ascii="Book Antiqua" w:eastAsia="Times New Roman" w:hAnsi="Book Antiqua"/>
          <w:color w:val="000000" w:themeColor="text1"/>
          <w:vertAlign w:val="subscript"/>
        </w:rPr>
        <w:t>e</w:t>
      </w:r>
      <w:r w:rsidRPr="00BC6A1C">
        <w:rPr>
          <w:rFonts w:ascii="Book Antiqua" w:eastAsia="Times New Roman" w:hAnsi="Book Antiqua"/>
          <w:color w:val="000000" w:themeColor="text1"/>
        </w:rPr>
        <w:t xml:space="preserve">: EES fractional volume; </w:t>
      </w:r>
      <w:r w:rsidRPr="00BC6A1C">
        <w:rPr>
          <w:rFonts w:ascii="Book Antiqua" w:eastAsiaTheme="minorHAnsi" w:hAnsi="Book Antiqua"/>
          <w:color w:val="000000" w:themeColor="text1"/>
        </w:rPr>
        <w:t xml:space="preserve">AUC: Area under the ROC curve; </w:t>
      </w:r>
      <w:r w:rsidRPr="00BC6A1C">
        <w:rPr>
          <w:rFonts w:ascii="Book Antiqua" w:eastAsiaTheme="minorHAnsi" w:hAnsi="Book Antiqua"/>
          <w:color w:val="000000" w:themeColor="text1"/>
          <w:lang w:val="tr-TR"/>
        </w:rPr>
        <w:t xml:space="preserve">CI: Confidence interval; </w:t>
      </w:r>
      <w:r w:rsidRPr="00BC6A1C">
        <w:rPr>
          <w:rFonts w:ascii="Book Antiqua" w:eastAsiaTheme="minorHAnsi" w:hAnsi="Book Antiqua"/>
          <w:color w:val="000000" w:themeColor="text1"/>
        </w:rPr>
        <w:t>PPV: Positive predictive value; NPV: Negative predicti</w:t>
      </w:r>
      <w:r w:rsidR="007B1A91" w:rsidRPr="00BC6A1C">
        <w:rPr>
          <w:rFonts w:ascii="Book Antiqua" w:eastAsiaTheme="minorHAnsi" w:hAnsi="Book Antiqua"/>
          <w:color w:val="000000" w:themeColor="text1"/>
        </w:rPr>
        <w:t xml:space="preserve">ve value; WR (%): Washout ratio; </w:t>
      </w:r>
      <w:r w:rsidR="007B1A91" w:rsidRPr="00BC6A1C">
        <w:rPr>
          <w:rFonts w:ascii="Book Antiqua" w:eastAsia="Times New Roman" w:hAnsi="Book Antiqua"/>
          <w:color w:val="000000" w:themeColor="text1"/>
        </w:rPr>
        <w:t>EES: E</w:t>
      </w:r>
      <w:r w:rsidR="007B1A91" w:rsidRPr="00BC6A1C">
        <w:rPr>
          <w:rFonts w:ascii="Book Antiqua" w:eastAsia="Book Antiqua" w:hAnsi="Book Antiqua" w:cs="Book Antiqua"/>
          <w:color w:val="000000"/>
        </w:rPr>
        <w:t>xtracellular extravascular space.</w:t>
      </w:r>
    </w:p>
    <w:p w14:paraId="23FA65A6" w14:textId="77777777" w:rsidR="00A22093" w:rsidRPr="006D4EDA" w:rsidRDefault="00A22093" w:rsidP="00A22093">
      <w:pPr>
        <w:snapToGrid w:val="0"/>
        <w:ind w:leftChars="100" w:left="240"/>
        <w:jc w:val="center"/>
        <w:rPr>
          <w:rFonts w:ascii="Book Antiqua" w:hAnsi="Book Antiqua"/>
        </w:rPr>
      </w:pPr>
    </w:p>
    <w:p w14:paraId="581A4468" w14:textId="77777777" w:rsidR="00A22093" w:rsidRPr="006D4EDA" w:rsidRDefault="00A22093" w:rsidP="00A22093">
      <w:pPr>
        <w:snapToGrid w:val="0"/>
        <w:ind w:leftChars="100" w:left="240"/>
        <w:jc w:val="center"/>
        <w:rPr>
          <w:rFonts w:ascii="Book Antiqua" w:hAnsi="Book Antiqua"/>
        </w:rPr>
      </w:pPr>
    </w:p>
    <w:p w14:paraId="02BF1EFB" w14:textId="77777777" w:rsidR="00A22093" w:rsidRPr="006D4EDA" w:rsidRDefault="00A22093" w:rsidP="00A22093">
      <w:pPr>
        <w:snapToGrid w:val="0"/>
        <w:ind w:leftChars="100" w:left="240"/>
        <w:jc w:val="center"/>
        <w:rPr>
          <w:rFonts w:ascii="Book Antiqua" w:hAnsi="Book Antiqua"/>
        </w:rPr>
      </w:pPr>
    </w:p>
    <w:p w14:paraId="79142473" w14:textId="77777777" w:rsidR="00A22093" w:rsidRPr="006D4EDA" w:rsidRDefault="00A22093" w:rsidP="00A22093">
      <w:pPr>
        <w:snapToGrid w:val="0"/>
        <w:ind w:leftChars="100" w:left="240"/>
        <w:jc w:val="center"/>
        <w:rPr>
          <w:rFonts w:ascii="Book Antiqua" w:hAnsi="Book Antiqua"/>
        </w:rPr>
      </w:pPr>
    </w:p>
    <w:p w14:paraId="14C7427F" w14:textId="77777777" w:rsidR="00A22093" w:rsidRPr="006D4EDA" w:rsidRDefault="00A22093" w:rsidP="00A22093">
      <w:pPr>
        <w:snapToGrid w:val="0"/>
        <w:ind w:leftChars="100" w:left="240"/>
        <w:jc w:val="center"/>
        <w:rPr>
          <w:rFonts w:ascii="Book Antiqua" w:hAnsi="Book Antiqua"/>
        </w:rPr>
      </w:pPr>
      <w:r w:rsidRPr="006D4EDA">
        <w:rPr>
          <w:rFonts w:ascii="Book Antiqua" w:hAnsi="Book Antiqua"/>
          <w:noProof/>
        </w:rPr>
        <w:drawing>
          <wp:inline distT="0" distB="0" distL="0" distR="0" wp14:anchorId="499BB159" wp14:editId="74EF894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B4ED023" w14:textId="77777777" w:rsidR="00A22093" w:rsidRPr="006D4EDA" w:rsidRDefault="00A22093" w:rsidP="00A22093">
      <w:pPr>
        <w:snapToGrid w:val="0"/>
        <w:ind w:leftChars="100" w:left="240"/>
        <w:jc w:val="center"/>
        <w:rPr>
          <w:rFonts w:ascii="Book Antiqua" w:hAnsi="Book Antiqua"/>
        </w:rPr>
      </w:pPr>
    </w:p>
    <w:p w14:paraId="5993ABED" w14:textId="77777777" w:rsidR="00A22093" w:rsidRPr="006D4EDA" w:rsidRDefault="00A22093" w:rsidP="00A22093">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11377B71" w14:textId="77777777" w:rsidR="00A22093" w:rsidRPr="006D4EDA" w:rsidRDefault="00A22093" w:rsidP="00A2209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18875773" w14:textId="77777777" w:rsidR="00A22093" w:rsidRPr="006D4EDA" w:rsidRDefault="00A22093" w:rsidP="00A22093">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B328F80" w14:textId="77777777" w:rsidR="00A22093" w:rsidRPr="006D4EDA" w:rsidRDefault="00A22093" w:rsidP="00A2209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7DB7E83B" w14:textId="77777777" w:rsidR="00A22093" w:rsidRPr="006D4EDA" w:rsidRDefault="00A22093" w:rsidP="00A22093">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3550B42" w14:textId="77777777" w:rsidR="00A22093" w:rsidRPr="006D4EDA" w:rsidRDefault="00A22093" w:rsidP="00A22093">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09DA523" w14:textId="77777777" w:rsidR="00A22093" w:rsidRPr="006D4EDA" w:rsidRDefault="00A22093" w:rsidP="00A22093">
      <w:pPr>
        <w:snapToGrid w:val="0"/>
        <w:ind w:leftChars="100" w:left="240"/>
        <w:jc w:val="center"/>
        <w:rPr>
          <w:rFonts w:ascii="Book Antiqua" w:hAnsi="Book Antiqua"/>
        </w:rPr>
      </w:pPr>
    </w:p>
    <w:p w14:paraId="7AD51876" w14:textId="77777777" w:rsidR="00A22093" w:rsidRPr="006D4EDA" w:rsidRDefault="00A22093" w:rsidP="00A22093">
      <w:pPr>
        <w:snapToGrid w:val="0"/>
        <w:ind w:leftChars="100" w:left="240"/>
        <w:jc w:val="center"/>
        <w:rPr>
          <w:rFonts w:ascii="Book Antiqua" w:hAnsi="Book Antiqua"/>
        </w:rPr>
      </w:pPr>
    </w:p>
    <w:p w14:paraId="5C186485" w14:textId="77777777" w:rsidR="00A22093" w:rsidRPr="006D4EDA" w:rsidRDefault="00A22093" w:rsidP="00A22093">
      <w:pPr>
        <w:snapToGrid w:val="0"/>
        <w:ind w:leftChars="100" w:left="240"/>
        <w:jc w:val="center"/>
        <w:rPr>
          <w:rFonts w:ascii="Book Antiqua" w:hAnsi="Book Antiqua"/>
        </w:rPr>
      </w:pPr>
    </w:p>
    <w:p w14:paraId="2ED533AF" w14:textId="77777777" w:rsidR="00A22093" w:rsidRPr="006D4EDA" w:rsidRDefault="00A22093" w:rsidP="00A22093">
      <w:pPr>
        <w:snapToGrid w:val="0"/>
        <w:ind w:leftChars="100" w:left="240"/>
        <w:jc w:val="center"/>
        <w:rPr>
          <w:rFonts w:ascii="Book Antiqua" w:hAnsi="Book Antiqua"/>
        </w:rPr>
      </w:pPr>
      <w:r w:rsidRPr="006D4EDA">
        <w:rPr>
          <w:rFonts w:ascii="Book Antiqua" w:hAnsi="Book Antiqua"/>
          <w:noProof/>
        </w:rPr>
        <w:drawing>
          <wp:inline distT="0" distB="0" distL="0" distR="0" wp14:anchorId="24737DB5" wp14:editId="7DAA52B4">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42C9398" w14:textId="77777777" w:rsidR="00A22093" w:rsidRPr="006D4EDA" w:rsidRDefault="00A22093" w:rsidP="00A22093">
      <w:pPr>
        <w:snapToGrid w:val="0"/>
        <w:ind w:leftChars="100" w:left="240"/>
        <w:jc w:val="center"/>
        <w:rPr>
          <w:rFonts w:ascii="Book Antiqua" w:hAnsi="Book Antiqua"/>
        </w:rPr>
      </w:pPr>
    </w:p>
    <w:p w14:paraId="7D2711F2" w14:textId="77777777" w:rsidR="00A22093" w:rsidRPr="006D4EDA" w:rsidRDefault="00A22093" w:rsidP="00A22093">
      <w:pPr>
        <w:snapToGrid w:val="0"/>
        <w:ind w:leftChars="100" w:left="240"/>
        <w:jc w:val="center"/>
        <w:rPr>
          <w:rFonts w:ascii="Book Antiqua" w:hAnsi="Book Antiqua"/>
        </w:rPr>
      </w:pPr>
    </w:p>
    <w:p w14:paraId="5EE8680C" w14:textId="77777777" w:rsidR="00A22093" w:rsidRPr="006D4EDA" w:rsidRDefault="00A22093" w:rsidP="00A22093">
      <w:pPr>
        <w:snapToGrid w:val="0"/>
        <w:ind w:leftChars="100" w:left="240"/>
        <w:jc w:val="center"/>
        <w:rPr>
          <w:rFonts w:ascii="Book Antiqua" w:hAnsi="Book Antiqua"/>
        </w:rPr>
      </w:pPr>
    </w:p>
    <w:p w14:paraId="14EC8D5F" w14:textId="77777777" w:rsidR="00A22093" w:rsidRPr="006D4EDA" w:rsidRDefault="00A22093" w:rsidP="00A22093">
      <w:pPr>
        <w:snapToGrid w:val="0"/>
        <w:ind w:leftChars="100" w:left="240"/>
        <w:jc w:val="center"/>
        <w:rPr>
          <w:rFonts w:ascii="Book Antiqua" w:hAnsi="Book Antiqua"/>
        </w:rPr>
      </w:pPr>
    </w:p>
    <w:p w14:paraId="51F83666" w14:textId="77777777" w:rsidR="00A22093" w:rsidRPr="006D4EDA" w:rsidRDefault="00A22093" w:rsidP="00A22093">
      <w:pPr>
        <w:snapToGrid w:val="0"/>
        <w:ind w:leftChars="100" w:left="240"/>
        <w:jc w:val="center"/>
        <w:rPr>
          <w:rFonts w:ascii="Book Antiqua" w:hAnsi="Book Antiqua"/>
        </w:rPr>
      </w:pPr>
    </w:p>
    <w:p w14:paraId="3A4BCC6F" w14:textId="77777777" w:rsidR="00A22093" w:rsidRPr="006D4EDA" w:rsidRDefault="00A22093" w:rsidP="00A22093">
      <w:pPr>
        <w:snapToGrid w:val="0"/>
        <w:ind w:leftChars="100" w:left="240"/>
        <w:jc w:val="center"/>
        <w:rPr>
          <w:rFonts w:ascii="Book Antiqua" w:hAnsi="Book Antiqua"/>
        </w:rPr>
      </w:pPr>
    </w:p>
    <w:p w14:paraId="08EE8EF3" w14:textId="77777777" w:rsidR="00A22093" w:rsidRPr="006D4EDA" w:rsidRDefault="00A22093" w:rsidP="00A22093">
      <w:pPr>
        <w:snapToGrid w:val="0"/>
        <w:ind w:leftChars="100" w:left="240"/>
        <w:jc w:val="center"/>
        <w:rPr>
          <w:rFonts w:ascii="Book Antiqua" w:hAnsi="Book Antiqua"/>
        </w:rPr>
      </w:pPr>
    </w:p>
    <w:p w14:paraId="42EEC4D6" w14:textId="77777777" w:rsidR="00A22093" w:rsidRPr="006D4EDA" w:rsidRDefault="00A22093" w:rsidP="00A22093">
      <w:pPr>
        <w:snapToGrid w:val="0"/>
        <w:ind w:leftChars="100" w:left="240"/>
        <w:jc w:val="center"/>
        <w:rPr>
          <w:rFonts w:ascii="Book Antiqua" w:hAnsi="Book Antiqua"/>
        </w:rPr>
      </w:pPr>
    </w:p>
    <w:p w14:paraId="5D02274C" w14:textId="77777777" w:rsidR="00A22093" w:rsidRPr="006D4EDA" w:rsidRDefault="00A22093" w:rsidP="00A22093">
      <w:pPr>
        <w:snapToGrid w:val="0"/>
        <w:ind w:leftChars="100" w:left="240"/>
        <w:jc w:val="center"/>
        <w:rPr>
          <w:rFonts w:ascii="Book Antiqua" w:hAnsi="Book Antiqua"/>
        </w:rPr>
      </w:pPr>
    </w:p>
    <w:p w14:paraId="36AA7B7B" w14:textId="77777777" w:rsidR="00A22093" w:rsidRPr="006D4EDA" w:rsidRDefault="00A22093" w:rsidP="00A22093">
      <w:pPr>
        <w:snapToGrid w:val="0"/>
        <w:ind w:leftChars="100" w:left="240"/>
        <w:jc w:val="right"/>
        <w:rPr>
          <w:rFonts w:ascii="Book Antiqua" w:hAnsi="Book Antiqua"/>
          <w:color w:val="000000" w:themeColor="text1"/>
        </w:rPr>
      </w:pPr>
    </w:p>
    <w:p w14:paraId="454FF49A" w14:textId="77777777" w:rsidR="00A22093" w:rsidRPr="006D4EDA" w:rsidRDefault="00A22093" w:rsidP="00A22093">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27678666" w14:textId="77777777" w:rsidR="00A22093" w:rsidRPr="006D4EDA" w:rsidRDefault="00A22093" w:rsidP="00A22093">
      <w:pPr>
        <w:rPr>
          <w:rFonts w:ascii="Book Antiqua" w:hAnsi="Book Antiqua" w:cs="Book Antiqua"/>
          <w:b/>
          <w:bCs/>
          <w:color w:val="000000"/>
        </w:rPr>
      </w:pPr>
    </w:p>
    <w:p w14:paraId="101F833D" w14:textId="77777777" w:rsidR="00A22093" w:rsidRPr="00A22093" w:rsidRDefault="00A22093" w:rsidP="00BC6A1C">
      <w:pPr>
        <w:spacing w:line="360" w:lineRule="auto"/>
        <w:jc w:val="both"/>
        <w:rPr>
          <w:rFonts w:ascii="Book Antiqua" w:eastAsia="Book Antiqua" w:hAnsi="Book Antiqua" w:cs="Book Antiqua"/>
          <w:color w:val="000000"/>
        </w:rPr>
      </w:pPr>
    </w:p>
    <w:sectPr w:rsidR="00A22093" w:rsidRPr="00A220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90A3A" w14:textId="77777777" w:rsidR="00CE33EF" w:rsidRDefault="00CE33EF" w:rsidP="00741BE2">
      <w:r>
        <w:separator/>
      </w:r>
    </w:p>
  </w:endnote>
  <w:endnote w:type="continuationSeparator" w:id="0">
    <w:p w14:paraId="156AD22F" w14:textId="77777777" w:rsidR="00CE33EF" w:rsidRDefault="00CE33EF" w:rsidP="0074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896484"/>
      <w:docPartObj>
        <w:docPartGallery w:val="Page Numbers (Bottom of Page)"/>
        <w:docPartUnique/>
      </w:docPartObj>
    </w:sdtPr>
    <w:sdtContent>
      <w:sdt>
        <w:sdtPr>
          <w:id w:val="-1769616900"/>
          <w:docPartObj>
            <w:docPartGallery w:val="Page Numbers (Top of Page)"/>
            <w:docPartUnique/>
          </w:docPartObj>
        </w:sdtPr>
        <w:sdtContent>
          <w:p w14:paraId="63FAE637" w14:textId="28863F97" w:rsidR="00474C21" w:rsidRDefault="00474C2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B0479">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B0479">
              <w:rPr>
                <w:b/>
                <w:bCs/>
                <w:noProof/>
              </w:rPr>
              <w:t>30</w:t>
            </w:r>
            <w:r>
              <w:rPr>
                <w:b/>
                <w:bCs/>
                <w:sz w:val="24"/>
                <w:szCs w:val="24"/>
              </w:rPr>
              <w:fldChar w:fldCharType="end"/>
            </w:r>
          </w:p>
        </w:sdtContent>
      </w:sdt>
    </w:sdtContent>
  </w:sdt>
  <w:p w14:paraId="2B5EC1FE" w14:textId="77777777" w:rsidR="00474C21" w:rsidRDefault="00474C2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9FFA5" w14:textId="77777777" w:rsidR="00CE33EF" w:rsidRDefault="00CE33EF" w:rsidP="00741BE2">
      <w:r>
        <w:separator/>
      </w:r>
    </w:p>
  </w:footnote>
  <w:footnote w:type="continuationSeparator" w:id="0">
    <w:p w14:paraId="57EB3ED4" w14:textId="77777777" w:rsidR="00CE33EF" w:rsidRDefault="00CE33EF" w:rsidP="00741B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72C"/>
    <w:rsid w:val="00002AD7"/>
    <w:rsid w:val="00010275"/>
    <w:rsid w:val="000411C6"/>
    <w:rsid w:val="000452CE"/>
    <w:rsid w:val="000647D3"/>
    <w:rsid w:val="00066038"/>
    <w:rsid w:val="00090EB5"/>
    <w:rsid w:val="00093654"/>
    <w:rsid w:val="00097AB1"/>
    <w:rsid w:val="000A127C"/>
    <w:rsid w:val="000A68DF"/>
    <w:rsid w:val="000B7014"/>
    <w:rsid w:val="000C3C9F"/>
    <w:rsid w:val="000D1ED1"/>
    <w:rsid w:val="000D2352"/>
    <w:rsid w:val="000E62C1"/>
    <w:rsid w:val="001006ED"/>
    <w:rsid w:val="0010099D"/>
    <w:rsid w:val="00101F60"/>
    <w:rsid w:val="001024AC"/>
    <w:rsid w:val="00122913"/>
    <w:rsid w:val="001423F7"/>
    <w:rsid w:val="00162F05"/>
    <w:rsid w:val="00167E2C"/>
    <w:rsid w:val="00180F9E"/>
    <w:rsid w:val="00193D0F"/>
    <w:rsid w:val="001A0A02"/>
    <w:rsid w:val="001C1167"/>
    <w:rsid w:val="001D3F6C"/>
    <w:rsid w:val="001D6DD8"/>
    <w:rsid w:val="001E4E94"/>
    <w:rsid w:val="001F25DB"/>
    <w:rsid w:val="001F2E7C"/>
    <w:rsid w:val="00210E89"/>
    <w:rsid w:val="002527A3"/>
    <w:rsid w:val="00264786"/>
    <w:rsid w:val="00273610"/>
    <w:rsid w:val="00296CDE"/>
    <w:rsid w:val="002B4E41"/>
    <w:rsid w:val="002C7689"/>
    <w:rsid w:val="003031E7"/>
    <w:rsid w:val="00303C0B"/>
    <w:rsid w:val="00312733"/>
    <w:rsid w:val="00336D50"/>
    <w:rsid w:val="0034339F"/>
    <w:rsid w:val="0034569A"/>
    <w:rsid w:val="00370DAD"/>
    <w:rsid w:val="0037554A"/>
    <w:rsid w:val="003833C4"/>
    <w:rsid w:val="00387577"/>
    <w:rsid w:val="003978AB"/>
    <w:rsid w:val="003A24EF"/>
    <w:rsid w:val="003A2B53"/>
    <w:rsid w:val="003B648F"/>
    <w:rsid w:val="003F6AAE"/>
    <w:rsid w:val="00415E94"/>
    <w:rsid w:val="00427012"/>
    <w:rsid w:val="00431472"/>
    <w:rsid w:val="00431F18"/>
    <w:rsid w:val="004563E1"/>
    <w:rsid w:val="00474C21"/>
    <w:rsid w:val="00483299"/>
    <w:rsid w:val="0049680D"/>
    <w:rsid w:val="004A3DCE"/>
    <w:rsid w:val="004A7D36"/>
    <w:rsid w:val="004C3F77"/>
    <w:rsid w:val="004D369D"/>
    <w:rsid w:val="004D65AE"/>
    <w:rsid w:val="004E1CF1"/>
    <w:rsid w:val="00512E85"/>
    <w:rsid w:val="00513033"/>
    <w:rsid w:val="005230CB"/>
    <w:rsid w:val="00526052"/>
    <w:rsid w:val="005421C2"/>
    <w:rsid w:val="00545588"/>
    <w:rsid w:val="005502B0"/>
    <w:rsid w:val="0055066E"/>
    <w:rsid w:val="00560E43"/>
    <w:rsid w:val="005678B5"/>
    <w:rsid w:val="00571122"/>
    <w:rsid w:val="00593EDD"/>
    <w:rsid w:val="005B0479"/>
    <w:rsid w:val="005B1DDD"/>
    <w:rsid w:val="005B3D1B"/>
    <w:rsid w:val="005C5BF6"/>
    <w:rsid w:val="005D0954"/>
    <w:rsid w:val="005D3EB7"/>
    <w:rsid w:val="005F5DC3"/>
    <w:rsid w:val="00606BB7"/>
    <w:rsid w:val="0061741D"/>
    <w:rsid w:val="00623385"/>
    <w:rsid w:val="00646766"/>
    <w:rsid w:val="00677694"/>
    <w:rsid w:val="00681330"/>
    <w:rsid w:val="00685620"/>
    <w:rsid w:val="006B31E1"/>
    <w:rsid w:val="006D071E"/>
    <w:rsid w:val="006D52BC"/>
    <w:rsid w:val="006E4220"/>
    <w:rsid w:val="00701AE3"/>
    <w:rsid w:val="00707ABB"/>
    <w:rsid w:val="00720F79"/>
    <w:rsid w:val="00736370"/>
    <w:rsid w:val="00736CB6"/>
    <w:rsid w:val="00740B11"/>
    <w:rsid w:val="00741BE2"/>
    <w:rsid w:val="007459CA"/>
    <w:rsid w:val="00753690"/>
    <w:rsid w:val="00754210"/>
    <w:rsid w:val="007A2412"/>
    <w:rsid w:val="007B0AFE"/>
    <w:rsid w:val="007B1A91"/>
    <w:rsid w:val="0080138A"/>
    <w:rsid w:val="00812359"/>
    <w:rsid w:val="00835290"/>
    <w:rsid w:val="008479DD"/>
    <w:rsid w:val="00853FD4"/>
    <w:rsid w:val="008704BA"/>
    <w:rsid w:val="00870D46"/>
    <w:rsid w:val="008838E5"/>
    <w:rsid w:val="00891B32"/>
    <w:rsid w:val="0089675F"/>
    <w:rsid w:val="008A7877"/>
    <w:rsid w:val="008B5DD6"/>
    <w:rsid w:val="008C7585"/>
    <w:rsid w:val="008D36C2"/>
    <w:rsid w:val="008D6745"/>
    <w:rsid w:val="008E0EE7"/>
    <w:rsid w:val="008E3EB5"/>
    <w:rsid w:val="008F3022"/>
    <w:rsid w:val="00911924"/>
    <w:rsid w:val="00930581"/>
    <w:rsid w:val="00957546"/>
    <w:rsid w:val="00957E20"/>
    <w:rsid w:val="00987792"/>
    <w:rsid w:val="009D4C79"/>
    <w:rsid w:val="009D6806"/>
    <w:rsid w:val="009E7025"/>
    <w:rsid w:val="00A04B2A"/>
    <w:rsid w:val="00A11EE4"/>
    <w:rsid w:val="00A210B8"/>
    <w:rsid w:val="00A21713"/>
    <w:rsid w:val="00A22093"/>
    <w:rsid w:val="00A23EFE"/>
    <w:rsid w:val="00A3328E"/>
    <w:rsid w:val="00A4223F"/>
    <w:rsid w:val="00A444DE"/>
    <w:rsid w:val="00A547AC"/>
    <w:rsid w:val="00A77B3E"/>
    <w:rsid w:val="00A95048"/>
    <w:rsid w:val="00AB087E"/>
    <w:rsid w:val="00AB4072"/>
    <w:rsid w:val="00AC0849"/>
    <w:rsid w:val="00AE1823"/>
    <w:rsid w:val="00AF1F00"/>
    <w:rsid w:val="00B1584D"/>
    <w:rsid w:val="00B2307F"/>
    <w:rsid w:val="00B2619A"/>
    <w:rsid w:val="00B31E70"/>
    <w:rsid w:val="00B343CA"/>
    <w:rsid w:val="00B3617C"/>
    <w:rsid w:val="00B41185"/>
    <w:rsid w:val="00B477D4"/>
    <w:rsid w:val="00B51B52"/>
    <w:rsid w:val="00B52E50"/>
    <w:rsid w:val="00B54A94"/>
    <w:rsid w:val="00B707F5"/>
    <w:rsid w:val="00B835DF"/>
    <w:rsid w:val="00B918B5"/>
    <w:rsid w:val="00B97494"/>
    <w:rsid w:val="00BC6A1C"/>
    <w:rsid w:val="00BD4E3C"/>
    <w:rsid w:val="00BE0349"/>
    <w:rsid w:val="00BE7DCF"/>
    <w:rsid w:val="00C0395A"/>
    <w:rsid w:val="00C20FBF"/>
    <w:rsid w:val="00C32D02"/>
    <w:rsid w:val="00C37C20"/>
    <w:rsid w:val="00C47F0E"/>
    <w:rsid w:val="00C55332"/>
    <w:rsid w:val="00C60693"/>
    <w:rsid w:val="00C942FF"/>
    <w:rsid w:val="00CA2A55"/>
    <w:rsid w:val="00CA5736"/>
    <w:rsid w:val="00CA6C72"/>
    <w:rsid w:val="00CB47F0"/>
    <w:rsid w:val="00CC4059"/>
    <w:rsid w:val="00CE33EF"/>
    <w:rsid w:val="00D11A2B"/>
    <w:rsid w:val="00D17DB0"/>
    <w:rsid w:val="00D256A8"/>
    <w:rsid w:val="00D258F2"/>
    <w:rsid w:val="00D268A9"/>
    <w:rsid w:val="00D412F4"/>
    <w:rsid w:val="00D9538E"/>
    <w:rsid w:val="00DB049A"/>
    <w:rsid w:val="00DB5C88"/>
    <w:rsid w:val="00DD0814"/>
    <w:rsid w:val="00DD4BD1"/>
    <w:rsid w:val="00DF01E2"/>
    <w:rsid w:val="00DF37CE"/>
    <w:rsid w:val="00E106E3"/>
    <w:rsid w:val="00E109C3"/>
    <w:rsid w:val="00E167C6"/>
    <w:rsid w:val="00E354A9"/>
    <w:rsid w:val="00E547ED"/>
    <w:rsid w:val="00E54AC2"/>
    <w:rsid w:val="00E7563A"/>
    <w:rsid w:val="00E75E06"/>
    <w:rsid w:val="00E80009"/>
    <w:rsid w:val="00E925B6"/>
    <w:rsid w:val="00E95BCE"/>
    <w:rsid w:val="00ED0B46"/>
    <w:rsid w:val="00ED0CCE"/>
    <w:rsid w:val="00ED42BF"/>
    <w:rsid w:val="00EF2497"/>
    <w:rsid w:val="00EF2EA8"/>
    <w:rsid w:val="00EF6FEB"/>
    <w:rsid w:val="00F028A0"/>
    <w:rsid w:val="00F122F3"/>
    <w:rsid w:val="00F372BF"/>
    <w:rsid w:val="00F46D6A"/>
    <w:rsid w:val="00F502FB"/>
    <w:rsid w:val="00F84BAF"/>
    <w:rsid w:val="00F850C7"/>
    <w:rsid w:val="00FB0938"/>
    <w:rsid w:val="00FC1AD3"/>
    <w:rsid w:val="00FC31F2"/>
    <w:rsid w:val="00FD1D01"/>
    <w:rsid w:val="00FF2E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05FC2"/>
  <w15:docId w15:val="{C1DBA572-44AB-42F5-A3AD-C382404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oKlavuzu2">
    <w:name w:val="Tablo Kılavuzu2"/>
    <w:basedOn w:val="a1"/>
    <w:next w:val="a3"/>
    <w:uiPriority w:val="39"/>
    <w:rsid w:val="004563E1"/>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456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41BE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41BE2"/>
    <w:rPr>
      <w:sz w:val="18"/>
      <w:szCs w:val="18"/>
    </w:rPr>
  </w:style>
  <w:style w:type="paragraph" w:styleId="a6">
    <w:name w:val="footer"/>
    <w:basedOn w:val="a"/>
    <w:link w:val="a7"/>
    <w:uiPriority w:val="99"/>
    <w:unhideWhenUsed/>
    <w:rsid w:val="00741BE2"/>
    <w:pPr>
      <w:tabs>
        <w:tab w:val="center" w:pos="4153"/>
        <w:tab w:val="right" w:pos="8306"/>
      </w:tabs>
      <w:snapToGrid w:val="0"/>
    </w:pPr>
    <w:rPr>
      <w:sz w:val="18"/>
      <w:szCs w:val="18"/>
    </w:rPr>
  </w:style>
  <w:style w:type="character" w:customStyle="1" w:styleId="a7">
    <w:name w:val="页脚 字符"/>
    <w:basedOn w:val="a0"/>
    <w:link w:val="a6"/>
    <w:uiPriority w:val="99"/>
    <w:rsid w:val="00741BE2"/>
    <w:rPr>
      <w:sz w:val="18"/>
      <w:szCs w:val="18"/>
    </w:rPr>
  </w:style>
  <w:style w:type="character" w:styleId="a8">
    <w:name w:val="annotation reference"/>
    <w:basedOn w:val="a0"/>
    <w:semiHidden/>
    <w:unhideWhenUsed/>
    <w:rsid w:val="00E54AC2"/>
    <w:rPr>
      <w:sz w:val="21"/>
      <w:szCs w:val="21"/>
    </w:rPr>
  </w:style>
  <w:style w:type="paragraph" w:styleId="a9">
    <w:name w:val="annotation text"/>
    <w:basedOn w:val="a"/>
    <w:link w:val="aa"/>
    <w:semiHidden/>
    <w:unhideWhenUsed/>
    <w:rsid w:val="00E54AC2"/>
  </w:style>
  <w:style w:type="character" w:customStyle="1" w:styleId="aa">
    <w:name w:val="批注文字 字符"/>
    <w:basedOn w:val="a0"/>
    <w:link w:val="a9"/>
    <w:semiHidden/>
    <w:rsid w:val="00E54AC2"/>
    <w:rPr>
      <w:sz w:val="24"/>
      <w:szCs w:val="24"/>
    </w:rPr>
  </w:style>
  <w:style w:type="paragraph" w:styleId="ab">
    <w:name w:val="annotation subject"/>
    <w:basedOn w:val="a9"/>
    <w:next w:val="a9"/>
    <w:link w:val="ac"/>
    <w:semiHidden/>
    <w:unhideWhenUsed/>
    <w:rsid w:val="00E54AC2"/>
    <w:rPr>
      <w:b/>
      <w:bCs/>
    </w:rPr>
  </w:style>
  <w:style w:type="character" w:customStyle="1" w:styleId="ac">
    <w:name w:val="批注主题 字符"/>
    <w:basedOn w:val="aa"/>
    <w:link w:val="ab"/>
    <w:semiHidden/>
    <w:rsid w:val="00E54AC2"/>
    <w:rPr>
      <w:b/>
      <w:bCs/>
      <w:sz w:val="24"/>
      <w:szCs w:val="24"/>
    </w:rPr>
  </w:style>
  <w:style w:type="paragraph" w:styleId="ad">
    <w:name w:val="Balloon Text"/>
    <w:basedOn w:val="a"/>
    <w:link w:val="ae"/>
    <w:semiHidden/>
    <w:unhideWhenUsed/>
    <w:rsid w:val="00E54AC2"/>
    <w:rPr>
      <w:sz w:val="18"/>
      <w:szCs w:val="18"/>
    </w:rPr>
  </w:style>
  <w:style w:type="character" w:customStyle="1" w:styleId="ae">
    <w:name w:val="批注框文本 字符"/>
    <w:basedOn w:val="a0"/>
    <w:link w:val="ad"/>
    <w:semiHidden/>
    <w:rsid w:val="00E54AC2"/>
    <w:rPr>
      <w:sz w:val="18"/>
      <w:szCs w:val="18"/>
    </w:rPr>
  </w:style>
  <w:style w:type="paragraph" w:styleId="af">
    <w:name w:val="Revision"/>
    <w:hidden/>
    <w:uiPriority w:val="99"/>
    <w:semiHidden/>
    <w:rsid w:val="00193D0F"/>
    <w:rPr>
      <w:sz w:val="24"/>
      <w:szCs w:val="24"/>
    </w:rPr>
  </w:style>
  <w:style w:type="character" w:styleId="af0">
    <w:name w:val="Hyperlink"/>
    <w:basedOn w:val="a0"/>
    <w:unhideWhenUsed/>
    <w:rsid w:val="004D369D"/>
    <w:rPr>
      <w:color w:val="0000FF" w:themeColor="hyperlink"/>
      <w:u w:val="single"/>
    </w:rPr>
  </w:style>
  <w:style w:type="character" w:styleId="af1">
    <w:name w:val="Unresolved Mention"/>
    <w:basedOn w:val="a0"/>
    <w:uiPriority w:val="99"/>
    <w:semiHidden/>
    <w:unhideWhenUsed/>
    <w:rsid w:val="004D3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09A51-4712-4A84-93E0-F5394FD2C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32</Pages>
  <Words>6958</Words>
  <Characters>39665</Characters>
  <Application>Microsoft Office Word</Application>
  <DocSecurity>0</DocSecurity>
  <Lines>330</Lines>
  <Paragraphs>93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46530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 </cp:lastModifiedBy>
  <cp:revision>24</cp:revision>
  <dcterms:created xsi:type="dcterms:W3CDTF">2022-12-29T12:58:00Z</dcterms:created>
  <dcterms:modified xsi:type="dcterms:W3CDTF">2023-01-17T03:14:00Z</dcterms:modified>
</cp:coreProperties>
</file>