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319F4" w14:textId="21DA65AA"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hAnsi="Book Antiqua"/>
          <w:b/>
          <w:color w:val="auto"/>
          <w:szCs w:val="24"/>
        </w:rPr>
      </w:pPr>
      <w:bookmarkStart w:id="0" w:name="_GoBack"/>
      <w:r w:rsidRPr="00411A55">
        <w:rPr>
          <w:rFonts w:ascii="Book Antiqua" w:hAnsi="Book Antiqua"/>
          <w:b/>
          <w:color w:val="auto"/>
          <w:szCs w:val="24"/>
        </w:rPr>
        <w:t xml:space="preserve">Name of the </w:t>
      </w:r>
      <w:r w:rsidR="00450DE3" w:rsidRPr="00411A55">
        <w:rPr>
          <w:rFonts w:ascii="Book Antiqua" w:hAnsi="Book Antiqua"/>
          <w:b/>
          <w:color w:val="auto"/>
          <w:szCs w:val="24"/>
        </w:rPr>
        <w:t>Journal</w:t>
      </w:r>
      <w:r w:rsidRPr="00411A55">
        <w:rPr>
          <w:rFonts w:ascii="Book Antiqua" w:hAnsi="Book Antiqua"/>
          <w:b/>
          <w:color w:val="auto"/>
          <w:szCs w:val="24"/>
        </w:rPr>
        <w:t>:</w:t>
      </w:r>
      <w:r w:rsidRPr="00411A55">
        <w:rPr>
          <w:rFonts w:ascii="Book Antiqua" w:hAnsi="Book Antiqua"/>
          <w:b/>
          <w:i/>
          <w:color w:val="auto"/>
          <w:szCs w:val="24"/>
        </w:rPr>
        <w:t xml:space="preserve"> World Journal of Cardiology</w:t>
      </w:r>
    </w:p>
    <w:p w14:paraId="7CD78013" w14:textId="720CF42D" w:rsidR="00110C9A" w:rsidRPr="00411A55" w:rsidRDefault="00450DE3"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eastAsia="宋体" w:hAnsi="Book Antiqua"/>
          <w:b/>
          <w:color w:val="auto"/>
          <w:szCs w:val="24"/>
          <w:lang w:eastAsia="zh-CN"/>
        </w:rPr>
      </w:pPr>
      <w:r w:rsidRPr="00411A55">
        <w:rPr>
          <w:rFonts w:ascii="Book Antiqua" w:hAnsi="Book Antiqua"/>
          <w:b/>
          <w:color w:val="auto"/>
          <w:szCs w:val="24"/>
        </w:rPr>
        <w:t>Manuscript NO:</w:t>
      </w:r>
      <w:r w:rsidR="00110C9A" w:rsidRPr="00411A55">
        <w:rPr>
          <w:rFonts w:ascii="Book Antiqua" w:hAnsi="Book Antiqua"/>
          <w:b/>
          <w:color w:val="auto"/>
          <w:szCs w:val="24"/>
        </w:rPr>
        <w:t xml:space="preserve"> </w:t>
      </w:r>
      <w:r w:rsidRPr="00411A55">
        <w:rPr>
          <w:rFonts w:ascii="Book Antiqua" w:eastAsia="宋体" w:hAnsi="Book Antiqua"/>
          <w:b/>
          <w:color w:val="auto"/>
          <w:szCs w:val="24"/>
          <w:lang w:eastAsia="zh-CN"/>
        </w:rPr>
        <w:t>41197</w:t>
      </w:r>
    </w:p>
    <w:p w14:paraId="72596251" w14:textId="26666836"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eastAsia="宋体" w:hAnsi="Book Antiqua"/>
          <w:b/>
          <w:color w:val="auto"/>
          <w:szCs w:val="24"/>
          <w:lang w:eastAsia="zh-CN"/>
        </w:rPr>
      </w:pPr>
      <w:r w:rsidRPr="00411A55">
        <w:rPr>
          <w:rFonts w:ascii="Book Antiqua" w:hAnsi="Book Antiqua"/>
          <w:b/>
          <w:color w:val="auto"/>
          <w:szCs w:val="24"/>
        </w:rPr>
        <w:t xml:space="preserve">Manuscript Type: </w:t>
      </w:r>
      <w:r w:rsidR="00450DE3" w:rsidRPr="00411A55">
        <w:rPr>
          <w:rFonts w:ascii="Book Antiqua" w:hAnsi="Book Antiqua"/>
          <w:b/>
          <w:color w:val="auto"/>
          <w:szCs w:val="24"/>
        </w:rPr>
        <w:t>MINIREVIEW</w:t>
      </w:r>
      <w:r w:rsidR="00450DE3" w:rsidRPr="00411A55">
        <w:rPr>
          <w:rFonts w:ascii="Book Antiqua" w:eastAsia="宋体" w:hAnsi="Book Antiqua"/>
          <w:b/>
          <w:color w:val="auto"/>
          <w:szCs w:val="24"/>
          <w:lang w:eastAsia="zh-CN"/>
        </w:rPr>
        <w:t>S</w:t>
      </w:r>
    </w:p>
    <w:p w14:paraId="6A1DC2B9" w14:textId="77777777"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hAnsi="Book Antiqua"/>
          <w:color w:val="auto"/>
          <w:szCs w:val="24"/>
        </w:rPr>
      </w:pPr>
    </w:p>
    <w:p w14:paraId="12C41272" w14:textId="77777777"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eastAsia="宋体" w:hAnsi="Book Antiqua"/>
          <w:b/>
          <w:color w:val="auto"/>
          <w:szCs w:val="24"/>
          <w:lang w:eastAsia="zh-CN"/>
        </w:rPr>
      </w:pPr>
      <w:r w:rsidRPr="00411A55">
        <w:rPr>
          <w:rFonts w:ascii="Book Antiqua" w:hAnsi="Book Antiqua"/>
          <w:b/>
          <w:color w:val="auto"/>
          <w:szCs w:val="24"/>
        </w:rPr>
        <w:t>Current evidence of drug-elution therapy for infrapopliteal arterial disease</w:t>
      </w:r>
    </w:p>
    <w:p w14:paraId="1CDABD66" w14:textId="77777777" w:rsidR="00450DE3" w:rsidRPr="00411A55" w:rsidRDefault="00450DE3"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eastAsia="宋体" w:hAnsi="Book Antiqua"/>
          <w:color w:val="auto"/>
          <w:szCs w:val="24"/>
          <w:lang w:eastAsia="zh-CN"/>
        </w:rPr>
      </w:pPr>
    </w:p>
    <w:p w14:paraId="07044DB9" w14:textId="2F08AA70"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hAnsi="Book Antiqua"/>
          <w:color w:val="auto"/>
          <w:szCs w:val="24"/>
        </w:rPr>
      </w:pPr>
      <w:r w:rsidRPr="00411A55">
        <w:rPr>
          <w:rFonts w:ascii="Book Antiqua" w:hAnsi="Book Antiqua"/>
          <w:color w:val="auto"/>
          <w:szCs w:val="24"/>
        </w:rPr>
        <w:t xml:space="preserve">Spiliopoulos </w:t>
      </w:r>
      <w:r w:rsidR="00411A55" w:rsidRPr="00411A55">
        <w:rPr>
          <w:rFonts w:ascii="Book Antiqua" w:eastAsia="宋体" w:hAnsi="Book Antiqua"/>
          <w:color w:val="auto"/>
          <w:szCs w:val="24"/>
          <w:lang w:eastAsia="zh-CN"/>
        </w:rPr>
        <w:t>S</w:t>
      </w:r>
      <w:r w:rsidR="00411A55" w:rsidRPr="00411A55">
        <w:rPr>
          <w:rFonts w:ascii="Book Antiqua" w:eastAsia="宋体" w:hAnsi="Book Antiqua"/>
          <w:i/>
          <w:color w:val="auto"/>
          <w:szCs w:val="24"/>
          <w:lang w:eastAsia="zh-CN"/>
        </w:rPr>
        <w:t xml:space="preserve"> </w:t>
      </w:r>
      <w:r w:rsidRPr="00411A55">
        <w:rPr>
          <w:rFonts w:ascii="Book Antiqua" w:hAnsi="Book Antiqua"/>
          <w:i/>
          <w:color w:val="auto"/>
          <w:szCs w:val="24"/>
        </w:rPr>
        <w:t>et al</w:t>
      </w:r>
      <w:r w:rsidRPr="00411A55">
        <w:rPr>
          <w:rFonts w:ascii="Book Antiqua" w:hAnsi="Book Antiqua"/>
          <w:color w:val="auto"/>
          <w:szCs w:val="24"/>
        </w:rPr>
        <w:t xml:space="preserve">. Infrapopliteal drug-elution devices </w:t>
      </w:r>
    </w:p>
    <w:p w14:paraId="4B266F6C" w14:textId="77777777"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hAnsi="Book Antiqua"/>
          <w:color w:val="auto"/>
          <w:szCs w:val="24"/>
        </w:rPr>
      </w:pPr>
    </w:p>
    <w:p w14:paraId="1C8D6B70" w14:textId="0EA0A7EE"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eastAsia="宋体" w:hAnsi="Book Antiqua"/>
          <w:color w:val="auto"/>
          <w:szCs w:val="24"/>
          <w:lang w:eastAsia="zh-CN"/>
        </w:rPr>
      </w:pPr>
      <w:r w:rsidRPr="00411A55">
        <w:rPr>
          <w:rFonts w:ascii="Book Antiqua" w:hAnsi="Book Antiqua"/>
          <w:color w:val="auto"/>
          <w:szCs w:val="24"/>
        </w:rPr>
        <w:t>Stavros Spiliopoulos, Nikiforos Vasiniotis Kamarinos, Elias Brountzos</w:t>
      </w:r>
    </w:p>
    <w:p w14:paraId="54D5B8CD" w14:textId="77777777" w:rsidR="00411A55" w:rsidRPr="00411A55" w:rsidRDefault="00411A55"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eastAsia="宋体" w:hAnsi="Book Antiqua"/>
          <w:color w:val="auto"/>
          <w:szCs w:val="24"/>
          <w:lang w:eastAsia="zh-CN"/>
        </w:rPr>
      </w:pPr>
    </w:p>
    <w:p w14:paraId="785F5C0F" w14:textId="271A341A" w:rsidR="00110C9A" w:rsidRPr="00411A55" w:rsidRDefault="00411A55"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eastAsia="宋体" w:hAnsi="Book Antiqua"/>
          <w:b/>
          <w:color w:val="auto"/>
          <w:szCs w:val="24"/>
          <w:lang w:eastAsia="zh-CN"/>
        </w:rPr>
      </w:pPr>
      <w:r w:rsidRPr="00411A55">
        <w:rPr>
          <w:rFonts w:ascii="Book Antiqua" w:hAnsi="Book Antiqua"/>
          <w:b/>
          <w:color w:val="auto"/>
          <w:szCs w:val="24"/>
        </w:rPr>
        <w:t>Stavros Spiliopoulos, Nikiforos Vasiniotis Kamarinos, Elias Brountzos</w:t>
      </w:r>
      <w:r w:rsidRPr="00411A55">
        <w:rPr>
          <w:rFonts w:ascii="Book Antiqua" w:eastAsia="宋体" w:hAnsi="Book Antiqua"/>
          <w:b/>
          <w:color w:val="auto"/>
          <w:szCs w:val="24"/>
          <w:lang w:eastAsia="zh-CN"/>
        </w:rPr>
        <w:t xml:space="preserve">, </w:t>
      </w:r>
      <w:r w:rsidR="00110C9A" w:rsidRPr="00411A55">
        <w:rPr>
          <w:rFonts w:ascii="Book Antiqua" w:hAnsi="Book Antiqua"/>
          <w:color w:val="auto"/>
          <w:szCs w:val="24"/>
        </w:rPr>
        <w:t>2</w:t>
      </w:r>
      <w:r w:rsidR="00110C9A" w:rsidRPr="00411A55">
        <w:rPr>
          <w:rFonts w:ascii="Book Antiqua" w:hAnsi="Book Antiqua"/>
          <w:color w:val="auto"/>
          <w:szCs w:val="24"/>
          <w:vertAlign w:val="superscript"/>
        </w:rPr>
        <w:t>nd</w:t>
      </w:r>
      <w:r w:rsidR="00110C9A" w:rsidRPr="00411A55">
        <w:rPr>
          <w:rFonts w:ascii="Book Antiqua" w:hAnsi="Book Antiqua"/>
          <w:color w:val="auto"/>
          <w:szCs w:val="24"/>
        </w:rPr>
        <w:t xml:space="preserve"> Radiology Department, Interventional Radiology Unit, University of Athens, Attikon University G</w:t>
      </w:r>
      <w:r w:rsidRPr="00411A55">
        <w:rPr>
          <w:rFonts w:ascii="Book Antiqua" w:hAnsi="Book Antiqua"/>
          <w:color w:val="auto"/>
          <w:szCs w:val="24"/>
        </w:rPr>
        <w:t>eneral Hospital, Athens</w:t>
      </w:r>
      <w:r w:rsidRPr="00411A55">
        <w:rPr>
          <w:rFonts w:ascii="Book Antiqua" w:eastAsia="宋体" w:hAnsi="Book Antiqua"/>
          <w:color w:val="auto"/>
          <w:szCs w:val="24"/>
          <w:lang w:eastAsia="zh-CN"/>
        </w:rPr>
        <w:t xml:space="preserve"> 12461</w:t>
      </w:r>
      <w:r w:rsidRPr="00411A55">
        <w:rPr>
          <w:rFonts w:ascii="Book Antiqua" w:hAnsi="Book Antiqua"/>
          <w:color w:val="auto"/>
          <w:szCs w:val="24"/>
        </w:rPr>
        <w:t>, Greece</w:t>
      </w:r>
    </w:p>
    <w:p w14:paraId="7D5BAA60" w14:textId="77777777"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eastAsia="宋体" w:hAnsi="Book Antiqua"/>
          <w:color w:val="auto"/>
          <w:szCs w:val="24"/>
          <w:lang w:eastAsia="zh-CN"/>
        </w:rPr>
      </w:pPr>
    </w:p>
    <w:p w14:paraId="55A27D74" w14:textId="0CB1A70A" w:rsidR="00411A55" w:rsidRPr="00411A55" w:rsidRDefault="00411A55"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eastAsia="宋体" w:hAnsi="Book Antiqua"/>
          <w:color w:val="auto"/>
          <w:szCs w:val="24"/>
          <w:lang w:eastAsia="zh-CN"/>
        </w:rPr>
      </w:pPr>
      <w:r w:rsidRPr="00411A55">
        <w:rPr>
          <w:rFonts w:ascii="Book Antiqua" w:hAnsi="Book Antiqua"/>
          <w:b/>
          <w:color w:val="auto"/>
          <w:szCs w:val="24"/>
        </w:rPr>
        <w:t>ORCID number:</w:t>
      </w:r>
      <w:r w:rsidRPr="00411A55">
        <w:rPr>
          <w:rFonts w:ascii="Book Antiqua" w:hAnsi="Book Antiqua"/>
          <w:color w:val="auto"/>
          <w:szCs w:val="24"/>
        </w:rPr>
        <w:t xml:space="preserve"> Stavros Spiliopoulos</w:t>
      </w:r>
      <w:r w:rsidRPr="00411A55">
        <w:rPr>
          <w:rFonts w:ascii="Book Antiqua" w:eastAsia="宋体" w:hAnsi="Book Antiqua"/>
          <w:color w:val="auto"/>
          <w:szCs w:val="24"/>
          <w:lang w:eastAsia="zh-CN"/>
        </w:rPr>
        <w:t xml:space="preserve"> (</w:t>
      </w:r>
      <w:r w:rsidRPr="00132BC2">
        <w:rPr>
          <w:rFonts w:ascii="Book Antiqua" w:hAnsi="Book Antiqua"/>
          <w:szCs w:val="24"/>
        </w:rPr>
        <w:t>0000-0003-1860-0568</w:t>
      </w:r>
      <w:r w:rsidRPr="00411A55">
        <w:rPr>
          <w:rFonts w:ascii="Book Antiqua" w:eastAsia="宋体" w:hAnsi="Book Antiqua"/>
          <w:color w:val="auto"/>
          <w:szCs w:val="24"/>
          <w:lang w:eastAsia="zh-CN"/>
        </w:rPr>
        <w:t>);</w:t>
      </w:r>
      <w:r w:rsidRPr="00411A55">
        <w:rPr>
          <w:rFonts w:ascii="Book Antiqua" w:hAnsi="Book Antiqua"/>
          <w:color w:val="auto"/>
          <w:szCs w:val="24"/>
        </w:rPr>
        <w:t xml:space="preserve"> Nikiforos Vasiniotis Kamarinos</w:t>
      </w:r>
      <w:r w:rsidRPr="00411A55">
        <w:rPr>
          <w:rFonts w:ascii="Book Antiqua" w:eastAsia="宋体" w:hAnsi="Book Antiqua"/>
          <w:color w:val="auto"/>
          <w:szCs w:val="24"/>
          <w:lang w:eastAsia="zh-CN"/>
        </w:rPr>
        <w:t xml:space="preserve"> (</w:t>
      </w:r>
      <w:r w:rsidRPr="00132BC2">
        <w:rPr>
          <w:rFonts w:ascii="Book Antiqua" w:hAnsi="Book Antiqua"/>
          <w:szCs w:val="24"/>
        </w:rPr>
        <w:t>0000-0002-1162-1270</w:t>
      </w:r>
      <w:r w:rsidRPr="00411A55">
        <w:rPr>
          <w:rFonts w:ascii="Book Antiqua" w:eastAsia="宋体" w:hAnsi="Book Antiqua"/>
          <w:color w:val="auto"/>
          <w:szCs w:val="24"/>
          <w:lang w:eastAsia="zh-CN"/>
        </w:rPr>
        <w:t>);</w:t>
      </w:r>
      <w:r w:rsidRPr="00411A55">
        <w:rPr>
          <w:rFonts w:ascii="Book Antiqua" w:hAnsi="Book Antiqua"/>
          <w:color w:val="auto"/>
          <w:szCs w:val="24"/>
        </w:rPr>
        <w:t xml:space="preserve"> Elias Brountzos</w:t>
      </w:r>
      <w:r w:rsidRPr="00411A55">
        <w:rPr>
          <w:rFonts w:ascii="Book Antiqua" w:eastAsia="宋体" w:hAnsi="Book Antiqua"/>
          <w:color w:val="auto"/>
          <w:szCs w:val="24"/>
          <w:lang w:eastAsia="zh-CN"/>
        </w:rPr>
        <w:t xml:space="preserve"> (</w:t>
      </w:r>
      <w:r w:rsidRPr="00132BC2">
        <w:rPr>
          <w:rFonts w:ascii="Book Antiqua" w:hAnsi="Book Antiqua"/>
          <w:szCs w:val="24"/>
        </w:rPr>
        <w:t>0000-0002-7504-2016</w:t>
      </w:r>
      <w:r w:rsidRPr="00411A55">
        <w:rPr>
          <w:rFonts w:ascii="Book Antiqua" w:eastAsia="宋体" w:hAnsi="Book Antiqua"/>
          <w:color w:val="auto"/>
          <w:szCs w:val="24"/>
          <w:lang w:eastAsia="zh-CN"/>
        </w:rPr>
        <w:t>).</w:t>
      </w:r>
    </w:p>
    <w:p w14:paraId="2AD3A8A4" w14:textId="14F96F0D" w:rsidR="00411A55" w:rsidRPr="00411A55" w:rsidRDefault="00411A55"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eastAsia="宋体" w:hAnsi="Book Antiqua"/>
          <w:color w:val="auto"/>
          <w:szCs w:val="24"/>
          <w:lang w:eastAsia="zh-CN"/>
        </w:rPr>
      </w:pPr>
    </w:p>
    <w:p w14:paraId="40A419B0" w14:textId="2EDC7732" w:rsidR="00110C9A" w:rsidRPr="00411A55" w:rsidRDefault="00411A55"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hAnsi="Book Antiqua"/>
          <w:color w:val="auto"/>
          <w:szCs w:val="24"/>
        </w:rPr>
      </w:pPr>
      <w:r w:rsidRPr="00411A55">
        <w:rPr>
          <w:rFonts w:ascii="Book Antiqua" w:hAnsi="Book Antiqua"/>
          <w:b/>
          <w:color w:val="auto"/>
          <w:szCs w:val="24"/>
        </w:rPr>
        <w:t>Author contributions:</w:t>
      </w:r>
      <w:r w:rsidR="00110C9A" w:rsidRPr="00411A55">
        <w:rPr>
          <w:rFonts w:ascii="Book Antiqua" w:hAnsi="Book Antiqua"/>
          <w:color w:val="auto"/>
          <w:szCs w:val="24"/>
        </w:rPr>
        <w:t xml:space="preserve"> Spiliopoulos S conceived the review and made critical revisions to its content</w:t>
      </w:r>
      <w:r w:rsidRPr="00411A55">
        <w:rPr>
          <w:rFonts w:ascii="Book Antiqua" w:eastAsia="宋体" w:hAnsi="Book Antiqua"/>
          <w:color w:val="auto"/>
          <w:szCs w:val="24"/>
          <w:lang w:eastAsia="zh-CN"/>
        </w:rPr>
        <w:t>;</w:t>
      </w:r>
      <w:r w:rsidRPr="00411A55">
        <w:rPr>
          <w:rFonts w:ascii="Book Antiqua" w:hAnsi="Book Antiqua"/>
          <w:color w:val="auto"/>
          <w:szCs w:val="24"/>
        </w:rPr>
        <w:t xml:space="preserve"> Vasiniotis Kamarinos</w:t>
      </w:r>
      <w:r w:rsidR="00110C9A" w:rsidRPr="00411A55">
        <w:rPr>
          <w:rFonts w:ascii="Book Antiqua" w:hAnsi="Book Antiqua"/>
          <w:color w:val="auto"/>
          <w:szCs w:val="24"/>
        </w:rPr>
        <w:t xml:space="preserve"> </w:t>
      </w:r>
      <w:r w:rsidRPr="00411A55">
        <w:rPr>
          <w:rFonts w:ascii="Book Antiqua" w:eastAsia="宋体" w:hAnsi="Book Antiqua"/>
          <w:color w:val="auto"/>
          <w:szCs w:val="24"/>
          <w:lang w:eastAsia="zh-CN"/>
        </w:rPr>
        <w:t xml:space="preserve">N </w:t>
      </w:r>
      <w:r w:rsidR="00110C9A" w:rsidRPr="00411A55">
        <w:rPr>
          <w:rFonts w:ascii="Book Antiqua" w:hAnsi="Book Antiqua"/>
          <w:color w:val="auto"/>
          <w:szCs w:val="24"/>
        </w:rPr>
        <w:t>drafted the manuscript and made critical revisions to its content</w:t>
      </w:r>
      <w:r w:rsidRPr="00411A55">
        <w:rPr>
          <w:rFonts w:ascii="Book Antiqua" w:eastAsia="宋体" w:hAnsi="Book Antiqua"/>
          <w:color w:val="auto"/>
          <w:szCs w:val="24"/>
          <w:lang w:eastAsia="zh-CN"/>
        </w:rPr>
        <w:t>;</w:t>
      </w:r>
      <w:r w:rsidR="00110C9A" w:rsidRPr="00411A55">
        <w:rPr>
          <w:rFonts w:ascii="Book Antiqua" w:hAnsi="Book Antiqua"/>
          <w:color w:val="auto"/>
          <w:szCs w:val="24"/>
        </w:rPr>
        <w:t xml:space="preserve"> Brountzos E drafted the manuscript and made critical revisions to its content</w:t>
      </w:r>
      <w:r w:rsidRPr="00411A55">
        <w:rPr>
          <w:rFonts w:ascii="Book Antiqua" w:eastAsia="宋体" w:hAnsi="Book Antiqua"/>
          <w:color w:val="auto"/>
          <w:szCs w:val="24"/>
          <w:lang w:eastAsia="zh-CN"/>
        </w:rPr>
        <w:t>;</w:t>
      </w:r>
      <w:r w:rsidR="00110C9A" w:rsidRPr="00411A55">
        <w:rPr>
          <w:rFonts w:ascii="Book Antiqua" w:hAnsi="Book Antiqua"/>
          <w:color w:val="auto"/>
          <w:szCs w:val="24"/>
        </w:rPr>
        <w:t xml:space="preserve"> </w:t>
      </w:r>
      <w:r w:rsidRPr="00411A55">
        <w:rPr>
          <w:rFonts w:ascii="Book Antiqua" w:hAnsi="Book Antiqua"/>
          <w:color w:val="auto"/>
          <w:szCs w:val="24"/>
        </w:rPr>
        <w:t>a</w:t>
      </w:r>
      <w:r w:rsidR="00110C9A" w:rsidRPr="00411A55">
        <w:rPr>
          <w:rFonts w:ascii="Book Antiqua" w:hAnsi="Book Antiqua"/>
          <w:color w:val="auto"/>
          <w:szCs w:val="24"/>
        </w:rPr>
        <w:t>ll authors approved the final version of the article.</w:t>
      </w:r>
    </w:p>
    <w:p w14:paraId="4ECC6036" w14:textId="66654C03"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eastAsia="宋体" w:hAnsi="Book Antiqua"/>
          <w:color w:val="auto"/>
          <w:szCs w:val="24"/>
          <w:lang w:eastAsia="zh-CN"/>
        </w:rPr>
      </w:pPr>
    </w:p>
    <w:p w14:paraId="49621265" w14:textId="56BFBC35" w:rsidR="00411A55" w:rsidRPr="00411A55" w:rsidRDefault="00411A55" w:rsidP="003B6EBC">
      <w:pPr>
        <w:snapToGrid w:val="0"/>
        <w:spacing w:line="360" w:lineRule="auto"/>
        <w:jc w:val="both"/>
        <w:rPr>
          <w:rFonts w:ascii="Book Antiqua" w:hAnsi="Book Antiqua"/>
          <w:b/>
          <w:color w:val="auto"/>
        </w:rPr>
      </w:pPr>
      <w:r w:rsidRPr="00411A55">
        <w:rPr>
          <w:rFonts w:ascii="Book Antiqua" w:hAnsi="Book Antiqua"/>
          <w:b/>
          <w:color w:val="auto"/>
        </w:rPr>
        <w:t>Conflict-of-interest statement</w:t>
      </w:r>
      <w:r w:rsidRPr="00411A55">
        <w:rPr>
          <w:rFonts w:ascii="Book Antiqua" w:hAnsi="Book Antiqua" w:cs="TimesNewRomanPS-BoldItalicMT"/>
          <w:b/>
          <w:iCs/>
          <w:color w:val="auto"/>
        </w:rPr>
        <w:t xml:space="preserve">: </w:t>
      </w:r>
      <w:r w:rsidRPr="00411A55">
        <w:rPr>
          <w:rFonts w:ascii="Book Antiqua" w:hAnsi="Book Antiqua"/>
          <w:color w:val="auto"/>
        </w:rPr>
        <w:t>The authors have no conflict of interest to declare.</w:t>
      </w:r>
    </w:p>
    <w:p w14:paraId="426541D9" w14:textId="77777777" w:rsidR="00411A55" w:rsidRPr="00411A55" w:rsidRDefault="00411A55" w:rsidP="003B6EBC">
      <w:pPr>
        <w:adjustRightInd w:val="0"/>
        <w:snapToGrid w:val="0"/>
        <w:spacing w:line="360" w:lineRule="auto"/>
        <w:jc w:val="both"/>
        <w:rPr>
          <w:rFonts w:ascii="Book Antiqua" w:eastAsia="宋体" w:hAnsi="Book Antiqua"/>
          <w:color w:val="auto"/>
          <w:lang w:eastAsia="zh-CN"/>
        </w:rPr>
      </w:pPr>
    </w:p>
    <w:p w14:paraId="419BF228" w14:textId="220C6559" w:rsidR="00411A55" w:rsidRPr="00411A55" w:rsidRDefault="00411A55" w:rsidP="003B6EBC">
      <w:pPr>
        <w:adjustRightInd w:val="0"/>
        <w:snapToGrid w:val="0"/>
        <w:spacing w:line="360" w:lineRule="auto"/>
        <w:jc w:val="both"/>
        <w:rPr>
          <w:rFonts w:ascii="Book Antiqua" w:hAnsi="Book Antiqua"/>
          <w:color w:val="auto"/>
        </w:rPr>
      </w:pPr>
      <w:r w:rsidRPr="00411A55">
        <w:rPr>
          <w:rFonts w:ascii="Book Antiqua" w:hAnsi="Book Antiqua"/>
          <w:b/>
          <w:color w:val="auto"/>
        </w:rPr>
        <w:t xml:space="preserve">Open-Access: </w:t>
      </w:r>
      <w:r w:rsidRPr="00411A55">
        <w:rPr>
          <w:rFonts w:ascii="Book Antiqua" w:hAnsi="Book Antiqua"/>
          <w:color w:val="auto"/>
        </w:rPr>
        <w:t xml:space="preserve">This article is an open-access article </w:t>
      </w:r>
      <w:r w:rsidR="00A35948">
        <w:rPr>
          <w:rFonts w:ascii="Book Antiqua" w:hAnsi="Book Antiqua"/>
          <w:color w:val="auto"/>
        </w:rPr>
        <w:t>that</w:t>
      </w:r>
      <w:r w:rsidR="00A35948" w:rsidRPr="00411A55">
        <w:rPr>
          <w:rFonts w:ascii="Book Antiqua" w:hAnsi="Book Antiqua"/>
          <w:color w:val="auto"/>
        </w:rPr>
        <w:t xml:space="preserve"> </w:t>
      </w:r>
      <w:r w:rsidRPr="00411A55">
        <w:rPr>
          <w:rFonts w:ascii="Book Antiqua" w:hAnsi="Book Antiqua"/>
          <w:color w:val="auto"/>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132BC2">
        <w:rPr>
          <w:rFonts w:ascii="Book Antiqua" w:hAnsi="Book Antiqua"/>
        </w:rPr>
        <w:t>http://creativecommons.org/licenses/by-nc/4.0/</w:t>
      </w:r>
    </w:p>
    <w:p w14:paraId="6E9AE9E4" w14:textId="77777777"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eastAsia="宋体" w:hAnsi="Book Antiqua"/>
          <w:color w:val="auto"/>
          <w:szCs w:val="24"/>
          <w:lang w:eastAsia="zh-CN"/>
        </w:rPr>
      </w:pPr>
    </w:p>
    <w:p w14:paraId="7FE17250" w14:textId="06EB6D90" w:rsidR="00411A55" w:rsidRPr="00411A55" w:rsidRDefault="00411A55"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eastAsia="宋体" w:hAnsi="Book Antiqua" w:cs="宋体"/>
          <w:color w:val="auto"/>
          <w:szCs w:val="24"/>
          <w:lang w:eastAsia="zh-CN"/>
        </w:rPr>
      </w:pPr>
      <w:r w:rsidRPr="00411A55">
        <w:rPr>
          <w:rFonts w:ascii="Book Antiqua" w:eastAsia="宋体" w:hAnsi="Book Antiqua" w:cs="宋体"/>
          <w:b/>
          <w:color w:val="auto"/>
          <w:szCs w:val="24"/>
        </w:rPr>
        <w:t>Manuscript source:</w:t>
      </w:r>
      <w:r w:rsidRPr="00411A55">
        <w:rPr>
          <w:rFonts w:ascii="Book Antiqua" w:eastAsia="宋体" w:hAnsi="Book Antiqua" w:cs="宋体"/>
          <w:color w:val="auto"/>
          <w:szCs w:val="24"/>
        </w:rPr>
        <w:t> Invited manuscript</w:t>
      </w:r>
    </w:p>
    <w:p w14:paraId="10D6E297" w14:textId="77777777" w:rsidR="00411A55" w:rsidRPr="00411A55" w:rsidRDefault="00411A55"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eastAsia="宋体" w:hAnsi="Book Antiqua"/>
          <w:color w:val="auto"/>
          <w:szCs w:val="24"/>
          <w:lang w:eastAsia="zh-CN"/>
        </w:rPr>
      </w:pPr>
    </w:p>
    <w:p w14:paraId="31D01ADA" w14:textId="18B0EBC7" w:rsidR="00411A55" w:rsidRPr="00411A55" w:rsidRDefault="00411A55"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eastAsia="宋体" w:hAnsi="Book Antiqua"/>
          <w:b/>
          <w:color w:val="auto"/>
          <w:szCs w:val="24"/>
          <w:lang w:eastAsia="zh-CN"/>
        </w:rPr>
      </w:pPr>
      <w:r w:rsidRPr="00411A55">
        <w:rPr>
          <w:rFonts w:ascii="Book Antiqua" w:hAnsi="Book Antiqua"/>
          <w:b/>
          <w:color w:val="auto"/>
          <w:szCs w:val="24"/>
        </w:rPr>
        <w:t>Corresponding author:</w:t>
      </w:r>
      <w:r w:rsidRPr="00411A55">
        <w:rPr>
          <w:rFonts w:ascii="Book Antiqua" w:eastAsia="宋体" w:hAnsi="Book Antiqua"/>
          <w:b/>
          <w:color w:val="auto"/>
          <w:szCs w:val="24"/>
          <w:lang w:eastAsia="zh-CN"/>
        </w:rPr>
        <w:t xml:space="preserve"> Stavros Spiliopoulos, MD, PhD, Assistant Professor, </w:t>
      </w:r>
      <w:r w:rsidRPr="00411A55">
        <w:rPr>
          <w:rFonts w:ascii="Book Antiqua" w:eastAsia="宋体" w:hAnsi="Book Antiqua"/>
          <w:color w:val="auto"/>
          <w:szCs w:val="24"/>
          <w:lang w:eastAsia="zh-CN"/>
        </w:rPr>
        <w:t>2</w:t>
      </w:r>
      <w:r w:rsidRPr="00411A55">
        <w:rPr>
          <w:rFonts w:ascii="Book Antiqua" w:eastAsia="宋体" w:hAnsi="Book Antiqua"/>
          <w:color w:val="auto"/>
          <w:szCs w:val="24"/>
          <w:vertAlign w:val="superscript"/>
          <w:lang w:eastAsia="zh-CN"/>
        </w:rPr>
        <w:t xml:space="preserve">nd </w:t>
      </w:r>
      <w:r w:rsidRPr="00411A55">
        <w:rPr>
          <w:rFonts w:ascii="Book Antiqua" w:eastAsia="宋体" w:hAnsi="Book Antiqua"/>
          <w:color w:val="auto"/>
          <w:szCs w:val="24"/>
          <w:lang w:eastAsia="zh-CN"/>
        </w:rPr>
        <w:t xml:space="preserve">Radiology Department, Interventional Radiology Unit, Attikon University Hospital, University of Athens, Attikon University General Hospital, Athens 12461, Greece, Athens 12461, Greece. </w:t>
      </w:r>
      <w:r w:rsidRPr="00132BC2">
        <w:rPr>
          <w:rFonts w:ascii="Book Antiqua" w:eastAsia="宋体" w:hAnsi="Book Antiqua"/>
          <w:szCs w:val="24"/>
          <w:lang w:eastAsia="zh-CN"/>
        </w:rPr>
        <w:t>stavspiliop@med.uoa.gr</w:t>
      </w:r>
    </w:p>
    <w:p w14:paraId="2F0E062D" w14:textId="210678A1" w:rsidR="00411A55" w:rsidRPr="00411A55" w:rsidRDefault="00411A55" w:rsidP="003B6EBC">
      <w:pPr>
        <w:snapToGrid w:val="0"/>
        <w:spacing w:line="360" w:lineRule="auto"/>
        <w:jc w:val="both"/>
        <w:rPr>
          <w:rFonts w:ascii="Book Antiqua" w:hAnsi="Book Antiqua"/>
          <w:b/>
          <w:color w:val="auto"/>
        </w:rPr>
      </w:pPr>
      <w:r w:rsidRPr="00411A55">
        <w:rPr>
          <w:rFonts w:ascii="Book Antiqua" w:hAnsi="Book Antiqua"/>
          <w:b/>
          <w:color w:val="auto"/>
        </w:rPr>
        <w:t xml:space="preserve">Telephone: </w:t>
      </w:r>
      <w:r w:rsidRPr="00411A55">
        <w:rPr>
          <w:rFonts w:ascii="Book Antiqua" w:hAnsi="Book Antiqua"/>
          <w:color w:val="auto"/>
        </w:rPr>
        <w:t>+30</w:t>
      </w:r>
      <w:r w:rsidRPr="00411A55">
        <w:rPr>
          <w:rFonts w:ascii="Book Antiqua" w:eastAsia="宋体" w:hAnsi="Book Antiqua"/>
          <w:color w:val="auto"/>
          <w:lang w:eastAsia="zh-CN"/>
        </w:rPr>
        <w:t>-</w:t>
      </w:r>
      <w:r w:rsidRPr="00411A55">
        <w:rPr>
          <w:rFonts w:ascii="Book Antiqua" w:hAnsi="Book Antiqua"/>
          <w:color w:val="auto"/>
        </w:rPr>
        <w:t>210</w:t>
      </w:r>
      <w:r w:rsidRPr="00411A55">
        <w:rPr>
          <w:rFonts w:ascii="Book Antiqua" w:eastAsia="宋体" w:hAnsi="Book Antiqua"/>
          <w:color w:val="auto"/>
          <w:lang w:eastAsia="zh-CN"/>
        </w:rPr>
        <w:t>-</w:t>
      </w:r>
      <w:r w:rsidRPr="00411A55">
        <w:rPr>
          <w:rFonts w:ascii="Book Antiqua" w:hAnsi="Book Antiqua"/>
          <w:color w:val="auto"/>
        </w:rPr>
        <w:t>5831832</w:t>
      </w:r>
    </w:p>
    <w:p w14:paraId="691996EE" w14:textId="77777777"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eastAsia="宋体" w:hAnsi="Book Antiqua"/>
          <w:color w:val="auto"/>
          <w:szCs w:val="24"/>
          <w:lang w:eastAsia="zh-CN"/>
        </w:rPr>
      </w:pPr>
    </w:p>
    <w:p w14:paraId="1F10D383" w14:textId="4693D20A" w:rsidR="00411A55" w:rsidRPr="00411A55" w:rsidRDefault="00411A55" w:rsidP="003B6EBC">
      <w:pPr>
        <w:snapToGrid w:val="0"/>
        <w:spacing w:line="360" w:lineRule="auto"/>
        <w:jc w:val="both"/>
        <w:rPr>
          <w:rFonts w:ascii="Book Antiqua" w:hAnsi="Book Antiqua"/>
          <w:b/>
          <w:color w:val="auto"/>
        </w:rPr>
      </w:pPr>
      <w:r w:rsidRPr="00411A55">
        <w:rPr>
          <w:rFonts w:ascii="Book Antiqua" w:hAnsi="Book Antiqua"/>
          <w:b/>
          <w:color w:val="auto"/>
        </w:rPr>
        <w:t>Received:</w:t>
      </w:r>
      <w:r w:rsidRPr="00411A55">
        <w:rPr>
          <w:rFonts w:ascii="Book Antiqua" w:eastAsia="宋体" w:hAnsi="Book Antiqua"/>
          <w:b/>
          <w:color w:val="auto"/>
          <w:lang w:eastAsia="zh-CN"/>
        </w:rPr>
        <w:t xml:space="preserve"> </w:t>
      </w:r>
      <w:r w:rsidRPr="00411A55">
        <w:rPr>
          <w:rFonts w:ascii="Book Antiqua" w:eastAsia="宋体" w:hAnsi="Book Antiqua"/>
          <w:color w:val="auto"/>
          <w:lang w:eastAsia="zh-CN"/>
        </w:rPr>
        <w:t>July 27, 2018</w:t>
      </w:r>
      <w:r>
        <w:rPr>
          <w:rFonts w:ascii="Book Antiqua" w:hAnsi="Book Antiqua"/>
          <w:color w:val="auto"/>
        </w:rPr>
        <w:t xml:space="preserve"> </w:t>
      </w:r>
    </w:p>
    <w:p w14:paraId="638F1B75" w14:textId="4BB63E58" w:rsidR="00411A55" w:rsidRPr="00411A55" w:rsidRDefault="00411A55" w:rsidP="003B6EBC">
      <w:pPr>
        <w:snapToGrid w:val="0"/>
        <w:spacing w:line="360" w:lineRule="auto"/>
        <w:jc w:val="both"/>
        <w:rPr>
          <w:rFonts w:ascii="Book Antiqua" w:hAnsi="Book Antiqua"/>
          <w:b/>
          <w:color w:val="auto"/>
        </w:rPr>
      </w:pPr>
      <w:r w:rsidRPr="00411A55">
        <w:rPr>
          <w:rFonts w:ascii="Book Antiqua" w:hAnsi="Book Antiqua"/>
          <w:b/>
          <w:color w:val="auto"/>
        </w:rPr>
        <w:t>Peer-review started:</w:t>
      </w:r>
      <w:r w:rsidRPr="00411A55">
        <w:rPr>
          <w:rFonts w:ascii="Book Antiqua" w:eastAsia="宋体" w:hAnsi="Book Antiqua"/>
          <w:color w:val="auto"/>
          <w:lang w:eastAsia="zh-CN"/>
        </w:rPr>
        <w:t xml:space="preserve"> July 30, 2018</w:t>
      </w:r>
      <w:r>
        <w:rPr>
          <w:rFonts w:ascii="Book Antiqua" w:hAnsi="Book Antiqua"/>
          <w:color w:val="auto"/>
        </w:rPr>
        <w:t xml:space="preserve"> </w:t>
      </w:r>
    </w:p>
    <w:p w14:paraId="041D53AA" w14:textId="3AD9D734" w:rsidR="00411A55" w:rsidRPr="00411A55" w:rsidRDefault="00411A55" w:rsidP="003B6EBC">
      <w:pPr>
        <w:snapToGrid w:val="0"/>
        <w:spacing w:line="360" w:lineRule="auto"/>
        <w:jc w:val="both"/>
        <w:rPr>
          <w:rFonts w:ascii="Book Antiqua" w:eastAsia="宋体" w:hAnsi="Book Antiqua"/>
          <w:b/>
          <w:color w:val="auto"/>
          <w:lang w:eastAsia="zh-CN"/>
        </w:rPr>
      </w:pPr>
      <w:r w:rsidRPr="00411A55">
        <w:rPr>
          <w:rFonts w:ascii="Book Antiqua" w:hAnsi="Book Antiqua"/>
          <w:b/>
          <w:color w:val="auto"/>
        </w:rPr>
        <w:t>First decision:</w:t>
      </w:r>
      <w:r w:rsidRPr="00411A55">
        <w:rPr>
          <w:rFonts w:ascii="Book Antiqua" w:eastAsia="宋体" w:hAnsi="Book Antiqua"/>
          <w:b/>
          <w:color w:val="auto"/>
          <w:lang w:eastAsia="zh-CN"/>
        </w:rPr>
        <w:t xml:space="preserve"> </w:t>
      </w:r>
      <w:r w:rsidRPr="00411A55">
        <w:rPr>
          <w:rFonts w:ascii="Book Antiqua" w:eastAsia="宋体" w:hAnsi="Book Antiqua"/>
          <w:color w:val="auto"/>
          <w:lang w:eastAsia="zh-CN"/>
        </w:rPr>
        <w:t>October 5, 2018</w:t>
      </w:r>
    </w:p>
    <w:p w14:paraId="741F5368" w14:textId="1E55CC0E" w:rsidR="00411A55" w:rsidRPr="00411A55" w:rsidRDefault="00411A55" w:rsidP="003B6EBC">
      <w:pPr>
        <w:snapToGrid w:val="0"/>
        <w:spacing w:line="360" w:lineRule="auto"/>
        <w:jc w:val="both"/>
        <w:rPr>
          <w:rFonts w:ascii="Book Antiqua" w:hAnsi="Book Antiqua"/>
          <w:b/>
          <w:color w:val="auto"/>
        </w:rPr>
      </w:pPr>
      <w:r w:rsidRPr="00411A55">
        <w:rPr>
          <w:rFonts w:ascii="Book Antiqua" w:hAnsi="Book Antiqua"/>
          <w:b/>
          <w:color w:val="auto"/>
        </w:rPr>
        <w:t>Revised:</w:t>
      </w:r>
      <w:r w:rsidRPr="00411A55">
        <w:rPr>
          <w:rFonts w:ascii="Book Antiqua" w:eastAsia="宋体" w:hAnsi="Book Antiqua"/>
          <w:color w:val="auto"/>
          <w:lang w:eastAsia="zh-CN"/>
        </w:rPr>
        <w:t xml:space="preserve"> October 23, 2018</w:t>
      </w:r>
      <w:r>
        <w:rPr>
          <w:rFonts w:ascii="Book Antiqua" w:hAnsi="Book Antiqua"/>
          <w:b/>
          <w:color w:val="auto"/>
        </w:rPr>
        <w:t xml:space="preserve"> </w:t>
      </w:r>
    </w:p>
    <w:p w14:paraId="70CFB4E3" w14:textId="4CF8673D" w:rsidR="00411A55" w:rsidRPr="00411A55" w:rsidRDefault="00411A55" w:rsidP="003B6EBC">
      <w:pPr>
        <w:snapToGrid w:val="0"/>
        <w:spacing w:line="360" w:lineRule="auto"/>
        <w:jc w:val="both"/>
        <w:rPr>
          <w:rFonts w:ascii="Book Antiqua" w:hAnsi="Book Antiqua"/>
          <w:b/>
          <w:color w:val="auto"/>
        </w:rPr>
      </w:pPr>
      <w:r w:rsidRPr="00411A55">
        <w:rPr>
          <w:rFonts w:ascii="Book Antiqua" w:hAnsi="Book Antiqua"/>
          <w:b/>
          <w:color w:val="auto"/>
        </w:rPr>
        <w:t>Accepted:</w:t>
      </w:r>
      <w:r w:rsidR="00F1601A">
        <w:rPr>
          <w:rFonts w:ascii="Book Antiqua" w:hAnsi="Book Antiqua"/>
          <w:b/>
          <w:color w:val="auto"/>
        </w:rPr>
        <w:t xml:space="preserve"> </w:t>
      </w:r>
      <w:r w:rsidR="00F1601A" w:rsidRPr="00B36BE9">
        <w:rPr>
          <w:rFonts w:ascii="Book Antiqua" w:hAnsi="Book Antiqua"/>
          <w:color w:val="auto"/>
        </w:rPr>
        <w:t>January 1, 2019</w:t>
      </w:r>
      <w:r>
        <w:rPr>
          <w:rFonts w:ascii="Book Antiqua" w:hAnsi="Book Antiqua"/>
          <w:b/>
          <w:color w:val="auto"/>
        </w:rPr>
        <w:t xml:space="preserve"> </w:t>
      </w:r>
    </w:p>
    <w:p w14:paraId="6B5B6F42" w14:textId="6D327FDA" w:rsidR="00411A55" w:rsidRPr="00411A55" w:rsidRDefault="00411A55" w:rsidP="003B6EBC">
      <w:pPr>
        <w:snapToGrid w:val="0"/>
        <w:spacing w:line="360" w:lineRule="auto"/>
        <w:jc w:val="both"/>
        <w:rPr>
          <w:rFonts w:ascii="Book Antiqua" w:hAnsi="Book Antiqua"/>
          <w:color w:val="auto"/>
        </w:rPr>
      </w:pPr>
      <w:r w:rsidRPr="00411A55">
        <w:rPr>
          <w:rFonts w:ascii="Book Antiqua" w:hAnsi="Book Antiqua"/>
          <w:b/>
          <w:color w:val="auto"/>
        </w:rPr>
        <w:t>Article in press:</w:t>
      </w:r>
      <w:r>
        <w:rPr>
          <w:rFonts w:ascii="Book Antiqua" w:hAnsi="Book Antiqua"/>
          <w:color w:val="auto"/>
        </w:rPr>
        <w:t xml:space="preserve"> </w:t>
      </w:r>
      <w:r w:rsidR="00507133" w:rsidRPr="00B36BE9">
        <w:rPr>
          <w:rFonts w:ascii="Book Antiqua" w:hAnsi="Book Antiqua"/>
          <w:color w:val="auto"/>
        </w:rPr>
        <w:t>January 1, 2019</w:t>
      </w:r>
    </w:p>
    <w:p w14:paraId="104E8837" w14:textId="5C4A4BCC" w:rsidR="00411A55" w:rsidRPr="00411A55" w:rsidRDefault="00411A55"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eastAsia="宋体" w:hAnsi="Book Antiqua"/>
          <w:b/>
          <w:color w:val="auto"/>
          <w:szCs w:val="24"/>
          <w:lang w:eastAsia="zh-CN"/>
        </w:rPr>
      </w:pPr>
      <w:r w:rsidRPr="00411A55">
        <w:rPr>
          <w:rFonts w:ascii="Book Antiqua" w:hAnsi="Book Antiqua"/>
          <w:b/>
          <w:color w:val="auto"/>
          <w:szCs w:val="24"/>
        </w:rPr>
        <w:t>Published online:</w:t>
      </w:r>
      <w:r w:rsidR="00507133">
        <w:rPr>
          <w:rFonts w:ascii="Book Antiqua" w:hAnsi="Book Antiqua"/>
          <w:b/>
          <w:color w:val="auto"/>
        </w:rPr>
        <w:t xml:space="preserve"> </w:t>
      </w:r>
      <w:r w:rsidR="00507133">
        <w:rPr>
          <w:rFonts w:ascii="Book Antiqua" w:hAnsi="Book Antiqua"/>
          <w:color w:val="auto"/>
        </w:rPr>
        <w:t xml:space="preserve">January </w:t>
      </w:r>
      <w:r w:rsidR="00507133">
        <w:rPr>
          <w:rFonts w:ascii="Book Antiqua" w:eastAsia="宋体" w:hAnsi="Book Antiqua" w:hint="eastAsia"/>
          <w:color w:val="auto"/>
          <w:lang w:eastAsia="zh-CN"/>
        </w:rPr>
        <w:t>26</w:t>
      </w:r>
      <w:r w:rsidR="00507133" w:rsidRPr="00B36BE9">
        <w:rPr>
          <w:rFonts w:ascii="Book Antiqua" w:hAnsi="Book Antiqua"/>
          <w:color w:val="auto"/>
        </w:rPr>
        <w:t>, 2019</w:t>
      </w:r>
    </w:p>
    <w:p w14:paraId="26CB1C54" w14:textId="77777777" w:rsidR="00411A55" w:rsidRPr="00411A55" w:rsidRDefault="00411A55" w:rsidP="003B6EBC">
      <w:pPr>
        <w:snapToGrid w:val="0"/>
        <w:spacing w:line="360" w:lineRule="auto"/>
        <w:jc w:val="both"/>
        <w:rPr>
          <w:rFonts w:ascii="Book Antiqua" w:eastAsia="宋体" w:hAnsi="Book Antiqua"/>
          <w:color w:val="auto"/>
          <w:lang w:eastAsia="zh-CN"/>
        </w:rPr>
      </w:pPr>
      <w:r w:rsidRPr="00411A55">
        <w:rPr>
          <w:rFonts w:ascii="Book Antiqua" w:eastAsia="宋体" w:hAnsi="Book Antiqua"/>
          <w:color w:val="auto"/>
          <w:lang w:eastAsia="zh-CN"/>
        </w:rPr>
        <w:br w:type="page"/>
      </w:r>
    </w:p>
    <w:p w14:paraId="15C021EC" w14:textId="44E1D592"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hAnsi="Book Antiqua"/>
          <w:b/>
          <w:color w:val="auto"/>
          <w:szCs w:val="24"/>
        </w:rPr>
      </w:pPr>
      <w:r w:rsidRPr="00411A55">
        <w:rPr>
          <w:rFonts w:ascii="Book Antiqua" w:hAnsi="Book Antiqua"/>
          <w:b/>
          <w:color w:val="auto"/>
          <w:szCs w:val="24"/>
        </w:rPr>
        <w:lastRenderedPageBreak/>
        <w:t>Abstract</w:t>
      </w:r>
    </w:p>
    <w:p w14:paraId="06E21F13" w14:textId="361E7104" w:rsidR="00110C9A" w:rsidRPr="00411A55" w:rsidRDefault="00EA3775"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hAnsi="Book Antiqua"/>
          <w:color w:val="auto"/>
          <w:szCs w:val="24"/>
        </w:rPr>
      </w:pPr>
      <w:r>
        <w:rPr>
          <w:rFonts w:ascii="Book Antiqua" w:hAnsi="Book Antiqua"/>
          <w:color w:val="auto"/>
          <w:szCs w:val="24"/>
        </w:rPr>
        <w:t>New</w:t>
      </w:r>
      <w:r w:rsidR="00110C9A" w:rsidRPr="00411A55">
        <w:rPr>
          <w:rFonts w:ascii="Book Antiqua" w:hAnsi="Book Antiqua"/>
          <w:color w:val="auto"/>
          <w:szCs w:val="24"/>
        </w:rPr>
        <w:t xml:space="preserve"> and sophisticated endovascular devices</w:t>
      </w:r>
      <w:r>
        <w:rPr>
          <w:rFonts w:ascii="Book Antiqua" w:hAnsi="Book Antiqua"/>
          <w:color w:val="auto"/>
          <w:szCs w:val="24"/>
        </w:rPr>
        <w:t>, such as</w:t>
      </w:r>
      <w:r w:rsidR="00110C9A" w:rsidRPr="00411A55">
        <w:rPr>
          <w:rFonts w:ascii="Book Antiqua" w:hAnsi="Book Antiqua"/>
          <w:color w:val="auto"/>
          <w:szCs w:val="24"/>
        </w:rPr>
        <w:t xml:space="preserve"> drug-eluting stents (DES) and drug-coated balloons (DCB), provide targeted drug delivery to affected vessels</w:t>
      </w:r>
      <w:r w:rsidR="00DF5328">
        <w:rPr>
          <w:rFonts w:ascii="Book Antiqua" w:hAnsi="Book Antiqua"/>
          <w:color w:val="auto"/>
          <w:szCs w:val="24"/>
        </w:rPr>
        <w:t xml:space="preserve">. </w:t>
      </w:r>
      <w:r w:rsidR="00790E0B">
        <w:rPr>
          <w:rFonts w:ascii="Book Antiqua" w:hAnsi="Book Antiqua"/>
          <w:color w:val="auto"/>
          <w:szCs w:val="24"/>
        </w:rPr>
        <w:t>The invention of t</w:t>
      </w:r>
      <w:r w:rsidR="00DF5328">
        <w:rPr>
          <w:rFonts w:ascii="Book Antiqua" w:hAnsi="Book Antiqua"/>
          <w:color w:val="auto"/>
          <w:szCs w:val="24"/>
        </w:rPr>
        <w:t>hese devices</w:t>
      </w:r>
      <w:r w:rsidR="00110C9A" w:rsidRPr="00411A55">
        <w:rPr>
          <w:rFonts w:ascii="Book Antiqua" w:hAnsi="Book Antiqua"/>
          <w:color w:val="auto"/>
          <w:szCs w:val="24"/>
        </w:rPr>
        <w:t xml:space="preserve"> </w:t>
      </w:r>
      <w:r w:rsidR="00790E0B">
        <w:rPr>
          <w:rFonts w:ascii="Book Antiqua" w:hAnsi="Book Antiqua"/>
          <w:color w:val="auto"/>
          <w:szCs w:val="24"/>
        </w:rPr>
        <w:t>has made</w:t>
      </w:r>
      <w:r w:rsidR="00110C9A" w:rsidRPr="00411A55">
        <w:rPr>
          <w:rFonts w:ascii="Book Antiqua" w:hAnsi="Book Antiqua"/>
          <w:color w:val="auto"/>
          <w:szCs w:val="24"/>
        </w:rPr>
        <w:t xml:space="preserve"> </w:t>
      </w:r>
      <w:r w:rsidR="00104819">
        <w:rPr>
          <w:rFonts w:ascii="Book Antiqua" w:hAnsi="Book Antiqua"/>
          <w:color w:val="auto"/>
          <w:szCs w:val="24"/>
        </w:rPr>
        <w:t xml:space="preserve">it </w:t>
      </w:r>
      <w:r w:rsidR="00110C9A" w:rsidRPr="00411A55">
        <w:rPr>
          <w:rFonts w:ascii="Book Antiqua" w:hAnsi="Book Antiqua"/>
          <w:color w:val="auto"/>
          <w:szCs w:val="24"/>
        </w:rPr>
        <w:t>possible to address the reparative cascade of arterial wall injury following balloon angioplasty that results in restenosis. DES</w:t>
      </w:r>
      <w:r w:rsidR="00790E0B">
        <w:rPr>
          <w:rFonts w:ascii="Book Antiqua" w:hAnsi="Book Antiqua"/>
          <w:color w:val="auto"/>
          <w:szCs w:val="24"/>
        </w:rPr>
        <w:t>s</w:t>
      </w:r>
      <w:r w:rsidR="00110C9A" w:rsidRPr="00411A55">
        <w:rPr>
          <w:rFonts w:ascii="Book Antiqua" w:hAnsi="Book Antiqua"/>
          <w:color w:val="auto"/>
          <w:szCs w:val="24"/>
        </w:rPr>
        <w:t xml:space="preserve"> were first used for the treatment of infrapopliteal lesions almost 20 years ago</w:t>
      </w:r>
      <w:r w:rsidR="00790E0B">
        <w:rPr>
          <w:rFonts w:ascii="Book Antiqua" w:hAnsi="Book Antiqua"/>
          <w:color w:val="auto"/>
          <w:szCs w:val="24"/>
        </w:rPr>
        <w:t>.</w:t>
      </w:r>
      <w:r w:rsidR="00110C9A" w:rsidRPr="00411A55">
        <w:rPr>
          <w:rFonts w:ascii="Book Antiqua" w:hAnsi="Book Antiqua"/>
          <w:color w:val="auto"/>
          <w:szCs w:val="24"/>
        </w:rPr>
        <w:t xml:space="preserve"> </w:t>
      </w:r>
      <w:r w:rsidR="00790E0B">
        <w:rPr>
          <w:rFonts w:ascii="Book Antiqua" w:hAnsi="Book Antiqua"/>
          <w:color w:val="auto"/>
          <w:szCs w:val="24"/>
        </w:rPr>
        <w:t>More</w:t>
      </w:r>
      <w:r w:rsidR="00110C9A" w:rsidRPr="00411A55">
        <w:rPr>
          <w:rFonts w:ascii="Book Antiqua" w:hAnsi="Book Antiqua"/>
          <w:color w:val="auto"/>
          <w:szCs w:val="24"/>
        </w:rPr>
        <w:t xml:space="preserve"> recently,</w:t>
      </w:r>
      <w:r w:rsidR="00790E0B">
        <w:rPr>
          <w:rFonts w:ascii="Book Antiqua" w:hAnsi="Book Antiqua"/>
          <w:color w:val="auto"/>
          <w:szCs w:val="24"/>
        </w:rPr>
        <w:t xml:space="preserve"> however,</w:t>
      </w:r>
      <w:r w:rsidR="00110C9A" w:rsidRPr="00411A55">
        <w:rPr>
          <w:rFonts w:ascii="Book Antiqua" w:hAnsi="Book Antiqua"/>
          <w:color w:val="auto"/>
          <w:szCs w:val="24"/>
        </w:rPr>
        <w:t xml:space="preserve"> DCB technology is being investigated to improve outcomes of endovascular below-the-knee arterial procedures, avoiding the </w:t>
      </w:r>
      <w:r w:rsidR="00790E0B">
        <w:rPr>
          <w:rFonts w:ascii="Book Antiqua" w:hAnsi="Book Antiqua"/>
          <w:color w:val="auto"/>
          <w:szCs w:val="24"/>
        </w:rPr>
        <w:t>need for</w:t>
      </w:r>
      <w:r w:rsidR="00110C9A" w:rsidRPr="00411A55">
        <w:rPr>
          <w:rFonts w:ascii="Book Antiqua" w:hAnsi="Book Antiqua"/>
          <w:color w:val="auto"/>
          <w:szCs w:val="24"/>
        </w:rPr>
        <w:t xml:space="preserve"> a metallic scaffold. Today, level IA evidence supports the use </w:t>
      </w:r>
      <w:r w:rsidR="00411A55" w:rsidRPr="00411A55">
        <w:rPr>
          <w:rFonts w:ascii="Book Antiqua" w:hAnsi="Book Antiqua"/>
          <w:color w:val="auto"/>
          <w:szCs w:val="24"/>
        </w:rPr>
        <w:t>of infrapopliteal DES for short</w:t>
      </w:r>
      <w:r w:rsidR="00110C9A" w:rsidRPr="00411A55">
        <w:rPr>
          <w:rFonts w:ascii="Book Antiqua" w:hAnsi="Book Antiqua"/>
          <w:color w:val="auto"/>
          <w:szCs w:val="24"/>
        </w:rPr>
        <w:t xml:space="preserve"> to medium length lesions, although robust evidence </w:t>
      </w:r>
      <w:r w:rsidR="00790E0B">
        <w:rPr>
          <w:rFonts w:ascii="Book Antiqua" w:hAnsi="Book Antiqua"/>
          <w:color w:val="auto"/>
          <w:szCs w:val="24"/>
        </w:rPr>
        <w:t xml:space="preserve">that </w:t>
      </w:r>
      <w:r w:rsidR="00110C9A" w:rsidRPr="00411A55">
        <w:rPr>
          <w:rFonts w:ascii="Book Antiqua" w:hAnsi="Book Antiqua"/>
          <w:color w:val="auto"/>
          <w:szCs w:val="24"/>
        </w:rPr>
        <w:t>justif</w:t>
      </w:r>
      <w:r w:rsidR="00790E0B">
        <w:rPr>
          <w:rFonts w:ascii="Book Antiqua" w:hAnsi="Book Antiqua"/>
          <w:color w:val="auto"/>
          <w:szCs w:val="24"/>
        </w:rPr>
        <w:t>ies</w:t>
      </w:r>
      <w:r w:rsidR="00110C9A" w:rsidRPr="00411A55">
        <w:rPr>
          <w:rFonts w:ascii="Book Antiqua" w:hAnsi="Book Antiqua"/>
          <w:color w:val="auto"/>
          <w:szCs w:val="24"/>
        </w:rPr>
        <w:t xml:space="preserve"> the use of DCBs in this anatomical area is missing. This review summarizes and discusses all available data on infrapopliteal drug-elution devices and highlights the most promising future perspectives.</w:t>
      </w:r>
    </w:p>
    <w:p w14:paraId="2BCEC231" w14:textId="77777777"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hAnsi="Book Antiqua"/>
          <w:color w:val="auto"/>
          <w:szCs w:val="24"/>
        </w:rPr>
      </w:pPr>
    </w:p>
    <w:p w14:paraId="35FCA4AC" w14:textId="2593A4A3"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eastAsia="宋体" w:hAnsi="Book Antiqua"/>
          <w:color w:val="auto"/>
          <w:szCs w:val="24"/>
          <w:lang w:eastAsia="zh-CN"/>
        </w:rPr>
      </w:pPr>
      <w:r w:rsidRPr="00411A55">
        <w:rPr>
          <w:rFonts w:ascii="Book Antiqua" w:hAnsi="Book Antiqua"/>
          <w:b/>
          <w:color w:val="auto"/>
          <w:szCs w:val="24"/>
        </w:rPr>
        <w:t>Key</w:t>
      </w:r>
      <w:r w:rsidR="00411A55" w:rsidRPr="00411A55">
        <w:rPr>
          <w:rFonts w:ascii="Book Antiqua" w:eastAsia="宋体" w:hAnsi="Book Antiqua"/>
          <w:b/>
          <w:color w:val="auto"/>
          <w:szCs w:val="24"/>
          <w:lang w:eastAsia="zh-CN"/>
        </w:rPr>
        <w:t xml:space="preserve"> </w:t>
      </w:r>
      <w:r w:rsidRPr="00411A55">
        <w:rPr>
          <w:rFonts w:ascii="Book Antiqua" w:hAnsi="Book Antiqua"/>
          <w:b/>
          <w:color w:val="auto"/>
          <w:szCs w:val="24"/>
        </w:rPr>
        <w:t xml:space="preserve">words: </w:t>
      </w:r>
      <w:r w:rsidRPr="00411A55">
        <w:rPr>
          <w:rFonts w:ascii="Book Antiqua" w:hAnsi="Book Antiqua"/>
          <w:color w:val="auto"/>
          <w:szCs w:val="24"/>
        </w:rPr>
        <w:t>Drug-elution therapy; Infrapopliteal arterial disease</w:t>
      </w:r>
      <w:r w:rsidR="00411A55" w:rsidRPr="00411A55">
        <w:rPr>
          <w:rFonts w:ascii="Book Antiqua" w:eastAsia="宋体" w:hAnsi="Book Antiqua"/>
          <w:color w:val="auto"/>
          <w:szCs w:val="24"/>
          <w:lang w:eastAsia="zh-CN"/>
        </w:rPr>
        <w:t>;</w:t>
      </w:r>
      <w:r w:rsidRPr="00411A55">
        <w:rPr>
          <w:rFonts w:ascii="Book Antiqua" w:hAnsi="Book Antiqua"/>
          <w:color w:val="auto"/>
          <w:szCs w:val="24"/>
        </w:rPr>
        <w:t xml:space="preserve"> Current evidence</w:t>
      </w:r>
      <w:r w:rsidR="00411A55" w:rsidRPr="00411A55">
        <w:rPr>
          <w:rFonts w:ascii="Book Antiqua" w:eastAsia="宋体" w:hAnsi="Book Antiqua"/>
          <w:color w:val="auto"/>
          <w:szCs w:val="24"/>
          <w:lang w:eastAsia="zh-CN"/>
        </w:rPr>
        <w:t xml:space="preserve">; </w:t>
      </w:r>
      <w:r w:rsidR="00411A55" w:rsidRPr="00411A55">
        <w:rPr>
          <w:rFonts w:ascii="Book Antiqua" w:hAnsi="Book Antiqua"/>
          <w:color w:val="auto"/>
          <w:szCs w:val="24"/>
        </w:rPr>
        <w:t>Drug-coated balloons</w:t>
      </w:r>
      <w:r w:rsidR="00411A55" w:rsidRPr="00411A55">
        <w:rPr>
          <w:rFonts w:ascii="Book Antiqua" w:eastAsia="宋体" w:hAnsi="Book Antiqua"/>
          <w:color w:val="auto"/>
          <w:szCs w:val="24"/>
          <w:lang w:eastAsia="zh-CN"/>
        </w:rPr>
        <w:t xml:space="preserve">; </w:t>
      </w:r>
      <w:r w:rsidR="00411A55" w:rsidRPr="00411A55">
        <w:rPr>
          <w:rFonts w:ascii="Book Antiqua" w:hAnsi="Book Antiqua"/>
          <w:color w:val="auto"/>
          <w:szCs w:val="24"/>
        </w:rPr>
        <w:t>Drug-eluting stents</w:t>
      </w:r>
    </w:p>
    <w:p w14:paraId="38463047" w14:textId="77777777"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eastAsia="宋体" w:hAnsi="Book Antiqua"/>
          <w:color w:val="auto"/>
          <w:szCs w:val="24"/>
          <w:lang w:eastAsia="zh-CN"/>
        </w:rPr>
      </w:pPr>
    </w:p>
    <w:p w14:paraId="0C82D585" w14:textId="549A4CF4" w:rsidR="00411A55" w:rsidRPr="00411A55" w:rsidRDefault="00411A55" w:rsidP="003B6EBC">
      <w:pPr>
        <w:snapToGrid w:val="0"/>
        <w:spacing w:line="360" w:lineRule="auto"/>
        <w:jc w:val="both"/>
        <w:rPr>
          <w:rFonts w:ascii="Book Antiqua" w:hAnsi="Book Antiqua" w:cs="Arial"/>
          <w:color w:val="auto"/>
        </w:rPr>
      </w:pPr>
      <w:proofErr w:type="gramStart"/>
      <w:r w:rsidRPr="00411A55">
        <w:rPr>
          <w:rFonts w:ascii="Book Antiqua" w:hAnsi="Book Antiqua"/>
          <w:b/>
          <w:color w:val="auto"/>
        </w:rPr>
        <w:t xml:space="preserve">© </w:t>
      </w:r>
      <w:r w:rsidR="00507133">
        <w:rPr>
          <w:rFonts w:ascii="Book Antiqua" w:hAnsi="Book Antiqua" w:cs="Arial"/>
          <w:b/>
          <w:color w:val="auto"/>
        </w:rPr>
        <w:t>The Author(s) 201</w:t>
      </w:r>
      <w:r w:rsidR="00507133">
        <w:rPr>
          <w:rFonts w:ascii="Book Antiqua" w:eastAsia="宋体" w:hAnsi="Book Antiqua" w:cs="Arial" w:hint="eastAsia"/>
          <w:b/>
          <w:color w:val="auto"/>
          <w:lang w:eastAsia="zh-CN"/>
        </w:rPr>
        <w:t>9</w:t>
      </w:r>
      <w:r w:rsidRPr="00411A55">
        <w:rPr>
          <w:rFonts w:ascii="Book Antiqua" w:hAnsi="Book Antiqua" w:cs="Arial"/>
          <w:b/>
          <w:color w:val="auto"/>
        </w:rPr>
        <w:t>.</w:t>
      </w:r>
      <w:proofErr w:type="gramEnd"/>
      <w:r w:rsidRPr="00411A55">
        <w:rPr>
          <w:rFonts w:ascii="Book Antiqua" w:hAnsi="Book Antiqua" w:cs="Arial"/>
          <w:color w:val="auto"/>
        </w:rPr>
        <w:t xml:space="preserve"> </w:t>
      </w:r>
      <w:proofErr w:type="gramStart"/>
      <w:r w:rsidRPr="00411A55">
        <w:rPr>
          <w:rFonts w:ascii="Book Antiqua" w:hAnsi="Book Antiqua" w:cs="Arial"/>
          <w:color w:val="auto"/>
        </w:rPr>
        <w:t>Published by Baishideng Publishing Group Inc.</w:t>
      </w:r>
      <w:proofErr w:type="gramEnd"/>
      <w:r w:rsidRPr="00411A55">
        <w:rPr>
          <w:rFonts w:ascii="Book Antiqua" w:hAnsi="Book Antiqua" w:cs="Arial"/>
          <w:color w:val="auto"/>
        </w:rPr>
        <w:t xml:space="preserve"> All rights reserved.</w:t>
      </w:r>
    </w:p>
    <w:p w14:paraId="54777753" w14:textId="77777777" w:rsidR="00411A55" w:rsidRPr="00411A55" w:rsidRDefault="00411A55"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eastAsia="宋体" w:hAnsi="Book Antiqua"/>
          <w:color w:val="auto"/>
          <w:szCs w:val="24"/>
          <w:lang w:eastAsia="zh-CN"/>
        </w:rPr>
      </w:pPr>
    </w:p>
    <w:p w14:paraId="77B6ECCE" w14:textId="48E278F3"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hAnsi="Book Antiqua"/>
          <w:color w:val="auto"/>
          <w:szCs w:val="24"/>
        </w:rPr>
      </w:pPr>
      <w:r w:rsidRPr="00411A55">
        <w:rPr>
          <w:rFonts w:ascii="Book Antiqua" w:hAnsi="Book Antiqua"/>
          <w:b/>
          <w:color w:val="auto"/>
          <w:szCs w:val="24"/>
        </w:rPr>
        <w:t>Core tip:</w:t>
      </w:r>
      <w:r w:rsidR="00411A55">
        <w:rPr>
          <w:rFonts w:ascii="Book Antiqua" w:hAnsi="Book Antiqua"/>
          <w:color w:val="auto"/>
          <w:szCs w:val="24"/>
        </w:rPr>
        <w:t xml:space="preserve"> </w:t>
      </w:r>
      <w:r w:rsidR="0088005E" w:rsidRPr="00411A55">
        <w:rPr>
          <w:rFonts w:ascii="Book Antiqua" w:hAnsi="Book Antiqua"/>
          <w:color w:val="auto"/>
          <w:szCs w:val="24"/>
        </w:rPr>
        <w:t>Currently available level IA evidence justif</w:t>
      </w:r>
      <w:r w:rsidR="00790E0B">
        <w:rPr>
          <w:rFonts w:ascii="Book Antiqua" w:hAnsi="Book Antiqua"/>
          <w:color w:val="auto"/>
          <w:szCs w:val="24"/>
        </w:rPr>
        <w:t>ies</w:t>
      </w:r>
      <w:r w:rsidR="0088005E" w:rsidRPr="00411A55">
        <w:rPr>
          <w:rFonts w:ascii="Book Antiqua" w:hAnsi="Book Antiqua"/>
          <w:color w:val="auto"/>
          <w:szCs w:val="24"/>
        </w:rPr>
        <w:t xml:space="preserve"> the use of infrapopliteal </w:t>
      </w:r>
      <w:r w:rsidR="00411A55" w:rsidRPr="00411A55">
        <w:rPr>
          <w:rFonts w:ascii="Book Antiqua" w:hAnsi="Book Antiqua"/>
          <w:color w:val="auto"/>
          <w:szCs w:val="24"/>
        </w:rPr>
        <w:t>drug-eluting stents</w:t>
      </w:r>
      <w:r w:rsidR="0088005E" w:rsidRPr="00411A55">
        <w:rPr>
          <w:rFonts w:ascii="Book Antiqua" w:hAnsi="Book Antiqua"/>
          <w:color w:val="auto"/>
          <w:szCs w:val="24"/>
        </w:rPr>
        <w:t xml:space="preserve"> for short to medium length lesions in selected patients with specific anatomical criteria. The role of infrapopliteal </w:t>
      </w:r>
      <w:r w:rsidR="00411A55" w:rsidRPr="00411A55">
        <w:rPr>
          <w:rFonts w:ascii="Book Antiqua" w:hAnsi="Book Antiqua"/>
          <w:color w:val="auto"/>
          <w:szCs w:val="24"/>
        </w:rPr>
        <w:t>drug-coated balloons</w:t>
      </w:r>
      <w:r w:rsidR="0088005E" w:rsidRPr="00411A55">
        <w:rPr>
          <w:rFonts w:ascii="Book Antiqua" w:hAnsi="Book Antiqua"/>
          <w:color w:val="auto"/>
          <w:szCs w:val="24"/>
        </w:rPr>
        <w:t xml:space="preserve"> remains to be determined.</w:t>
      </w:r>
    </w:p>
    <w:p w14:paraId="1246063E" w14:textId="77777777" w:rsidR="00411A55" w:rsidRPr="00411A55" w:rsidRDefault="00411A55"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eastAsia="宋体" w:hAnsi="Book Antiqua"/>
          <w:color w:val="auto"/>
          <w:szCs w:val="24"/>
          <w:lang w:eastAsia="zh-CN"/>
        </w:rPr>
      </w:pPr>
    </w:p>
    <w:p w14:paraId="7A88B8A3" w14:textId="77777777" w:rsidR="00507133" w:rsidRDefault="00507133" w:rsidP="00507133">
      <w:pPr>
        <w:pStyle w:val="aa"/>
        <w:spacing w:line="360" w:lineRule="auto"/>
        <w:rPr>
          <w:rFonts w:ascii="Book Antiqua" w:hAnsi="Book Antiqua"/>
          <w:sz w:val="24"/>
          <w:szCs w:val="24"/>
          <w:lang w:eastAsia="zh-CN"/>
        </w:rPr>
      </w:pPr>
      <w:r w:rsidRPr="00507133">
        <w:rPr>
          <w:rFonts w:ascii="Book Antiqua" w:hAnsi="Book Antiqua" w:hint="eastAsia"/>
          <w:b/>
          <w:color w:val="auto"/>
          <w:sz w:val="24"/>
          <w:szCs w:val="24"/>
          <w:lang w:eastAsia="zh-CN"/>
        </w:rPr>
        <w:t>Citation</w:t>
      </w:r>
      <w:r>
        <w:rPr>
          <w:rFonts w:ascii="Book Antiqua" w:hAnsi="Book Antiqua" w:hint="eastAsia"/>
          <w:color w:val="auto"/>
          <w:sz w:val="24"/>
          <w:szCs w:val="24"/>
          <w:lang w:eastAsia="zh-CN"/>
        </w:rPr>
        <w:t xml:space="preserve">: </w:t>
      </w:r>
      <w:r w:rsidRPr="00DF543B">
        <w:rPr>
          <w:rFonts w:ascii="Book Antiqua" w:hAnsi="Book Antiqua"/>
          <w:color w:val="auto"/>
          <w:sz w:val="24"/>
          <w:szCs w:val="24"/>
        </w:rPr>
        <w:t>Spiliopoulos S, Vasiniotis Kamarinos N, Brountzos E. Current evidence of drug-elution therapy for infrapopliteal arterial disease</w:t>
      </w:r>
      <w:r w:rsidRPr="00DF543B">
        <w:rPr>
          <w:rFonts w:ascii="Book Antiqua" w:hAnsi="Book Antiqua"/>
          <w:color w:val="auto"/>
          <w:sz w:val="24"/>
          <w:szCs w:val="24"/>
          <w:lang w:eastAsia="zh-CN"/>
        </w:rPr>
        <w:t xml:space="preserve">. </w:t>
      </w:r>
      <w:r w:rsidRPr="00DF543B">
        <w:rPr>
          <w:rFonts w:ascii="Book Antiqua" w:hAnsi="Book Antiqua"/>
          <w:i/>
          <w:iCs/>
          <w:sz w:val="24"/>
          <w:szCs w:val="24"/>
        </w:rPr>
        <w:t>World J Cardiol</w:t>
      </w:r>
      <w:r w:rsidRPr="00DF543B">
        <w:rPr>
          <w:rFonts w:ascii="Book Antiqua" w:hAnsi="Book Antiqua"/>
          <w:sz w:val="24"/>
          <w:szCs w:val="24"/>
        </w:rPr>
        <w:t xml:space="preserve"> 2019; 11(1): </w:t>
      </w:r>
      <w:r>
        <w:rPr>
          <w:rFonts w:ascii="Book Antiqua" w:hAnsi="Book Antiqua" w:hint="eastAsia"/>
          <w:sz w:val="24"/>
          <w:szCs w:val="24"/>
          <w:lang w:eastAsia="zh-CN"/>
        </w:rPr>
        <w:t>13</w:t>
      </w:r>
      <w:r w:rsidRPr="00DF543B">
        <w:rPr>
          <w:rFonts w:ascii="Book Antiqua" w:hAnsi="Book Antiqua"/>
          <w:sz w:val="24"/>
          <w:szCs w:val="24"/>
        </w:rPr>
        <w:t>-</w:t>
      </w:r>
      <w:r>
        <w:rPr>
          <w:rFonts w:ascii="Book Antiqua" w:hAnsi="Book Antiqua" w:hint="eastAsia"/>
          <w:sz w:val="24"/>
          <w:szCs w:val="24"/>
          <w:lang w:eastAsia="zh-CN"/>
        </w:rPr>
        <w:t>23</w:t>
      </w:r>
      <w:r w:rsidRPr="00DF543B">
        <w:rPr>
          <w:rFonts w:ascii="Book Antiqua" w:hAnsi="Book Antiqua"/>
          <w:sz w:val="24"/>
          <w:szCs w:val="24"/>
        </w:rPr>
        <w:t xml:space="preserve">  </w:t>
      </w:r>
    </w:p>
    <w:p w14:paraId="71DA99A3" w14:textId="77777777" w:rsidR="00507133" w:rsidRDefault="00507133" w:rsidP="00507133">
      <w:pPr>
        <w:pStyle w:val="aa"/>
        <w:spacing w:line="360" w:lineRule="auto"/>
        <w:rPr>
          <w:rFonts w:ascii="Book Antiqua" w:hAnsi="Book Antiqua"/>
          <w:sz w:val="24"/>
          <w:szCs w:val="24"/>
          <w:lang w:eastAsia="zh-CN"/>
        </w:rPr>
      </w:pPr>
      <w:r w:rsidRPr="00507133">
        <w:rPr>
          <w:rFonts w:ascii="Book Antiqua" w:hAnsi="Book Antiqua"/>
          <w:b/>
          <w:sz w:val="24"/>
          <w:szCs w:val="24"/>
        </w:rPr>
        <w:t>URL</w:t>
      </w:r>
      <w:r w:rsidRPr="00DF543B">
        <w:rPr>
          <w:rFonts w:ascii="Book Antiqua" w:hAnsi="Book Antiqua"/>
          <w:sz w:val="24"/>
          <w:szCs w:val="24"/>
        </w:rPr>
        <w:t>: https://www.wjgnet.com/1949-8462/full/v11/i1/</w:t>
      </w:r>
      <w:r>
        <w:rPr>
          <w:rFonts w:ascii="Book Antiqua" w:hAnsi="Book Antiqua" w:hint="eastAsia"/>
          <w:sz w:val="24"/>
          <w:szCs w:val="24"/>
          <w:lang w:eastAsia="zh-CN"/>
        </w:rPr>
        <w:t>13</w:t>
      </w:r>
      <w:r w:rsidRPr="00DF543B">
        <w:rPr>
          <w:rFonts w:ascii="Book Antiqua" w:hAnsi="Book Antiqua"/>
          <w:sz w:val="24"/>
          <w:szCs w:val="24"/>
        </w:rPr>
        <w:t xml:space="preserve">.htm  </w:t>
      </w:r>
    </w:p>
    <w:p w14:paraId="214CCAE3" w14:textId="6A44F6CD" w:rsidR="00507133" w:rsidRPr="00DF543B" w:rsidRDefault="00507133" w:rsidP="00507133">
      <w:pPr>
        <w:pStyle w:val="aa"/>
        <w:spacing w:line="360" w:lineRule="auto"/>
        <w:rPr>
          <w:rFonts w:ascii="Book Antiqua" w:hAnsi="Book Antiqua"/>
          <w:szCs w:val="24"/>
          <w:lang w:eastAsia="zh-CN"/>
        </w:rPr>
      </w:pPr>
      <w:r w:rsidRPr="00507133">
        <w:rPr>
          <w:rFonts w:ascii="Book Antiqua" w:hAnsi="Book Antiqua"/>
          <w:b/>
          <w:sz w:val="24"/>
          <w:szCs w:val="24"/>
        </w:rPr>
        <w:t>DOI</w:t>
      </w:r>
      <w:r w:rsidRPr="00DF543B">
        <w:rPr>
          <w:rFonts w:ascii="Book Antiqua" w:hAnsi="Book Antiqua"/>
          <w:sz w:val="24"/>
          <w:szCs w:val="24"/>
        </w:rPr>
        <w:t>: https://dx.doi.org/</w:t>
      </w:r>
      <w:r w:rsidRPr="00DF543B">
        <w:rPr>
          <w:rFonts w:ascii="Book Antiqua" w:hAnsi="Book Antiqua"/>
          <w:sz w:val="24"/>
          <w:szCs w:val="24"/>
          <w:lang w:val="ko-KR"/>
        </w:rPr>
        <w:t>10.4330</w:t>
      </w:r>
      <w:r w:rsidRPr="00DF543B">
        <w:rPr>
          <w:rFonts w:ascii="Book Antiqua" w:hAnsi="Book Antiqua"/>
          <w:sz w:val="24"/>
          <w:szCs w:val="24"/>
        </w:rPr>
        <w:t>/wjc.v11.i1.</w:t>
      </w:r>
      <w:r>
        <w:rPr>
          <w:rFonts w:ascii="Book Antiqua" w:hAnsi="Book Antiqua" w:hint="eastAsia"/>
          <w:sz w:val="24"/>
          <w:szCs w:val="24"/>
          <w:lang w:eastAsia="zh-CN"/>
        </w:rPr>
        <w:t>13</w:t>
      </w:r>
    </w:p>
    <w:p w14:paraId="66A7DD67" w14:textId="77777777" w:rsidR="00110C9A" w:rsidRPr="00507133"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eastAsia="宋体" w:hAnsi="Book Antiqua"/>
          <w:color w:val="auto"/>
          <w:szCs w:val="24"/>
          <w:lang w:eastAsia="zh-CN"/>
        </w:rPr>
      </w:pPr>
    </w:p>
    <w:p w14:paraId="153C5C37" w14:textId="248BEB2A" w:rsidR="00AC6113" w:rsidRPr="00411A55" w:rsidRDefault="00110C9A" w:rsidP="003B6EBC">
      <w:pPr>
        <w:pStyle w:val="FreeForm"/>
        <w:snapToGrid w:val="0"/>
        <w:spacing w:line="360" w:lineRule="auto"/>
        <w:jc w:val="both"/>
        <w:rPr>
          <w:rFonts w:ascii="Book Antiqua" w:eastAsia="宋体" w:hAnsi="Book Antiqua"/>
          <w:b/>
          <w:color w:val="auto"/>
          <w:sz w:val="24"/>
          <w:szCs w:val="24"/>
          <w:lang w:val="en-US" w:eastAsia="zh-CN"/>
        </w:rPr>
      </w:pPr>
      <w:r w:rsidRPr="00411A55">
        <w:rPr>
          <w:rFonts w:ascii="Book Antiqua" w:hAnsi="Book Antiqua"/>
          <w:color w:val="auto"/>
          <w:sz w:val="24"/>
          <w:szCs w:val="24"/>
          <w:lang w:val="en-US"/>
        </w:rPr>
        <w:br w:type="page"/>
      </w:r>
      <w:r w:rsidR="00411A55" w:rsidRPr="00411A55">
        <w:rPr>
          <w:rFonts w:ascii="Book Antiqua" w:hAnsi="Book Antiqua"/>
          <w:b/>
          <w:color w:val="auto"/>
          <w:sz w:val="24"/>
          <w:szCs w:val="24"/>
          <w:lang w:val="en-US"/>
        </w:rPr>
        <w:lastRenderedPageBreak/>
        <w:t>INTRODUCTION</w:t>
      </w:r>
    </w:p>
    <w:p w14:paraId="47AA72BC" w14:textId="702AC6C4"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hAnsi="Book Antiqua"/>
          <w:color w:val="auto"/>
          <w:szCs w:val="24"/>
        </w:rPr>
      </w:pPr>
      <w:r w:rsidRPr="00411A55">
        <w:rPr>
          <w:rFonts w:ascii="Book Antiqua" w:hAnsi="Book Antiqua"/>
          <w:color w:val="auto"/>
          <w:szCs w:val="24"/>
        </w:rPr>
        <w:t>Infrapopliteal atherosclerotic arterial disease</w:t>
      </w:r>
      <w:r w:rsidR="007211CA">
        <w:rPr>
          <w:rFonts w:ascii="Book Antiqua" w:hAnsi="Book Antiqua"/>
          <w:color w:val="auto"/>
          <w:szCs w:val="24"/>
        </w:rPr>
        <w:t>,</w:t>
      </w:r>
      <w:r w:rsidRPr="00411A55">
        <w:rPr>
          <w:rFonts w:ascii="Book Antiqua" w:hAnsi="Book Antiqua"/>
          <w:color w:val="auto"/>
          <w:szCs w:val="24"/>
        </w:rPr>
        <w:t xml:space="preserve"> either alone or combined with aortoiliac and femoropopliteal vascular disease, is the leading cause of critical limb ischemia (CLI) and severe, lifestyle</w:t>
      </w:r>
      <w:r w:rsidR="007211CA">
        <w:rPr>
          <w:rFonts w:ascii="Book Antiqua" w:hAnsi="Book Antiqua"/>
          <w:color w:val="auto"/>
          <w:szCs w:val="24"/>
        </w:rPr>
        <w:t>-</w:t>
      </w:r>
      <w:r w:rsidRPr="00411A55">
        <w:rPr>
          <w:rFonts w:ascii="Book Antiqua" w:hAnsi="Book Antiqua"/>
          <w:color w:val="auto"/>
          <w:szCs w:val="24"/>
        </w:rPr>
        <w:t>limiting, intermittent claudication (IC</w:t>
      </w:r>
      <w:proofErr w:type="gramStart"/>
      <w:r w:rsidRPr="00411A55">
        <w:rPr>
          <w:rFonts w:ascii="Book Antiqua" w:hAnsi="Book Antiqua"/>
          <w:color w:val="auto"/>
          <w:szCs w:val="24"/>
        </w:rPr>
        <w:t>)</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1]</w:t>
      </w:r>
      <w:r w:rsidRPr="00411A55">
        <w:rPr>
          <w:rFonts w:ascii="Book Antiqua" w:hAnsi="Book Antiqua"/>
          <w:color w:val="auto"/>
          <w:szCs w:val="24"/>
        </w:rPr>
        <w:t>. In the western population, the incidence of infrapopliteal disease is strongly correlated with the prevalence of diabetes mellitus</w:t>
      </w:r>
      <w:r w:rsidR="007211CA">
        <w:rPr>
          <w:rFonts w:ascii="Book Antiqua" w:hAnsi="Book Antiqua"/>
          <w:color w:val="auto"/>
          <w:szCs w:val="24"/>
        </w:rPr>
        <w:t>,</w:t>
      </w:r>
      <w:r w:rsidRPr="00411A55">
        <w:rPr>
          <w:rFonts w:ascii="Book Antiqua" w:hAnsi="Book Antiqua"/>
          <w:color w:val="auto"/>
          <w:szCs w:val="24"/>
        </w:rPr>
        <w:t xml:space="preserve"> and is continuously rising due to increase</w:t>
      </w:r>
      <w:r w:rsidR="007211CA">
        <w:rPr>
          <w:rFonts w:ascii="Book Antiqua" w:hAnsi="Book Antiqua"/>
          <w:color w:val="auto"/>
          <w:szCs w:val="24"/>
        </w:rPr>
        <w:t>d</w:t>
      </w:r>
      <w:r w:rsidRPr="00411A55">
        <w:rPr>
          <w:rFonts w:ascii="Book Antiqua" w:hAnsi="Book Antiqua"/>
          <w:color w:val="auto"/>
          <w:szCs w:val="24"/>
        </w:rPr>
        <w:t xml:space="preserve"> life expectancy in developed </w:t>
      </w:r>
      <w:proofErr w:type="gramStart"/>
      <w:r w:rsidRPr="00411A55">
        <w:rPr>
          <w:rFonts w:ascii="Book Antiqua" w:hAnsi="Book Antiqua"/>
          <w:color w:val="auto"/>
          <w:szCs w:val="24"/>
        </w:rPr>
        <w:t>countries</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2]</w:t>
      </w:r>
      <w:r w:rsidRPr="00411A55">
        <w:rPr>
          <w:rFonts w:ascii="Book Antiqua" w:hAnsi="Book Antiqua"/>
          <w:color w:val="auto"/>
          <w:szCs w:val="24"/>
        </w:rPr>
        <w:t>. Foot ulceration with tissue loss and gangrene are some of the manifestations of CLI</w:t>
      </w:r>
      <w:r w:rsidR="003662DC">
        <w:rPr>
          <w:rFonts w:ascii="Book Antiqua" w:hAnsi="Book Antiqua"/>
          <w:color w:val="auto"/>
          <w:szCs w:val="24"/>
        </w:rPr>
        <w:t>,</w:t>
      </w:r>
      <w:r w:rsidRPr="00411A55">
        <w:rPr>
          <w:rFonts w:ascii="Book Antiqua" w:hAnsi="Book Antiqua"/>
          <w:color w:val="auto"/>
          <w:szCs w:val="24"/>
        </w:rPr>
        <w:t xml:space="preserve"> which may lead to major amputation if the affected arteries are not </w:t>
      </w:r>
      <w:r w:rsidR="003662DC" w:rsidRPr="00411A55">
        <w:rPr>
          <w:rFonts w:ascii="Book Antiqua" w:hAnsi="Book Antiqua"/>
          <w:color w:val="auto"/>
          <w:szCs w:val="24"/>
        </w:rPr>
        <w:t xml:space="preserve">promptly </w:t>
      </w:r>
      <w:proofErr w:type="gramStart"/>
      <w:r w:rsidRPr="00411A55">
        <w:rPr>
          <w:rFonts w:ascii="Book Antiqua" w:hAnsi="Book Antiqua"/>
          <w:color w:val="auto"/>
          <w:szCs w:val="24"/>
        </w:rPr>
        <w:t>revascularized</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3]</w:t>
      </w:r>
      <w:r w:rsidRPr="00411A55">
        <w:rPr>
          <w:rFonts w:ascii="Book Antiqua" w:hAnsi="Book Antiqua"/>
          <w:color w:val="auto"/>
          <w:szCs w:val="24"/>
        </w:rPr>
        <w:t>. CLI is considered to be responsible for approximately 90% of the major amputations performed worldwide</w:t>
      </w:r>
      <w:r w:rsidR="00600481">
        <w:rPr>
          <w:rFonts w:ascii="Book Antiqua" w:hAnsi="Book Antiqua"/>
          <w:color w:val="auto"/>
          <w:szCs w:val="24"/>
        </w:rPr>
        <w:t>,</w:t>
      </w:r>
      <w:r w:rsidRPr="00411A55">
        <w:rPr>
          <w:rFonts w:ascii="Book Antiqua" w:hAnsi="Book Antiqua"/>
          <w:color w:val="auto"/>
          <w:szCs w:val="24"/>
        </w:rPr>
        <w:t xml:space="preserve"> and is a significant cause of morbidity and </w:t>
      </w:r>
      <w:proofErr w:type="gramStart"/>
      <w:r w:rsidRPr="00411A55">
        <w:rPr>
          <w:rFonts w:ascii="Book Antiqua" w:hAnsi="Book Antiqua"/>
          <w:color w:val="auto"/>
          <w:szCs w:val="24"/>
        </w:rPr>
        <w:t>mortality</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2,3]</w:t>
      </w:r>
      <w:r w:rsidRPr="00411A55">
        <w:rPr>
          <w:rFonts w:ascii="Book Antiqua" w:hAnsi="Book Antiqua"/>
          <w:color w:val="auto"/>
          <w:szCs w:val="24"/>
        </w:rPr>
        <w:t>. In diabetic patients, CLI represents a medical emergency</w:t>
      </w:r>
      <w:r w:rsidR="00600481">
        <w:rPr>
          <w:rFonts w:ascii="Book Antiqua" w:hAnsi="Book Antiqua"/>
          <w:color w:val="auto"/>
          <w:szCs w:val="24"/>
        </w:rPr>
        <w:t>,</w:t>
      </w:r>
      <w:r w:rsidRPr="00411A55">
        <w:rPr>
          <w:rFonts w:ascii="Book Antiqua" w:hAnsi="Book Antiqua"/>
          <w:color w:val="auto"/>
          <w:szCs w:val="24"/>
        </w:rPr>
        <w:t xml:space="preserve"> as the concomitant foot architectural changes and potential infections can rapidly compromise limb </w:t>
      </w:r>
      <w:proofErr w:type="gramStart"/>
      <w:r w:rsidRPr="00411A55">
        <w:rPr>
          <w:rFonts w:ascii="Book Antiqua" w:hAnsi="Book Antiqua"/>
          <w:color w:val="auto"/>
          <w:szCs w:val="24"/>
        </w:rPr>
        <w:t>salvage</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4]</w:t>
      </w:r>
      <w:r w:rsidRPr="00411A55">
        <w:rPr>
          <w:rFonts w:ascii="Book Antiqua" w:hAnsi="Book Antiqua"/>
          <w:color w:val="auto"/>
          <w:szCs w:val="24"/>
        </w:rPr>
        <w:t xml:space="preserve">. Besides, the long vessel occlusions combined with poor distal runoff, prevalent in diabetic CLI patients, represent a considerable challenge for healthcare </w:t>
      </w:r>
      <w:proofErr w:type="gramStart"/>
      <w:r w:rsidRPr="00411A55">
        <w:rPr>
          <w:rFonts w:ascii="Book Antiqua" w:hAnsi="Book Antiqua"/>
          <w:color w:val="auto"/>
          <w:szCs w:val="24"/>
        </w:rPr>
        <w:t>specialists</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5]</w:t>
      </w:r>
      <w:r w:rsidRPr="00411A55">
        <w:rPr>
          <w:rFonts w:ascii="Book Antiqua" w:hAnsi="Book Antiqua"/>
          <w:color w:val="auto"/>
          <w:szCs w:val="24"/>
        </w:rPr>
        <w:t>.</w:t>
      </w:r>
    </w:p>
    <w:p w14:paraId="71007E72" w14:textId="156D49D5" w:rsidR="00110C9A" w:rsidRPr="00411A55" w:rsidRDefault="00A93C53"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ind w:firstLineChars="100" w:firstLine="240"/>
        <w:jc w:val="both"/>
        <w:rPr>
          <w:rFonts w:ascii="Book Antiqua" w:hAnsi="Book Antiqua"/>
          <w:color w:val="auto"/>
          <w:szCs w:val="24"/>
        </w:rPr>
      </w:pPr>
      <w:r w:rsidRPr="00411A55">
        <w:rPr>
          <w:rFonts w:ascii="Book Antiqua" w:hAnsi="Book Antiqua"/>
          <w:color w:val="auto"/>
          <w:szCs w:val="24"/>
        </w:rPr>
        <w:t>Patients with ischemic rest pain, diabetic or non-healing foot ulcers</w:t>
      </w:r>
      <w:r w:rsidR="00406225">
        <w:rPr>
          <w:rFonts w:ascii="Book Antiqua" w:hAnsi="Book Antiqua"/>
          <w:color w:val="auto"/>
          <w:szCs w:val="24"/>
        </w:rPr>
        <w:t>,</w:t>
      </w:r>
      <w:r w:rsidRPr="00411A55">
        <w:rPr>
          <w:rFonts w:ascii="Book Antiqua" w:hAnsi="Book Antiqua"/>
          <w:color w:val="auto"/>
          <w:szCs w:val="24"/>
        </w:rPr>
        <w:t xml:space="preserve"> or gangrene involving any portion of the lower limbs should be evaluated with the WIFI classification system that assesses the three primary factors contribut</w:t>
      </w:r>
      <w:r w:rsidR="00600481">
        <w:rPr>
          <w:rFonts w:ascii="Book Antiqua" w:hAnsi="Book Antiqua"/>
          <w:color w:val="auto"/>
          <w:szCs w:val="24"/>
        </w:rPr>
        <w:t>ing</w:t>
      </w:r>
      <w:r w:rsidRPr="00411A55">
        <w:rPr>
          <w:rFonts w:ascii="Book Antiqua" w:hAnsi="Book Antiqua"/>
          <w:color w:val="auto"/>
          <w:szCs w:val="24"/>
        </w:rPr>
        <w:t xml:space="preserve"> to limb threat</w:t>
      </w:r>
      <w:r w:rsidR="00600481">
        <w:rPr>
          <w:rFonts w:ascii="Book Antiqua" w:hAnsi="Book Antiqua"/>
          <w:color w:val="auto"/>
          <w:szCs w:val="24"/>
        </w:rPr>
        <w:t xml:space="preserve"> risk</w:t>
      </w:r>
      <w:r w:rsidRPr="00411A55">
        <w:rPr>
          <w:rFonts w:ascii="Book Antiqua" w:hAnsi="Book Antiqua"/>
          <w:color w:val="auto"/>
          <w:szCs w:val="24"/>
        </w:rPr>
        <w:t xml:space="preserve">: wound (W), </w:t>
      </w:r>
      <w:r w:rsidR="00673A80" w:rsidRPr="00411A55">
        <w:rPr>
          <w:rFonts w:ascii="Book Antiqua" w:hAnsi="Book Antiqua"/>
          <w:color w:val="auto"/>
          <w:szCs w:val="24"/>
        </w:rPr>
        <w:t>ischemia</w:t>
      </w:r>
      <w:r w:rsidRPr="00411A55">
        <w:rPr>
          <w:rFonts w:ascii="Book Antiqua" w:hAnsi="Book Antiqua"/>
          <w:color w:val="auto"/>
          <w:szCs w:val="24"/>
        </w:rPr>
        <w:t xml:space="preserve"> (I) and foot infection (FI)</w:t>
      </w:r>
      <w:r w:rsidRPr="00B712F0">
        <w:rPr>
          <w:rFonts w:ascii="Book Antiqua" w:hAnsi="Book Antiqua"/>
          <w:color w:val="auto"/>
          <w:szCs w:val="24"/>
          <w:vertAlign w:val="superscript"/>
        </w:rPr>
        <w:t>[</w:t>
      </w:r>
      <w:r w:rsidRPr="00411A55">
        <w:rPr>
          <w:rFonts w:ascii="Book Antiqua" w:hAnsi="Book Antiqua"/>
          <w:color w:val="auto"/>
          <w:szCs w:val="24"/>
          <w:vertAlign w:val="superscript"/>
        </w:rPr>
        <w:t>6,7]</w:t>
      </w:r>
      <w:r w:rsidRPr="00411A55">
        <w:rPr>
          <w:rFonts w:ascii="Book Antiqua" w:hAnsi="Book Antiqua"/>
          <w:color w:val="auto"/>
          <w:szCs w:val="24"/>
        </w:rPr>
        <w:t xml:space="preserve">. After considering these components and staging each patient, revascularization should be </w:t>
      </w:r>
      <w:proofErr w:type="gramStart"/>
      <w:r w:rsidRPr="00411A55">
        <w:rPr>
          <w:rFonts w:ascii="Book Antiqua" w:hAnsi="Book Antiqua"/>
          <w:color w:val="auto"/>
          <w:szCs w:val="24"/>
        </w:rPr>
        <w:t>attempted</w:t>
      </w:r>
      <w:r w:rsidR="000F08DA" w:rsidRPr="00411A55">
        <w:rPr>
          <w:rFonts w:ascii="Book Antiqua" w:hAnsi="Book Antiqua"/>
          <w:color w:val="auto"/>
          <w:szCs w:val="24"/>
          <w:vertAlign w:val="superscript"/>
        </w:rPr>
        <w:t>[</w:t>
      </w:r>
      <w:proofErr w:type="gramEnd"/>
      <w:r w:rsidR="000F08DA" w:rsidRPr="00411A55">
        <w:rPr>
          <w:rFonts w:ascii="Book Antiqua" w:hAnsi="Book Antiqua"/>
          <w:color w:val="auto"/>
          <w:szCs w:val="24"/>
          <w:vertAlign w:val="superscript"/>
        </w:rPr>
        <w:t>7]</w:t>
      </w:r>
      <w:r w:rsidRPr="00411A55">
        <w:rPr>
          <w:rFonts w:ascii="Book Antiqua" w:hAnsi="Book Antiqua"/>
          <w:color w:val="auto"/>
          <w:szCs w:val="24"/>
        </w:rPr>
        <w:t>.</w:t>
      </w:r>
      <w:r w:rsidRPr="00411A55">
        <w:rPr>
          <w:rFonts w:ascii="Book Antiqua" w:hAnsi="Book Antiqua"/>
          <w:color w:val="auto"/>
          <w:szCs w:val="24"/>
          <w:vertAlign w:val="superscript"/>
        </w:rPr>
        <w:t xml:space="preserve"> </w:t>
      </w:r>
      <w:r w:rsidRPr="00411A55">
        <w:rPr>
          <w:rFonts w:ascii="Book Antiqua" w:hAnsi="Book Antiqua"/>
          <w:color w:val="auto"/>
          <w:szCs w:val="24"/>
        </w:rPr>
        <w:t>The WIFI classification system is depicted in Table 1.</w:t>
      </w:r>
      <w:r w:rsidR="00411A55">
        <w:rPr>
          <w:rFonts w:ascii="Book Antiqua" w:hAnsi="Book Antiqua"/>
          <w:color w:val="auto"/>
          <w:szCs w:val="24"/>
        </w:rPr>
        <w:t xml:space="preserve"> </w:t>
      </w:r>
      <w:r w:rsidR="00110C9A" w:rsidRPr="00411A55">
        <w:rPr>
          <w:rFonts w:ascii="Book Antiqua" w:hAnsi="Book Antiqua"/>
          <w:color w:val="auto"/>
          <w:szCs w:val="24"/>
        </w:rPr>
        <w:t xml:space="preserve">Femorodistal below-the-knee (BTK) bypass surgery with autologous vein grafts has been established </w:t>
      </w:r>
      <w:r w:rsidR="00406225" w:rsidRPr="00411A55">
        <w:rPr>
          <w:rFonts w:ascii="Book Antiqua" w:hAnsi="Book Antiqua"/>
          <w:color w:val="auto"/>
          <w:szCs w:val="24"/>
        </w:rPr>
        <w:t xml:space="preserve">in the past </w:t>
      </w:r>
      <w:r w:rsidR="00110C9A" w:rsidRPr="00411A55">
        <w:rPr>
          <w:rFonts w:ascii="Book Antiqua" w:hAnsi="Book Antiqua"/>
          <w:color w:val="auto"/>
          <w:szCs w:val="24"/>
        </w:rPr>
        <w:t xml:space="preserve">as the gold standard treatment for </w:t>
      </w:r>
      <w:proofErr w:type="gramStart"/>
      <w:r w:rsidR="00110C9A" w:rsidRPr="00411A55">
        <w:rPr>
          <w:rFonts w:ascii="Book Antiqua" w:hAnsi="Book Antiqua"/>
          <w:color w:val="auto"/>
          <w:szCs w:val="24"/>
        </w:rPr>
        <w:t>CLI</w:t>
      </w:r>
      <w:r w:rsidR="00110C9A" w:rsidRPr="00411A55">
        <w:rPr>
          <w:rFonts w:ascii="Book Antiqua" w:hAnsi="Book Antiqua"/>
          <w:color w:val="auto"/>
          <w:szCs w:val="24"/>
          <w:vertAlign w:val="superscript"/>
        </w:rPr>
        <w:t>[</w:t>
      </w:r>
      <w:proofErr w:type="gramEnd"/>
      <w:r w:rsidR="00110C9A" w:rsidRPr="00411A55">
        <w:rPr>
          <w:rFonts w:ascii="Book Antiqua" w:hAnsi="Book Antiqua"/>
          <w:color w:val="auto"/>
          <w:szCs w:val="24"/>
          <w:vertAlign w:val="superscript"/>
        </w:rPr>
        <w:t>2]</w:t>
      </w:r>
      <w:r w:rsidR="00110C9A" w:rsidRPr="00411A55">
        <w:rPr>
          <w:rFonts w:ascii="Book Antiqua" w:hAnsi="Book Antiqua"/>
          <w:color w:val="auto"/>
          <w:szCs w:val="24"/>
        </w:rPr>
        <w:t>.</w:t>
      </w:r>
      <w:r w:rsidR="00411A55">
        <w:rPr>
          <w:rFonts w:ascii="Book Antiqua" w:hAnsi="Book Antiqua"/>
          <w:color w:val="auto"/>
          <w:szCs w:val="24"/>
        </w:rPr>
        <w:t xml:space="preserve"> </w:t>
      </w:r>
      <w:r w:rsidR="00110C9A" w:rsidRPr="00411A55">
        <w:rPr>
          <w:rFonts w:ascii="Book Antiqua" w:hAnsi="Book Antiqua"/>
          <w:color w:val="auto"/>
          <w:szCs w:val="24"/>
        </w:rPr>
        <w:t xml:space="preserve">However, the </w:t>
      </w:r>
      <w:proofErr w:type="gramStart"/>
      <w:r w:rsidR="00110C9A" w:rsidRPr="00411A55">
        <w:rPr>
          <w:rFonts w:ascii="Book Antiqua" w:hAnsi="Book Antiqua"/>
          <w:color w:val="auto"/>
          <w:szCs w:val="24"/>
        </w:rPr>
        <w:t>presence of various underlying comorbidities</w:t>
      </w:r>
      <w:r w:rsidR="00FE0D89">
        <w:rPr>
          <w:rFonts w:ascii="Book Antiqua" w:hAnsi="Book Antiqua"/>
          <w:color w:val="auto"/>
          <w:szCs w:val="24"/>
        </w:rPr>
        <w:t>,</w:t>
      </w:r>
      <w:r w:rsidR="00110C9A" w:rsidRPr="00411A55">
        <w:rPr>
          <w:rFonts w:ascii="Book Antiqua" w:hAnsi="Book Antiqua"/>
          <w:color w:val="auto"/>
          <w:szCs w:val="24"/>
        </w:rPr>
        <w:t xml:space="preserve"> </w:t>
      </w:r>
      <w:r w:rsidR="00FE0D89">
        <w:rPr>
          <w:rFonts w:ascii="Book Antiqua" w:hAnsi="Book Antiqua"/>
          <w:color w:val="auto"/>
          <w:szCs w:val="24"/>
        </w:rPr>
        <w:t>as well as</w:t>
      </w:r>
      <w:r w:rsidR="00110C9A" w:rsidRPr="00411A55">
        <w:rPr>
          <w:rFonts w:ascii="Book Antiqua" w:hAnsi="Book Antiqua"/>
          <w:color w:val="auto"/>
          <w:szCs w:val="24"/>
        </w:rPr>
        <w:t xml:space="preserve"> the scarcity of non-diseased donor and run-off vessels</w:t>
      </w:r>
      <w:r w:rsidR="00377E9D">
        <w:rPr>
          <w:rFonts w:ascii="Book Antiqua" w:hAnsi="Book Antiqua"/>
          <w:color w:val="auto"/>
          <w:szCs w:val="24"/>
        </w:rPr>
        <w:t>,</w:t>
      </w:r>
      <w:r w:rsidR="00F70C55">
        <w:rPr>
          <w:rFonts w:ascii="Book Antiqua" w:hAnsi="Book Antiqua"/>
          <w:color w:val="auto"/>
          <w:szCs w:val="24"/>
        </w:rPr>
        <w:t xml:space="preserve"> </w:t>
      </w:r>
      <w:r w:rsidR="00110C9A" w:rsidRPr="00411A55">
        <w:rPr>
          <w:rFonts w:ascii="Book Antiqua" w:hAnsi="Book Antiqua"/>
          <w:color w:val="auto"/>
          <w:szCs w:val="24"/>
        </w:rPr>
        <w:t>render</w:t>
      </w:r>
      <w:proofErr w:type="gramEnd"/>
      <w:r w:rsidR="00110C9A" w:rsidRPr="00411A55">
        <w:rPr>
          <w:rFonts w:ascii="Book Antiqua" w:hAnsi="Book Antiqua"/>
          <w:color w:val="auto"/>
          <w:szCs w:val="24"/>
        </w:rPr>
        <w:t xml:space="preserve"> a significant number of CLI patients unsuitable for surgery. </w:t>
      </w:r>
      <w:r w:rsidR="00377E9D">
        <w:rPr>
          <w:rFonts w:ascii="Book Antiqua" w:hAnsi="Book Antiqua"/>
          <w:color w:val="auto"/>
          <w:szCs w:val="24"/>
        </w:rPr>
        <w:t>D</w:t>
      </w:r>
      <w:r w:rsidR="00632052" w:rsidRPr="00411A55">
        <w:rPr>
          <w:rFonts w:ascii="Book Antiqua" w:hAnsi="Book Antiqua"/>
          <w:color w:val="auto"/>
          <w:szCs w:val="24"/>
        </w:rPr>
        <w:t xml:space="preserve">irect comparison data between bypass surgery </w:t>
      </w:r>
      <w:r w:rsidR="000D7777" w:rsidRPr="00411A55">
        <w:rPr>
          <w:rFonts w:ascii="Book Antiqua" w:hAnsi="Book Antiqua"/>
          <w:color w:val="auto"/>
          <w:szCs w:val="24"/>
        </w:rPr>
        <w:t xml:space="preserve">and percutaneous </w:t>
      </w:r>
      <w:r w:rsidR="00377E9D">
        <w:rPr>
          <w:rFonts w:ascii="Book Antiqua" w:hAnsi="Book Antiqua"/>
          <w:color w:val="auto"/>
          <w:szCs w:val="24"/>
        </w:rPr>
        <w:t xml:space="preserve">BTK </w:t>
      </w:r>
      <w:r w:rsidR="000D7777" w:rsidRPr="00411A55">
        <w:rPr>
          <w:rFonts w:ascii="Book Antiqua" w:hAnsi="Book Antiqua"/>
          <w:color w:val="auto"/>
          <w:szCs w:val="24"/>
        </w:rPr>
        <w:t xml:space="preserve">procedures </w:t>
      </w:r>
      <w:r w:rsidR="00632052" w:rsidRPr="00411A55">
        <w:rPr>
          <w:rFonts w:ascii="Book Antiqua" w:hAnsi="Book Antiqua"/>
          <w:color w:val="auto"/>
          <w:szCs w:val="24"/>
        </w:rPr>
        <w:t xml:space="preserve">are limited, </w:t>
      </w:r>
      <w:r w:rsidR="00A87F6E" w:rsidRPr="00411A55">
        <w:rPr>
          <w:rFonts w:ascii="Book Antiqua" w:hAnsi="Book Antiqua"/>
          <w:color w:val="auto"/>
          <w:szCs w:val="24"/>
        </w:rPr>
        <w:t>with only one randomized multi-center trial available in the literature</w:t>
      </w:r>
      <w:r w:rsidR="00377E9D">
        <w:rPr>
          <w:rFonts w:ascii="Book Antiqua" w:hAnsi="Book Antiqua"/>
          <w:color w:val="auto"/>
          <w:szCs w:val="24"/>
        </w:rPr>
        <w:t>. Nevertheless,</w:t>
      </w:r>
      <w:r w:rsidR="00A87F6E" w:rsidRPr="00411A55">
        <w:rPr>
          <w:rFonts w:ascii="Book Antiqua" w:hAnsi="Book Antiqua"/>
          <w:color w:val="auto"/>
          <w:szCs w:val="24"/>
        </w:rPr>
        <w:t xml:space="preserve"> </w:t>
      </w:r>
      <w:r w:rsidR="00632052" w:rsidRPr="00411A55">
        <w:rPr>
          <w:rFonts w:ascii="Book Antiqua" w:hAnsi="Book Antiqua"/>
          <w:color w:val="auto"/>
          <w:szCs w:val="24"/>
        </w:rPr>
        <w:t>the evolution of interventional techniques</w:t>
      </w:r>
      <w:r w:rsidR="00377E9D">
        <w:rPr>
          <w:rFonts w:ascii="Book Antiqua" w:hAnsi="Book Antiqua"/>
          <w:color w:val="auto"/>
          <w:szCs w:val="24"/>
        </w:rPr>
        <w:t>,</w:t>
      </w:r>
      <w:r w:rsidR="00632052" w:rsidRPr="00411A55">
        <w:rPr>
          <w:rFonts w:ascii="Book Antiqua" w:hAnsi="Book Antiqua"/>
          <w:color w:val="auto"/>
          <w:szCs w:val="24"/>
        </w:rPr>
        <w:t xml:space="preserve"> along with the development of novel devices, contributed to a paradigm shift in </w:t>
      </w:r>
      <w:r w:rsidR="00377E9D">
        <w:rPr>
          <w:rFonts w:ascii="Book Antiqua" w:hAnsi="Book Antiqua"/>
          <w:color w:val="auto"/>
          <w:szCs w:val="24"/>
        </w:rPr>
        <w:t>CLI</w:t>
      </w:r>
      <w:r w:rsidR="00377E9D" w:rsidRPr="00411A55">
        <w:rPr>
          <w:rFonts w:ascii="Book Antiqua" w:hAnsi="Book Antiqua"/>
          <w:color w:val="auto"/>
          <w:szCs w:val="24"/>
        </w:rPr>
        <w:t xml:space="preserve"> </w:t>
      </w:r>
      <w:r w:rsidR="00632052" w:rsidRPr="00411A55">
        <w:rPr>
          <w:rFonts w:ascii="Book Antiqua" w:hAnsi="Book Antiqua"/>
          <w:color w:val="auto"/>
          <w:szCs w:val="24"/>
        </w:rPr>
        <w:t xml:space="preserve">treatment; nowadays endovascular methods can be used for multiple vessel recanalization </w:t>
      </w:r>
      <w:r w:rsidR="0010162F" w:rsidRPr="00411A55">
        <w:rPr>
          <w:rFonts w:ascii="Book Antiqua" w:hAnsi="Book Antiqua"/>
          <w:color w:val="auto"/>
          <w:szCs w:val="24"/>
        </w:rPr>
        <w:t xml:space="preserve">and </w:t>
      </w:r>
      <w:r w:rsidR="0010162F" w:rsidRPr="00411A55">
        <w:rPr>
          <w:rFonts w:ascii="Book Antiqua" w:hAnsi="Book Antiqua"/>
          <w:color w:val="auto"/>
          <w:szCs w:val="24"/>
        </w:rPr>
        <w:lastRenderedPageBreak/>
        <w:t xml:space="preserve">are related </w:t>
      </w:r>
      <w:r w:rsidR="009A3B0A">
        <w:rPr>
          <w:rFonts w:ascii="Book Antiqua" w:hAnsi="Book Antiqua"/>
          <w:color w:val="auto"/>
          <w:szCs w:val="24"/>
        </w:rPr>
        <w:t>to</w:t>
      </w:r>
      <w:r w:rsidR="009A3B0A" w:rsidRPr="00411A55">
        <w:rPr>
          <w:rFonts w:ascii="Book Antiqua" w:hAnsi="Book Antiqua"/>
          <w:color w:val="auto"/>
          <w:szCs w:val="24"/>
        </w:rPr>
        <w:t xml:space="preserve"> </w:t>
      </w:r>
      <w:r w:rsidR="0010162F" w:rsidRPr="00411A55">
        <w:rPr>
          <w:rFonts w:ascii="Book Antiqua" w:hAnsi="Book Antiqua"/>
          <w:color w:val="auto"/>
          <w:szCs w:val="24"/>
        </w:rPr>
        <w:t xml:space="preserve">comparable clinical outcomes </w:t>
      </w:r>
      <w:r w:rsidR="008C2446">
        <w:rPr>
          <w:rFonts w:ascii="Book Antiqua" w:hAnsi="Book Antiqua"/>
          <w:color w:val="auto"/>
          <w:szCs w:val="24"/>
        </w:rPr>
        <w:t>for</w:t>
      </w:r>
      <w:r w:rsidR="0010162F" w:rsidRPr="00411A55">
        <w:rPr>
          <w:rFonts w:ascii="Book Antiqua" w:hAnsi="Book Antiqua"/>
          <w:color w:val="auto"/>
          <w:szCs w:val="24"/>
        </w:rPr>
        <w:t xml:space="preserve"> </w:t>
      </w:r>
      <w:r w:rsidR="00632052" w:rsidRPr="00411A55">
        <w:rPr>
          <w:rFonts w:ascii="Book Antiqua" w:hAnsi="Book Antiqua"/>
          <w:color w:val="auto"/>
          <w:szCs w:val="24"/>
        </w:rPr>
        <w:t xml:space="preserve">open </w:t>
      </w:r>
      <w:proofErr w:type="gramStart"/>
      <w:r w:rsidR="00632052" w:rsidRPr="00411A55">
        <w:rPr>
          <w:rFonts w:ascii="Book Antiqua" w:hAnsi="Book Antiqua"/>
          <w:color w:val="auto"/>
          <w:szCs w:val="24"/>
        </w:rPr>
        <w:t>surgery</w:t>
      </w:r>
      <w:r w:rsidR="00632052" w:rsidRPr="00411A55">
        <w:rPr>
          <w:rFonts w:ascii="Book Antiqua" w:hAnsi="Book Antiqua"/>
          <w:color w:val="auto"/>
          <w:szCs w:val="24"/>
          <w:vertAlign w:val="superscript"/>
        </w:rPr>
        <w:t>[</w:t>
      </w:r>
      <w:proofErr w:type="gramEnd"/>
      <w:r w:rsidR="00632052" w:rsidRPr="00411A55">
        <w:rPr>
          <w:rFonts w:ascii="Book Antiqua" w:hAnsi="Book Antiqua"/>
          <w:color w:val="auto"/>
          <w:szCs w:val="24"/>
          <w:vertAlign w:val="superscript"/>
        </w:rPr>
        <w:t>3,8-10]</w:t>
      </w:r>
      <w:r w:rsidR="002B5C16">
        <w:rPr>
          <w:rFonts w:ascii="Book Antiqua" w:eastAsia="宋体" w:hAnsi="Book Antiqua" w:hint="eastAsia"/>
          <w:color w:val="auto"/>
          <w:szCs w:val="24"/>
          <w:lang w:eastAsia="zh-CN"/>
        </w:rPr>
        <w:t>.</w:t>
      </w:r>
      <w:r w:rsidR="00632052" w:rsidRPr="00411A55">
        <w:rPr>
          <w:rFonts w:ascii="Book Antiqua" w:hAnsi="Book Antiqua"/>
          <w:color w:val="auto"/>
          <w:szCs w:val="24"/>
        </w:rPr>
        <w:t xml:space="preserve"> </w:t>
      </w:r>
      <w:r w:rsidR="00110C9A" w:rsidRPr="00411A55">
        <w:rPr>
          <w:rFonts w:ascii="Book Antiqua" w:hAnsi="Book Antiqua"/>
          <w:color w:val="auto"/>
          <w:szCs w:val="24"/>
        </w:rPr>
        <w:t>Endovascular revascularization, by virtue of its minimally</w:t>
      </w:r>
      <w:r w:rsidR="00D15C76">
        <w:rPr>
          <w:rFonts w:ascii="Book Antiqua" w:hAnsi="Book Antiqua"/>
          <w:color w:val="auto"/>
          <w:szCs w:val="24"/>
        </w:rPr>
        <w:t>-</w:t>
      </w:r>
      <w:r w:rsidR="00110C9A" w:rsidRPr="00411A55">
        <w:rPr>
          <w:rFonts w:ascii="Book Antiqua" w:hAnsi="Book Antiqua"/>
          <w:color w:val="auto"/>
          <w:szCs w:val="24"/>
        </w:rPr>
        <w:t>invasive nature, is characterized by decreased perioperative complications and cardiovascular stress that result in</w:t>
      </w:r>
      <w:r w:rsidR="00FD4513">
        <w:rPr>
          <w:rFonts w:ascii="Book Antiqua" w:hAnsi="Book Antiqua"/>
          <w:color w:val="auto"/>
          <w:szCs w:val="24"/>
        </w:rPr>
        <w:t xml:space="preserve"> both</w:t>
      </w:r>
      <w:r w:rsidR="00110C9A" w:rsidRPr="00411A55">
        <w:rPr>
          <w:rFonts w:ascii="Book Antiqua" w:hAnsi="Book Antiqua"/>
          <w:color w:val="auto"/>
          <w:szCs w:val="24"/>
        </w:rPr>
        <w:t xml:space="preserve"> shorter hospital stays</w:t>
      </w:r>
      <w:r w:rsidR="00FD4513">
        <w:rPr>
          <w:rFonts w:ascii="Book Antiqua" w:hAnsi="Book Antiqua"/>
          <w:color w:val="auto"/>
          <w:szCs w:val="24"/>
        </w:rPr>
        <w:t xml:space="preserve"> </w:t>
      </w:r>
      <w:r w:rsidR="00D15C76">
        <w:rPr>
          <w:rFonts w:ascii="Book Antiqua" w:hAnsi="Book Antiqua"/>
          <w:color w:val="auto"/>
          <w:szCs w:val="24"/>
        </w:rPr>
        <w:t xml:space="preserve">as well as </w:t>
      </w:r>
      <w:r w:rsidR="00110C9A" w:rsidRPr="00411A55">
        <w:rPr>
          <w:rFonts w:ascii="Book Antiqua" w:hAnsi="Book Antiqua"/>
          <w:color w:val="auto"/>
          <w:szCs w:val="24"/>
        </w:rPr>
        <w:t xml:space="preserve">low morbidity and </w:t>
      </w:r>
      <w:proofErr w:type="gramStart"/>
      <w:r w:rsidR="00110C9A" w:rsidRPr="00411A55">
        <w:rPr>
          <w:rFonts w:ascii="Book Antiqua" w:hAnsi="Book Antiqua"/>
          <w:color w:val="auto"/>
          <w:szCs w:val="24"/>
        </w:rPr>
        <w:t>mortality</w:t>
      </w:r>
      <w:r w:rsidR="00110C9A" w:rsidRPr="00411A55">
        <w:rPr>
          <w:rFonts w:ascii="Book Antiqua" w:hAnsi="Book Antiqua"/>
          <w:color w:val="auto"/>
          <w:szCs w:val="24"/>
          <w:vertAlign w:val="superscript"/>
        </w:rPr>
        <w:t>[</w:t>
      </w:r>
      <w:proofErr w:type="gramEnd"/>
      <w:r w:rsidR="00110C9A" w:rsidRPr="00411A55">
        <w:rPr>
          <w:rFonts w:ascii="Book Antiqua" w:hAnsi="Book Antiqua"/>
          <w:color w:val="auto"/>
          <w:szCs w:val="24"/>
          <w:vertAlign w:val="superscript"/>
        </w:rPr>
        <w:t>11,12]</w:t>
      </w:r>
      <w:r w:rsidR="00110C9A" w:rsidRPr="00411A55">
        <w:rPr>
          <w:rFonts w:ascii="Book Antiqua" w:hAnsi="Book Antiqua"/>
          <w:color w:val="auto"/>
          <w:szCs w:val="24"/>
        </w:rPr>
        <w:t xml:space="preserve">. </w:t>
      </w:r>
    </w:p>
    <w:p w14:paraId="3AFFC7B0" w14:textId="07306589"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ind w:firstLineChars="100" w:firstLine="240"/>
        <w:jc w:val="both"/>
        <w:rPr>
          <w:rFonts w:ascii="Book Antiqua" w:hAnsi="Book Antiqua"/>
          <w:color w:val="auto"/>
          <w:szCs w:val="24"/>
        </w:rPr>
      </w:pPr>
      <w:r w:rsidRPr="00411A55">
        <w:rPr>
          <w:rFonts w:ascii="Book Antiqua" w:hAnsi="Book Antiqua"/>
          <w:color w:val="auto"/>
          <w:szCs w:val="24"/>
        </w:rPr>
        <w:t xml:space="preserve">Plain balloon angioplasty was the primary endovascular therapy utilized in the infrapopliteal territory. Although it </w:t>
      </w:r>
      <w:r w:rsidR="005F5479">
        <w:rPr>
          <w:rFonts w:ascii="Book Antiqua" w:hAnsi="Book Antiqua"/>
          <w:color w:val="auto"/>
          <w:szCs w:val="24"/>
        </w:rPr>
        <w:t>appeared</w:t>
      </w:r>
      <w:r w:rsidR="005F5479" w:rsidRPr="00411A55">
        <w:rPr>
          <w:rFonts w:ascii="Book Antiqua" w:hAnsi="Book Antiqua"/>
          <w:color w:val="auto"/>
          <w:szCs w:val="24"/>
        </w:rPr>
        <w:t xml:space="preserve"> </w:t>
      </w:r>
      <w:r w:rsidR="002223E6">
        <w:rPr>
          <w:rFonts w:ascii="Book Antiqua" w:hAnsi="Book Antiqua"/>
          <w:color w:val="auto"/>
          <w:szCs w:val="24"/>
        </w:rPr>
        <w:t xml:space="preserve">to be </w:t>
      </w:r>
      <w:r w:rsidRPr="00411A55">
        <w:rPr>
          <w:rFonts w:ascii="Book Antiqua" w:hAnsi="Book Antiqua"/>
          <w:color w:val="auto"/>
          <w:szCs w:val="24"/>
        </w:rPr>
        <w:t xml:space="preserve">effective in the short-term, post-angioplasty elastic vessel recoil and flow-limiting dissection contributed to reocclusion and relapse of ischemic </w:t>
      </w:r>
      <w:proofErr w:type="gramStart"/>
      <w:r w:rsidRPr="00411A55">
        <w:rPr>
          <w:rFonts w:ascii="Book Antiqua" w:hAnsi="Book Antiqua"/>
          <w:color w:val="auto"/>
          <w:szCs w:val="24"/>
        </w:rPr>
        <w:t>symptoms</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13]</w:t>
      </w:r>
      <w:r w:rsidRPr="00411A55">
        <w:rPr>
          <w:rFonts w:ascii="Book Antiqua" w:hAnsi="Book Antiqua"/>
          <w:color w:val="auto"/>
          <w:szCs w:val="24"/>
        </w:rPr>
        <w:t xml:space="preserve">. Despite the fact that balloon angioplasty may be repeated, each procedure involves an inherent risk of technical failure and yields additional </w:t>
      </w:r>
      <w:proofErr w:type="gramStart"/>
      <w:r w:rsidRPr="00411A55">
        <w:rPr>
          <w:rFonts w:ascii="Book Antiqua" w:hAnsi="Book Antiqua"/>
          <w:color w:val="auto"/>
          <w:szCs w:val="24"/>
        </w:rPr>
        <w:t>cost</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4]</w:t>
      </w:r>
      <w:r w:rsidRPr="00411A55">
        <w:rPr>
          <w:rFonts w:ascii="Book Antiqua" w:hAnsi="Book Antiqua"/>
          <w:color w:val="auto"/>
          <w:szCs w:val="24"/>
        </w:rPr>
        <w:t xml:space="preserve">. Attempting to address this issue, Dorros </w:t>
      </w:r>
      <w:r w:rsidRPr="000F08DA">
        <w:rPr>
          <w:rFonts w:ascii="Book Antiqua" w:hAnsi="Book Antiqua"/>
          <w:i/>
          <w:color w:val="auto"/>
          <w:szCs w:val="24"/>
        </w:rPr>
        <w:t xml:space="preserve">et </w:t>
      </w:r>
      <w:proofErr w:type="gramStart"/>
      <w:r w:rsidRPr="000F08DA">
        <w:rPr>
          <w:rFonts w:ascii="Book Antiqua" w:hAnsi="Book Antiqua"/>
          <w:i/>
          <w:color w:val="auto"/>
          <w:szCs w:val="24"/>
        </w:rPr>
        <w:t>al</w:t>
      </w:r>
      <w:r w:rsidR="000F08DA" w:rsidRPr="00411A55">
        <w:rPr>
          <w:rFonts w:ascii="Book Antiqua" w:hAnsi="Book Antiqua"/>
          <w:color w:val="auto"/>
          <w:szCs w:val="24"/>
          <w:vertAlign w:val="superscript"/>
        </w:rPr>
        <w:t>[</w:t>
      </w:r>
      <w:proofErr w:type="gramEnd"/>
      <w:r w:rsidR="000F08DA" w:rsidRPr="00411A55">
        <w:rPr>
          <w:rFonts w:ascii="Book Antiqua" w:hAnsi="Book Antiqua"/>
          <w:color w:val="auto"/>
          <w:szCs w:val="24"/>
          <w:vertAlign w:val="superscript"/>
        </w:rPr>
        <w:t>14]</w:t>
      </w:r>
      <w:r w:rsidRPr="00411A55">
        <w:rPr>
          <w:rFonts w:ascii="Book Antiqua" w:hAnsi="Book Antiqua"/>
          <w:color w:val="auto"/>
          <w:szCs w:val="24"/>
        </w:rPr>
        <w:t xml:space="preserve"> pioneered </w:t>
      </w:r>
      <w:r w:rsidR="00D82E19">
        <w:rPr>
          <w:rFonts w:ascii="Book Antiqua" w:hAnsi="Book Antiqua"/>
          <w:color w:val="auto"/>
          <w:szCs w:val="24"/>
        </w:rPr>
        <w:t>the placement of</w:t>
      </w:r>
      <w:r w:rsidRPr="00411A55">
        <w:rPr>
          <w:rFonts w:ascii="Book Antiqua" w:hAnsi="Book Antiqua"/>
          <w:color w:val="auto"/>
          <w:szCs w:val="24"/>
        </w:rPr>
        <w:t xml:space="preserve"> the first infrapopliteal bare metal stent (BMS) 25 years ago. However, BMS application has been associated with poor outcomes in the mid-term due to the phenomenon of in-stent </w:t>
      </w:r>
      <w:proofErr w:type="gramStart"/>
      <w:r w:rsidRPr="00411A55">
        <w:rPr>
          <w:rFonts w:ascii="Book Antiqua" w:hAnsi="Book Antiqua"/>
          <w:color w:val="auto"/>
          <w:szCs w:val="24"/>
        </w:rPr>
        <w:t>restenosis</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15]</w:t>
      </w:r>
      <w:r w:rsidRPr="00411A55">
        <w:rPr>
          <w:rFonts w:ascii="Book Antiqua" w:hAnsi="Book Antiqua"/>
          <w:color w:val="auto"/>
          <w:szCs w:val="24"/>
        </w:rPr>
        <w:t xml:space="preserve">. </w:t>
      </w:r>
      <w:r w:rsidR="00D82E19">
        <w:rPr>
          <w:rFonts w:ascii="Book Antiqua" w:hAnsi="Book Antiqua"/>
          <w:color w:val="auto"/>
          <w:szCs w:val="24"/>
        </w:rPr>
        <w:t>C</w:t>
      </w:r>
      <w:r w:rsidRPr="00411A55">
        <w:rPr>
          <w:rFonts w:ascii="Book Antiqua" w:hAnsi="Book Antiqua"/>
          <w:color w:val="auto"/>
          <w:szCs w:val="24"/>
        </w:rPr>
        <w:t xml:space="preserve">onstant irritation of the vessel wall by the metal stent mesh results in inflammation, intimal hyperplasia, negative vessel remodeling and ultimate </w:t>
      </w:r>
      <w:proofErr w:type="gramStart"/>
      <w:r w:rsidRPr="00411A55">
        <w:rPr>
          <w:rFonts w:ascii="Book Antiqua" w:hAnsi="Book Antiqua"/>
          <w:color w:val="auto"/>
          <w:szCs w:val="24"/>
        </w:rPr>
        <w:t>reocclusion</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16,17]</w:t>
      </w:r>
      <w:r w:rsidRPr="00411A55">
        <w:rPr>
          <w:rFonts w:ascii="Book Antiqua" w:hAnsi="Book Antiqua"/>
          <w:color w:val="auto"/>
          <w:szCs w:val="24"/>
        </w:rPr>
        <w:t xml:space="preserve">. Occlusion rates are high; half of the BMS become occluded within the first year and can lead to major </w:t>
      </w:r>
      <w:proofErr w:type="gramStart"/>
      <w:r w:rsidRPr="00411A55">
        <w:rPr>
          <w:rFonts w:ascii="Book Antiqua" w:hAnsi="Book Antiqua"/>
          <w:color w:val="auto"/>
          <w:szCs w:val="24"/>
        </w:rPr>
        <w:t>amputation</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18,19]</w:t>
      </w:r>
      <w:r w:rsidRPr="00411A55">
        <w:rPr>
          <w:rFonts w:ascii="Book Antiqua" w:hAnsi="Book Antiqua"/>
          <w:color w:val="auto"/>
          <w:szCs w:val="24"/>
        </w:rPr>
        <w:t xml:space="preserve">. As a result, stenting in the infrapopliteal region has been reserved as a bail-out procedure in order to maximize acute lumen gain and avoid early vessel reocclusion. </w:t>
      </w:r>
    </w:p>
    <w:p w14:paraId="019C708D" w14:textId="4853DC2B" w:rsidR="00110C9A" w:rsidRPr="00411A55" w:rsidRDefault="001D6E4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ind w:firstLineChars="100" w:firstLine="240"/>
        <w:jc w:val="both"/>
        <w:rPr>
          <w:rFonts w:ascii="Book Antiqua" w:hAnsi="Book Antiqua"/>
          <w:color w:val="auto"/>
          <w:szCs w:val="24"/>
        </w:rPr>
      </w:pPr>
      <w:r>
        <w:rPr>
          <w:rFonts w:ascii="Book Antiqua" w:hAnsi="Book Antiqua"/>
          <w:color w:val="auto"/>
          <w:szCs w:val="24"/>
        </w:rPr>
        <w:t>New</w:t>
      </w:r>
      <w:r w:rsidRPr="00411A55">
        <w:rPr>
          <w:rFonts w:ascii="Book Antiqua" w:hAnsi="Book Antiqua"/>
          <w:color w:val="auto"/>
          <w:szCs w:val="24"/>
        </w:rPr>
        <w:t xml:space="preserve"> and sophisticated endovascular devices</w:t>
      </w:r>
      <w:r>
        <w:rPr>
          <w:rFonts w:ascii="Book Antiqua" w:hAnsi="Book Antiqua"/>
          <w:color w:val="auto"/>
          <w:szCs w:val="24"/>
        </w:rPr>
        <w:t>, such as</w:t>
      </w:r>
      <w:r w:rsidRPr="00411A55">
        <w:rPr>
          <w:rFonts w:ascii="Book Antiqua" w:hAnsi="Book Antiqua"/>
          <w:color w:val="auto"/>
          <w:szCs w:val="24"/>
        </w:rPr>
        <w:t xml:space="preserve"> drug-eluting stents (DES) and drug-coated balloons (DCB), provide targeted drug delivery to affected vessels</w:t>
      </w:r>
      <w:r>
        <w:rPr>
          <w:rFonts w:ascii="Book Antiqua" w:hAnsi="Book Antiqua"/>
          <w:color w:val="auto"/>
          <w:szCs w:val="24"/>
        </w:rPr>
        <w:t>. The invention of these devices</w:t>
      </w:r>
      <w:r w:rsidRPr="00411A55">
        <w:rPr>
          <w:rFonts w:ascii="Book Antiqua" w:hAnsi="Book Antiqua"/>
          <w:color w:val="auto"/>
          <w:szCs w:val="24"/>
        </w:rPr>
        <w:t xml:space="preserve"> </w:t>
      </w:r>
      <w:r>
        <w:rPr>
          <w:rFonts w:ascii="Book Antiqua" w:hAnsi="Book Antiqua"/>
          <w:color w:val="auto"/>
          <w:szCs w:val="24"/>
        </w:rPr>
        <w:t>has made</w:t>
      </w:r>
      <w:r w:rsidRPr="00411A55">
        <w:rPr>
          <w:rFonts w:ascii="Book Antiqua" w:hAnsi="Book Antiqua"/>
          <w:color w:val="auto"/>
          <w:szCs w:val="24"/>
        </w:rPr>
        <w:t xml:space="preserve"> </w:t>
      </w:r>
      <w:r>
        <w:rPr>
          <w:rFonts w:ascii="Book Antiqua" w:hAnsi="Book Antiqua"/>
          <w:color w:val="auto"/>
          <w:szCs w:val="24"/>
        </w:rPr>
        <w:t xml:space="preserve">it </w:t>
      </w:r>
      <w:r w:rsidRPr="00411A55">
        <w:rPr>
          <w:rFonts w:ascii="Book Antiqua" w:hAnsi="Book Antiqua"/>
          <w:color w:val="auto"/>
          <w:szCs w:val="24"/>
        </w:rPr>
        <w:t xml:space="preserve">possible to address the reparative cascade of arterial wall injury following balloon angioplasty that results in restenosis. </w:t>
      </w:r>
      <w:r>
        <w:rPr>
          <w:rFonts w:ascii="Book Antiqua" w:hAnsi="Book Antiqua"/>
          <w:color w:val="auto"/>
          <w:szCs w:val="24"/>
        </w:rPr>
        <w:t>BTK</w:t>
      </w:r>
      <w:r w:rsidR="00110C9A" w:rsidRPr="00411A55">
        <w:rPr>
          <w:rFonts w:ascii="Book Antiqua" w:hAnsi="Book Antiqua"/>
          <w:color w:val="auto"/>
          <w:szCs w:val="24"/>
        </w:rPr>
        <w:t xml:space="preserve"> arteries share many characteristics </w:t>
      </w:r>
      <w:r>
        <w:rPr>
          <w:rFonts w:ascii="Book Antiqua" w:hAnsi="Book Antiqua"/>
          <w:color w:val="auto"/>
          <w:szCs w:val="24"/>
        </w:rPr>
        <w:t>with</w:t>
      </w:r>
      <w:r w:rsidR="00110C9A" w:rsidRPr="00411A55">
        <w:rPr>
          <w:rFonts w:ascii="Book Antiqua" w:hAnsi="Book Antiqua"/>
          <w:color w:val="auto"/>
          <w:szCs w:val="24"/>
        </w:rPr>
        <w:t xml:space="preserve"> coronary arteries; this fact has motivated several investigators to apply this drug-eluting technology, widely used in percutaneous coronary interventions, in the infrapopliteal territory in order to improve clinical outcomes. </w:t>
      </w:r>
    </w:p>
    <w:p w14:paraId="69967AE1" w14:textId="77777777"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hAnsi="Book Antiqua"/>
          <w:color w:val="auto"/>
          <w:szCs w:val="24"/>
        </w:rPr>
      </w:pPr>
    </w:p>
    <w:p w14:paraId="35B387B7" w14:textId="77777777" w:rsidR="00411A55" w:rsidRPr="002B5C16" w:rsidRDefault="00411A55"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eastAsia="宋体" w:hAnsi="Book Antiqua"/>
          <w:b/>
          <w:color w:val="auto"/>
          <w:szCs w:val="24"/>
          <w:lang w:eastAsia="zh-CN"/>
        </w:rPr>
      </w:pPr>
      <w:r w:rsidRPr="002B5C16">
        <w:rPr>
          <w:rFonts w:ascii="Book Antiqua" w:hAnsi="Book Antiqua"/>
          <w:b/>
          <w:color w:val="auto"/>
          <w:szCs w:val="24"/>
        </w:rPr>
        <w:t xml:space="preserve">DES </w:t>
      </w:r>
    </w:p>
    <w:p w14:paraId="12FD6CC0" w14:textId="500DDCD8" w:rsidR="00110C9A" w:rsidRPr="00411A55" w:rsidRDefault="00411A55"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hAnsi="Book Antiqua"/>
          <w:color w:val="auto"/>
          <w:szCs w:val="24"/>
        </w:rPr>
      </w:pPr>
      <w:r w:rsidRPr="00411A55">
        <w:rPr>
          <w:rFonts w:ascii="Book Antiqua" w:hAnsi="Book Antiqua"/>
          <w:color w:val="auto"/>
          <w:szCs w:val="24"/>
        </w:rPr>
        <w:t>DES</w:t>
      </w:r>
      <w:r w:rsidR="009A4F40">
        <w:rPr>
          <w:rFonts w:ascii="Book Antiqua" w:hAnsi="Book Antiqua"/>
          <w:color w:val="auto"/>
          <w:szCs w:val="24"/>
        </w:rPr>
        <w:t>s</w:t>
      </w:r>
      <w:r w:rsidR="00110C9A" w:rsidRPr="00411A55">
        <w:rPr>
          <w:rFonts w:ascii="Book Antiqua" w:hAnsi="Book Antiqua"/>
          <w:color w:val="auto"/>
          <w:szCs w:val="24"/>
        </w:rPr>
        <w:t xml:space="preserve"> were introduced in</w:t>
      </w:r>
      <w:r w:rsidR="009A4F40">
        <w:rPr>
          <w:rFonts w:ascii="Book Antiqua" w:hAnsi="Book Antiqua"/>
          <w:color w:val="auto"/>
          <w:szCs w:val="24"/>
        </w:rPr>
        <w:t>to</w:t>
      </w:r>
      <w:r w:rsidR="00110C9A" w:rsidRPr="00411A55">
        <w:rPr>
          <w:rFonts w:ascii="Book Antiqua" w:hAnsi="Book Antiqua"/>
          <w:color w:val="auto"/>
          <w:szCs w:val="24"/>
        </w:rPr>
        <w:t xml:space="preserve"> clinical practice by interventional cardiologists</w:t>
      </w:r>
      <w:r w:rsidR="00176B9C">
        <w:rPr>
          <w:rFonts w:ascii="Book Antiqua" w:hAnsi="Book Antiqua"/>
          <w:color w:val="auto"/>
          <w:szCs w:val="24"/>
        </w:rPr>
        <w:t>,</w:t>
      </w:r>
      <w:r w:rsidR="00110C9A" w:rsidRPr="00411A55">
        <w:rPr>
          <w:rFonts w:ascii="Book Antiqua" w:hAnsi="Book Antiqua"/>
          <w:color w:val="auto"/>
          <w:szCs w:val="24"/>
        </w:rPr>
        <w:t xml:space="preserve"> and demonstrated favorable outcomes regarding late lumen loss </w:t>
      </w:r>
      <w:r w:rsidR="002B5C16" w:rsidRPr="00411A55">
        <w:rPr>
          <w:rFonts w:ascii="Book Antiqua" w:hAnsi="Book Antiqua"/>
          <w:color w:val="auto"/>
          <w:szCs w:val="24"/>
        </w:rPr>
        <w:t>(LLL)</w:t>
      </w:r>
      <w:r w:rsidR="002B5C16">
        <w:rPr>
          <w:rFonts w:ascii="Book Antiqua" w:eastAsia="宋体" w:hAnsi="Book Antiqua" w:hint="eastAsia"/>
          <w:color w:val="auto"/>
          <w:szCs w:val="24"/>
          <w:lang w:eastAsia="zh-CN"/>
        </w:rPr>
        <w:t xml:space="preserve"> </w:t>
      </w:r>
      <w:r w:rsidR="00110C9A" w:rsidRPr="00411A55">
        <w:rPr>
          <w:rFonts w:ascii="Book Antiqua" w:hAnsi="Book Antiqua"/>
          <w:color w:val="auto"/>
          <w:szCs w:val="24"/>
        </w:rPr>
        <w:t>and rate</w:t>
      </w:r>
      <w:r w:rsidR="00176B9C">
        <w:rPr>
          <w:rFonts w:ascii="Book Antiqua" w:hAnsi="Book Antiqua"/>
          <w:color w:val="auto"/>
          <w:szCs w:val="24"/>
        </w:rPr>
        <w:t>-</w:t>
      </w:r>
      <w:r w:rsidR="00110C9A" w:rsidRPr="00411A55">
        <w:rPr>
          <w:rFonts w:ascii="Book Antiqua" w:hAnsi="Book Antiqua"/>
          <w:color w:val="auto"/>
          <w:szCs w:val="24"/>
        </w:rPr>
        <w:t>of</w:t>
      </w:r>
      <w:r w:rsidR="00176B9C">
        <w:rPr>
          <w:rFonts w:ascii="Book Antiqua" w:hAnsi="Book Antiqua"/>
          <w:color w:val="auto"/>
          <w:szCs w:val="24"/>
        </w:rPr>
        <w:t>-</w:t>
      </w:r>
      <w:r w:rsidR="00110C9A" w:rsidRPr="00411A55">
        <w:rPr>
          <w:rFonts w:ascii="Book Antiqua" w:hAnsi="Book Antiqua"/>
          <w:color w:val="auto"/>
          <w:szCs w:val="24"/>
        </w:rPr>
        <w:t xml:space="preserve">repeat </w:t>
      </w:r>
      <w:r w:rsidR="00110C9A" w:rsidRPr="00411A55">
        <w:rPr>
          <w:rFonts w:ascii="Book Antiqua" w:hAnsi="Book Antiqua"/>
          <w:color w:val="auto"/>
          <w:szCs w:val="24"/>
        </w:rPr>
        <w:lastRenderedPageBreak/>
        <w:t xml:space="preserve">revascularization </w:t>
      </w:r>
      <w:proofErr w:type="gramStart"/>
      <w:r w:rsidR="00110C9A" w:rsidRPr="00411A55">
        <w:rPr>
          <w:rFonts w:ascii="Book Antiqua" w:hAnsi="Book Antiqua"/>
          <w:color w:val="auto"/>
          <w:szCs w:val="24"/>
        </w:rPr>
        <w:t>procedures</w:t>
      </w:r>
      <w:r w:rsidR="00110C9A" w:rsidRPr="00411A55">
        <w:rPr>
          <w:rFonts w:ascii="Book Antiqua" w:hAnsi="Book Antiqua"/>
          <w:color w:val="auto"/>
          <w:szCs w:val="24"/>
          <w:vertAlign w:val="superscript"/>
        </w:rPr>
        <w:t>[</w:t>
      </w:r>
      <w:proofErr w:type="gramEnd"/>
      <w:r w:rsidR="00110C9A" w:rsidRPr="00411A55">
        <w:rPr>
          <w:rFonts w:ascii="Book Antiqua" w:hAnsi="Book Antiqua"/>
          <w:color w:val="auto"/>
          <w:szCs w:val="24"/>
          <w:vertAlign w:val="superscript"/>
        </w:rPr>
        <w:t>20]</w:t>
      </w:r>
      <w:r w:rsidR="00110C9A" w:rsidRPr="00411A55">
        <w:rPr>
          <w:rFonts w:ascii="Book Antiqua" w:hAnsi="Book Antiqua"/>
          <w:color w:val="auto"/>
          <w:szCs w:val="24"/>
        </w:rPr>
        <w:t>. The comparable size of tibial to coronary arteries</w:t>
      </w:r>
      <w:r w:rsidR="00527067">
        <w:rPr>
          <w:rFonts w:ascii="Book Antiqua" w:hAnsi="Book Antiqua"/>
          <w:color w:val="auto"/>
          <w:szCs w:val="24"/>
        </w:rPr>
        <w:t>,</w:t>
      </w:r>
      <w:r w:rsidR="00110C9A" w:rsidRPr="00411A55">
        <w:rPr>
          <w:rFonts w:ascii="Book Antiqua" w:hAnsi="Book Antiqua"/>
          <w:color w:val="auto"/>
          <w:szCs w:val="24"/>
        </w:rPr>
        <w:t xml:space="preserve"> and the superior efficacy of these stents compared to </w:t>
      </w:r>
      <w:r w:rsidR="002B5C16" w:rsidRPr="00411A55">
        <w:rPr>
          <w:rFonts w:ascii="Book Antiqua" w:hAnsi="Book Antiqua"/>
          <w:color w:val="auto"/>
          <w:szCs w:val="24"/>
        </w:rPr>
        <w:t>BMS</w:t>
      </w:r>
      <w:r w:rsidR="00110C9A" w:rsidRPr="00411A55">
        <w:rPr>
          <w:rFonts w:ascii="Book Antiqua" w:hAnsi="Book Antiqua"/>
          <w:color w:val="auto"/>
          <w:szCs w:val="24"/>
        </w:rPr>
        <w:t xml:space="preserve">s, led to the first clinical application of DES in the infrapopliteal arteries, with </w:t>
      </w:r>
      <w:r w:rsidR="00063F10">
        <w:rPr>
          <w:rFonts w:ascii="Book Antiqua" w:hAnsi="Book Antiqua"/>
          <w:color w:val="auto"/>
          <w:szCs w:val="24"/>
        </w:rPr>
        <w:t>the goal of</w:t>
      </w:r>
      <w:r w:rsidR="00110C9A" w:rsidRPr="00411A55">
        <w:rPr>
          <w:rFonts w:ascii="Book Antiqua" w:hAnsi="Book Antiqua"/>
          <w:color w:val="auto"/>
          <w:szCs w:val="24"/>
        </w:rPr>
        <w:t xml:space="preserve"> inhibit</w:t>
      </w:r>
      <w:r w:rsidR="00063F10">
        <w:rPr>
          <w:rFonts w:ascii="Book Antiqua" w:hAnsi="Book Antiqua"/>
          <w:color w:val="auto"/>
          <w:szCs w:val="24"/>
        </w:rPr>
        <w:t>ing</w:t>
      </w:r>
      <w:r w:rsidR="00110C9A" w:rsidRPr="00411A55">
        <w:rPr>
          <w:rFonts w:ascii="Book Antiqua" w:hAnsi="Book Antiqua"/>
          <w:color w:val="auto"/>
          <w:szCs w:val="24"/>
        </w:rPr>
        <w:t xml:space="preserve"> restenosis and prolong uninterrupted blood supply to the foot</w:t>
      </w:r>
      <w:r w:rsidR="00110C9A" w:rsidRPr="00411A55">
        <w:rPr>
          <w:rFonts w:ascii="Book Antiqua" w:hAnsi="Book Antiqua"/>
          <w:color w:val="auto"/>
          <w:szCs w:val="24"/>
          <w:vertAlign w:val="superscript"/>
        </w:rPr>
        <w:t>[4]</w:t>
      </w:r>
      <w:r w:rsidR="00110C9A" w:rsidRPr="00411A55">
        <w:rPr>
          <w:rFonts w:ascii="Book Antiqua" w:hAnsi="Book Antiqua"/>
          <w:color w:val="auto"/>
          <w:szCs w:val="24"/>
        </w:rPr>
        <w:t xml:space="preserve">. The concept of DES technology is based on </w:t>
      </w:r>
      <w:r w:rsidR="0093790F" w:rsidRPr="00411A55">
        <w:rPr>
          <w:rFonts w:ascii="Book Antiqua" w:hAnsi="Book Antiqua"/>
          <w:color w:val="auto"/>
          <w:szCs w:val="24"/>
        </w:rPr>
        <w:t>cover</w:t>
      </w:r>
      <w:r w:rsidR="0093790F">
        <w:rPr>
          <w:rFonts w:ascii="Book Antiqua" w:hAnsi="Book Antiqua"/>
          <w:color w:val="auto"/>
          <w:szCs w:val="24"/>
        </w:rPr>
        <w:t>ing</w:t>
      </w:r>
      <w:r w:rsidR="0093790F" w:rsidRPr="00411A55">
        <w:rPr>
          <w:rFonts w:ascii="Book Antiqua" w:hAnsi="Book Antiqua"/>
          <w:color w:val="auto"/>
          <w:szCs w:val="24"/>
        </w:rPr>
        <w:t xml:space="preserve"> </w:t>
      </w:r>
      <w:r w:rsidR="00110C9A" w:rsidRPr="00411A55">
        <w:rPr>
          <w:rFonts w:ascii="Book Antiqua" w:hAnsi="Book Antiqua"/>
          <w:color w:val="auto"/>
          <w:szCs w:val="24"/>
        </w:rPr>
        <w:t>the stent’s strut with a polymer matrix</w:t>
      </w:r>
      <w:r w:rsidR="0093790F">
        <w:rPr>
          <w:rFonts w:ascii="Book Antiqua" w:hAnsi="Book Antiqua"/>
          <w:color w:val="auto"/>
          <w:szCs w:val="24"/>
        </w:rPr>
        <w:t>,</w:t>
      </w:r>
      <w:r w:rsidR="00110C9A" w:rsidRPr="00411A55">
        <w:rPr>
          <w:rFonts w:ascii="Book Antiqua" w:hAnsi="Book Antiqua"/>
          <w:color w:val="auto"/>
          <w:szCs w:val="24"/>
        </w:rPr>
        <w:t xml:space="preserve"> such as silicone, polyethylene vinyl alcohol </w:t>
      </w:r>
      <w:r w:rsidR="0093790F">
        <w:rPr>
          <w:rFonts w:ascii="Book Antiqua" w:hAnsi="Book Antiqua"/>
          <w:color w:val="auto"/>
          <w:szCs w:val="24"/>
        </w:rPr>
        <w:t>or</w:t>
      </w:r>
      <w:r w:rsidR="0093790F" w:rsidRPr="00411A55">
        <w:rPr>
          <w:rFonts w:ascii="Book Antiqua" w:hAnsi="Book Antiqua"/>
          <w:color w:val="auto"/>
          <w:szCs w:val="24"/>
        </w:rPr>
        <w:t xml:space="preserve"> </w:t>
      </w:r>
      <w:r w:rsidR="00110C9A" w:rsidRPr="00411A55">
        <w:rPr>
          <w:rFonts w:ascii="Book Antiqua" w:hAnsi="Book Antiqua"/>
          <w:color w:val="auto"/>
          <w:szCs w:val="24"/>
        </w:rPr>
        <w:t xml:space="preserve">cellulose </w:t>
      </w:r>
      <w:proofErr w:type="gramStart"/>
      <w:r w:rsidR="00110C9A" w:rsidRPr="00411A55">
        <w:rPr>
          <w:rFonts w:ascii="Book Antiqua" w:hAnsi="Book Antiqua"/>
          <w:color w:val="auto"/>
          <w:szCs w:val="24"/>
        </w:rPr>
        <w:t xml:space="preserve">ester, </w:t>
      </w:r>
      <w:r w:rsidR="0093790F">
        <w:rPr>
          <w:rFonts w:ascii="Book Antiqua" w:hAnsi="Book Antiqua"/>
          <w:color w:val="auto"/>
          <w:szCs w:val="24"/>
        </w:rPr>
        <w:t>that</w:t>
      </w:r>
      <w:proofErr w:type="gramEnd"/>
      <w:r w:rsidR="0093790F">
        <w:rPr>
          <w:rFonts w:ascii="Book Antiqua" w:hAnsi="Book Antiqua"/>
          <w:color w:val="auto"/>
          <w:szCs w:val="24"/>
        </w:rPr>
        <w:t xml:space="preserve"> is </w:t>
      </w:r>
      <w:r w:rsidR="00110C9A" w:rsidRPr="00411A55">
        <w:rPr>
          <w:rFonts w:ascii="Book Antiqua" w:hAnsi="Book Antiqua"/>
          <w:color w:val="auto"/>
          <w:szCs w:val="24"/>
        </w:rPr>
        <w:t>saturated with a specific drug. Some DES</w:t>
      </w:r>
      <w:r w:rsidR="0093790F">
        <w:rPr>
          <w:rFonts w:ascii="Book Antiqua" w:hAnsi="Book Antiqua"/>
          <w:color w:val="auto"/>
          <w:szCs w:val="24"/>
        </w:rPr>
        <w:t>s</w:t>
      </w:r>
      <w:r w:rsidR="00110C9A" w:rsidRPr="00411A55">
        <w:rPr>
          <w:rFonts w:ascii="Book Antiqua" w:hAnsi="Book Antiqua"/>
          <w:color w:val="auto"/>
          <w:szCs w:val="24"/>
        </w:rPr>
        <w:t xml:space="preserve"> are polymer-free, and the drug is applied directly on</w:t>
      </w:r>
      <w:r w:rsidR="0093790F">
        <w:rPr>
          <w:rFonts w:ascii="Book Antiqua" w:hAnsi="Book Antiqua"/>
          <w:color w:val="auto"/>
          <w:szCs w:val="24"/>
        </w:rPr>
        <w:t>to</w:t>
      </w:r>
      <w:r w:rsidR="00110C9A" w:rsidRPr="00411A55">
        <w:rPr>
          <w:rFonts w:ascii="Book Antiqua" w:hAnsi="Book Antiqua"/>
          <w:color w:val="auto"/>
          <w:szCs w:val="24"/>
        </w:rPr>
        <w:t xml:space="preserve"> the metallic </w:t>
      </w:r>
      <w:proofErr w:type="gramStart"/>
      <w:r w:rsidR="00110C9A" w:rsidRPr="00411A55">
        <w:rPr>
          <w:rFonts w:ascii="Book Antiqua" w:hAnsi="Book Antiqua"/>
          <w:color w:val="auto"/>
          <w:szCs w:val="24"/>
        </w:rPr>
        <w:t>strut</w:t>
      </w:r>
      <w:r w:rsidR="00110C9A" w:rsidRPr="00411A55">
        <w:rPr>
          <w:rFonts w:ascii="Book Antiqua" w:hAnsi="Book Antiqua"/>
          <w:color w:val="auto"/>
          <w:szCs w:val="24"/>
          <w:vertAlign w:val="superscript"/>
        </w:rPr>
        <w:t>[</w:t>
      </w:r>
      <w:proofErr w:type="gramEnd"/>
      <w:r w:rsidR="00110C9A" w:rsidRPr="00411A55">
        <w:rPr>
          <w:rFonts w:ascii="Book Antiqua" w:hAnsi="Book Antiqua"/>
          <w:color w:val="auto"/>
          <w:szCs w:val="24"/>
          <w:vertAlign w:val="superscript"/>
        </w:rPr>
        <w:t>21]</w:t>
      </w:r>
      <w:r w:rsidR="00110C9A" w:rsidRPr="00411A55">
        <w:rPr>
          <w:rFonts w:ascii="Book Antiqua" w:hAnsi="Book Antiqua"/>
          <w:color w:val="auto"/>
          <w:szCs w:val="24"/>
        </w:rPr>
        <w:t>.</w:t>
      </w:r>
      <w:r>
        <w:rPr>
          <w:rFonts w:ascii="Book Antiqua" w:hAnsi="Book Antiqua"/>
          <w:color w:val="auto"/>
          <w:szCs w:val="24"/>
        </w:rPr>
        <w:t xml:space="preserve"> </w:t>
      </w:r>
      <w:r w:rsidRPr="00411A55">
        <w:rPr>
          <w:rFonts w:ascii="Book Antiqua" w:hAnsi="Book Antiqua"/>
          <w:color w:val="auto"/>
          <w:szCs w:val="24"/>
        </w:rPr>
        <w:t>DES</w:t>
      </w:r>
      <w:r w:rsidR="00925597">
        <w:rPr>
          <w:rFonts w:ascii="Book Antiqua" w:hAnsi="Book Antiqua"/>
          <w:color w:val="auto"/>
          <w:szCs w:val="24"/>
        </w:rPr>
        <w:t>s</w:t>
      </w:r>
      <w:r w:rsidR="00110C9A" w:rsidRPr="00411A55">
        <w:rPr>
          <w:rFonts w:ascii="Book Antiqua" w:hAnsi="Book Antiqua"/>
          <w:color w:val="auto"/>
          <w:szCs w:val="24"/>
        </w:rPr>
        <w:t xml:space="preserve"> inhibit neointimal hyperplasia and smooth muscle cell proliferation by releasing the incorporated drug </w:t>
      </w:r>
      <w:r w:rsidR="00925597">
        <w:rPr>
          <w:rFonts w:ascii="Book Antiqua" w:hAnsi="Book Antiqua"/>
          <w:color w:val="auto"/>
          <w:szCs w:val="24"/>
        </w:rPr>
        <w:t>in</w:t>
      </w:r>
      <w:r w:rsidR="00110C9A" w:rsidRPr="00411A55">
        <w:rPr>
          <w:rFonts w:ascii="Book Antiqua" w:hAnsi="Book Antiqua"/>
          <w:color w:val="auto"/>
          <w:szCs w:val="24"/>
        </w:rPr>
        <w:t xml:space="preserve">to the vessel wall over a standard period of time. The pharmaceutical agents that are most commonly used are immunosuppressants of the </w:t>
      </w:r>
      <w:r w:rsidR="002B5C16">
        <w:rPr>
          <w:rFonts w:ascii="Book Antiqua" w:eastAsia="宋体" w:hAnsi="Book Antiqua"/>
          <w:color w:val="auto"/>
          <w:szCs w:val="24"/>
          <w:lang w:eastAsia="zh-CN"/>
        </w:rPr>
        <w:t>“</w:t>
      </w:r>
      <w:r w:rsidR="00110C9A" w:rsidRPr="00411A55">
        <w:rPr>
          <w:rFonts w:ascii="Book Antiqua" w:hAnsi="Book Antiqua"/>
          <w:color w:val="auto"/>
          <w:szCs w:val="24"/>
        </w:rPr>
        <w:t>-olimus family,</w:t>
      </w:r>
      <w:r w:rsidR="002B5C16">
        <w:rPr>
          <w:rFonts w:ascii="Book Antiqua" w:eastAsia="宋体" w:hAnsi="Book Antiqua"/>
          <w:color w:val="auto"/>
          <w:szCs w:val="24"/>
          <w:lang w:eastAsia="zh-CN"/>
        </w:rPr>
        <w:t>”</w:t>
      </w:r>
      <w:r w:rsidR="00110C9A" w:rsidRPr="00411A55">
        <w:rPr>
          <w:rFonts w:ascii="Book Antiqua" w:hAnsi="Book Antiqua"/>
          <w:color w:val="auto"/>
          <w:szCs w:val="24"/>
        </w:rPr>
        <w:t xml:space="preserve"> </w:t>
      </w:r>
      <w:r w:rsidR="00110C9A" w:rsidRPr="002B5C16">
        <w:rPr>
          <w:rFonts w:ascii="Book Antiqua" w:hAnsi="Book Antiqua"/>
          <w:i/>
          <w:color w:val="auto"/>
          <w:szCs w:val="24"/>
        </w:rPr>
        <w:t>i.e.</w:t>
      </w:r>
      <w:r w:rsidR="00110C9A" w:rsidRPr="00411A55">
        <w:rPr>
          <w:rFonts w:ascii="Book Antiqua" w:hAnsi="Book Antiqua"/>
          <w:color w:val="auto"/>
          <w:szCs w:val="24"/>
        </w:rPr>
        <w:t xml:space="preserve">, sirolimus, everolimus and tacrolimus, or the anti-mitotic agent paclitaxel. Sirolimus (rapamycin) is a natural lipophilic macrolide compound with both immunosuppressive and antiproliferative properties. Paclitaxel is a cytotoxic and antineoplastic drug that promotes microtubule stabilization, blocking </w:t>
      </w:r>
      <w:r w:rsidR="00925597" w:rsidRPr="00411A55">
        <w:rPr>
          <w:rFonts w:ascii="Book Antiqua" w:hAnsi="Book Antiqua"/>
          <w:color w:val="auto"/>
          <w:szCs w:val="24"/>
        </w:rPr>
        <w:t xml:space="preserve">M phase </w:t>
      </w:r>
      <w:r w:rsidR="00925597">
        <w:rPr>
          <w:rFonts w:ascii="Book Antiqua" w:hAnsi="Book Antiqua"/>
          <w:color w:val="auto"/>
          <w:szCs w:val="24"/>
        </w:rPr>
        <w:t xml:space="preserve">of </w:t>
      </w:r>
      <w:r w:rsidR="00110C9A" w:rsidRPr="00411A55">
        <w:rPr>
          <w:rFonts w:ascii="Book Antiqua" w:hAnsi="Book Antiqua"/>
          <w:color w:val="auto"/>
          <w:szCs w:val="24"/>
        </w:rPr>
        <w:t xml:space="preserve">the cell cycle, thus leading to cellular </w:t>
      </w:r>
      <w:proofErr w:type="gramStart"/>
      <w:r w:rsidR="00110C9A" w:rsidRPr="00411A55">
        <w:rPr>
          <w:rFonts w:ascii="Book Antiqua" w:hAnsi="Book Antiqua"/>
          <w:color w:val="auto"/>
          <w:szCs w:val="24"/>
        </w:rPr>
        <w:t>death</w:t>
      </w:r>
      <w:r w:rsidR="00110C9A" w:rsidRPr="00411A55">
        <w:rPr>
          <w:rFonts w:ascii="Book Antiqua" w:hAnsi="Book Antiqua"/>
          <w:color w:val="auto"/>
          <w:szCs w:val="24"/>
          <w:vertAlign w:val="superscript"/>
        </w:rPr>
        <w:t>[</w:t>
      </w:r>
      <w:proofErr w:type="gramEnd"/>
      <w:r w:rsidR="00110C9A" w:rsidRPr="00411A55">
        <w:rPr>
          <w:rFonts w:ascii="Book Antiqua" w:hAnsi="Book Antiqua"/>
          <w:color w:val="auto"/>
          <w:szCs w:val="24"/>
          <w:vertAlign w:val="superscript"/>
        </w:rPr>
        <w:t>18]</w:t>
      </w:r>
      <w:r w:rsidR="00110C9A" w:rsidRPr="00411A55">
        <w:rPr>
          <w:rFonts w:ascii="Book Antiqua" w:hAnsi="Book Antiqua"/>
          <w:color w:val="auto"/>
          <w:szCs w:val="24"/>
        </w:rPr>
        <w:t xml:space="preserve">. The first clinical applications of DES in infrapopliteal arteries for the treatment of CLI demonstrated encouraging mid-term </w:t>
      </w:r>
      <w:proofErr w:type="gramStart"/>
      <w:r w:rsidR="00110C9A" w:rsidRPr="00411A55">
        <w:rPr>
          <w:rFonts w:ascii="Book Antiqua" w:hAnsi="Book Antiqua"/>
          <w:color w:val="auto"/>
          <w:szCs w:val="24"/>
        </w:rPr>
        <w:t>results</w:t>
      </w:r>
      <w:r w:rsidR="00110C9A" w:rsidRPr="00411A55">
        <w:rPr>
          <w:rFonts w:ascii="Book Antiqua" w:hAnsi="Book Antiqua"/>
          <w:color w:val="auto"/>
          <w:szCs w:val="24"/>
          <w:vertAlign w:val="superscript"/>
        </w:rPr>
        <w:t>[</w:t>
      </w:r>
      <w:proofErr w:type="gramEnd"/>
      <w:r w:rsidR="00110C9A" w:rsidRPr="00411A55">
        <w:rPr>
          <w:rFonts w:ascii="Book Antiqua" w:hAnsi="Book Antiqua"/>
          <w:color w:val="auto"/>
          <w:szCs w:val="24"/>
          <w:vertAlign w:val="superscript"/>
        </w:rPr>
        <w:t>18,2</w:t>
      </w:r>
      <w:r w:rsidR="000F08DA">
        <w:rPr>
          <w:rFonts w:ascii="Book Antiqua" w:eastAsia="宋体" w:hAnsi="Book Antiqua" w:hint="eastAsia"/>
          <w:color w:val="auto"/>
          <w:szCs w:val="24"/>
          <w:vertAlign w:val="superscript"/>
          <w:lang w:eastAsia="zh-CN"/>
        </w:rPr>
        <w:t>2</w:t>
      </w:r>
      <w:r w:rsidR="00110C9A" w:rsidRPr="00411A55">
        <w:rPr>
          <w:rFonts w:ascii="Book Antiqua" w:hAnsi="Book Antiqua"/>
          <w:color w:val="auto"/>
          <w:szCs w:val="24"/>
          <w:vertAlign w:val="superscript"/>
        </w:rPr>
        <w:t>-25]</w:t>
      </w:r>
      <w:r w:rsidR="00110C9A" w:rsidRPr="00411A55">
        <w:rPr>
          <w:rFonts w:ascii="Book Antiqua" w:hAnsi="Book Antiqua"/>
          <w:color w:val="auto"/>
          <w:szCs w:val="24"/>
        </w:rPr>
        <w:t xml:space="preserve">. </w:t>
      </w:r>
    </w:p>
    <w:p w14:paraId="1F41BDEB" w14:textId="06C3A282"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ind w:firstLineChars="100" w:firstLine="240"/>
        <w:jc w:val="both"/>
        <w:rPr>
          <w:rFonts w:ascii="Book Antiqua" w:hAnsi="Book Antiqua"/>
          <w:color w:val="auto"/>
          <w:szCs w:val="24"/>
        </w:rPr>
      </w:pPr>
      <w:r w:rsidRPr="00411A55">
        <w:rPr>
          <w:rFonts w:ascii="Book Antiqua" w:hAnsi="Book Antiqua"/>
          <w:color w:val="auto"/>
          <w:szCs w:val="24"/>
        </w:rPr>
        <w:t>Following these initial promising single-center studies, multicenter randomized controlled trials (RCT)</w:t>
      </w:r>
      <w:r w:rsidR="00925597">
        <w:rPr>
          <w:rFonts w:ascii="Book Antiqua" w:hAnsi="Book Antiqua"/>
          <w:color w:val="auto"/>
          <w:szCs w:val="24"/>
        </w:rPr>
        <w:t xml:space="preserve"> (</w:t>
      </w:r>
      <w:r w:rsidRPr="00411A55">
        <w:rPr>
          <w:rFonts w:ascii="Book Antiqua" w:hAnsi="Book Antiqua"/>
          <w:color w:val="auto"/>
          <w:szCs w:val="24"/>
        </w:rPr>
        <w:t>YUKON-BTX, DESTINY and ACHILLES trials</w:t>
      </w:r>
      <w:r w:rsidR="00925597">
        <w:rPr>
          <w:rFonts w:ascii="Book Antiqua" w:hAnsi="Book Antiqua"/>
          <w:color w:val="auto"/>
          <w:szCs w:val="24"/>
        </w:rPr>
        <w:t>)</w:t>
      </w:r>
      <w:r w:rsidRPr="00411A55">
        <w:rPr>
          <w:rFonts w:ascii="Book Antiqua" w:hAnsi="Book Antiqua"/>
          <w:color w:val="auto"/>
          <w:szCs w:val="24"/>
        </w:rPr>
        <w:t>, reported low infrapopliteal vessel restenosis rate, higher event-free survival and improved quality of life</w:t>
      </w:r>
      <w:r w:rsidR="00925597">
        <w:rPr>
          <w:rFonts w:ascii="Book Antiqua" w:hAnsi="Book Antiqua"/>
          <w:color w:val="auto"/>
          <w:szCs w:val="24"/>
        </w:rPr>
        <w:t xml:space="preserve">. These </w:t>
      </w:r>
      <w:r w:rsidRPr="00411A55">
        <w:rPr>
          <w:rFonts w:ascii="Book Antiqua" w:hAnsi="Book Antiqua"/>
          <w:color w:val="auto"/>
          <w:szCs w:val="24"/>
        </w:rPr>
        <w:t>provid</w:t>
      </w:r>
      <w:r w:rsidR="00925597">
        <w:rPr>
          <w:rFonts w:ascii="Book Antiqua" w:hAnsi="Book Antiqua"/>
          <w:color w:val="auto"/>
          <w:szCs w:val="24"/>
        </w:rPr>
        <w:t>ed</w:t>
      </w:r>
      <w:r w:rsidRPr="00411A55">
        <w:rPr>
          <w:rFonts w:ascii="Book Antiqua" w:hAnsi="Book Antiqua"/>
          <w:color w:val="auto"/>
          <w:szCs w:val="24"/>
        </w:rPr>
        <w:t xml:space="preserve"> level IA evidence for DES use in short</w:t>
      </w:r>
      <w:r w:rsidR="00925597">
        <w:rPr>
          <w:rFonts w:ascii="Book Antiqua" w:hAnsi="Book Antiqua"/>
          <w:color w:val="auto"/>
          <w:szCs w:val="24"/>
        </w:rPr>
        <w:t xml:space="preserve"> </w:t>
      </w:r>
      <w:r w:rsidRPr="00411A55">
        <w:rPr>
          <w:rFonts w:ascii="Book Antiqua" w:hAnsi="Book Antiqua"/>
          <w:color w:val="auto"/>
          <w:szCs w:val="24"/>
        </w:rPr>
        <w:t>focal infrapopliteal lesions (&lt;</w:t>
      </w:r>
      <w:r w:rsidR="002B5C16">
        <w:rPr>
          <w:rFonts w:ascii="Book Antiqua" w:eastAsia="宋体" w:hAnsi="Book Antiqua" w:hint="eastAsia"/>
          <w:color w:val="auto"/>
          <w:szCs w:val="24"/>
          <w:lang w:eastAsia="zh-CN"/>
        </w:rPr>
        <w:t xml:space="preserve"> </w:t>
      </w:r>
      <w:r w:rsidRPr="00411A55">
        <w:rPr>
          <w:rFonts w:ascii="Book Antiqua" w:hAnsi="Book Antiqua"/>
          <w:color w:val="auto"/>
          <w:szCs w:val="24"/>
        </w:rPr>
        <w:t>120 mm</w:t>
      </w:r>
      <w:proofErr w:type="gramStart"/>
      <w:r w:rsidRPr="00411A55">
        <w:rPr>
          <w:rFonts w:ascii="Book Antiqua" w:hAnsi="Book Antiqua"/>
          <w:color w:val="auto"/>
          <w:szCs w:val="24"/>
        </w:rPr>
        <w:t>)</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26-28]</w:t>
      </w:r>
      <w:r w:rsidRPr="00411A55">
        <w:rPr>
          <w:rFonts w:ascii="Book Antiqua" w:hAnsi="Book Antiqua"/>
          <w:color w:val="auto"/>
          <w:szCs w:val="24"/>
        </w:rPr>
        <w:t>.</w:t>
      </w:r>
    </w:p>
    <w:p w14:paraId="381FB4BE" w14:textId="1C47E878" w:rsidR="00110C9A" w:rsidRPr="00411A55" w:rsidRDefault="00925597"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ind w:firstLineChars="100" w:firstLine="240"/>
        <w:jc w:val="both"/>
        <w:rPr>
          <w:rFonts w:ascii="Book Antiqua" w:hAnsi="Book Antiqua"/>
          <w:color w:val="auto"/>
          <w:szCs w:val="24"/>
        </w:rPr>
      </w:pPr>
      <w:r>
        <w:rPr>
          <w:rFonts w:ascii="Book Antiqua" w:hAnsi="Book Antiqua"/>
          <w:color w:val="auto"/>
          <w:szCs w:val="24"/>
        </w:rPr>
        <w:t>In</w:t>
      </w:r>
      <w:r w:rsidR="00110C9A" w:rsidRPr="00411A55">
        <w:rPr>
          <w:rFonts w:ascii="Book Antiqua" w:hAnsi="Book Antiqua"/>
          <w:color w:val="auto"/>
          <w:szCs w:val="24"/>
        </w:rPr>
        <w:t xml:space="preserve"> the ACHILLES trial,</w:t>
      </w:r>
      <w:r>
        <w:rPr>
          <w:rFonts w:ascii="Book Antiqua" w:hAnsi="Book Antiqua"/>
          <w:color w:val="auto"/>
          <w:szCs w:val="24"/>
        </w:rPr>
        <w:t xml:space="preserve"> precisely</w:t>
      </w:r>
      <w:r w:rsidR="00110C9A" w:rsidRPr="00411A55">
        <w:rPr>
          <w:rFonts w:ascii="Book Antiqua" w:hAnsi="Book Antiqua"/>
          <w:color w:val="auto"/>
          <w:szCs w:val="24"/>
        </w:rPr>
        <w:t xml:space="preserve"> 200 patients suffering from either CLI (&gt;</w:t>
      </w:r>
      <w:r w:rsidR="002B5C16">
        <w:rPr>
          <w:rFonts w:ascii="Book Antiqua" w:eastAsia="宋体" w:hAnsi="Book Antiqua" w:hint="eastAsia"/>
          <w:color w:val="auto"/>
          <w:szCs w:val="24"/>
          <w:lang w:eastAsia="zh-CN"/>
        </w:rPr>
        <w:t xml:space="preserve"> </w:t>
      </w:r>
      <w:r w:rsidR="00110C9A" w:rsidRPr="00411A55">
        <w:rPr>
          <w:rFonts w:ascii="Book Antiqua" w:hAnsi="Book Antiqua"/>
          <w:color w:val="auto"/>
          <w:szCs w:val="24"/>
        </w:rPr>
        <w:t>60%) or Rutherford class 3</w:t>
      </w:r>
      <w:r w:rsidR="00411A55">
        <w:rPr>
          <w:rFonts w:ascii="Book Antiqua" w:hAnsi="Book Antiqua"/>
          <w:color w:val="auto"/>
          <w:szCs w:val="24"/>
        </w:rPr>
        <w:t xml:space="preserve"> </w:t>
      </w:r>
      <w:r w:rsidR="00110C9A" w:rsidRPr="00411A55">
        <w:rPr>
          <w:rFonts w:ascii="Book Antiqua" w:hAnsi="Book Antiqua"/>
          <w:color w:val="auto"/>
          <w:szCs w:val="24"/>
        </w:rPr>
        <w:t>IC were enrolled in 17 European centers and were randomized to undergo primary DES with the CYPHER SELECT</w:t>
      </w:r>
      <w:r w:rsidR="00110C9A" w:rsidRPr="002B5C16">
        <w:rPr>
          <w:rFonts w:ascii="Book Antiqua" w:hAnsi="Book Antiqua"/>
          <w:color w:val="auto"/>
          <w:szCs w:val="24"/>
          <w:vertAlign w:val="superscript"/>
        </w:rPr>
        <w:t>©</w:t>
      </w:r>
      <w:r w:rsidR="00110C9A" w:rsidRPr="00411A55">
        <w:rPr>
          <w:rFonts w:ascii="Book Antiqua" w:hAnsi="Book Antiqua"/>
          <w:color w:val="auto"/>
          <w:szCs w:val="24"/>
        </w:rPr>
        <w:t xml:space="preserve"> PLUS sirolimus-eluting stent (Cordis, U</w:t>
      </w:r>
      <w:r w:rsidR="002B5C16">
        <w:rPr>
          <w:rFonts w:ascii="Book Antiqua" w:eastAsia="宋体" w:hAnsi="Book Antiqua" w:hint="eastAsia"/>
          <w:color w:val="auto"/>
          <w:szCs w:val="24"/>
          <w:lang w:eastAsia="zh-CN"/>
        </w:rPr>
        <w:t xml:space="preserve">nited </w:t>
      </w:r>
      <w:r w:rsidR="00110C9A" w:rsidRPr="00411A55">
        <w:rPr>
          <w:rFonts w:ascii="Book Antiqua" w:hAnsi="Book Antiqua"/>
          <w:color w:val="auto"/>
          <w:szCs w:val="24"/>
        </w:rPr>
        <w:t>S</w:t>
      </w:r>
      <w:r w:rsidR="002B5C16">
        <w:rPr>
          <w:rFonts w:ascii="Book Antiqua" w:eastAsia="宋体" w:hAnsi="Book Antiqua" w:hint="eastAsia"/>
          <w:color w:val="auto"/>
          <w:szCs w:val="24"/>
          <w:lang w:eastAsia="zh-CN"/>
        </w:rPr>
        <w:t>tates</w:t>
      </w:r>
      <w:r w:rsidR="00110C9A" w:rsidRPr="00411A55">
        <w:rPr>
          <w:rFonts w:ascii="Book Antiqua" w:hAnsi="Book Antiqua"/>
          <w:color w:val="auto"/>
          <w:szCs w:val="24"/>
        </w:rPr>
        <w:t>) or plain balloon angioplasty of the infrapopliteal arteries.</w:t>
      </w:r>
      <w:r w:rsidR="00411A55">
        <w:rPr>
          <w:rFonts w:ascii="Book Antiqua" w:hAnsi="Book Antiqua"/>
          <w:color w:val="auto"/>
          <w:szCs w:val="24"/>
        </w:rPr>
        <w:t xml:space="preserve"> </w:t>
      </w:r>
      <w:r w:rsidR="00110C9A" w:rsidRPr="00411A55">
        <w:rPr>
          <w:rFonts w:ascii="Book Antiqua" w:hAnsi="Book Antiqua"/>
          <w:color w:val="auto"/>
          <w:szCs w:val="24"/>
        </w:rPr>
        <w:t>Mean lesion length was 27</w:t>
      </w:r>
      <w:r w:rsidR="000F08DA">
        <w:rPr>
          <w:rFonts w:ascii="Book Antiqua" w:hAnsi="Book Antiqua"/>
          <w:color w:val="auto"/>
          <w:szCs w:val="24"/>
        </w:rPr>
        <w:t xml:space="preserve"> ± </w:t>
      </w:r>
      <w:r w:rsidR="00110C9A" w:rsidRPr="00411A55">
        <w:rPr>
          <w:rFonts w:ascii="Book Antiqua" w:hAnsi="Book Antiqua"/>
          <w:color w:val="auto"/>
          <w:szCs w:val="24"/>
        </w:rPr>
        <w:t xml:space="preserve">21 mm. The device success rate was significantly higher for DES (95.5% </w:t>
      </w:r>
      <w:r w:rsidR="002B5C16" w:rsidRPr="002B5C16">
        <w:rPr>
          <w:rFonts w:ascii="Book Antiqua" w:hAnsi="Book Antiqua"/>
          <w:i/>
          <w:color w:val="auto"/>
          <w:szCs w:val="24"/>
        </w:rPr>
        <w:t>vs</w:t>
      </w:r>
      <w:r w:rsidR="00110C9A" w:rsidRPr="00411A55">
        <w:rPr>
          <w:rFonts w:ascii="Book Antiqua" w:hAnsi="Book Antiqua"/>
          <w:color w:val="auto"/>
          <w:szCs w:val="24"/>
        </w:rPr>
        <w:t xml:space="preserve"> 58.2%; </w:t>
      </w:r>
      <w:r w:rsidR="002B5C16" w:rsidRPr="002B5C16">
        <w:rPr>
          <w:rFonts w:ascii="Book Antiqua" w:hAnsi="Book Antiqua"/>
          <w:i/>
          <w:color w:val="auto"/>
          <w:szCs w:val="24"/>
        </w:rPr>
        <w:t>P</w:t>
      </w:r>
      <w:r w:rsidR="002B5C16">
        <w:rPr>
          <w:rFonts w:ascii="Book Antiqua" w:eastAsia="宋体" w:hAnsi="Book Antiqua" w:hint="eastAsia"/>
          <w:color w:val="auto"/>
          <w:szCs w:val="24"/>
          <w:lang w:eastAsia="zh-CN"/>
        </w:rPr>
        <w:t xml:space="preserve"> </w:t>
      </w:r>
      <w:r w:rsidR="00110C9A" w:rsidRPr="00411A55">
        <w:rPr>
          <w:rFonts w:ascii="Book Antiqua" w:hAnsi="Book Antiqua"/>
          <w:color w:val="auto"/>
          <w:szCs w:val="24"/>
        </w:rPr>
        <w:t>=</w:t>
      </w:r>
      <w:r w:rsidR="002B5C16">
        <w:rPr>
          <w:rFonts w:ascii="Book Antiqua" w:eastAsia="宋体" w:hAnsi="Book Antiqua" w:hint="eastAsia"/>
          <w:color w:val="auto"/>
          <w:szCs w:val="24"/>
          <w:lang w:eastAsia="zh-CN"/>
        </w:rPr>
        <w:t xml:space="preserve"> </w:t>
      </w:r>
      <w:r w:rsidR="00110C9A" w:rsidRPr="00411A55">
        <w:rPr>
          <w:rFonts w:ascii="Book Antiqua" w:hAnsi="Book Antiqua"/>
          <w:color w:val="auto"/>
          <w:szCs w:val="24"/>
        </w:rPr>
        <w:t xml:space="preserve">0.001), while DES </w:t>
      </w:r>
      <w:r w:rsidRPr="00411A55">
        <w:rPr>
          <w:rFonts w:ascii="Book Antiqua" w:hAnsi="Book Antiqua"/>
          <w:color w:val="auto"/>
          <w:szCs w:val="24"/>
        </w:rPr>
        <w:t>at 12 mo</w:t>
      </w:r>
      <w:r>
        <w:rPr>
          <w:rFonts w:ascii="Book Antiqua" w:eastAsia="宋体" w:hAnsi="Book Antiqua" w:hint="eastAsia"/>
          <w:color w:val="auto"/>
          <w:szCs w:val="24"/>
          <w:lang w:eastAsia="zh-CN"/>
        </w:rPr>
        <w:t xml:space="preserve"> </w:t>
      </w:r>
      <w:r w:rsidR="00110C9A" w:rsidRPr="00411A55">
        <w:rPr>
          <w:rFonts w:ascii="Book Antiqua" w:hAnsi="Book Antiqua"/>
          <w:color w:val="auto"/>
          <w:szCs w:val="24"/>
        </w:rPr>
        <w:t>achieved significantly l</w:t>
      </w:r>
      <w:r w:rsidR="002B5C16">
        <w:rPr>
          <w:rFonts w:ascii="Book Antiqua" w:hAnsi="Book Antiqua"/>
          <w:color w:val="auto"/>
          <w:szCs w:val="24"/>
        </w:rPr>
        <w:t xml:space="preserve">ower restenosis rates (22.4% </w:t>
      </w:r>
      <w:r w:rsidR="002B5C16" w:rsidRPr="002B5C16">
        <w:rPr>
          <w:rFonts w:ascii="Book Antiqua" w:hAnsi="Book Antiqua"/>
          <w:i/>
          <w:color w:val="auto"/>
          <w:szCs w:val="24"/>
        </w:rPr>
        <w:t>vs</w:t>
      </w:r>
      <w:r w:rsidR="00110C9A" w:rsidRPr="00411A55">
        <w:rPr>
          <w:rFonts w:ascii="Book Antiqua" w:hAnsi="Book Antiqua"/>
          <w:color w:val="auto"/>
          <w:szCs w:val="24"/>
        </w:rPr>
        <w:t xml:space="preserve"> 41.9%, </w:t>
      </w:r>
      <w:r w:rsidR="002B5C16" w:rsidRPr="002B5C16">
        <w:rPr>
          <w:rFonts w:ascii="Book Antiqua" w:hAnsi="Book Antiqua"/>
          <w:i/>
          <w:color w:val="auto"/>
          <w:szCs w:val="24"/>
        </w:rPr>
        <w:t>P</w:t>
      </w:r>
      <w:r w:rsidR="00110C9A" w:rsidRPr="00411A55">
        <w:rPr>
          <w:rFonts w:ascii="Book Antiqua" w:hAnsi="Book Antiqua"/>
          <w:color w:val="auto"/>
          <w:szCs w:val="24"/>
        </w:rPr>
        <w:t xml:space="preserve"> = 0.019), superior patency (75.0% </w:t>
      </w:r>
      <w:r w:rsidR="002B5C16" w:rsidRPr="002B5C16">
        <w:rPr>
          <w:rFonts w:ascii="Book Antiqua" w:hAnsi="Book Antiqua"/>
          <w:i/>
          <w:color w:val="auto"/>
          <w:szCs w:val="24"/>
        </w:rPr>
        <w:t>vs</w:t>
      </w:r>
      <w:r w:rsidR="00110C9A" w:rsidRPr="00411A55">
        <w:rPr>
          <w:rFonts w:ascii="Book Antiqua" w:hAnsi="Book Antiqua"/>
          <w:color w:val="auto"/>
          <w:szCs w:val="24"/>
        </w:rPr>
        <w:t xml:space="preserve"> 57.1%, </w:t>
      </w:r>
      <w:r w:rsidR="002B5C16" w:rsidRPr="002B5C16">
        <w:rPr>
          <w:rFonts w:ascii="Book Antiqua" w:hAnsi="Book Antiqua"/>
          <w:i/>
          <w:color w:val="auto"/>
          <w:szCs w:val="24"/>
        </w:rPr>
        <w:t>P</w:t>
      </w:r>
      <w:r w:rsidR="00110C9A" w:rsidRPr="00411A55">
        <w:rPr>
          <w:rFonts w:ascii="Book Antiqua" w:hAnsi="Book Antiqua"/>
          <w:color w:val="auto"/>
          <w:szCs w:val="24"/>
        </w:rPr>
        <w:t xml:space="preserve"> =0.025) and improved Rutherford class.</w:t>
      </w:r>
      <w:r w:rsidR="00411A55">
        <w:rPr>
          <w:rFonts w:ascii="Book Antiqua" w:hAnsi="Book Antiqua"/>
          <w:color w:val="auto"/>
          <w:szCs w:val="24"/>
        </w:rPr>
        <w:t xml:space="preserve"> </w:t>
      </w:r>
      <w:r w:rsidR="00110C9A" w:rsidRPr="00411A55">
        <w:rPr>
          <w:rFonts w:ascii="Book Antiqua" w:hAnsi="Book Antiqua"/>
          <w:color w:val="auto"/>
          <w:szCs w:val="24"/>
        </w:rPr>
        <w:t xml:space="preserve">Revascularization procedures and amputation rates were similar for both treatment </w:t>
      </w:r>
      <w:proofErr w:type="gramStart"/>
      <w:r w:rsidR="00110C9A" w:rsidRPr="00411A55">
        <w:rPr>
          <w:rFonts w:ascii="Book Antiqua" w:hAnsi="Book Antiqua"/>
          <w:color w:val="auto"/>
          <w:szCs w:val="24"/>
        </w:rPr>
        <w:t>options</w:t>
      </w:r>
      <w:r w:rsidR="00110C9A" w:rsidRPr="00411A55">
        <w:rPr>
          <w:rFonts w:ascii="Book Antiqua" w:hAnsi="Book Antiqua"/>
          <w:color w:val="auto"/>
          <w:szCs w:val="24"/>
          <w:vertAlign w:val="superscript"/>
        </w:rPr>
        <w:t>[</w:t>
      </w:r>
      <w:proofErr w:type="gramEnd"/>
      <w:r w:rsidR="00110C9A" w:rsidRPr="00411A55">
        <w:rPr>
          <w:rFonts w:ascii="Book Antiqua" w:hAnsi="Book Antiqua"/>
          <w:color w:val="auto"/>
          <w:szCs w:val="24"/>
          <w:vertAlign w:val="superscript"/>
        </w:rPr>
        <w:t>28]</w:t>
      </w:r>
      <w:r w:rsidR="00110C9A" w:rsidRPr="00411A55">
        <w:rPr>
          <w:rFonts w:ascii="Book Antiqua" w:hAnsi="Book Antiqua"/>
          <w:color w:val="auto"/>
          <w:szCs w:val="24"/>
        </w:rPr>
        <w:t xml:space="preserve">. In a post hoc analysis of </w:t>
      </w:r>
      <w:r w:rsidR="00110C9A" w:rsidRPr="00411A55">
        <w:rPr>
          <w:rFonts w:ascii="Book Antiqua" w:hAnsi="Book Antiqua"/>
          <w:color w:val="auto"/>
          <w:szCs w:val="24"/>
        </w:rPr>
        <w:lastRenderedPageBreak/>
        <w:t xml:space="preserve">this trial, Katsanos </w:t>
      </w:r>
      <w:r w:rsidR="00110C9A" w:rsidRPr="002B5C16">
        <w:rPr>
          <w:rFonts w:ascii="Book Antiqua" w:hAnsi="Book Antiqua"/>
          <w:i/>
          <w:color w:val="auto"/>
          <w:szCs w:val="24"/>
        </w:rPr>
        <w:t xml:space="preserve">et </w:t>
      </w:r>
      <w:proofErr w:type="gramStart"/>
      <w:r w:rsidR="00110C9A" w:rsidRPr="002B5C16">
        <w:rPr>
          <w:rFonts w:ascii="Book Antiqua" w:hAnsi="Book Antiqua"/>
          <w:i/>
          <w:color w:val="auto"/>
          <w:szCs w:val="24"/>
        </w:rPr>
        <w:t>al</w:t>
      </w:r>
      <w:r w:rsidR="002B5C16" w:rsidRPr="00411A55">
        <w:rPr>
          <w:rFonts w:ascii="Book Antiqua" w:hAnsi="Book Antiqua"/>
          <w:color w:val="auto"/>
          <w:szCs w:val="24"/>
          <w:vertAlign w:val="superscript"/>
        </w:rPr>
        <w:t>[</w:t>
      </w:r>
      <w:proofErr w:type="gramEnd"/>
      <w:r w:rsidR="002B5C16" w:rsidRPr="00411A55">
        <w:rPr>
          <w:rFonts w:ascii="Book Antiqua" w:hAnsi="Book Antiqua"/>
          <w:color w:val="auto"/>
          <w:szCs w:val="24"/>
          <w:vertAlign w:val="superscript"/>
        </w:rPr>
        <w:t>29]</w:t>
      </w:r>
      <w:r w:rsidR="00110C9A" w:rsidRPr="00411A55">
        <w:rPr>
          <w:rFonts w:ascii="Book Antiqua" w:hAnsi="Book Antiqua"/>
          <w:color w:val="auto"/>
          <w:szCs w:val="24"/>
        </w:rPr>
        <w:t xml:space="preserve"> reported that DES use was found to accelerate wound healing compared with balloon angioplasty, a substantial outcome especially for patients with diabetes, to whom rapid wound healing is imperative</w:t>
      </w:r>
      <w:r w:rsidR="005B28DC">
        <w:rPr>
          <w:rFonts w:ascii="Book Antiqua" w:hAnsi="Book Antiqua"/>
          <w:color w:val="auto"/>
          <w:szCs w:val="24"/>
        </w:rPr>
        <w:t xml:space="preserve"> </w:t>
      </w:r>
      <w:r w:rsidR="00110C9A" w:rsidRPr="00411A55">
        <w:rPr>
          <w:rFonts w:ascii="Book Antiqua" w:hAnsi="Book Antiqua"/>
          <w:color w:val="auto"/>
          <w:szCs w:val="24"/>
        </w:rPr>
        <w:t>to avoid superinfection and subsequent limb loss</w:t>
      </w:r>
      <w:r w:rsidR="00110C9A" w:rsidRPr="00411A55">
        <w:rPr>
          <w:rFonts w:ascii="Book Antiqua" w:hAnsi="Book Antiqua"/>
          <w:color w:val="auto"/>
          <w:szCs w:val="24"/>
          <w:vertAlign w:val="superscript"/>
        </w:rPr>
        <w:t>[29]</w:t>
      </w:r>
      <w:r w:rsidR="00110C9A" w:rsidRPr="00411A55">
        <w:rPr>
          <w:rFonts w:ascii="Book Antiqua" w:hAnsi="Book Antiqua"/>
          <w:color w:val="auto"/>
          <w:szCs w:val="24"/>
        </w:rPr>
        <w:t>. In the DESTINY multicenter RCT, 140 patients with CLI were randomized to receive either the XIENCE V Everolimus-eluting balloon-expandable stent or the Multilink vision bare balloon-expandable stent (ABBOTT, U</w:t>
      </w:r>
      <w:r w:rsidR="002B5C16">
        <w:rPr>
          <w:rFonts w:ascii="Book Antiqua" w:eastAsia="宋体" w:hAnsi="Book Antiqua" w:hint="eastAsia"/>
          <w:color w:val="auto"/>
          <w:szCs w:val="24"/>
          <w:lang w:eastAsia="zh-CN"/>
        </w:rPr>
        <w:t xml:space="preserve">nited </w:t>
      </w:r>
      <w:r w:rsidR="00110C9A" w:rsidRPr="00411A55">
        <w:rPr>
          <w:rFonts w:ascii="Book Antiqua" w:hAnsi="Book Antiqua"/>
          <w:color w:val="auto"/>
          <w:szCs w:val="24"/>
        </w:rPr>
        <w:t>S</w:t>
      </w:r>
      <w:r w:rsidR="002B5C16">
        <w:rPr>
          <w:rFonts w:ascii="Book Antiqua" w:eastAsia="宋体" w:hAnsi="Book Antiqua" w:hint="eastAsia"/>
          <w:color w:val="auto"/>
          <w:szCs w:val="24"/>
          <w:lang w:eastAsia="zh-CN"/>
        </w:rPr>
        <w:t>tates</w:t>
      </w:r>
      <w:r w:rsidR="00110C9A" w:rsidRPr="00411A55">
        <w:rPr>
          <w:rFonts w:ascii="Book Antiqua" w:hAnsi="Book Antiqua"/>
          <w:color w:val="auto"/>
          <w:szCs w:val="24"/>
        </w:rPr>
        <w:t>). The maximum lesion length allowed was 40mm, and primary patency was defined as the absence of &gt;</w:t>
      </w:r>
      <w:r w:rsidR="002B5C16">
        <w:rPr>
          <w:rFonts w:ascii="Book Antiqua" w:eastAsia="宋体" w:hAnsi="Book Antiqua" w:hint="eastAsia"/>
          <w:color w:val="auto"/>
          <w:szCs w:val="24"/>
          <w:lang w:eastAsia="zh-CN"/>
        </w:rPr>
        <w:t xml:space="preserve"> </w:t>
      </w:r>
      <w:r w:rsidR="00110C9A" w:rsidRPr="00411A55">
        <w:rPr>
          <w:rFonts w:ascii="Book Antiqua" w:hAnsi="Book Antiqua"/>
          <w:color w:val="auto"/>
          <w:szCs w:val="24"/>
        </w:rPr>
        <w:t>50% restenosis assessed by quantitative analysis of contrast angiography. At 12 mo</w:t>
      </w:r>
      <w:r w:rsidR="005B28DC">
        <w:rPr>
          <w:rFonts w:ascii="Book Antiqua" w:hAnsi="Book Antiqua"/>
          <w:color w:val="auto"/>
          <w:szCs w:val="24"/>
        </w:rPr>
        <w:t>,</w:t>
      </w:r>
      <w:r w:rsidR="00110C9A" w:rsidRPr="00411A55">
        <w:rPr>
          <w:rFonts w:ascii="Book Antiqua" w:hAnsi="Book Antiqua"/>
          <w:color w:val="auto"/>
          <w:szCs w:val="24"/>
        </w:rPr>
        <w:t xml:space="preserve"> both primary patency (85% </w:t>
      </w:r>
      <w:r w:rsidR="002B5C16" w:rsidRPr="002B5C16">
        <w:rPr>
          <w:rFonts w:ascii="Book Antiqua" w:hAnsi="Book Antiqua"/>
          <w:i/>
          <w:color w:val="auto"/>
          <w:szCs w:val="24"/>
        </w:rPr>
        <w:t>vs</w:t>
      </w:r>
      <w:r w:rsidR="00110C9A" w:rsidRPr="00411A55">
        <w:rPr>
          <w:rFonts w:ascii="Book Antiqua" w:hAnsi="Book Antiqua"/>
          <w:color w:val="auto"/>
          <w:szCs w:val="24"/>
        </w:rPr>
        <w:t xml:space="preserve"> 54%; </w:t>
      </w:r>
      <w:r w:rsidR="002B5C16" w:rsidRPr="002B5C16">
        <w:rPr>
          <w:rFonts w:ascii="Book Antiqua" w:hAnsi="Book Antiqua"/>
          <w:i/>
          <w:color w:val="auto"/>
          <w:szCs w:val="24"/>
        </w:rPr>
        <w:t>P</w:t>
      </w:r>
      <w:r w:rsidR="002B5C16" w:rsidRPr="002B5C16">
        <w:rPr>
          <w:rFonts w:ascii="Book Antiqua" w:eastAsia="宋体" w:hAnsi="Book Antiqua"/>
          <w:i/>
          <w:color w:val="auto"/>
          <w:szCs w:val="24"/>
          <w:lang w:eastAsia="zh-CN"/>
        </w:rPr>
        <w:t xml:space="preserve"> </w:t>
      </w:r>
      <w:r w:rsidR="00110C9A" w:rsidRPr="00411A55">
        <w:rPr>
          <w:rFonts w:ascii="Book Antiqua" w:hAnsi="Book Antiqua"/>
          <w:color w:val="auto"/>
          <w:szCs w:val="24"/>
        </w:rPr>
        <w:t>=</w:t>
      </w:r>
      <w:r w:rsidR="002B5C16">
        <w:rPr>
          <w:rFonts w:ascii="Book Antiqua" w:eastAsia="宋体" w:hAnsi="Book Antiqua" w:hint="eastAsia"/>
          <w:color w:val="auto"/>
          <w:szCs w:val="24"/>
          <w:lang w:eastAsia="zh-CN"/>
        </w:rPr>
        <w:t xml:space="preserve"> </w:t>
      </w:r>
      <w:r w:rsidR="00110C9A" w:rsidRPr="00411A55">
        <w:rPr>
          <w:rFonts w:ascii="Book Antiqua" w:hAnsi="Book Antiqua"/>
          <w:color w:val="auto"/>
          <w:szCs w:val="24"/>
        </w:rPr>
        <w:t xml:space="preserve">0.0001) and re-intervention (85% </w:t>
      </w:r>
      <w:r w:rsidR="002B5C16" w:rsidRPr="002B5C16">
        <w:rPr>
          <w:rFonts w:ascii="Book Antiqua" w:hAnsi="Book Antiqua"/>
          <w:i/>
          <w:color w:val="auto"/>
          <w:szCs w:val="24"/>
        </w:rPr>
        <w:t>vs</w:t>
      </w:r>
      <w:r w:rsidR="00110C9A" w:rsidRPr="00411A55">
        <w:rPr>
          <w:rFonts w:ascii="Book Antiqua" w:hAnsi="Book Antiqua"/>
          <w:color w:val="auto"/>
          <w:szCs w:val="24"/>
        </w:rPr>
        <w:t xml:space="preserve"> 54%; </w:t>
      </w:r>
      <w:r w:rsidR="002B5C16" w:rsidRPr="002B5C16">
        <w:rPr>
          <w:rFonts w:ascii="Book Antiqua" w:hAnsi="Book Antiqua"/>
          <w:i/>
          <w:color w:val="auto"/>
          <w:szCs w:val="24"/>
        </w:rPr>
        <w:t>P</w:t>
      </w:r>
      <w:r w:rsidR="002B5C16" w:rsidRPr="002B5C16">
        <w:rPr>
          <w:rFonts w:ascii="Book Antiqua" w:eastAsia="宋体" w:hAnsi="Book Antiqua"/>
          <w:i/>
          <w:color w:val="auto"/>
          <w:szCs w:val="24"/>
          <w:lang w:eastAsia="zh-CN"/>
        </w:rPr>
        <w:t xml:space="preserve"> </w:t>
      </w:r>
      <w:r w:rsidR="00110C9A" w:rsidRPr="00411A55">
        <w:rPr>
          <w:rFonts w:ascii="Book Antiqua" w:hAnsi="Book Antiqua"/>
          <w:color w:val="auto"/>
          <w:szCs w:val="24"/>
        </w:rPr>
        <w:t>=</w:t>
      </w:r>
      <w:r w:rsidR="002B5C16">
        <w:rPr>
          <w:rFonts w:ascii="Book Antiqua" w:eastAsia="宋体" w:hAnsi="Book Antiqua" w:hint="eastAsia"/>
          <w:color w:val="auto"/>
          <w:szCs w:val="24"/>
          <w:lang w:eastAsia="zh-CN"/>
        </w:rPr>
        <w:t xml:space="preserve"> </w:t>
      </w:r>
      <w:r w:rsidR="00110C9A" w:rsidRPr="00411A55">
        <w:rPr>
          <w:rFonts w:ascii="Book Antiqua" w:hAnsi="Book Antiqua"/>
          <w:color w:val="auto"/>
          <w:szCs w:val="24"/>
        </w:rPr>
        <w:t xml:space="preserve">0.0001) rates were significantly improved with </w:t>
      </w:r>
      <w:r w:rsidR="005B28DC">
        <w:rPr>
          <w:rFonts w:ascii="Book Antiqua" w:hAnsi="Book Antiqua"/>
          <w:color w:val="auto"/>
          <w:szCs w:val="24"/>
        </w:rPr>
        <w:t>DES</w:t>
      </w:r>
      <w:r w:rsidR="005B28DC" w:rsidRPr="00411A55">
        <w:rPr>
          <w:rFonts w:ascii="Book Antiqua" w:hAnsi="Book Antiqua"/>
          <w:color w:val="auto"/>
          <w:szCs w:val="24"/>
        </w:rPr>
        <w:t xml:space="preserve"> </w:t>
      </w:r>
      <w:r w:rsidR="00110C9A" w:rsidRPr="00411A55">
        <w:rPr>
          <w:rFonts w:ascii="Book Antiqua" w:hAnsi="Book Antiqua"/>
          <w:color w:val="auto"/>
          <w:szCs w:val="24"/>
        </w:rPr>
        <w:t>use. Moreover, the Xience V DES significantly reduced both mean in-stent stenosis (21%</w:t>
      </w:r>
      <w:r w:rsidR="000F08DA">
        <w:rPr>
          <w:rFonts w:ascii="Book Antiqua" w:hAnsi="Book Antiqua"/>
          <w:color w:val="auto"/>
          <w:szCs w:val="24"/>
        </w:rPr>
        <w:t xml:space="preserve"> ± </w:t>
      </w:r>
      <w:r w:rsidR="00110C9A" w:rsidRPr="00411A55">
        <w:rPr>
          <w:rFonts w:ascii="Book Antiqua" w:hAnsi="Book Antiqua"/>
          <w:color w:val="auto"/>
          <w:szCs w:val="24"/>
        </w:rPr>
        <w:t xml:space="preserve">21% </w:t>
      </w:r>
      <w:r w:rsidR="002B5C16" w:rsidRPr="002B5C16">
        <w:rPr>
          <w:rFonts w:ascii="Book Antiqua" w:hAnsi="Book Antiqua"/>
          <w:i/>
          <w:color w:val="auto"/>
          <w:szCs w:val="24"/>
        </w:rPr>
        <w:t>vs</w:t>
      </w:r>
      <w:r w:rsidR="00110C9A" w:rsidRPr="00411A55">
        <w:rPr>
          <w:rFonts w:ascii="Book Antiqua" w:hAnsi="Book Antiqua"/>
          <w:color w:val="auto"/>
          <w:szCs w:val="24"/>
        </w:rPr>
        <w:t xml:space="preserve"> 47%</w:t>
      </w:r>
      <w:r w:rsidR="000F08DA">
        <w:rPr>
          <w:rFonts w:ascii="Book Antiqua" w:hAnsi="Book Antiqua"/>
          <w:color w:val="auto"/>
          <w:szCs w:val="24"/>
        </w:rPr>
        <w:t xml:space="preserve"> ± </w:t>
      </w:r>
      <w:r w:rsidR="00110C9A" w:rsidRPr="00411A55">
        <w:rPr>
          <w:rFonts w:ascii="Book Antiqua" w:hAnsi="Book Antiqua"/>
          <w:color w:val="auto"/>
          <w:szCs w:val="24"/>
        </w:rPr>
        <w:t xml:space="preserve">27%; </w:t>
      </w:r>
      <w:r w:rsidR="002B5C16" w:rsidRPr="002B5C16">
        <w:rPr>
          <w:rFonts w:ascii="Book Antiqua" w:hAnsi="Book Antiqua"/>
          <w:i/>
          <w:color w:val="auto"/>
          <w:szCs w:val="24"/>
        </w:rPr>
        <w:t>P</w:t>
      </w:r>
      <w:r w:rsidR="00110C9A" w:rsidRPr="00411A55">
        <w:rPr>
          <w:rFonts w:ascii="Book Antiqua" w:hAnsi="Book Antiqua"/>
          <w:color w:val="auto"/>
          <w:szCs w:val="24"/>
        </w:rPr>
        <w:t xml:space="preserve"> &lt;</w:t>
      </w:r>
      <w:r w:rsidR="002B5C16">
        <w:rPr>
          <w:rFonts w:ascii="Book Antiqua" w:eastAsia="宋体" w:hAnsi="Book Antiqua" w:hint="eastAsia"/>
          <w:color w:val="auto"/>
          <w:szCs w:val="24"/>
          <w:lang w:eastAsia="zh-CN"/>
        </w:rPr>
        <w:t xml:space="preserve"> </w:t>
      </w:r>
      <w:r w:rsidR="002B5C16">
        <w:rPr>
          <w:rFonts w:ascii="Book Antiqua" w:hAnsi="Book Antiqua"/>
          <w:color w:val="auto"/>
          <w:szCs w:val="24"/>
        </w:rPr>
        <w:t>0</w:t>
      </w:r>
      <w:r w:rsidR="00110C9A" w:rsidRPr="00411A55">
        <w:rPr>
          <w:rFonts w:ascii="Book Antiqua" w:hAnsi="Book Antiqua"/>
          <w:color w:val="auto"/>
          <w:szCs w:val="24"/>
        </w:rPr>
        <w:t xml:space="preserve">.0001) and mean in-stent </w:t>
      </w:r>
      <w:r w:rsidR="002B5C16" w:rsidRPr="00411A55">
        <w:rPr>
          <w:rFonts w:ascii="Book Antiqua" w:hAnsi="Book Antiqua"/>
          <w:color w:val="auto"/>
          <w:szCs w:val="24"/>
        </w:rPr>
        <w:t>LLL</w:t>
      </w:r>
      <w:r w:rsidR="00110C9A" w:rsidRPr="00411A55">
        <w:rPr>
          <w:rFonts w:ascii="Book Antiqua" w:hAnsi="Book Antiqua"/>
          <w:color w:val="auto"/>
          <w:szCs w:val="24"/>
        </w:rPr>
        <w:t xml:space="preserve"> (0.78</w:t>
      </w:r>
      <w:r w:rsidR="000F08DA">
        <w:rPr>
          <w:rFonts w:ascii="Book Antiqua" w:hAnsi="Book Antiqua"/>
          <w:color w:val="auto"/>
          <w:szCs w:val="24"/>
        </w:rPr>
        <w:t xml:space="preserve"> ± </w:t>
      </w:r>
      <w:r w:rsidR="00110C9A" w:rsidRPr="00411A55">
        <w:rPr>
          <w:rFonts w:ascii="Book Antiqua" w:hAnsi="Book Antiqua"/>
          <w:color w:val="auto"/>
          <w:szCs w:val="24"/>
        </w:rPr>
        <w:t xml:space="preserve">0.63 </w:t>
      </w:r>
      <w:r w:rsidR="002B5C16" w:rsidRPr="002B5C16">
        <w:rPr>
          <w:rFonts w:ascii="Book Antiqua" w:hAnsi="Book Antiqua"/>
          <w:i/>
          <w:color w:val="auto"/>
          <w:szCs w:val="24"/>
        </w:rPr>
        <w:t>vs</w:t>
      </w:r>
      <w:r w:rsidR="00110C9A" w:rsidRPr="00411A55">
        <w:rPr>
          <w:rFonts w:ascii="Book Antiqua" w:hAnsi="Book Antiqua"/>
          <w:color w:val="auto"/>
          <w:szCs w:val="24"/>
        </w:rPr>
        <w:t xml:space="preserve"> 1.41</w:t>
      </w:r>
      <w:r w:rsidR="000F08DA">
        <w:rPr>
          <w:rFonts w:ascii="Book Antiqua" w:hAnsi="Book Antiqua"/>
          <w:color w:val="auto"/>
          <w:szCs w:val="24"/>
        </w:rPr>
        <w:t xml:space="preserve"> ± </w:t>
      </w:r>
      <w:r w:rsidR="00110C9A" w:rsidRPr="00411A55">
        <w:rPr>
          <w:rFonts w:ascii="Book Antiqua" w:hAnsi="Book Antiqua"/>
          <w:color w:val="auto"/>
          <w:szCs w:val="24"/>
        </w:rPr>
        <w:t xml:space="preserve">0.89 mm; </w:t>
      </w:r>
      <w:r w:rsidR="002B5C16" w:rsidRPr="002B5C16">
        <w:rPr>
          <w:rFonts w:ascii="Book Antiqua" w:hAnsi="Book Antiqua"/>
          <w:i/>
          <w:color w:val="auto"/>
          <w:szCs w:val="24"/>
        </w:rPr>
        <w:t>P</w:t>
      </w:r>
      <w:r w:rsidR="002B5C16" w:rsidRPr="002B5C16">
        <w:rPr>
          <w:rFonts w:ascii="Book Antiqua" w:eastAsia="宋体" w:hAnsi="Book Antiqua"/>
          <w:i/>
          <w:color w:val="auto"/>
          <w:szCs w:val="24"/>
          <w:lang w:eastAsia="zh-CN"/>
        </w:rPr>
        <w:t xml:space="preserve"> </w:t>
      </w:r>
      <w:r w:rsidR="00110C9A" w:rsidRPr="00411A55">
        <w:rPr>
          <w:rFonts w:ascii="Book Antiqua" w:hAnsi="Book Antiqua"/>
          <w:color w:val="auto"/>
          <w:szCs w:val="24"/>
        </w:rPr>
        <w:t>= 0.001)</w:t>
      </w:r>
      <w:r w:rsidR="00110C9A" w:rsidRPr="00411A55">
        <w:rPr>
          <w:rFonts w:ascii="Book Antiqua" w:hAnsi="Book Antiqua"/>
          <w:color w:val="auto"/>
          <w:szCs w:val="24"/>
          <w:vertAlign w:val="superscript"/>
        </w:rPr>
        <w:t>[27]</w:t>
      </w:r>
      <w:r w:rsidR="00110C9A" w:rsidRPr="00411A55">
        <w:rPr>
          <w:rFonts w:ascii="Book Antiqua" w:hAnsi="Book Antiqua"/>
          <w:color w:val="auto"/>
          <w:szCs w:val="24"/>
        </w:rPr>
        <w:t xml:space="preserve">. Finally, the YUKON-BTK multicenter, double-blind RCT randomized 161 </w:t>
      </w:r>
      <w:r w:rsidR="005B28DC" w:rsidRPr="00411A55">
        <w:rPr>
          <w:rFonts w:ascii="Book Antiqua" w:hAnsi="Book Antiqua"/>
          <w:color w:val="auto"/>
          <w:szCs w:val="24"/>
        </w:rPr>
        <w:t xml:space="preserve">suffering </w:t>
      </w:r>
      <w:r w:rsidR="00110C9A" w:rsidRPr="00411A55">
        <w:rPr>
          <w:rFonts w:ascii="Book Antiqua" w:hAnsi="Book Antiqua"/>
          <w:color w:val="auto"/>
          <w:szCs w:val="24"/>
        </w:rPr>
        <w:t>patients (CLI or IC) to receive endovascular treatment with either the YUKON-BTX polymer-free sirolimus-eluting stent (Translumina, Germany) or a placebo-coated bare-metal stent. Again, the 12</w:t>
      </w:r>
      <w:r w:rsidR="005B28DC">
        <w:rPr>
          <w:rFonts w:ascii="Book Antiqua" w:hAnsi="Book Antiqua"/>
          <w:color w:val="auto"/>
          <w:szCs w:val="24"/>
        </w:rPr>
        <w:t xml:space="preserve"> </w:t>
      </w:r>
      <w:r w:rsidR="00110C9A" w:rsidRPr="00411A55">
        <w:rPr>
          <w:rFonts w:ascii="Book Antiqua" w:hAnsi="Book Antiqua"/>
          <w:color w:val="auto"/>
          <w:szCs w:val="24"/>
        </w:rPr>
        <w:t xml:space="preserve">mo primary (80.6% </w:t>
      </w:r>
      <w:r w:rsidR="002B5C16" w:rsidRPr="002B5C16">
        <w:rPr>
          <w:rFonts w:ascii="Book Antiqua" w:hAnsi="Book Antiqua"/>
          <w:i/>
          <w:color w:val="auto"/>
          <w:szCs w:val="24"/>
        </w:rPr>
        <w:t>vs</w:t>
      </w:r>
      <w:r w:rsidR="00110C9A" w:rsidRPr="00411A55">
        <w:rPr>
          <w:rFonts w:ascii="Book Antiqua" w:hAnsi="Book Antiqua"/>
          <w:color w:val="auto"/>
          <w:szCs w:val="24"/>
        </w:rPr>
        <w:t xml:space="preserve"> 55.6%, </w:t>
      </w:r>
      <w:r w:rsidR="002B5C16" w:rsidRPr="002B5C16">
        <w:rPr>
          <w:rFonts w:ascii="Book Antiqua" w:hAnsi="Book Antiqua"/>
          <w:i/>
          <w:color w:val="auto"/>
          <w:szCs w:val="24"/>
        </w:rPr>
        <w:t>P</w:t>
      </w:r>
      <w:r w:rsidR="002B5C16">
        <w:rPr>
          <w:rFonts w:ascii="Book Antiqua" w:eastAsia="宋体" w:hAnsi="Book Antiqua" w:hint="eastAsia"/>
          <w:color w:val="auto"/>
          <w:szCs w:val="24"/>
          <w:lang w:eastAsia="zh-CN"/>
        </w:rPr>
        <w:t xml:space="preserve"> </w:t>
      </w:r>
      <w:r w:rsidR="00110C9A" w:rsidRPr="00411A55">
        <w:rPr>
          <w:rFonts w:ascii="Book Antiqua" w:hAnsi="Book Antiqua"/>
          <w:color w:val="auto"/>
          <w:szCs w:val="24"/>
        </w:rPr>
        <w:t xml:space="preserve">= 0.004) and secondary (91.9% </w:t>
      </w:r>
      <w:r w:rsidR="002B5C16" w:rsidRPr="002B5C16">
        <w:rPr>
          <w:rFonts w:ascii="Book Antiqua" w:hAnsi="Book Antiqua"/>
          <w:i/>
          <w:color w:val="auto"/>
          <w:szCs w:val="24"/>
        </w:rPr>
        <w:t>vs</w:t>
      </w:r>
      <w:r w:rsidR="00110C9A" w:rsidRPr="00411A55">
        <w:rPr>
          <w:rFonts w:ascii="Book Antiqua" w:hAnsi="Book Antiqua"/>
          <w:color w:val="auto"/>
          <w:szCs w:val="24"/>
        </w:rPr>
        <w:t xml:space="preserve"> 71.4%; </w:t>
      </w:r>
      <w:r w:rsidR="002B5C16" w:rsidRPr="002B5C16">
        <w:rPr>
          <w:rFonts w:ascii="Book Antiqua" w:hAnsi="Book Antiqua"/>
          <w:i/>
          <w:color w:val="auto"/>
          <w:szCs w:val="24"/>
        </w:rPr>
        <w:t>P</w:t>
      </w:r>
      <w:r w:rsidR="002B5C16" w:rsidRPr="00411A55">
        <w:rPr>
          <w:rFonts w:ascii="Book Antiqua" w:hAnsi="Book Antiqua"/>
          <w:color w:val="auto"/>
          <w:szCs w:val="24"/>
        </w:rPr>
        <w:t xml:space="preserve"> </w:t>
      </w:r>
      <w:r w:rsidR="00110C9A" w:rsidRPr="00411A55">
        <w:rPr>
          <w:rFonts w:ascii="Book Antiqua" w:hAnsi="Book Antiqua"/>
          <w:color w:val="auto"/>
          <w:szCs w:val="24"/>
        </w:rPr>
        <w:t xml:space="preserve">= 0.005) patency rates were significantly higher for the DES group, while changes in Rutherford-Becker classification were also significantly superior in the DES </w:t>
      </w:r>
      <w:proofErr w:type="gramStart"/>
      <w:r w:rsidR="00110C9A" w:rsidRPr="00411A55">
        <w:rPr>
          <w:rFonts w:ascii="Book Antiqua" w:hAnsi="Book Antiqua"/>
          <w:color w:val="auto"/>
          <w:szCs w:val="24"/>
        </w:rPr>
        <w:t>group</w:t>
      </w:r>
      <w:r w:rsidR="00110C9A" w:rsidRPr="00411A55">
        <w:rPr>
          <w:rFonts w:ascii="Book Antiqua" w:hAnsi="Book Antiqua"/>
          <w:color w:val="auto"/>
          <w:szCs w:val="24"/>
          <w:vertAlign w:val="superscript"/>
        </w:rPr>
        <w:t>[</w:t>
      </w:r>
      <w:proofErr w:type="gramEnd"/>
      <w:r w:rsidR="00110C9A" w:rsidRPr="00411A55">
        <w:rPr>
          <w:rFonts w:ascii="Book Antiqua" w:hAnsi="Book Antiqua"/>
          <w:color w:val="auto"/>
          <w:szCs w:val="24"/>
          <w:vertAlign w:val="superscript"/>
        </w:rPr>
        <w:t>26]</w:t>
      </w:r>
      <w:r w:rsidR="00110C9A" w:rsidRPr="00411A55">
        <w:rPr>
          <w:rFonts w:ascii="Book Antiqua" w:hAnsi="Book Antiqua"/>
          <w:color w:val="auto"/>
          <w:szCs w:val="24"/>
        </w:rPr>
        <w:t>.</w:t>
      </w:r>
    </w:p>
    <w:p w14:paraId="3365A4BB" w14:textId="524DB27A"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ind w:firstLineChars="100" w:firstLine="240"/>
        <w:jc w:val="both"/>
        <w:rPr>
          <w:rFonts w:ascii="Book Antiqua" w:hAnsi="Book Antiqua"/>
          <w:color w:val="auto"/>
          <w:szCs w:val="24"/>
        </w:rPr>
      </w:pPr>
      <w:r w:rsidRPr="00411A55">
        <w:rPr>
          <w:rFonts w:ascii="Book Antiqua" w:hAnsi="Book Antiqua"/>
          <w:color w:val="auto"/>
          <w:szCs w:val="24"/>
        </w:rPr>
        <w:t xml:space="preserve">Meta-analysis of the above three multicenter RCTs confirmed these findings and demonstrated the superiority of DES over plain balloon angioplasty and </w:t>
      </w:r>
      <w:proofErr w:type="gramStart"/>
      <w:r w:rsidR="002B5C16" w:rsidRPr="00411A55">
        <w:rPr>
          <w:rFonts w:ascii="Book Antiqua" w:hAnsi="Book Antiqua"/>
          <w:color w:val="auto"/>
          <w:szCs w:val="24"/>
        </w:rPr>
        <w:t>BMS</w:t>
      </w:r>
      <w:r w:rsidRPr="00411A55">
        <w:rPr>
          <w:rFonts w:ascii="Book Antiqua" w:hAnsi="Book Antiqua"/>
          <w:color w:val="auto"/>
          <w:szCs w:val="24"/>
        </w:rPr>
        <w:t>s</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30]</w:t>
      </w:r>
      <w:r w:rsidRPr="00411A55">
        <w:rPr>
          <w:rFonts w:ascii="Book Antiqua" w:hAnsi="Book Antiqua"/>
          <w:color w:val="auto"/>
          <w:szCs w:val="24"/>
        </w:rPr>
        <w:t>. Specifically, DES</w:t>
      </w:r>
      <w:r w:rsidR="005B28DC">
        <w:rPr>
          <w:rFonts w:ascii="Book Antiqua" w:hAnsi="Book Antiqua"/>
          <w:color w:val="auto"/>
          <w:szCs w:val="24"/>
        </w:rPr>
        <w:t>s</w:t>
      </w:r>
      <w:r w:rsidRPr="00411A55">
        <w:rPr>
          <w:rFonts w:ascii="Book Antiqua" w:hAnsi="Book Antiqua"/>
          <w:color w:val="auto"/>
          <w:szCs w:val="24"/>
        </w:rPr>
        <w:t xml:space="preserve"> were prove</w:t>
      </w:r>
      <w:r w:rsidR="005B28DC">
        <w:rPr>
          <w:rFonts w:ascii="Book Antiqua" w:hAnsi="Book Antiqua"/>
          <w:color w:val="auto"/>
          <w:szCs w:val="24"/>
        </w:rPr>
        <w:t>n to be</w:t>
      </w:r>
      <w:r w:rsidRPr="00411A55">
        <w:rPr>
          <w:rFonts w:ascii="Book Antiqua" w:hAnsi="Book Antiqua"/>
          <w:color w:val="auto"/>
          <w:szCs w:val="24"/>
        </w:rPr>
        <w:t xml:space="preserve"> significantly superior in terms of 1</w:t>
      </w:r>
      <w:r w:rsidR="005B28DC">
        <w:rPr>
          <w:rFonts w:ascii="Book Antiqua" w:hAnsi="Book Antiqua"/>
          <w:color w:val="auto"/>
          <w:szCs w:val="24"/>
        </w:rPr>
        <w:t xml:space="preserve"> </w:t>
      </w:r>
      <w:r w:rsidRPr="00411A55">
        <w:rPr>
          <w:rFonts w:ascii="Book Antiqua" w:hAnsi="Book Antiqua"/>
          <w:color w:val="auto"/>
          <w:szCs w:val="24"/>
        </w:rPr>
        <w:t xml:space="preserve">year primary patency </w:t>
      </w:r>
      <w:r w:rsidR="002B5C16">
        <w:rPr>
          <w:rFonts w:ascii="Book Antiqua" w:eastAsia="宋体" w:hAnsi="Book Antiqua" w:hint="eastAsia"/>
          <w:color w:val="auto"/>
          <w:szCs w:val="24"/>
          <w:lang w:eastAsia="zh-CN"/>
        </w:rPr>
        <w:t>[</w:t>
      </w:r>
      <w:r w:rsidRPr="00411A55">
        <w:rPr>
          <w:rFonts w:ascii="Book Antiqua" w:hAnsi="Book Antiqua"/>
          <w:color w:val="auto"/>
          <w:szCs w:val="24"/>
        </w:rPr>
        <w:t xml:space="preserve">80.0% </w:t>
      </w:r>
      <w:r w:rsidR="002B5C16" w:rsidRPr="002B5C16">
        <w:rPr>
          <w:rFonts w:ascii="Book Antiqua" w:hAnsi="Book Antiqua"/>
          <w:i/>
          <w:color w:val="auto"/>
          <w:szCs w:val="24"/>
        </w:rPr>
        <w:t>vs</w:t>
      </w:r>
      <w:r w:rsidR="002B5C16">
        <w:rPr>
          <w:rFonts w:ascii="Book Antiqua" w:hAnsi="Book Antiqua"/>
          <w:color w:val="auto"/>
          <w:szCs w:val="24"/>
        </w:rPr>
        <w:t xml:space="preserve"> 58.5%</w:t>
      </w:r>
      <w:r w:rsidRPr="00411A55">
        <w:rPr>
          <w:rFonts w:ascii="Book Antiqua" w:hAnsi="Book Antiqua"/>
          <w:color w:val="auto"/>
          <w:szCs w:val="24"/>
        </w:rPr>
        <w:t>; number</w:t>
      </w:r>
      <w:r w:rsidR="005B28DC">
        <w:rPr>
          <w:rFonts w:ascii="Book Antiqua" w:hAnsi="Book Antiqua"/>
          <w:color w:val="auto"/>
          <w:szCs w:val="24"/>
        </w:rPr>
        <w:t xml:space="preserve"> </w:t>
      </w:r>
      <w:r w:rsidRPr="00411A55">
        <w:rPr>
          <w:rFonts w:ascii="Book Antiqua" w:hAnsi="Book Antiqua"/>
          <w:color w:val="auto"/>
          <w:szCs w:val="24"/>
        </w:rPr>
        <w:t>needed-to-treat (NNT) = 4.8</w:t>
      </w:r>
      <w:r w:rsidR="002B5C16">
        <w:rPr>
          <w:rFonts w:ascii="Book Antiqua" w:eastAsia="宋体" w:hAnsi="Book Antiqua" w:hint="eastAsia"/>
          <w:color w:val="auto"/>
          <w:szCs w:val="24"/>
          <w:lang w:eastAsia="zh-CN"/>
        </w:rPr>
        <w:t>]</w:t>
      </w:r>
      <w:r w:rsidRPr="00411A55">
        <w:rPr>
          <w:rFonts w:ascii="Book Antiqua" w:hAnsi="Book Antiqua"/>
          <w:color w:val="auto"/>
          <w:szCs w:val="24"/>
        </w:rPr>
        <w:t>, improvement of Rutherford-Becker class (79.0</w:t>
      </w:r>
      <w:r w:rsidR="002B5C16">
        <w:rPr>
          <w:rFonts w:ascii="Book Antiqua" w:eastAsia="宋体" w:hAnsi="Book Antiqua" w:hint="eastAsia"/>
          <w:color w:val="auto"/>
          <w:szCs w:val="24"/>
          <w:lang w:eastAsia="zh-CN"/>
        </w:rPr>
        <w:t>%</w:t>
      </w:r>
      <w:r w:rsidRPr="00411A55">
        <w:rPr>
          <w:rFonts w:ascii="Book Antiqua" w:hAnsi="Book Antiqua"/>
          <w:color w:val="auto"/>
          <w:szCs w:val="24"/>
        </w:rPr>
        <w:t xml:space="preserve"> </w:t>
      </w:r>
      <w:r w:rsidR="002B5C16" w:rsidRPr="002B5C16">
        <w:rPr>
          <w:rFonts w:ascii="Book Antiqua" w:hAnsi="Book Antiqua"/>
          <w:i/>
          <w:color w:val="auto"/>
          <w:szCs w:val="24"/>
        </w:rPr>
        <w:t>vs</w:t>
      </w:r>
      <w:r w:rsidR="002B5C16">
        <w:rPr>
          <w:rFonts w:ascii="Book Antiqua" w:hAnsi="Book Antiqua"/>
          <w:color w:val="auto"/>
          <w:szCs w:val="24"/>
        </w:rPr>
        <w:t xml:space="preserve"> 69.6</w:t>
      </w:r>
      <w:r w:rsidRPr="00411A55">
        <w:rPr>
          <w:rFonts w:ascii="Book Antiqua" w:hAnsi="Book Antiqua"/>
          <w:color w:val="auto"/>
          <w:szCs w:val="24"/>
        </w:rPr>
        <w:t>%; NNT</w:t>
      </w:r>
      <w:r w:rsidR="002B5C16">
        <w:rPr>
          <w:rFonts w:ascii="Book Antiqua" w:eastAsia="宋体" w:hAnsi="Book Antiqua" w:hint="eastAsia"/>
          <w:color w:val="auto"/>
          <w:szCs w:val="24"/>
          <w:lang w:eastAsia="zh-CN"/>
        </w:rPr>
        <w:t xml:space="preserve"> </w:t>
      </w:r>
      <w:r w:rsidRPr="00411A55">
        <w:rPr>
          <w:rFonts w:ascii="Book Antiqua" w:hAnsi="Book Antiqua"/>
          <w:color w:val="auto"/>
          <w:szCs w:val="24"/>
        </w:rPr>
        <w:t>= 11.1), target lesion rev</w:t>
      </w:r>
      <w:r w:rsidR="005B28DC">
        <w:rPr>
          <w:rFonts w:ascii="Book Antiqua" w:hAnsi="Book Antiqua"/>
          <w:color w:val="auto"/>
          <w:szCs w:val="24"/>
        </w:rPr>
        <w:t>a</w:t>
      </w:r>
      <w:r w:rsidRPr="00411A55">
        <w:rPr>
          <w:rFonts w:ascii="Book Antiqua" w:hAnsi="Book Antiqua"/>
          <w:color w:val="auto"/>
          <w:szCs w:val="24"/>
        </w:rPr>
        <w:t xml:space="preserve">scularization (TLR) events (9.9 </w:t>
      </w:r>
      <w:r w:rsidR="002B5C16" w:rsidRPr="002B5C16">
        <w:rPr>
          <w:rFonts w:ascii="Book Antiqua" w:hAnsi="Book Antiqua"/>
          <w:i/>
          <w:color w:val="auto"/>
          <w:szCs w:val="24"/>
        </w:rPr>
        <w:t>vs</w:t>
      </w:r>
      <w:r w:rsidR="002B5C16">
        <w:rPr>
          <w:rFonts w:ascii="Book Antiqua" w:hAnsi="Book Antiqua"/>
          <w:color w:val="auto"/>
          <w:szCs w:val="24"/>
        </w:rPr>
        <w:t xml:space="preserve"> 22.0 %;</w:t>
      </w:r>
      <w:r w:rsidRPr="00411A55">
        <w:rPr>
          <w:rFonts w:ascii="Book Antiqua" w:hAnsi="Book Antiqua"/>
          <w:color w:val="auto"/>
          <w:szCs w:val="24"/>
        </w:rPr>
        <w:t xml:space="preserve"> NNT = 8.3), wound healing (76.8</w:t>
      </w:r>
      <w:r w:rsidR="002B5C16">
        <w:rPr>
          <w:rFonts w:ascii="Book Antiqua" w:eastAsia="宋体" w:hAnsi="Book Antiqua" w:hint="eastAsia"/>
          <w:color w:val="auto"/>
          <w:szCs w:val="24"/>
          <w:lang w:eastAsia="zh-CN"/>
        </w:rPr>
        <w:t>%</w:t>
      </w:r>
      <w:r w:rsidRPr="00411A55">
        <w:rPr>
          <w:rFonts w:ascii="Book Antiqua" w:hAnsi="Book Antiqua"/>
          <w:color w:val="auto"/>
          <w:szCs w:val="24"/>
        </w:rPr>
        <w:t xml:space="preserve"> </w:t>
      </w:r>
      <w:r w:rsidR="002B5C16" w:rsidRPr="002B5C16">
        <w:rPr>
          <w:rFonts w:ascii="Book Antiqua" w:hAnsi="Book Antiqua"/>
          <w:i/>
          <w:color w:val="auto"/>
          <w:szCs w:val="24"/>
        </w:rPr>
        <w:t>vs</w:t>
      </w:r>
      <w:r w:rsidR="002B5C16">
        <w:rPr>
          <w:rFonts w:ascii="Book Antiqua" w:hAnsi="Book Antiqua"/>
          <w:color w:val="auto"/>
          <w:szCs w:val="24"/>
        </w:rPr>
        <w:t xml:space="preserve"> 59.7</w:t>
      </w:r>
      <w:r w:rsidRPr="00411A55">
        <w:rPr>
          <w:rFonts w:ascii="Book Antiqua" w:hAnsi="Book Antiqua"/>
          <w:color w:val="auto"/>
          <w:szCs w:val="24"/>
        </w:rPr>
        <w:t>%; 2; NNT = 5.9), and</w:t>
      </w:r>
      <w:r w:rsidR="00411A55">
        <w:rPr>
          <w:rFonts w:ascii="Book Antiqua" w:hAnsi="Book Antiqua"/>
          <w:color w:val="auto"/>
          <w:szCs w:val="24"/>
        </w:rPr>
        <w:t xml:space="preserve"> </w:t>
      </w:r>
      <w:r w:rsidRPr="00411A55">
        <w:rPr>
          <w:rFonts w:ascii="Book Antiqua" w:hAnsi="Book Antiqua"/>
          <w:color w:val="auto"/>
          <w:szCs w:val="24"/>
        </w:rPr>
        <w:t>event-free survival (72.2</w:t>
      </w:r>
      <w:r w:rsidR="002B5C16">
        <w:rPr>
          <w:rFonts w:ascii="Book Antiqua" w:eastAsia="宋体" w:hAnsi="Book Antiqua" w:hint="eastAsia"/>
          <w:color w:val="auto"/>
          <w:szCs w:val="24"/>
          <w:lang w:eastAsia="zh-CN"/>
        </w:rPr>
        <w:t>%</w:t>
      </w:r>
      <w:r w:rsidRPr="00411A55">
        <w:rPr>
          <w:rFonts w:ascii="Book Antiqua" w:hAnsi="Book Antiqua"/>
          <w:color w:val="auto"/>
          <w:szCs w:val="24"/>
        </w:rPr>
        <w:t xml:space="preserve"> </w:t>
      </w:r>
      <w:r w:rsidR="002B5C16" w:rsidRPr="002B5C16">
        <w:rPr>
          <w:rFonts w:ascii="Book Antiqua" w:hAnsi="Book Antiqua"/>
          <w:i/>
          <w:color w:val="auto"/>
          <w:szCs w:val="24"/>
        </w:rPr>
        <w:t>vs</w:t>
      </w:r>
      <w:r w:rsidR="002B5C16">
        <w:rPr>
          <w:rFonts w:ascii="Book Antiqua" w:hAnsi="Book Antiqua"/>
          <w:color w:val="auto"/>
          <w:szCs w:val="24"/>
        </w:rPr>
        <w:t xml:space="preserve"> 57.3</w:t>
      </w:r>
      <w:r w:rsidRPr="00411A55">
        <w:rPr>
          <w:rFonts w:ascii="Book Antiqua" w:hAnsi="Book Antiqua"/>
          <w:color w:val="auto"/>
          <w:szCs w:val="24"/>
        </w:rPr>
        <w:t xml:space="preserve">%; pooled; NNT = 6.7). </w:t>
      </w:r>
    </w:p>
    <w:p w14:paraId="5D6D6D41" w14:textId="200B45FA"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ind w:firstLineChars="100" w:firstLine="240"/>
        <w:jc w:val="both"/>
        <w:rPr>
          <w:rFonts w:ascii="Book Antiqua" w:hAnsi="Book Antiqua"/>
          <w:color w:val="auto"/>
          <w:szCs w:val="24"/>
        </w:rPr>
      </w:pPr>
      <w:r w:rsidRPr="00411A55">
        <w:rPr>
          <w:rFonts w:ascii="Book Antiqua" w:hAnsi="Book Antiqua"/>
          <w:color w:val="auto"/>
          <w:szCs w:val="24"/>
        </w:rPr>
        <w:t xml:space="preserve">Recently, data about long-term outcomes of DES application in infrapopliteal arterial disease were published in the PADI study; the only multicenter RCT study with the long-awaited 5-year follow up </w:t>
      </w:r>
      <w:proofErr w:type="gramStart"/>
      <w:r w:rsidRPr="00411A55">
        <w:rPr>
          <w:rFonts w:ascii="Book Antiqua" w:hAnsi="Book Antiqua"/>
          <w:color w:val="auto"/>
          <w:szCs w:val="24"/>
        </w:rPr>
        <w:t>data</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31]</w:t>
      </w:r>
      <w:r w:rsidRPr="00411A55">
        <w:rPr>
          <w:rFonts w:ascii="Book Antiqua" w:hAnsi="Book Antiqua"/>
          <w:color w:val="auto"/>
          <w:szCs w:val="24"/>
        </w:rPr>
        <w:t xml:space="preserve">. </w:t>
      </w:r>
      <w:r w:rsidR="0081636D">
        <w:rPr>
          <w:rFonts w:ascii="Book Antiqua" w:hAnsi="Book Antiqua"/>
          <w:color w:val="auto"/>
          <w:szCs w:val="24"/>
        </w:rPr>
        <w:t>I</w:t>
      </w:r>
      <w:r w:rsidR="0081636D" w:rsidRPr="00411A55">
        <w:rPr>
          <w:rFonts w:ascii="Book Antiqua" w:hAnsi="Book Antiqua"/>
          <w:color w:val="auto"/>
          <w:szCs w:val="24"/>
        </w:rPr>
        <w:t>n three vascular centers in the Netherlands</w:t>
      </w:r>
      <w:r w:rsidR="0081636D">
        <w:rPr>
          <w:rFonts w:ascii="Book Antiqua" w:hAnsi="Book Antiqua"/>
          <w:color w:val="auto"/>
          <w:szCs w:val="24"/>
        </w:rPr>
        <w:t>,</w:t>
      </w:r>
      <w:r w:rsidR="0081636D" w:rsidRPr="00411A55">
        <w:rPr>
          <w:rFonts w:ascii="Book Antiqua" w:hAnsi="Book Antiqua"/>
          <w:color w:val="auto"/>
          <w:szCs w:val="24"/>
        </w:rPr>
        <w:t xml:space="preserve"> </w:t>
      </w:r>
      <w:r w:rsidRPr="00411A55">
        <w:rPr>
          <w:rFonts w:ascii="Book Antiqua" w:hAnsi="Book Antiqua"/>
          <w:color w:val="auto"/>
          <w:szCs w:val="24"/>
        </w:rPr>
        <w:t xml:space="preserve">Paclitaxel-eluting stents </w:t>
      </w:r>
      <w:r w:rsidR="002B5C16" w:rsidRPr="00411A55">
        <w:rPr>
          <w:rFonts w:ascii="Book Antiqua" w:hAnsi="Book Antiqua"/>
          <w:color w:val="auto"/>
          <w:szCs w:val="24"/>
        </w:rPr>
        <w:t xml:space="preserve">(PES) </w:t>
      </w:r>
      <w:r w:rsidRPr="00411A55">
        <w:rPr>
          <w:rFonts w:ascii="Book Antiqua" w:hAnsi="Book Antiqua"/>
          <w:color w:val="auto"/>
          <w:szCs w:val="24"/>
        </w:rPr>
        <w:t xml:space="preserve">(TAXUS Liberte; Boston Scientific, </w:t>
      </w:r>
      <w:r w:rsidRPr="00411A55">
        <w:rPr>
          <w:rFonts w:ascii="Book Antiqua" w:hAnsi="Book Antiqua"/>
          <w:color w:val="auto"/>
          <w:szCs w:val="24"/>
        </w:rPr>
        <w:lastRenderedPageBreak/>
        <w:t>U</w:t>
      </w:r>
      <w:r w:rsidR="002B5C16">
        <w:rPr>
          <w:rFonts w:ascii="Book Antiqua" w:eastAsia="宋体" w:hAnsi="Book Antiqua" w:hint="eastAsia"/>
          <w:color w:val="auto"/>
          <w:szCs w:val="24"/>
          <w:lang w:eastAsia="zh-CN"/>
        </w:rPr>
        <w:t xml:space="preserve">nited </w:t>
      </w:r>
      <w:r w:rsidRPr="00411A55">
        <w:rPr>
          <w:rFonts w:ascii="Book Antiqua" w:hAnsi="Book Antiqua"/>
          <w:color w:val="auto"/>
          <w:szCs w:val="24"/>
        </w:rPr>
        <w:t>S</w:t>
      </w:r>
      <w:r w:rsidR="002B5C16">
        <w:rPr>
          <w:rFonts w:ascii="Book Antiqua" w:eastAsia="宋体" w:hAnsi="Book Antiqua" w:hint="eastAsia"/>
          <w:color w:val="auto"/>
          <w:szCs w:val="24"/>
          <w:lang w:eastAsia="zh-CN"/>
        </w:rPr>
        <w:t>tates</w:t>
      </w:r>
      <w:r w:rsidRPr="00411A55">
        <w:rPr>
          <w:rFonts w:ascii="Book Antiqua" w:hAnsi="Book Antiqua"/>
          <w:color w:val="auto"/>
          <w:szCs w:val="24"/>
        </w:rPr>
        <w:t xml:space="preserve">) were randomized </w:t>
      </w:r>
      <w:r w:rsidRPr="000F08DA">
        <w:rPr>
          <w:rFonts w:ascii="Book Antiqua" w:hAnsi="Book Antiqua"/>
          <w:i/>
          <w:color w:val="auto"/>
          <w:szCs w:val="24"/>
        </w:rPr>
        <w:t>v</w:t>
      </w:r>
      <w:r w:rsidR="003B6EBC">
        <w:rPr>
          <w:rFonts w:ascii="Book Antiqua" w:hAnsi="Book Antiqua"/>
          <w:i/>
          <w:color w:val="auto"/>
          <w:szCs w:val="24"/>
        </w:rPr>
        <w:t>ersu</w:t>
      </w:r>
      <w:r w:rsidRPr="000F08DA">
        <w:rPr>
          <w:rFonts w:ascii="Book Antiqua" w:hAnsi="Book Antiqua"/>
          <w:i/>
          <w:color w:val="auto"/>
          <w:szCs w:val="24"/>
        </w:rPr>
        <w:t xml:space="preserve">s </w:t>
      </w:r>
      <w:r w:rsidR="0081636D">
        <w:rPr>
          <w:rFonts w:ascii="Book Antiqua" w:hAnsi="Book Antiqua"/>
          <w:color w:val="auto"/>
          <w:szCs w:val="24"/>
        </w:rPr>
        <w:t xml:space="preserve">both </w:t>
      </w:r>
      <w:r w:rsidRPr="00411A55">
        <w:rPr>
          <w:rFonts w:ascii="Book Antiqua" w:hAnsi="Book Antiqua"/>
          <w:color w:val="auto"/>
          <w:szCs w:val="24"/>
        </w:rPr>
        <w:t xml:space="preserve">PTA and bail-out bare metal stenting. </w:t>
      </w:r>
      <w:r w:rsidR="0081636D">
        <w:rPr>
          <w:rFonts w:ascii="Book Antiqua" w:hAnsi="Book Antiqua"/>
          <w:color w:val="auto"/>
          <w:szCs w:val="24"/>
        </w:rPr>
        <w:t xml:space="preserve">A </w:t>
      </w:r>
      <w:r w:rsidRPr="00411A55">
        <w:rPr>
          <w:rFonts w:ascii="Book Antiqua" w:hAnsi="Book Antiqua"/>
          <w:color w:val="auto"/>
          <w:szCs w:val="24"/>
        </w:rPr>
        <w:t>total</w:t>
      </w:r>
      <w:r w:rsidR="0081636D">
        <w:rPr>
          <w:rFonts w:ascii="Book Antiqua" w:hAnsi="Book Antiqua"/>
          <w:color w:val="auto"/>
          <w:szCs w:val="24"/>
        </w:rPr>
        <w:t xml:space="preserve"> of</w:t>
      </w:r>
      <w:r w:rsidRPr="00411A55">
        <w:rPr>
          <w:rFonts w:ascii="Book Antiqua" w:hAnsi="Book Antiqua"/>
          <w:color w:val="auto"/>
          <w:szCs w:val="24"/>
        </w:rPr>
        <w:t xml:space="preserve"> 137 patients with CLI were included in the study. At 5</w:t>
      </w:r>
      <w:r w:rsidR="0081636D">
        <w:rPr>
          <w:rFonts w:ascii="Book Antiqua" w:hAnsi="Book Antiqua"/>
          <w:color w:val="auto"/>
          <w:szCs w:val="24"/>
        </w:rPr>
        <w:t xml:space="preserve"> </w:t>
      </w:r>
      <w:r w:rsidRPr="00411A55">
        <w:rPr>
          <w:rFonts w:ascii="Book Antiqua" w:hAnsi="Book Antiqua"/>
          <w:color w:val="auto"/>
          <w:szCs w:val="24"/>
        </w:rPr>
        <w:t>years follow</w:t>
      </w:r>
      <w:r w:rsidR="0081636D">
        <w:rPr>
          <w:rFonts w:ascii="Book Antiqua" w:hAnsi="Book Antiqua"/>
          <w:color w:val="auto"/>
          <w:szCs w:val="24"/>
        </w:rPr>
        <w:t>-</w:t>
      </w:r>
      <w:r w:rsidRPr="00411A55">
        <w:rPr>
          <w:rFonts w:ascii="Book Antiqua" w:hAnsi="Book Antiqua"/>
          <w:color w:val="auto"/>
          <w:szCs w:val="24"/>
        </w:rPr>
        <w:t>up</w:t>
      </w:r>
      <w:r w:rsidR="0081636D">
        <w:rPr>
          <w:rFonts w:ascii="Book Antiqua" w:hAnsi="Book Antiqua"/>
          <w:color w:val="auto"/>
          <w:szCs w:val="24"/>
        </w:rPr>
        <w:t>,</w:t>
      </w:r>
      <w:r w:rsidRPr="00411A55">
        <w:rPr>
          <w:rFonts w:ascii="Book Antiqua" w:hAnsi="Book Antiqua"/>
          <w:color w:val="auto"/>
          <w:szCs w:val="24"/>
        </w:rPr>
        <w:t xml:space="preserve"> amputation-free survival and event-free survival rates were significantly superior in the </w:t>
      </w:r>
      <w:r w:rsidR="002B5C16">
        <w:rPr>
          <w:rFonts w:ascii="Book Antiqua" w:hAnsi="Book Antiqua"/>
          <w:color w:val="auto"/>
          <w:szCs w:val="24"/>
        </w:rPr>
        <w:t>PES</w:t>
      </w:r>
      <w:r w:rsidRPr="00411A55">
        <w:rPr>
          <w:rFonts w:ascii="Book Antiqua" w:hAnsi="Book Antiqua"/>
          <w:color w:val="auto"/>
          <w:szCs w:val="24"/>
        </w:rPr>
        <w:t xml:space="preserve"> group (26.2% </w:t>
      </w:r>
      <w:r w:rsidR="002B5C16" w:rsidRPr="002B5C16">
        <w:rPr>
          <w:rFonts w:ascii="Book Antiqua" w:hAnsi="Book Antiqua"/>
          <w:i/>
          <w:color w:val="auto"/>
          <w:szCs w:val="24"/>
        </w:rPr>
        <w:t>vs</w:t>
      </w:r>
      <w:r w:rsidRPr="00411A55">
        <w:rPr>
          <w:rFonts w:ascii="Book Antiqua" w:hAnsi="Book Antiqua"/>
          <w:color w:val="auto"/>
          <w:szCs w:val="24"/>
        </w:rPr>
        <w:t xml:space="preserve"> 15.3%, </w:t>
      </w:r>
      <w:r w:rsidR="002B5C16" w:rsidRPr="002B5C16">
        <w:rPr>
          <w:rFonts w:ascii="Book Antiqua" w:hAnsi="Book Antiqua"/>
          <w:i/>
          <w:color w:val="auto"/>
          <w:szCs w:val="24"/>
        </w:rPr>
        <w:t>P</w:t>
      </w:r>
      <w:r w:rsidR="002B5C16">
        <w:rPr>
          <w:rFonts w:ascii="Book Antiqua" w:eastAsia="宋体" w:hAnsi="Book Antiqua" w:hint="eastAsia"/>
          <w:color w:val="auto"/>
          <w:szCs w:val="24"/>
          <w:lang w:eastAsia="zh-CN"/>
        </w:rPr>
        <w:t xml:space="preserve"> </w:t>
      </w:r>
      <w:r w:rsidRPr="00411A55">
        <w:rPr>
          <w:rFonts w:ascii="Book Antiqua" w:hAnsi="Book Antiqua"/>
          <w:color w:val="auto"/>
          <w:szCs w:val="24"/>
        </w:rPr>
        <w:t>=</w:t>
      </w:r>
      <w:r w:rsidR="002B5C16">
        <w:rPr>
          <w:rFonts w:ascii="Book Antiqua" w:eastAsia="宋体" w:hAnsi="Book Antiqua" w:hint="eastAsia"/>
          <w:color w:val="auto"/>
          <w:szCs w:val="24"/>
          <w:lang w:eastAsia="zh-CN"/>
        </w:rPr>
        <w:t xml:space="preserve"> </w:t>
      </w:r>
      <w:r w:rsidRPr="00411A55">
        <w:rPr>
          <w:rFonts w:ascii="Book Antiqua" w:hAnsi="Book Antiqua"/>
          <w:color w:val="auto"/>
          <w:szCs w:val="24"/>
        </w:rPr>
        <w:t xml:space="preserve">0.041 and 31.8% </w:t>
      </w:r>
      <w:r w:rsidR="002B5C16" w:rsidRPr="002B5C16">
        <w:rPr>
          <w:rFonts w:ascii="Book Antiqua" w:hAnsi="Book Antiqua"/>
          <w:i/>
          <w:color w:val="auto"/>
          <w:szCs w:val="24"/>
        </w:rPr>
        <w:t>vs</w:t>
      </w:r>
      <w:r w:rsidRPr="00411A55">
        <w:rPr>
          <w:rFonts w:ascii="Book Antiqua" w:hAnsi="Book Antiqua"/>
          <w:color w:val="auto"/>
          <w:szCs w:val="24"/>
        </w:rPr>
        <w:t xml:space="preserve"> 20.4%, </w:t>
      </w:r>
      <w:r w:rsidR="002B5C16" w:rsidRPr="002B5C16">
        <w:rPr>
          <w:rFonts w:ascii="Book Antiqua" w:hAnsi="Book Antiqua"/>
          <w:i/>
          <w:color w:val="auto"/>
          <w:szCs w:val="24"/>
        </w:rPr>
        <w:t>P</w:t>
      </w:r>
      <w:r w:rsidR="002B5C16" w:rsidRPr="00411A55">
        <w:rPr>
          <w:rFonts w:ascii="Book Antiqua" w:hAnsi="Book Antiqua"/>
          <w:color w:val="auto"/>
          <w:szCs w:val="24"/>
        </w:rPr>
        <w:t xml:space="preserve"> </w:t>
      </w:r>
      <w:r w:rsidRPr="00411A55">
        <w:rPr>
          <w:rFonts w:ascii="Book Antiqua" w:hAnsi="Book Antiqua"/>
          <w:color w:val="auto"/>
          <w:szCs w:val="24"/>
        </w:rPr>
        <w:t>=</w:t>
      </w:r>
      <w:r w:rsidR="002B5C16">
        <w:rPr>
          <w:rFonts w:ascii="Book Antiqua" w:eastAsia="宋体" w:hAnsi="Book Antiqua" w:hint="eastAsia"/>
          <w:color w:val="auto"/>
          <w:szCs w:val="24"/>
          <w:lang w:eastAsia="zh-CN"/>
        </w:rPr>
        <w:t xml:space="preserve"> </w:t>
      </w:r>
      <w:r w:rsidRPr="00411A55">
        <w:rPr>
          <w:rFonts w:ascii="Book Antiqua" w:hAnsi="Book Antiqua"/>
          <w:color w:val="auto"/>
          <w:szCs w:val="24"/>
        </w:rPr>
        <w:t>0.043</w:t>
      </w:r>
      <w:r w:rsidR="0081636D">
        <w:rPr>
          <w:rFonts w:ascii="Book Antiqua" w:hAnsi="Book Antiqua"/>
          <w:color w:val="auto"/>
          <w:szCs w:val="24"/>
        </w:rPr>
        <w:t>,</w:t>
      </w:r>
      <w:r w:rsidRPr="00411A55">
        <w:rPr>
          <w:rFonts w:ascii="Book Antiqua" w:hAnsi="Book Antiqua"/>
          <w:color w:val="auto"/>
          <w:szCs w:val="24"/>
        </w:rPr>
        <w:t xml:space="preserve"> respectively), while amputation rate was also lower for PES (19.3% </w:t>
      </w:r>
      <w:r w:rsidR="002B5C16" w:rsidRPr="002B5C16">
        <w:rPr>
          <w:rFonts w:ascii="Book Antiqua" w:hAnsi="Book Antiqua"/>
          <w:i/>
          <w:color w:val="auto"/>
          <w:szCs w:val="24"/>
        </w:rPr>
        <w:t>vs</w:t>
      </w:r>
      <w:r w:rsidRPr="00411A55">
        <w:rPr>
          <w:rFonts w:ascii="Book Antiqua" w:hAnsi="Book Antiqua"/>
          <w:color w:val="auto"/>
          <w:szCs w:val="24"/>
        </w:rPr>
        <w:t xml:space="preserve"> 34.0%; </w:t>
      </w:r>
      <w:r w:rsidR="002B5C16" w:rsidRPr="002B5C16">
        <w:rPr>
          <w:rFonts w:ascii="Book Antiqua" w:hAnsi="Book Antiqua"/>
          <w:i/>
          <w:color w:val="auto"/>
          <w:szCs w:val="24"/>
        </w:rPr>
        <w:t>P</w:t>
      </w:r>
      <w:r w:rsidR="002B5C16" w:rsidRPr="00411A55">
        <w:rPr>
          <w:rFonts w:ascii="Book Antiqua" w:hAnsi="Book Antiqua"/>
          <w:color w:val="auto"/>
          <w:szCs w:val="24"/>
        </w:rPr>
        <w:t xml:space="preserve"> </w:t>
      </w:r>
      <w:r w:rsidRPr="00411A55">
        <w:rPr>
          <w:rFonts w:ascii="Book Antiqua" w:hAnsi="Book Antiqua"/>
          <w:color w:val="auto"/>
          <w:szCs w:val="24"/>
        </w:rPr>
        <w:t>=</w:t>
      </w:r>
      <w:r w:rsidR="002B5C16">
        <w:rPr>
          <w:rFonts w:ascii="Book Antiqua" w:eastAsia="宋体" w:hAnsi="Book Antiqua" w:hint="eastAsia"/>
          <w:color w:val="auto"/>
          <w:szCs w:val="24"/>
          <w:lang w:eastAsia="zh-CN"/>
        </w:rPr>
        <w:t xml:space="preserve"> </w:t>
      </w:r>
      <w:r w:rsidRPr="00411A55">
        <w:rPr>
          <w:rFonts w:ascii="Book Antiqua" w:hAnsi="Book Antiqua"/>
          <w:color w:val="auto"/>
          <w:szCs w:val="24"/>
        </w:rPr>
        <w:t xml:space="preserve">0.091). Survival rates were similar between the two groups, while </w:t>
      </w:r>
      <w:r w:rsidR="0081636D">
        <w:rPr>
          <w:rFonts w:ascii="Book Antiqua" w:hAnsi="Book Antiqua"/>
          <w:color w:val="auto"/>
          <w:szCs w:val="24"/>
        </w:rPr>
        <w:t xml:space="preserve">the </w:t>
      </w:r>
      <w:r w:rsidRPr="00411A55">
        <w:rPr>
          <w:rFonts w:ascii="Book Antiqua" w:hAnsi="Book Antiqua"/>
          <w:color w:val="auto"/>
          <w:szCs w:val="24"/>
        </w:rPr>
        <w:t>duplex</w:t>
      </w:r>
      <w:r w:rsidR="0081636D">
        <w:rPr>
          <w:rFonts w:ascii="Book Antiqua" w:hAnsi="Book Antiqua"/>
          <w:color w:val="auto"/>
          <w:szCs w:val="24"/>
        </w:rPr>
        <w:t>-</w:t>
      </w:r>
      <w:r w:rsidRPr="00411A55">
        <w:rPr>
          <w:rFonts w:ascii="Book Antiqua" w:hAnsi="Book Antiqua"/>
          <w:color w:val="auto"/>
          <w:szCs w:val="24"/>
        </w:rPr>
        <w:t>assessed patency rate was still significantly higher in the PES group after four years follow</w:t>
      </w:r>
      <w:r w:rsidR="0081636D">
        <w:rPr>
          <w:rFonts w:ascii="Book Antiqua" w:hAnsi="Book Antiqua"/>
          <w:color w:val="auto"/>
          <w:szCs w:val="24"/>
        </w:rPr>
        <w:t>-</w:t>
      </w:r>
      <w:r w:rsidRPr="00411A55">
        <w:rPr>
          <w:rFonts w:ascii="Book Antiqua" w:hAnsi="Book Antiqua"/>
          <w:color w:val="auto"/>
          <w:szCs w:val="24"/>
        </w:rPr>
        <w:t xml:space="preserve">up (13.5% </w:t>
      </w:r>
      <w:r w:rsidR="002B5C16" w:rsidRPr="002B5C16">
        <w:rPr>
          <w:rFonts w:ascii="Book Antiqua" w:hAnsi="Book Antiqua"/>
          <w:i/>
          <w:color w:val="auto"/>
          <w:szCs w:val="24"/>
        </w:rPr>
        <w:t>vs</w:t>
      </w:r>
      <w:r w:rsidRPr="00411A55">
        <w:rPr>
          <w:rFonts w:ascii="Book Antiqua" w:hAnsi="Book Antiqua"/>
          <w:color w:val="auto"/>
          <w:szCs w:val="24"/>
        </w:rPr>
        <w:t xml:space="preserve"> 32.6%, </w:t>
      </w:r>
      <w:r w:rsidR="002B5C16" w:rsidRPr="002B5C16">
        <w:rPr>
          <w:rFonts w:ascii="Book Antiqua" w:hAnsi="Book Antiqua"/>
          <w:i/>
          <w:color w:val="auto"/>
          <w:szCs w:val="24"/>
        </w:rPr>
        <w:t>P</w:t>
      </w:r>
      <w:r w:rsidR="002B5C16" w:rsidRPr="00411A55">
        <w:rPr>
          <w:rFonts w:ascii="Book Antiqua" w:hAnsi="Book Antiqua"/>
          <w:color w:val="auto"/>
          <w:szCs w:val="24"/>
        </w:rPr>
        <w:t xml:space="preserve"> </w:t>
      </w:r>
      <w:r w:rsidRPr="00411A55">
        <w:rPr>
          <w:rFonts w:ascii="Book Antiqua" w:hAnsi="Book Antiqua"/>
          <w:color w:val="auto"/>
          <w:szCs w:val="24"/>
        </w:rPr>
        <w:t>=</w:t>
      </w:r>
      <w:r w:rsidR="002B5C16">
        <w:rPr>
          <w:rFonts w:ascii="Book Antiqua" w:eastAsia="宋体" w:hAnsi="Book Antiqua" w:hint="eastAsia"/>
          <w:color w:val="auto"/>
          <w:szCs w:val="24"/>
          <w:lang w:eastAsia="zh-CN"/>
        </w:rPr>
        <w:t xml:space="preserve"> </w:t>
      </w:r>
      <w:r w:rsidRPr="00411A55">
        <w:rPr>
          <w:rFonts w:ascii="Book Antiqua" w:hAnsi="Book Antiqua"/>
          <w:color w:val="auto"/>
          <w:szCs w:val="24"/>
        </w:rPr>
        <w:t>0.031). All randomized controlled trials for infrapopliteal drug-eluting technologies are analytically reported in Table 2.</w:t>
      </w:r>
    </w:p>
    <w:p w14:paraId="4A052FDA" w14:textId="3985667C"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ind w:firstLineChars="100" w:firstLine="240"/>
        <w:jc w:val="both"/>
        <w:rPr>
          <w:rFonts w:ascii="Book Antiqua" w:hAnsi="Book Antiqua"/>
          <w:color w:val="auto"/>
          <w:szCs w:val="24"/>
        </w:rPr>
      </w:pPr>
      <w:r w:rsidRPr="00411A55">
        <w:rPr>
          <w:rFonts w:ascii="Book Antiqua" w:hAnsi="Book Antiqua"/>
          <w:color w:val="auto"/>
          <w:szCs w:val="24"/>
        </w:rPr>
        <w:t>Long-term outcomes of DES placement in diabetic patients with CLI were evaluated in a clinical study that reported a 90.4% amputation-free interval at 5 and 10</w:t>
      </w:r>
      <w:r w:rsidR="00BC542C">
        <w:rPr>
          <w:rFonts w:ascii="Book Antiqua" w:hAnsi="Book Antiqua"/>
          <w:color w:val="auto"/>
          <w:szCs w:val="24"/>
        </w:rPr>
        <w:t xml:space="preserve"> </w:t>
      </w:r>
      <w:r w:rsidRPr="00411A55">
        <w:rPr>
          <w:rFonts w:ascii="Book Antiqua" w:hAnsi="Book Antiqua"/>
          <w:color w:val="auto"/>
          <w:szCs w:val="24"/>
        </w:rPr>
        <w:t>years after the procedure, while survival rate was 55.5% and 36.2% at 5 and 10</w:t>
      </w:r>
      <w:r w:rsidR="00BC542C">
        <w:rPr>
          <w:rFonts w:ascii="Book Antiqua" w:eastAsia="宋体" w:hAnsi="Book Antiqua"/>
          <w:color w:val="auto"/>
          <w:szCs w:val="24"/>
          <w:lang w:eastAsia="zh-CN"/>
        </w:rPr>
        <w:t xml:space="preserve"> </w:t>
      </w:r>
      <w:r w:rsidRPr="00411A55">
        <w:rPr>
          <w:rFonts w:ascii="Book Antiqua" w:hAnsi="Book Antiqua"/>
          <w:color w:val="auto"/>
          <w:szCs w:val="24"/>
        </w:rPr>
        <w:t>years follow</w:t>
      </w:r>
      <w:r w:rsidR="00BC542C">
        <w:rPr>
          <w:rFonts w:ascii="Book Antiqua" w:hAnsi="Book Antiqua"/>
          <w:color w:val="auto"/>
          <w:szCs w:val="24"/>
        </w:rPr>
        <w:t>-</w:t>
      </w:r>
      <w:r w:rsidRPr="00411A55">
        <w:rPr>
          <w:rFonts w:ascii="Book Antiqua" w:hAnsi="Book Antiqua"/>
          <w:color w:val="auto"/>
          <w:szCs w:val="24"/>
        </w:rPr>
        <w:t>up</w:t>
      </w:r>
      <w:r w:rsidR="00BC542C">
        <w:rPr>
          <w:rFonts w:ascii="Book Antiqua" w:hAnsi="Book Antiqua"/>
          <w:color w:val="auto"/>
          <w:szCs w:val="24"/>
        </w:rPr>
        <w:t>,</w:t>
      </w:r>
      <w:r w:rsidRPr="00411A55">
        <w:rPr>
          <w:rFonts w:ascii="Book Antiqua" w:hAnsi="Book Antiqua"/>
          <w:color w:val="auto"/>
          <w:szCs w:val="24"/>
        </w:rPr>
        <w:t xml:space="preserve"> </w:t>
      </w:r>
      <w:proofErr w:type="gramStart"/>
      <w:r w:rsidRPr="00411A55">
        <w:rPr>
          <w:rFonts w:ascii="Book Antiqua" w:hAnsi="Book Antiqua"/>
          <w:color w:val="auto"/>
          <w:szCs w:val="24"/>
        </w:rPr>
        <w:t>respectively</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5]</w:t>
      </w:r>
      <w:r w:rsidRPr="00411A55">
        <w:rPr>
          <w:rFonts w:ascii="Book Antiqua" w:hAnsi="Book Antiqua"/>
          <w:color w:val="auto"/>
          <w:szCs w:val="24"/>
        </w:rPr>
        <w:t>. Half of the patients (50.3%) underwent a repeat revascularization procedure</w:t>
      </w:r>
      <w:r w:rsidR="002B5C16">
        <w:rPr>
          <w:rFonts w:ascii="Book Antiqua" w:hAnsi="Book Antiqua"/>
          <w:color w:val="auto"/>
          <w:szCs w:val="24"/>
        </w:rPr>
        <w:t xml:space="preserve"> due to clinical relapse at 10</w:t>
      </w:r>
      <w:r w:rsidR="00E25BD1">
        <w:rPr>
          <w:rFonts w:ascii="Book Antiqua" w:hAnsi="Book Antiqua"/>
          <w:color w:val="auto"/>
          <w:szCs w:val="24"/>
        </w:rPr>
        <w:t xml:space="preserve"> </w:t>
      </w:r>
      <w:r w:rsidRPr="00411A55">
        <w:rPr>
          <w:rFonts w:ascii="Book Antiqua" w:hAnsi="Book Antiqua"/>
          <w:color w:val="auto"/>
          <w:szCs w:val="24"/>
        </w:rPr>
        <w:t>years follow</w:t>
      </w:r>
      <w:r w:rsidR="00E25BD1">
        <w:rPr>
          <w:rFonts w:ascii="Book Antiqua" w:hAnsi="Book Antiqua"/>
          <w:color w:val="auto"/>
          <w:szCs w:val="24"/>
        </w:rPr>
        <w:t>-</w:t>
      </w:r>
      <w:r w:rsidRPr="00411A55">
        <w:rPr>
          <w:rFonts w:ascii="Book Antiqua" w:hAnsi="Book Antiqua"/>
          <w:color w:val="auto"/>
          <w:szCs w:val="24"/>
        </w:rPr>
        <w:t xml:space="preserve">up. Nevertheless, long-term data beyond </w:t>
      </w:r>
      <w:r w:rsidR="00E25BD1">
        <w:rPr>
          <w:rFonts w:ascii="Book Antiqua" w:hAnsi="Book Antiqua"/>
          <w:color w:val="auto"/>
          <w:szCs w:val="24"/>
        </w:rPr>
        <w:t xml:space="preserve">a </w:t>
      </w:r>
      <w:r w:rsidRPr="00411A55">
        <w:rPr>
          <w:rFonts w:ascii="Book Antiqua" w:hAnsi="Book Antiqua"/>
          <w:color w:val="auto"/>
          <w:szCs w:val="24"/>
        </w:rPr>
        <w:t>1</w:t>
      </w:r>
      <w:r w:rsidR="00E25BD1">
        <w:rPr>
          <w:rFonts w:ascii="Book Antiqua" w:hAnsi="Book Antiqua"/>
          <w:color w:val="auto"/>
          <w:szCs w:val="24"/>
        </w:rPr>
        <w:t xml:space="preserve"> </w:t>
      </w:r>
      <w:r w:rsidRPr="00411A55">
        <w:rPr>
          <w:rFonts w:ascii="Book Antiqua" w:hAnsi="Book Antiqua"/>
          <w:color w:val="auto"/>
          <w:szCs w:val="24"/>
        </w:rPr>
        <w:t>year follow</w:t>
      </w:r>
      <w:r w:rsidR="00E25BD1">
        <w:rPr>
          <w:rFonts w:ascii="Book Antiqua" w:hAnsi="Book Antiqua"/>
          <w:color w:val="auto"/>
          <w:szCs w:val="24"/>
        </w:rPr>
        <w:t>-</w:t>
      </w:r>
      <w:r w:rsidRPr="00411A55">
        <w:rPr>
          <w:rFonts w:ascii="Book Antiqua" w:hAnsi="Book Antiqua"/>
          <w:color w:val="auto"/>
          <w:szCs w:val="24"/>
        </w:rPr>
        <w:t xml:space="preserve">up of infrapopliteal DES remain </w:t>
      </w:r>
      <w:proofErr w:type="gramStart"/>
      <w:r w:rsidRPr="00411A55">
        <w:rPr>
          <w:rFonts w:ascii="Book Antiqua" w:hAnsi="Book Antiqua"/>
          <w:color w:val="auto"/>
          <w:szCs w:val="24"/>
        </w:rPr>
        <w:t>scarce,</w:t>
      </w:r>
      <w:proofErr w:type="gramEnd"/>
      <w:r w:rsidRPr="00411A55">
        <w:rPr>
          <w:rFonts w:ascii="Book Antiqua" w:hAnsi="Book Antiqua"/>
          <w:color w:val="auto"/>
          <w:szCs w:val="24"/>
        </w:rPr>
        <w:t xml:space="preserve"> and further multicenter RCTs are required to prove whether the use of this technology can improve long-term clinical outcomes. Specifically, in a recent meta-analysis of </w:t>
      </w:r>
      <w:r w:rsidR="00E25BD1">
        <w:rPr>
          <w:rFonts w:ascii="Book Antiqua" w:hAnsi="Book Antiqua"/>
          <w:color w:val="auto"/>
          <w:szCs w:val="24"/>
        </w:rPr>
        <w:t>ten</w:t>
      </w:r>
      <w:r w:rsidRPr="00411A55">
        <w:rPr>
          <w:rFonts w:ascii="Book Antiqua" w:hAnsi="Book Antiqua"/>
          <w:color w:val="auto"/>
          <w:szCs w:val="24"/>
        </w:rPr>
        <w:t xml:space="preserve"> studies (</w:t>
      </w:r>
      <w:r w:rsidR="00FB72E2" w:rsidRPr="00411A55">
        <w:rPr>
          <w:rFonts w:ascii="Book Antiqua" w:hAnsi="Book Antiqua"/>
          <w:color w:val="auto"/>
          <w:szCs w:val="24"/>
        </w:rPr>
        <w:t>eight</w:t>
      </w:r>
      <w:r w:rsidRPr="00411A55">
        <w:rPr>
          <w:rFonts w:ascii="Book Antiqua" w:hAnsi="Book Antiqua"/>
          <w:color w:val="auto"/>
          <w:szCs w:val="24"/>
        </w:rPr>
        <w:t xml:space="preserve"> RCTs and </w:t>
      </w:r>
      <w:r w:rsidR="00FB72E2" w:rsidRPr="00411A55">
        <w:rPr>
          <w:rFonts w:ascii="Book Antiqua" w:hAnsi="Book Antiqua"/>
          <w:color w:val="auto"/>
          <w:szCs w:val="24"/>
        </w:rPr>
        <w:t>two</w:t>
      </w:r>
      <w:r w:rsidRPr="00411A55">
        <w:rPr>
          <w:rFonts w:ascii="Book Antiqua" w:hAnsi="Book Antiqua"/>
          <w:color w:val="auto"/>
          <w:szCs w:val="24"/>
        </w:rPr>
        <w:t xml:space="preserve"> cohort studies)</w:t>
      </w:r>
      <w:r w:rsidR="00DC4615">
        <w:rPr>
          <w:rFonts w:ascii="Book Antiqua" w:hAnsi="Book Antiqua"/>
          <w:color w:val="auto"/>
          <w:szCs w:val="24"/>
        </w:rPr>
        <w:t>,</w:t>
      </w:r>
      <w:r w:rsidRPr="00411A55">
        <w:rPr>
          <w:rFonts w:ascii="Book Antiqua" w:hAnsi="Book Antiqua"/>
          <w:color w:val="auto"/>
          <w:szCs w:val="24"/>
        </w:rPr>
        <w:t xml:space="preserve"> which included 927 patients assigned to either DES (484) or control treatment (443), primary patency was significantly in favor of DES at one year</w:t>
      </w:r>
      <w:r w:rsidR="00DC4615">
        <w:rPr>
          <w:rFonts w:ascii="Book Antiqua" w:hAnsi="Book Antiqua"/>
          <w:color w:val="auto"/>
          <w:szCs w:val="24"/>
        </w:rPr>
        <w:t>.</w:t>
      </w:r>
      <w:r w:rsidRPr="00411A55">
        <w:rPr>
          <w:rFonts w:ascii="Book Antiqua" w:hAnsi="Book Antiqua"/>
          <w:color w:val="auto"/>
          <w:szCs w:val="24"/>
        </w:rPr>
        <w:t xml:space="preserve"> </w:t>
      </w:r>
      <w:r w:rsidR="00DC4615">
        <w:rPr>
          <w:rFonts w:ascii="Book Antiqua" w:hAnsi="Book Antiqua"/>
          <w:color w:val="auto"/>
          <w:szCs w:val="24"/>
        </w:rPr>
        <w:t>However,</w:t>
      </w:r>
      <w:r w:rsidRPr="00411A55">
        <w:rPr>
          <w:rFonts w:ascii="Book Antiqua" w:hAnsi="Book Antiqua"/>
          <w:color w:val="auto"/>
          <w:szCs w:val="24"/>
        </w:rPr>
        <w:t xml:space="preserve"> this advantage was not </w:t>
      </w:r>
      <w:r w:rsidR="00DC4615">
        <w:rPr>
          <w:rFonts w:ascii="Book Antiqua" w:hAnsi="Book Antiqua"/>
          <w:color w:val="auto"/>
          <w:szCs w:val="24"/>
        </w:rPr>
        <w:t>evident</w:t>
      </w:r>
      <w:r w:rsidR="00DC4615" w:rsidRPr="00411A55">
        <w:rPr>
          <w:rFonts w:ascii="Book Antiqua" w:hAnsi="Book Antiqua"/>
          <w:color w:val="auto"/>
          <w:szCs w:val="24"/>
        </w:rPr>
        <w:t xml:space="preserve"> </w:t>
      </w:r>
      <w:r w:rsidRPr="00411A55">
        <w:rPr>
          <w:rFonts w:ascii="Book Antiqua" w:hAnsi="Book Antiqua"/>
          <w:color w:val="auto"/>
          <w:szCs w:val="24"/>
        </w:rPr>
        <w:t>at 3</w:t>
      </w:r>
      <w:r w:rsidR="00DC4615">
        <w:rPr>
          <w:rFonts w:ascii="Book Antiqua" w:hAnsi="Book Antiqua"/>
          <w:color w:val="auto"/>
          <w:szCs w:val="24"/>
        </w:rPr>
        <w:t xml:space="preserve"> </w:t>
      </w:r>
      <w:r w:rsidRPr="00411A55">
        <w:rPr>
          <w:rFonts w:ascii="Book Antiqua" w:hAnsi="Book Antiqua"/>
          <w:color w:val="auto"/>
          <w:szCs w:val="24"/>
        </w:rPr>
        <w:t>years follow</w:t>
      </w:r>
      <w:r w:rsidR="00DC4615">
        <w:rPr>
          <w:rFonts w:ascii="Book Antiqua" w:hAnsi="Book Antiqua"/>
          <w:color w:val="auto"/>
          <w:szCs w:val="24"/>
        </w:rPr>
        <w:t>-</w:t>
      </w:r>
      <w:r w:rsidRPr="00411A55">
        <w:rPr>
          <w:rFonts w:ascii="Book Antiqua" w:hAnsi="Book Antiqua"/>
          <w:color w:val="auto"/>
          <w:szCs w:val="24"/>
        </w:rPr>
        <w:t xml:space="preserve">up. The authors concluded that more high-level, long-term data are </w:t>
      </w:r>
      <w:proofErr w:type="gramStart"/>
      <w:r w:rsidRPr="00411A55">
        <w:rPr>
          <w:rFonts w:ascii="Book Antiqua" w:hAnsi="Book Antiqua"/>
          <w:color w:val="auto"/>
          <w:szCs w:val="24"/>
        </w:rPr>
        <w:t>needed</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32]</w:t>
      </w:r>
      <w:r w:rsidRPr="00411A55">
        <w:rPr>
          <w:rFonts w:ascii="Book Antiqua" w:hAnsi="Book Antiqua"/>
          <w:color w:val="auto"/>
          <w:szCs w:val="24"/>
        </w:rPr>
        <w:t>.</w:t>
      </w:r>
    </w:p>
    <w:p w14:paraId="4409A4D9" w14:textId="46B75743" w:rsidR="00110C9A" w:rsidRPr="00411A55" w:rsidRDefault="00B6026C"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ind w:firstLineChars="100" w:firstLine="240"/>
        <w:jc w:val="both"/>
        <w:rPr>
          <w:rFonts w:ascii="Book Antiqua" w:hAnsi="Book Antiqua"/>
          <w:color w:val="auto"/>
          <w:szCs w:val="24"/>
        </w:rPr>
      </w:pPr>
      <w:r>
        <w:rPr>
          <w:rFonts w:ascii="Book Antiqua" w:hAnsi="Book Antiqua"/>
          <w:color w:val="auto"/>
          <w:szCs w:val="24"/>
        </w:rPr>
        <w:t>The</w:t>
      </w:r>
      <w:r w:rsidR="00350710" w:rsidRPr="00411A55">
        <w:rPr>
          <w:rFonts w:ascii="Book Antiqua" w:hAnsi="Book Antiqua"/>
          <w:color w:val="auto"/>
          <w:szCs w:val="24"/>
        </w:rPr>
        <w:t xml:space="preserve"> safety and superiority of DES in short to medium length lesions has been demonstrated by level IA evidence</w:t>
      </w:r>
      <w:r>
        <w:rPr>
          <w:rFonts w:ascii="Book Antiqua" w:hAnsi="Book Antiqua"/>
          <w:color w:val="auto"/>
          <w:szCs w:val="24"/>
        </w:rPr>
        <w:t>. Nevertheless,</w:t>
      </w:r>
      <w:r w:rsidR="00350710" w:rsidRPr="00411A55">
        <w:rPr>
          <w:rFonts w:ascii="Book Antiqua" w:hAnsi="Book Antiqua"/>
          <w:color w:val="auto"/>
          <w:szCs w:val="24"/>
        </w:rPr>
        <w:t xml:space="preserve"> the polymorphic nature of BTK disease, which usually presents with very long lesions (&gt;</w:t>
      </w:r>
      <w:r w:rsidR="002B5C16">
        <w:rPr>
          <w:rFonts w:ascii="Book Antiqua" w:eastAsia="宋体" w:hAnsi="Book Antiqua" w:hint="eastAsia"/>
          <w:color w:val="auto"/>
          <w:szCs w:val="24"/>
          <w:lang w:eastAsia="zh-CN"/>
        </w:rPr>
        <w:t xml:space="preserve"> </w:t>
      </w:r>
      <w:r w:rsidR="00350710" w:rsidRPr="00411A55">
        <w:rPr>
          <w:rFonts w:ascii="Book Antiqua" w:hAnsi="Book Antiqua"/>
          <w:color w:val="auto"/>
          <w:szCs w:val="24"/>
        </w:rPr>
        <w:t>20 cm) and requires treatment of bi</w:t>
      </w:r>
      <w:r w:rsidR="003C4957" w:rsidRPr="00411A55">
        <w:rPr>
          <w:rFonts w:ascii="Book Antiqua" w:hAnsi="Book Antiqua"/>
          <w:color w:val="auto"/>
          <w:szCs w:val="24"/>
        </w:rPr>
        <w:t xml:space="preserve">furcations and flexion points, </w:t>
      </w:r>
      <w:r w:rsidR="00350710" w:rsidRPr="00411A55">
        <w:rPr>
          <w:rFonts w:ascii="Book Antiqua" w:hAnsi="Book Antiqua"/>
          <w:color w:val="auto"/>
          <w:szCs w:val="24"/>
        </w:rPr>
        <w:t xml:space="preserve">such as the distal anterior tibial artery and the pedal arch, </w:t>
      </w:r>
      <w:r>
        <w:rPr>
          <w:rFonts w:ascii="Book Antiqua" w:hAnsi="Book Antiqua"/>
          <w:color w:val="auto"/>
          <w:szCs w:val="24"/>
        </w:rPr>
        <w:t xml:space="preserve">still has several controversies and thus </w:t>
      </w:r>
      <w:r w:rsidR="00350710" w:rsidRPr="00411A55">
        <w:rPr>
          <w:rFonts w:ascii="Book Antiqua" w:hAnsi="Book Antiqua"/>
          <w:color w:val="auto"/>
          <w:szCs w:val="24"/>
        </w:rPr>
        <w:t xml:space="preserve">requires further investigation. </w:t>
      </w:r>
      <w:r w:rsidR="00FE0C11" w:rsidRPr="00411A55">
        <w:rPr>
          <w:rFonts w:ascii="Book Antiqua" w:hAnsi="Book Antiqua"/>
          <w:color w:val="auto"/>
          <w:szCs w:val="24"/>
        </w:rPr>
        <w:t>Specifically, t</w:t>
      </w:r>
      <w:r w:rsidR="002B5C16">
        <w:rPr>
          <w:rFonts w:ascii="Book Antiqua" w:hAnsi="Book Antiqua"/>
          <w:color w:val="auto"/>
          <w:szCs w:val="24"/>
        </w:rPr>
        <w:t>he YUKON-</w:t>
      </w:r>
      <w:r w:rsidR="00FE0C11" w:rsidRPr="00411A55">
        <w:rPr>
          <w:rFonts w:ascii="Book Antiqua" w:hAnsi="Book Antiqua"/>
          <w:color w:val="auto"/>
          <w:szCs w:val="24"/>
        </w:rPr>
        <w:t>BTX, DESTINY</w:t>
      </w:r>
      <w:r w:rsidR="00FB72E2" w:rsidRPr="00411A55">
        <w:rPr>
          <w:rFonts w:ascii="Book Antiqua" w:hAnsi="Book Antiqua"/>
          <w:color w:val="auto"/>
          <w:szCs w:val="24"/>
        </w:rPr>
        <w:t>,</w:t>
      </w:r>
      <w:r w:rsidR="00FE0C11" w:rsidRPr="00411A55">
        <w:rPr>
          <w:rFonts w:ascii="Book Antiqua" w:hAnsi="Book Antiqua"/>
          <w:color w:val="auto"/>
          <w:szCs w:val="24"/>
        </w:rPr>
        <w:t xml:space="preserve"> and</w:t>
      </w:r>
      <w:r>
        <w:rPr>
          <w:rFonts w:ascii="Book Antiqua" w:hAnsi="Book Antiqua"/>
          <w:color w:val="auto"/>
          <w:szCs w:val="24"/>
        </w:rPr>
        <w:t xml:space="preserve"> </w:t>
      </w:r>
      <w:r w:rsidR="00FE0C11" w:rsidRPr="00411A55">
        <w:rPr>
          <w:rFonts w:ascii="Book Antiqua" w:hAnsi="Book Antiqua"/>
          <w:color w:val="auto"/>
          <w:szCs w:val="24"/>
        </w:rPr>
        <w:t xml:space="preserve">ACHILLES trials excluded patients with infrapopliteal trifurcation lesions, lesions in juxta-articular regions or lesions subject to external compression. </w:t>
      </w:r>
      <w:r w:rsidR="00110C9A" w:rsidRPr="00411A55">
        <w:rPr>
          <w:rFonts w:ascii="Book Antiqua" w:hAnsi="Book Antiqua"/>
          <w:color w:val="auto"/>
          <w:szCs w:val="24"/>
        </w:rPr>
        <w:t>In an attempt to address these issues, Spiliopoulos e</w:t>
      </w:r>
      <w:r w:rsidR="00110C9A" w:rsidRPr="000F08DA">
        <w:rPr>
          <w:rFonts w:ascii="Book Antiqua" w:hAnsi="Book Antiqua"/>
          <w:i/>
          <w:color w:val="auto"/>
          <w:szCs w:val="24"/>
        </w:rPr>
        <w:t xml:space="preserve">t </w:t>
      </w:r>
      <w:proofErr w:type="gramStart"/>
      <w:r w:rsidR="00110C9A" w:rsidRPr="000F08DA">
        <w:rPr>
          <w:rFonts w:ascii="Book Antiqua" w:hAnsi="Book Antiqua"/>
          <w:i/>
          <w:color w:val="auto"/>
          <w:szCs w:val="24"/>
        </w:rPr>
        <w:t>al</w:t>
      </w:r>
      <w:r w:rsidR="000F08DA" w:rsidRPr="00411A55">
        <w:rPr>
          <w:rFonts w:ascii="Book Antiqua" w:hAnsi="Book Antiqua"/>
          <w:color w:val="auto"/>
          <w:szCs w:val="24"/>
          <w:vertAlign w:val="superscript"/>
        </w:rPr>
        <w:t>[</w:t>
      </w:r>
      <w:proofErr w:type="gramEnd"/>
      <w:r w:rsidR="000F08DA" w:rsidRPr="00411A55">
        <w:rPr>
          <w:rFonts w:ascii="Book Antiqua" w:hAnsi="Book Antiqua"/>
          <w:color w:val="auto"/>
          <w:szCs w:val="24"/>
          <w:vertAlign w:val="superscript"/>
        </w:rPr>
        <w:t>33]</w:t>
      </w:r>
      <w:r w:rsidR="00110C9A" w:rsidRPr="00411A55">
        <w:rPr>
          <w:rFonts w:ascii="Book Antiqua" w:hAnsi="Book Antiqua"/>
          <w:color w:val="auto"/>
          <w:szCs w:val="24"/>
        </w:rPr>
        <w:t xml:space="preserve"> reported the treatment outcomes of 39 patients with </w:t>
      </w:r>
      <w:r w:rsidR="00110C9A" w:rsidRPr="00411A55">
        <w:rPr>
          <w:rFonts w:ascii="Book Antiqua" w:hAnsi="Book Antiqua"/>
          <w:color w:val="auto"/>
          <w:szCs w:val="24"/>
        </w:rPr>
        <w:lastRenderedPageBreak/>
        <w:t>infrapopliteal bifurcation disease using techniques of coronary DES placement. The mean clinical follow-up period was 47.56</w:t>
      </w:r>
      <w:r w:rsidR="000F08DA">
        <w:rPr>
          <w:rFonts w:ascii="Book Antiqua" w:hAnsi="Book Antiqua"/>
          <w:color w:val="auto"/>
          <w:szCs w:val="24"/>
        </w:rPr>
        <w:t xml:space="preserve"> ± </w:t>
      </w:r>
      <w:r w:rsidR="00110C9A" w:rsidRPr="00411A55">
        <w:rPr>
          <w:rFonts w:ascii="Book Antiqua" w:hAnsi="Book Antiqua"/>
          <w:color w:val="auto"/>
          <w:szCs w:val="24"/>
        </w:rPr>
        <w:t xml:space="preserve">14.8 </w:t>
      </w:r>
      <w:proofErr w:type="gramStart"/>
      <w:r w:rsidR="00110C9A" w:rsidRPr="00411A55">
        <w:rPr>
          <w:rFonts w:ascii="Book Antiqua" w:hAnsi="Book Antiqua"/>
          <w:color w:val="auto"/>
          <w:szCs w:val="24"/>
        </w:rPr>
        <w:t>mo</w:t>
      </w:r>
      <w:proofErr w:type="gramEnd"/>
      <w:r w:rsidR="00110C9A" w:rsidRPr="00411A55">
        <w:rPr>
          <w:rFonts w:ascii="Book Antiqua" w:hAnsi="Book Antiqua"/>
          <w:color w:val="auto"/>
          <w:szCs w:val="24"/>
        </w:rPr>
        <w:t>, while the mean angiographic follow</w:t>
      </w:r>
      <w:r w:rsidR="00FB72E2" w:rsidRPr="00411A55">
        <w:rPr>
          <w:rFonts w:ascii="Book Antiqua" w:hAnsi="Book Antiqua"/>
          <w:color w:val="auto"/>
          <w:szCs w:val="24"/>
        </w:rPr>
        <w:t>-</w:t>
      </w:r>
      <w:r w:rsidR="00110C9A" w:rsidRPr="00411A55">
        <w:rPr>
          <w:rFonts w:ascii="Book Antiqua" w:hAnsi="Book Antiqua"/>
          <w:color w:val="auto"/>
          <w:szCs w:val="24"/>
        </w:rPr>
        <w:t>up period was 17.56</w:t>
      </w:r>
      <w:r w:rsidR="000F08DA">
        <w:rPr>
          <w:rFonts w:ascii="Book Antiqua" w:hAnsi="Book Antiqua"/>
          <w:color w:val="auto"/>
          <w:szCs w:val="24"/>
        </w:rPr>
        <w:t xml:space="preserve"> ± </w:t>
      </w:r>
      <w:r w:rsidR="00110C9A" w:rsidRPr="00411A55">
        <w:rPr>
          <w:rFonts w:ascii="Book Antiqua" w:hAnsi="Book Antiqua"/>
          <w:color w:val="auto"/>
          <w:szCs w:val="24"/>
        </w:rPr>
        <w:t>12.5 mo. The application of DES across the origin of tibial vessels was</w:t>
      </w:r>
      <w:r>
        <w:rPr>
          <w:rFonts w:ascii="Book Antiqua" w:hAnsi="Book Antiqua"/>
          <w:color w:val="auto"/>
          <w:szCs w:val="24"/>
        </w:rPr>
        <w:t xml:space="preserve"> </w:t>
      </w:r>
      <w:r w:rsidR="00110C9A" w:rsidRPr="00411A55">
        <w:rPr>
          <w:rFonts w:ascii="Book Antiqua" w:hAnsi="Book Antiqua"/>
          <w:color w:val="auto"/>
          <w:szCs w:val="24"/>
        </w:rPr>
        <w:t xml:space="preserve">proven </w:t>
      </w:r>
      <w:r>
        <w:rPr>
          <w:rFonts w:ascii="Book Antiqua" w:hAnsi="Book Antiqua"/>
          <w:color w:val="auto"/>
          <w:szCs w:val="24"/>
        </w:rPr>
        <w:t xml:space="preserve">as a </w:t>
      </w:r>
      <w:r w:rsidR="00110C9A" w:rsidRPr="00411A55">
        <w:rPr>
          <w:rFonts w:ascii="Book Antiqua" w:hAnsi="Book Antiqua"/>
          <w:color w:val="auto"/>
          <w:szCs w:val="24"/>
        </w:rPr>
        <w:t>safe and effective method</w:t>
      </w:r>
      <w:r w:rsidR="001B4A3C">
        <w:rPr>
          <w:rFonts w:ascii="Book Antiqua" w:hAnsi="Book Antiqua"/>
          <w:color w:val="auto"/>
          <w:szCs w:val="24"/>
        </w:rPr>
        <w:t>,</w:t>
      </w:r>
      <w:r w:rsidR="00110C9A" w:rsidRPr="00411A55">
        <w:rPr>
          <w:rFonts w:ascii="Book Antiqua" w:hAnsi="Book Antiqua"/>
          <w:color w:val="auto"/>
          <w:szCs w:val="24"/>
        </w:rPr>
        <w:t xml:space="preserve"> and was associated with satisfactory long-term angiographic and clinical outcomes. Specifically, the overall amputation-free survival and TLR-free survival </w:t>
      </w:r>
      <w:r w:rsidR="001B4A3C">
        <w:rPr>
          <w:rFonts w:ascii="Book Antiqua" w:hAnsi="Book Antiqua"/>
          <w:color w:val="auto"/>
          <w:szCs w:val="24"/>
        </w:rPr>
        <w:t xml:space="preserve">at 5 years </w:t>
      </w:r>
      <w:r w:rsidR="00110C9A" w:rsidRPr="00411A55">
        <w:rPr>
          <w:rFonts w:ascii="Book Antiqua" w:hAnsi="Book Antiqua"/>
          <w:color w:val="auto"/>
          <w:szCs w:val="24"/>
        </w:rPr>
        <w:t>were 84.3% and 58.0%</w:t>
      </w:r>
      <w:r w:rsidR="001B4A3C">
        <w:rPr>
          <w:rFonts w:ascii="Book Antiqua" w:hAnsi="Book Antiqua"/>
          <w:color w:val="auto"/>
          <w:szCs w:val="24"/>
        </w:rPr>
        <w:t>, respectively</w:t>
      </w:r>
      <w:r w:rsidR="00110C9A" w:rsidRPr="00411A55">
        <w:rPr>
          <w:rFonts w:ascii="Book Antiqua" w:hAnsi="Book Antiqua"/>
          <w:color w:val="auto"/>
          <w:szCs w:val="24"/>
        </w:rPr>
        <w:t>. Two-vessel primary patency (no revascularization and no &gt;</w:t>
      </w:r>
      <w:r w:rsidR="002B5C16">
        <w:rPr>
          <w:rFonts w:ascii="Book Antiqua" w:eastAsia="宋体" w:hAnsi="Book Antiqua" w:hint="eastAsia"/>
          <w:color w:val="auto"/>
          <w:szCs w:val="24"/>
          <w:lang w:eastAsia="zh-CN"/>
        </w:rPr>
        <w:t xml:space="preserve"> </w:t>
      </w:r>
      <w:r w:rsidR="00110C9A" w:rsidRPr="00411A55">
        <w:rPr>
          <w:rFonts w:ascii="Book Antiqua" w:hAnsi="Book Antiqua"/>
          <w:color w:val="auto"/>
          <w:szCs w:val="24"/>
        </w:rPr>
        <w:t xml:space="preserve">50% angiographic restenosis of either vessel forming the target bifurcation) was 77.2%, 47.5% and 33.9%, at 12, 24 and 36 mo follow-up, while primary patency of at least one of the treated vessels was 84.0%, 65.5% and 54.5%, at 12, 24 and 36 mo. In a study that was published the following year, similar results </w:t>
      </w:r>
      <w:r w:rsidR="00DA0838" w:rsidRPr="00411A55">
        <w:rPr>
          <w:rFonts w:ascii="Book Antiqua" w:hAnsi="Book Antiqua"/>
          <w:color w:val="auto"/>
          <w:szCs w:val="24"/>
        </w:rPr>
        <w:t xml:space="preserve">were reported </w:t>
      </w:r>
      <w:r w:rsidR="00110C9A" w:rsidRPr="00411A55">
        <w:rPr>
          <w:rFonts w:ascii="Book Antiqua" w:hAnsi="Book Antiqua"/>
          <w:color w:val="auto"/>
          <w:szCs w:val="24"/>
        </w:rPr>
        <w:t xml:space="preserve">of 54.5% two-vessel primary patency and 81.8% one-vessel primary patency at 6 </w:t>
      </w:r>
      <w:proofErr w:type="gramStart"/>
      <w:r w:rsidR="000F08DA" w:rsidRPr="00411A55">
        <w:rPr>
          <w:rFonts w:ascii="Book Antiqua" w:hAnsi="Book Antiqua"/>
          <w:color w:val="auto"/>
          <w:szCs w:val="24"/>
        </w:rPr>
        <w:t>mo</w:t>
      </w:r>
      <w:r w:rsidR="00110C9A" w:rsidRPr="00411A55">
        <w:rPr>
          <w:rFonts w:ascii="Book Antiqua" w:hAnsi="Book Antiqua"/>
          <w:color w:val="auto"/>
          <w:szCs w:val="24"/>
          <w:vertAlign w:val="superscript"/>
        </w:rPr>
        <w:t>[</w:t>
      </w:r>
      <w:proofErr w:type="gramEnd"/>
      <w:r w:rsidR="00110C9A" w:rsidRPr="00411A55">
        <w:rPr>
          <w:rFonts w:ascii="Book Antiqua" w:hAnsi="Book Antiqua"/>
          <w:color w:val="auto"/>
          <w:szCs w:val="24"/>
          <w:vertAlign w:val="superscript"/>
        </w:rPr>
        <w:t>34]</w:t>
      </w:r>
      <w:r w:rsidR="00110C9A" w:rsidRPr="00411A55">
        <w:rPr>
          <w:rFonts w:ascii="Book Antiqua" w:hAnsi="Book Antiqua"/>
          <w:color w:val="auto"/>
          <w:szCs w:val="24"/>
        </w:rPr>
        <w:t>.</w:t>
      </w:r>
    </w:p>
    <w:p w14:paraId="4105ECD4" w14:textId="5238DA03" w:rsidR="00110C9A" w:rsidRPr="00411A55" w:rsidRDefault="00C413E8"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ind w:firstLineChars="100" w:firstLine="240"/>
        <w:jc w:val="both"/>
        <w:rPr>
          <w:rFonts w:ascii="Book Antiqua" w:hAnsi="Book Antiqua"/>
          <w:color w:val="auto"/>
          <w:szCs w:val="24"/>
        </w:rPr>
      </w:pPr>
      <w:r w:rsidRPr="00411A55">
        <w:rPr>
          <w:rFonts w:ascii="Book Antiqua" w:hAnsi="Book Antiqua"/>
          <w:color w:val="auto"/>
          <w:szCs w:val="24"/>
        </w:rPr>
        <w:t xml:space="preserve">Another challenging issue commonly faced by medical providers is the deployment of DES in anatomic flexion points. Severe compression resulting </w:t>
      </w:r>
      <w:r w:rsidR="00CD787F">
        <w:rPr>
          <w:rFonts w:ascii="Book Antiqua" w:hAnsi="Book Antiqua"/>
          <w:color w:val="auto"/>
          <w:szCs w:val="24"/>
        </w:rPr>
        <w:t>in</w:t>
      </w:r>
      <w:r w:rsidRPr="00411A55">
        <w:rPr>
          <w:rFonts w:ascii="Book Antiqua" w:hAnsi="Book Antiqua"/>
          <w:color w:val="auto"/>
          <w:szCs w:val="24"/>
        </w:rPr>
        <w:t xml:space="preserve"> DES fracture at the distal third of the anterior tibial artery has been related </w:t>
      </w:r>
      <w:r w:rsidR="00CD787F">
        <w:rPr>
          <w:rFonts w:ascii="Book Antiqua" w:hAnsi="Book Antiqua"/>
          <w:color w:val="auto"/>
          <w:szCs w:val="24"/>
        </w:rPr>
        <w:t>to</w:t>
      </w:r>
      <w:r w:rsidR="00CD787F" w:rsidRPr="00411A55">
        <w:rPr>
          <w:rFonts w:ascii="Book Antiqua" w:hAnsi="Book Antiqua"/>
          <w:color w:val="auto"/>
          <w:szCs w:val="24"/>
        </w:rPr>
        <w:t xml:space="preserve"> </w:t>
      </w:r>
      <w:r w:rsidRPr="00411A55">
        <w:rPr>
          <w:rFonts w:ascii="Book Antiqua" w:hAnsi="Book Antiqua"/>
          <w:color w:val="auto"/>
          <w:szCs w:val="24"/>
        </w:rPr>
        <w:t>in-stent restenosis/reocclusion, as well as</w:t>
      </w:r>
      <w:r w:rsidR="00CD787F">
        <w:rPr>
          <w:rFonts w:ascii="Book Antiqua" w:hAnsi="Book Antiqua"/>
          <w:color w:val="auto"/>
          <w:szCs w:val="24"/>
        </w:rPr>
        <w:t xml:space="preserve"> the</w:t>
      </w:r>
      <w:r w:rsidRPr="00411A55">
        <w:rPr>
          <w:rFonts w:ascii="Book Antiqua" w:hAnsi="Book Antiqua"/>
          <w:color w:val="auto"/>
          <w:szCs w:val="24"/>
        </w:rPr>
        <w:t xml:space="preserve"> inability to recanalize the lesion with either endovascular or surgical means. Therefore, stent placement in this area, as well as the pedal arteries, must be </w:t>
      </w:r>
      <w:proofErr w:type="gramStart"/>
      <w:r w:rsidRPr="00411A55">
        <w:rPr>
          <w:rFonts w:ascii="Book Antiqua" w:hAnsi="Book Antiqua"/>
          <w:color w:val="auto"/>
          <w:szCs w:val="24"/>
        </w:rPr>
        <w:t>avoided</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35]</w:t>
      </w:r>
      <w:r w:rsidRPr="00411A55">
        <w:rPr>
          <w:rFonts w:ascii="Book Antiqua" w:hAnsi="Book Antiqua"/>
          <w:color w:val="auto"/>
          <w:szCs w:val="24"/>
        </w:rPr>
        <w:t>.</w:t>
      </w:r>
      <w:r w:rsidR="00FB72E2" w:rsidRPr="00411A55">
        <w:rPr>
          <w:rFonts w:ascii="Book Antiqua" w:hAnsi="Book Antiqua"/>
          <w:color w:val="auto"/>
          <w:szCs w:val="24"/>
        </w:rPr>
        <w:t xml:space="preserve"> </w:t>
      </w:r>
      <w:r w:rsidR="00110C9A" w:rsidRPr="00411A55">
        <w:rPr>
          <w:rFonts w:ascii="Book Antiqua" w:hAnsi="Book Antiqua"/>
          <w:color w:val="auto"/>
          <w:szCs w:val="24"/>
        </w:rPr>
        <w:t>The concern of treating infrapopliteal DES in-stent restenosis/reocclusion has also been addressed. In a retrospective analysis of 367 patients treated with infrapopliteal DES, 54 cases of DES occlusion were noted (re-occlusion rate 11.4% within a 7</w:t>
      </w:r>
      <w:r w:rsidR="00CD787F">
        <w:rPr>
          <w:rFonts w:ascii="Book Antiqua" w:hAnsi="Book Antiqua"/>
          <w:color w:val="auto"/>
          <w:szCs w:val="24"/>
        </w:rPr>
        <w:t xml:space="preserve"> </w:t>
      </w:r>
      <w:r w:rsidR="00110C9A" w:rsidRPr="00411A55">
        <w:rPr>
          <w:rFonts w:ascii="Book Antiqua" w:hAnsi="Book Antiqua"/>
          <w:color w:val="auto"/>
          <w:szCs w:val="24"/>
        </w:rPr>
        <w:t>year study period)</w:t>
      </w:r>
      <w:r w:rsidR="00CD787F">
        <w:rPr>
          <w:rFonts w:ascii="Book Antiqua" w:hAnsi="Book Antiqua"/>
          <w:color w:val="auto"/>
          <w:szCs w:val="24"/>
        </w:rPr>
        <w:t>,</w:t>
      </w:r>
      <w:r w:rsidR="00110C9A" w:rsidRPr="00411A55">
        <w:rPr>
          <w:rFonts w:ascii="Book Antiqua" w:hAnsi="Book Antiqua"/>
          <w:color w:val="auto"/>
          <w:szCs w:val="24"/>
        </w:rPr>
        <w:t xml:space="preserve"> and the technical success of uneventful endovascular recanalization of DES occlusions was 90.7%.</w:t>
      </w:r>
      <w:r w:rsidR="00411A55">
        <w:rPr>
          <w:rFonts w:ascii="Book Antiqua" w:hAnsi="Book Antiqua"/>
          <w:color w:val="auto"/>
          <w:szCs w:val="24"/>
        </w:rPr>
        <w:t xml:space="preserve"> </w:t>
      </w:r>
      <w:r w:rsidR="00110C9A" w:rsidRPr="00411A55">
        <w:rPr>
          <w:rFonts w:ascii="Book Antiqua" w:hAnsi="Book Antiqua"/>
          <w:color w:val="auto"/>
          <w:szCs w:val="24"/>
        </w:rPr>
        <w:t xml:space="preserve">The authors concluded that intraluminal recanalization of infrapopliteal DES occlusions is safe and not technically demanding in the majority of </w:t>
      </w:r>
      <w:proofErr w:type="gramStart"/>
      <w:r w:rsidR="00110C9A" w:rsidRPr="00411A55">
        <w:rPr>
          <w:rFonts w:ascii="Book Antiqua" w:hAnsi="Book Antiqua"/>
          <w:color w:val="auto"/>
          <w:szCs w:val="24"/>
        </w:rPr>
        <w:t>cases</w:t>
      </w:r>
      <w:r w:rsidR="00110C9A" w:rsidRPr="00411A55">
        <w:rPr>
          <w:rFonts w:ascii="Book Antiqua" w:hAnsi="Book Antiqua"/>
          <w:color w:val="auto"/>
          <w:szCs w:val="24"/>
          <w:vertAlign w:val="superscript"/>
        </w:rPr>
        <w:t>[</w:t>
      </w:r>
      <w:proofErr w:type="gramEnd"/>
      <w:r w:rsidR="00110C9A" w:rsidRPr="00411A55">
        <w:rPr>
          <w:rFonts w:ascii="Book Antiqua" w:hAnsi="Book Antiqua"/>
          <w:color w:val="auto"/>
          <w:szCs w:val="24"/>
          <w:vertAlign w:val="superscript"/>
        </w:rPr>
        <w:t>36]</w:t>
      </w:r>
      <w:r w:rsidR="00110C9A" w:rsidRPr="00411A55">
        <w:rPr>
          <w:rFonts w:ascii="Book Antiqua" w:hAnsi="Book Antiqua"/>
          <w:color w:val="auto"/>
          <w:szCs w:val="24"/>
        </w:rPr>
        <w:t>.</w:t>
      </w:r>
    </w:p>
    <w:p w14:paraId="1B5B4C3F" w14:textId="425F8914"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ind w:firstLineChars="100" w:firstLine="240"/>
        <w:jc w:val="both"/>
        <w:rPr>
          <w:rFonts w:ascii="Book Antiqua" w:hAnsi="Book Antiqua"/>
          <w:color w:val="auto"/>
          <w:szCs w:val="24"/>
        </w:rPr>
      </w:pPr>
      <w:r w:rsidRPr="00411A55">
        <w:rPr>
          <w:rFonts w:ascii="Book Antiqua" w:hAnsi="Book Antiqua"/>
          <w:color w:val="auto"/>
          <w:szCs w:val="24"/>
        </w:rPr>
        <w:t xml:space="preserve">DES occlusions have been studied </w:t>
      </w:r>
      <w:r w:rsidR="00102E09">
        <w:rPr>
          <w:rFonts w:ascii="Book Antiqua" w:hAnsi="Book Antiqua"/>
          <w:color w:val="auto"/>
          <w:szCs w:val="24"/>
        </w:rPr>
        <w:t>using</w:t>
      </w:r>
      <w:r w:rsidRPr="00411A55">
        <w:rPr>
          <w:rFonts w:ascii="Book Antiqua" w:hAnsi="Book Antiqua"/>
          <w:color w:val="auto"/>
          <w:szCs w:val="24"/>
        </w:rPr>
        <w:t xml:space="preserve"> optical coherence tomography (OCT)</w:t>
      </w:r>
      <w:r w:rsidR="0014407C">
        <w:rPr>
          <w:rFonts w:ascii="Book Antiqua" w:hAnsi="Book Antiqua"/>
          <w:color w:val="auto"/>
          <w:szCs w:val="24"/>
        </w:rPr>
        <w:t>,</w:t>
      </w:r>
      <w:r w:rsidRPr="00411A55">
        <w:rPr>
          <w:rFonts w:ascii="Book Antiqua" w:hAnsi="Book Antiqua"/>
          <w:color w:val="auto"/>
          <w:szCs w:val="24"/>
        </w:rPr>
        <w:t xml:space="preserve"> which reveal</w:t>
      </w:r>
      <w:r w:rsidR="00E73A17">
        <w:rPr>
          <w:rFonts w:ascii="Book Antiqua" w:hAnsi="Book Antiqua"/>
          <w:color w:val="auto"/>
          <w:szCs w:val="24"/>
        </w:rPr>
        <w:t>s</w:t>
      </w:r>
      <w:r w:rsidRPr="00411A55">
        <w:rPr>
          <w:rFonts w:ascii="Book Antiqua" w:hAnsi="Book Antiqua"/>
          <w:color w:val="auto"/>
          <w:szCs w:val="24"/>
        </w:rPr>
        <w:t xml:space="preserve"> in-stent neoatherosclerosis.</w:t>
      </w:r>
      <w:r w:rsidR="009608A4" w:rsidRPr="00411A55">
        <w:rPr>
          <w:rFonts w:ascii="Book Antiqua" w:hAnsi="Book Antiqua"/>
          <w:color w:val="auto"/>
          <w:szCs w:val="24"/>
        </w:rPr>
        <w:t xml:space="preserve"> </w:t>
      </w:r>
      <w:r w:rsidR="00E73A17">
        <w:rPr>
          <w:rFonts w:ascii="Book Antiqua" w:hAnsi="Book Antiqua"/>
          <w:color w:val="auto"/>
          <w:szCs w:val="24"/>
        </w:rPr>
        <w:t>T</w:t>
      </w:r>
      <w:r w:rsidRPr="00411A55">
        <w:rPr>
          <w:rFonts w:ascii="Book Antiqua" w:hAnsi="Book Antiqua"/>
          <w:color w:val="auto"/>
          <w:szCs w:val="24"/>
        </w:rPr>
        <w:t>he</w:t>
      </w:r>
      <w:r w:rsidR="00E73A17">
        <w:rPr>
          <w:rFonts w:ascii="Book Antiqua" w:hAnsi="Book Antiqua"/>
          <w:color w:val="auto"/>
          <w:szCs w:val="24"/>
        </w:rPr>
        <w:t xml:space="preserve"> concept that</w:t>
      </w:r>
      <w:r w:rsidRPr="00411A55">
        <w:rPr>
          <w:rFonts w:ascii="Book Antiqua" w:hAnsi="Book Antiqua"/>
          <w:color w:val="auto"/>
          <w:szCs w:val="24"/>
        </w:rPr>
        <w:t xml:space="preserve"> antiproliferative properties of DES alter endothelial formation and function</w:t>
      </w:r>
      <w:r w:rsidR="00E73A17">
        <w:rPr>
          <w:rFonts w:ascii="Book Antiqua" w:hAnsi="Book Antiqua"/>
          <w:color w:val="auto"/>
          <w:szCs w:val="24"/>
        </w:rPr>
        <w:t xml:space="preserve"> has been discussed</w:t>
      </w:r>
      <w:r w:rsidR="00E73A17" w:rsidRPr="00411A55">
        <w:rPr>
          <w:rFonts w:ascii="Book Antiqua" w:hAnsi="Book Antiqua"/>
          <w:color w:val="auto"/>
          <w:szCs w:val="24"/>
        </w:rPr>
        <w:t xml:space="preserve"> but </w:t>
      </w:r>
      <w:r w:rsidR="00E73A17">
        <w:rPr>
          <w:rFonts w:ascii="Book Antiqua" w:hAnsi="Book Antiqua"/>
          <w:color w:val="auto"/>
          <w:szCs w:val="24"/>
        </w:rPr>
        <w:t>never</w:t>
      </w:r>
      <w:r w:rsidR="00E73A17" w:rsidRPr="00411A55">
        <w:rPr>
          <w:rFonts w:ascii="Book Antiqua" w:hAnsi="Book Antiqua"/>
          <w:color w:val="auto"/>
          <w:szCs w:val="24"/>
        </w:rPr>
        <w:t xml:space="preserve"> proven</w:t>
      </w:r>
      <w:r w:rsidR="00B6750A">
        <w:rPr>
          <w:rFonts w:ascii="Book Antiqua" w:hAnsi="Book Antiqua"/>
          <w:color w:val="auto"/>
          <w:szCs w:val="24"/>
        </w:rPr>
        <w:t>. However, it’s thought that these properties</w:t>
      </w:r>
      <w:r w:rsidRPr="00411A55">
        <w:rPr>
          <w:rFonts w:ascii="Book Antiqua" w:hAnsi="Book Antiqua"/>
          <w:color w:val="auto"/>
          <w:szCs w:val="24"/>
        </w:rPr>
        <w:t xml:space="preserve"> result in increased lipid insudation and macrophage activation</w:t>
      </w:r>
      <w:r w:rsidR="000B2840">
        <w:rPr>
          <w:rFonts w:ascii="Book Antiqua" w:hAnsi="Book Antiqua"/>
          <w:color w:val="auto"/>
          <w:szCs w:val="24"/>
        </w:rPr>
        <w:t>,</w:t>
      </w:r>
      <w:r w:rsidRPr="00411A55">
        <w:rPr>
          <w:rFonts w:ascii="Book Antiqua" w:hAnsi="Book Antiqua"/>
          <w:color w:val="auto"/>
          <w:szCs w:val="24"/>
        </w:rPr>
        <w:t xml:space="preserve"> </w:t>
      </w:r>
      <w:r w:rsidR="000B2840">
        <w:rPr>
          <w:rFonts w:ascii="Book Antiqua" w:hAnsi="Book Antiqua"/>
          <w:color w:val="auto"/>
          <w:szCs w:val="24"/>
        </w:rPr>
        <w:t>which</w:t>
      </w:r>
      <w:r w:rsidR="000B2840" w:rsidRPr="00411A55">
        <w:rPr>
          <w:rFonts w:ascii="Book Antiqua" w:hAnsi="Book Antiqua"/>
          <w:color w:val="auto"/>
          <w:szCs w:val="24"/>
        </w:rPr>
        <w:t xml:space="preserve"> </w:t>
      </w:r>
      <w:r w:rsidRPr="00411A55">
        <w:rPr>
          <w:rFonts w:ascii="Book Antiqua" w:hAnsi="Book Antiqua"/>
          <w:color w:val="auto"/>
          <w:szCs w:val="24"/>
        </w:rPr>
        <w:t>precipitate</w:t>
      </w:r>
      <w:r w:rsidR="000B2840">
        <w:rPr>
          <w:rFonts w:ascii="Book Antiqua" w:hAnsi="Book Antiqua"/>
          <w:color w:val="auto"/>
          <w:szCs w:val="24"/>
        </w:rPr>
        <w:t xml:space="preserve"> both</w:t>
      </w:r>
      <w:r w:rsidRPr="00411A55">
        <w:rPr>
          <w:rFonts w:ascii="Book Antiqua" w:hAnsi="Book Antiqua"/>
          <w:color w:val="auto"/>
          <w:szCs w:val="24"/>
        </w:rPr>
        <w:t xml:space="preserve"> atherosclerosis of the neointima and vascular lumen </w:t>
      </w:r>
      <w:proofErr w:type="gramStart"/>
      <w:r w:rsidRPr="00411A55">
        <w:rPr>
          <w:rFonts w:ascii="Book Antiqua" w:hAnsi="Book Antiqua"/>
          <w:color w:val="auto"/>
          <w:szCs w:val="24"/>
        </w:rPr>
        <w:t>loss</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37,38]</w:t>
      </w:r>
      <w:r w:rsidRPr="00411A55">
        <w:rPr>
          <w:rFonts w:ascii="Book Antiqua" w:hAnsi="Book Antiqua"/>
          <w:color w:val="auto"/>
          <w:szCs w:val="24"/>
        </w:rPr>
        <w:t xml:space="preserve">. Furthermore, the stent’s durable polymer matrix acts as a source of continuous vessel irritation that triggers a local </w:t>
      </w:r>
      <w:r w:rsidRPr="00411A55">
        <w:rPr>
          <w:rFonts w:ascii="Book Antiqua" w:hAnsi="Book Antiqua"/>
          <w:color w:val="auto"/>
          <w:szCs w:val="24"/>
        </w:rPr>
        <w:lastRenderedPageBreak/>
        <w:t xml:space="preserve">inflammatory reaction and can precipitate in-stent thrombosis. In the field of coronary disease, the phenomenon of neoatherosclerosis </w:t>
      </w:r>
      <w:r w:rsidR="00780AF4" w:rsidRPr="00411A55">
        <w:rPr>
          <w:rFonts w:ascii="Book Antiqua" w:hAnsi="Book Antiqua"/>
          <w:color w:val="auto"/>
          <w:szCs w:val="24"/>
        </w:rPr>
        <w:t xml:space="preserve">following </w:t>
      </w:r>
      <w:proofErr w:type="gramStart"/>
      <w:r w:rsidR="00780AF4" w:rsidRPr="00411A55">
        <w:rPr>
          <w:rFonts w:ascii="Book Antiqua" w:hAnsi="Book Antiqua"/>
          <w:color w:val="auto"/>
          <w:szCs w:val="24"/>
        </w:rPr>
        <w:t>both bare metal or</w:t>
      </w:r>
      <w:proofErr w:type="gramEnd"/>
      <w:r w:rsidR="00780AF4" w:rsidRPr="00411A55">
        <w:rPr>
          <w:rFonts w:ascii="Book Antiqua" w:hAnsi="Book Antiqua"/>
          <w:color w:val="auto"/>
          <w:szCs w:val="24"/>
        </w:rPr>
        <w:t xml:space="preserve"> </w:t>
      </w:r>
      <w:r w:rsidR="00411A55" w:rsidRPr="00411A55">
        <w:rPr>
          <w:rFonts w:ascii="Book Antiqua" w:hAnsi="Book Antiqua"/>
          <w:color w:val="auto"/>
          <w:szCs w:val="24"/>
        </w:rPr>
        <w:t>DES</w:t>
      </w:r>
      <w:r w:rsidR="00780AF4" w:rsidRPr="00411A55">
        <w:rPr>
          <w:rFonts w:ascii="Book Antiqua" w:hAnsi="Book Antiqua"/>
          <w:color w:val="auto"/>
          <w:szCs w:val="24"/>
        </w:rPr>
        <w:t xml:space="preserve"> </w:t>
      </w:r>
      <w:r w:rsidR="000B2840" w:rsidRPr="00411A55">
        <w:rPr>
          <w:rFonts w:ascii="Book Antiqua" w:hAnsi="Book Antiqua"/>
          <w:color w:val="auto"/>
          <w:szCs w:val="24"/>
        </w:rPr>
        <w:t>ha</w:t>
      </w:r>
      <w:r w:rsidR="000B2840">
        <w:rPr>
          <w:rFonts w:ascii="Book Antiqua" w:eastAsia="宋体" w:hAnsi="Book Antiqua"/>
          <w:color w:val="auto"/>
          <w:szCs w:val="24"/>
          <w:lang w:eastAsia="zh-CN"/>
        </w:rPr>
        <w:t>s</w:t>
      </w:r>
      <w:r w:rsidR="000B2840" w:rsidRPr="00411A55">
        <w:rPr>
          <w:rFonts w:ascii="Book Antiqua" w:hAnsi="Book Antiqua"/>
          <w:color w:val="auto"/>
          <w:szCs w:val="24"/>
        </w:rPr>
        <w:t xml:space="preserve"> </w:t>
      </w:r>
      <w:r w:rsidRPr="00411A55">
        <w:rPr>
          <w:rFonts w:ascii="Book Antiqua" w:hAnsi="Book Antiqua"/>
          <w:color w:val="auto"/>
          <w:szCs w:val="24"/>
        </w:rPr>
        <w:t>been correlated with very late acute stent thrombosis, and many authors advocate the prescription of long-term dual antiplatelet therapy to avoid late thrombotic events</w:t>
      </w:r>
      <w:r w:rsidR="00FB72E2" w:rsidRPr="00411A55">
        <w:rPr>
          <w:rFonts w:ascii="Book Antiqua" w:hAnsi="Book Antiqua"/>
          <w:color w:val="auto"/>
          <w:szCs w:val="24"/>
        </w:rPr>
        <w:t>.</w:t>
      </w:r>
      <w:r w:rsidR="00460148" w:rsidRPr="00411A55">
        <w:rPr>
          <w:rFonts w:ascii="Book Antiqua" w:hAnsi="Book Antiqua"/>
          <w:color w:val="auto"/>
          <w:szCs w:val="24"/>
        </w:rPr>
        <w:t xml:space="preserve"> Nevertheless, late stent thrombosis has never been investigated following infrapopliteal </w:t>
      </w:r>
      <w:r w:rsidR="002B5C16" w:rsidRPr="00411A55">
        <w:rPr>
          <w:rFonts w:ascii="Book Antiqua" w:hAnsi="Book Antiqua"/>
          <w:color w:val="auto"/>
          <w:szCs w:val="24"/>
        </w:rPr>
        <w:t>BMS</w:t>
      </w:r>
      <w:r w:rsidR="00460148" w:rsidRPr="00411A55">
        <w:rPr>
          <w:rFonts w:ascii="Book Antiqua" w:hAnsi="Book Antiqua"/>
          <w:color w:val="auto"/>
          <w:szCs w:val="24"/>
        </w:rPr>
        <w:t xml:space="preserve"> placement and</w:t>
      </w:r>
      <w:r w:rsidR="000B2840">
        <w:rPr>
          <w:rFonts w:ascii="Book Antiqua" w:hAnsi="Book Antiqua"/>
          <w:color w:val="auto"/>
          <w:szCs w:val="24"/>
        </w:rPr>
        <w:t>,</w:t>
      </w:r>
      <w:r w:rsidR="00460148" w:rsidRPr="00411A55">
        <w:rPr>
          <w:rFonts w:ascii="Book Antiqua" w:hAnsi="Book Antiqua"/>
          <w:color w:val="auto"/>
          <w:szCs w:val="24"/>
        </w:rPr>
        <w:t xml:space="preserve"> therefore</w:t>
      </w:r>
      <w:r w:rsidR="000B2840">
        <w:rPr>
          <w:rFonts w:ascii="Book Antiqua" w:hAnsi="Book Antiqua"/>
          <w:color w:val="auto"/>
          <w:szCs w:val="24"/>
        </w:rPr>
        <w:t>,</w:t>
      </w:r>
      <w:r w:rsidR="00460148" w:rsidRPr="00411A55">
        <w:rPr>
          <w:rFonts w:ascii="Book Antiqua" w:hAnsi="Book Antiqua"/>
          <w:color w:val="auto"/>
          <w:szCs w:val="24"/>
        </w:rPr>
        <w:t xml:space="preserve"> whether this phenomenon is as frequent as in cases of DES placement remains to be </w:t>
      </w:r>
      <w:proofErr w:type="gramStart"/>
      <w:r w:rsidR="00460148" w:rsidRPr="00411A55">
        <w:rPr>
          <w:rFonts w:ascii="Book Antiqua" w:hAnsi="Book Antiqua"/>
          <w:color w:val="auto"/>
          <w:szCs w:val="24"/>
        </w:rPr>
        <w:t>addressed</w:t>
      </w:r>
      <w:r w:rsidR="000F08DA" w:rsidRPr="00411A55">
        <w:rPr>
          <w:rFonts w:ascii="Book Antiqua" w:hAnsi="Book Antiqua"/>
          <w:color w:val="auto"/>
          <w:szCs w:val="24"/>
          <w:vertAlign w:val="superscript"/>
        </w:rPr>
        <w:t>[</w:t>
      </w:r>
      <w:proofErr w:type="gramEnd"/>
      <w:r w:rsidR="000F08DA" w:rsidRPr="00411A55">
        <w:rPr>
          <w:rFonts w:ascii="Book Antiqua" w:hAnsi="Book Antiqua"/>
          <w:color w:val="auto"/>
          <w:szCs w:val="24"/>
          <w:vertAlign w:val="superscript"/>
        </w:rPr>
        <w:t>38]</w:t>
      </w:r>
      <w:r w:rsidRPr="00411A55">
        <w:rPr>
          <w:rFonts w:ascii="Book Antiqua" w:hAnsi="Book Antiqua"/>
          <w:color w:val="auto"/>
          <w:szCs w:val="24"/>
        </w:rPr>
        <w:t xml:space="preserve">. However, </w:t>
      </w:r>
      <w:r w:rsidR="00460148" w:rsidRPr="00411A55">
        <w:rPr>
          <w:rFonts w:ascii="Book Antiqua" w:hAnsi="Book Antiqua"/>
          <w:color w:val="auto"/>
          <w:szCs w:val="24"/>
        </w:rPr>
        <w:t>according to current knowledge</w:t>
      </w:r>
      <w:r w:rsidR="00FB72E2" w:rsidRPr="00411A55">
        <w:rPr>
          <w:rFonts w:ascii="Book Antiqua" w:hAnsi="Book Antiqua"/>
          <w:color w:val="auto"/>
          <w:szCs w:val="24"/>
        </w:rPr>
        <w:t xml:space="preserve">, </w:t>
      </w:r>
      <w:r w:rsidRPr="00411A55">
        <w:rPr>
          <w:rFonts w:ascii="Book Antiqua" w:hAnsi="Book Antiqua"/>
          <w:color w:val="auto"/>
          <w:szCs w:val="24"/>
        </w:rPr>
        <w:t xml:space="preserve">the need for long-term antiplatelet coverage to reduce the risk of acute or late thrombosis after DES placement might pose some restrictions on the use of these </w:t>
      </w:r>
      <w:proofErr w:type="gramStart"/>
      <w:r w:rsidRPr="00411A55">
        <w:rPr>
          <w:rFonts w:ascii="Book Antiqua" w:hAnsi="Book Antiqua"/>
          <w:color w:val="auto"/>
          <w:szCs w:val="24"/>
        </w:rPr>
        <w:t>devices</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20]</w:t>
      </w:r>
      <w:r w:rsidRPr="00411A55">
        <w:rPr>
          <w:rFonts w:ascii="Book Antiqua" w:hAnsi="Book Antiqua"/>
          <w:color w:val="auto"/>
          <w:szCs w:val="24"/>
        </w:rPr>
        <w:t xml:space="preserve">. Tepe </w:t>
      </w:r>
      <w:r w:rsidRPr="002B5C16">
        <w:rPr>
          <w:rFonts w:ascii="Book Antiqua" w:hAnsi="Book Antiqua"/>
          <w:i/>
          <w:color w:val="auto"/>
          <w:szCs w:val="24"/>
        </w:rPr>
        <w:t>et al</w:t>
      </w:r>
      <w:r w:rsidR="002B5C16" w:rsidRPr="00411A55">
        <w:rPr>
          <w:rFonts w:ascii="Book Antiqua" w:hAnsi="Book Antiqua"/>
          <w:color w:val="auto"/>
          <w:szCs w:val="24"/>
          <w:vertAlign w:val="superscript"/>
        </w:rPr>
        <w:t>[39]</w:t>
      </w:r>
      <w:r w:rsidRPr="00411A55">
        <w:rPr>
          <w:rFonts w:ascii="Book Antiqua" w:hAnsi="Book Antiqua"/>
          <w:color w:val="auto"/>
          <w:szCs w:val="24"/>
        </w:rPr>
        <w:t xml:space="preserve"> have investigated the administration of GP IIb/IIIa blockade with sirolimus-eluting stents</w:t>
      </w:r>
      <w:r w:rsidR="002B5C16">
        <w:rPr>
          <w:rFonts w:ascii="Book Antiqua" w:eastAsia="宋体" w:hAnsi="Book Antiqua" w:hint="eastAsia"/>
          <w:color w:val="auto"/>
          <w:szCs w:val="24"/>
          <w:lang w:eastAsia="zh-CN"/>
        </w:rPr>
        <w:t xml:space="preserve"> </w:t>
      </w:r>
      <w:r w:rsidRPr="00411A55">
        <w:rPr>
          <w:rFonts w:ascii="Book Antiqua" w:hAnsi="Book Antiqua"/>
          <w:color w:val="auto"/>
          <w:szCs w:val="24"/>
        </w:rPr>
        <w:t>(SES), bare-metal stents and PTA. SES were correlated with significantly reduced restenosis, as the 6</w:t>
      </w:r>
      <w:r w:rsidR="000B2840">
        <w:rPr>
          <w:rFonts w:ascii="Book Antiqua" w:hAnsi="Book Antiqua"/>
          <w:color w:val="auto"/>
          <w:szCs w:val="24"/>
        </w:rPr>
        <w:t xml:space="preserve"> </w:t>
      </w:r>
      <w:r w:rsidR="000F08DA" w:rsidRPr="00411A55">
        <w:rPr>
          <w:rFonts w:ascii="Book Antiqua" w:hAnsi="Book Antiqua"/>
          <w:color w:val="auto"/>
          <w:szCs w:val="24"/>
        </w:rPr>
        <w:t>mo</w:t>
      </w:r>
      <w:r w:rsidRPr="00411A55">
        <w:rPr>
          <w:rFonts w:ascii="Book Antiqua" w:hAnsi="Book Antiqua"/>
          <w:color w:val="auto"/>
          <w:szCs w:val="24"/>
        </w:rPr>
        <w:t xml:space="preserve"> restenosis rate was 9%, 67%, and 75%</w:t>
      </w:r>
      <w:r w:rsidR="000B2840">
        <w:rPr>
          <w:rFonts w:ascii="Book Antiqua" w:hAnsi="Book Antiqua"/>
          <w:color w:val="auto"/>
          <w:szCs w:val="24"/>
        </w:rPr>
        <w:t>,</w:t>
      </w:r>
      <w:r w:rsidRPr="00411A55">
        <w:rPr>
          <w:rFonts w:ascii="Book Antiqua" w:hAnsi="Book Antiqua"/>
          <w:color w:val="auto"/>
          <w:szCs w:val="24"/>
        </w:rPr>
        <w:t xml:space="preserve"> respectively</w:t>
      </w:r>
      <w:r w:rsidRPr="00411A55">
        <w:rPr>
          <w:rFonts w:ascii="Book Antiqua" w:hAnsi="Book Antiqua"/>
          <w:color w:val="auto"/>
          <w:szCs w:val="24"/>
          <w:vertAlign w:val="superscript"/>
        </w:rPr>
        <w:t>[39]</w:t>
      </w:r>
      <w:r w:rsidRPr="00411A55">
        <w:rPr>
          <w:rFonts w:ascii="Book Antiqua" w:hAnsi="Book Antiqua"/>
          <w:color w:val="auto"/>
          <w:szCs w:val="24"/>
        </w:rPr>
        <w:t>.</w:t>
      </w:r>
    </w:p>
    <w:p w14:paraId="1888CE74" w14:textId="3F588858"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ind w:firstLineChars="100" w:firstLine="240"/>
        <w:jc w:val="both"/>
        <w:rPr>
          <w:rFonts w:ascii="Book Antiqua" w:hAnsi="Book Antiqua"/>
          <w:color w:val="auto"/>
          <w:szCs w:val="24"/>
        </w:rPr>
      </w:pPr>
      <w:r w:rsidRPr="00411A55">
        <w:rPr>
          <w:rFonts w:ascii="Book Antiqua" w:hAnsi="Book Antiqua"/>
          <w:color w:val="auto"/>
          <w:szCs w:val="24"/>
        </w:rPr>
        <w:t xml:space="preserve">The development of novel DES with biodegradable polymer technology aims to improve vessel re-endothelialization and further decrease </w:t>
      </w:r>
      <w:proofErr w:type="gramStart"/>
      <w:r w:rsidRPr="00411A55">
        <w:rPr>
          <w:rFonts w:ascii="Book Antiqua" w:hAnsi="Book Antiqua"/>
          <w:color w:val="auto"/>
          <w:szCs w:val="24"/>
        </w:rPr>
        <w:t>complications</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40]</w:t>
      </w:r>
      <w:r w:rsidRPr="00411A55">
        <w:rPr>
          <w:rFonts w:ascii="Book Antiqua" w:hAnsi="Book Antiqua"/>
          <w:color w:val="auto"/>
          <w:szCs w:val="24"/>
        </w:rPr>
        <w:t>. Initial outcomes of the application of bioabsorbable DES in 33 patients suffering from either CLI (68.4%) or claudication due to infrapopliteal vessel disease were excellent</w:t>
      </w:r>
      <w:r w:rsidR="000B2840">
        <w:rPr>
          <w:rFonts w:ascii="Book Antiqua" w:hAnsi="Book Antiqua"/>
          <w:color w:val="auto"/>
          <w:szCs w:val="24"/>
        </w:rPr>
        <w:t>.</w:t>
      </w:r>
      <w:r w:rsidRPr="00411A55">
        <w:rPr>
          <w:rFonts w:ascii="Book Antiqua" w:hAnsi="Book Antiqua"/>
          <w:color w:val="auto"/>
          <w:szCs w:val="24"/>
        </w:rPr>
        <w:t xml:space="preserve"> </w:t>
      </w:r>
      <w:r w:rsidR="000B2840">
        <w:rPr>
          <w:rFonts w:ascii="Book Antiqua" w:hAnsi="Book Antiqua"/>
          <w:color w:val="auto"/>
          <w:szCs w:val="24"/>
        </w:rPr>
        <w:t>The</w:t>
      </w:r>
      <w:r w:rsidRPr="00411A55">
        <w:rPr>
          <w:rFonts w:ascii="Book Antiqua" w:hAnsi="Book Antiqua"/>
          <w:color w:val="auto"/>
          <w:szCs w:val="24"/>
        </w:rPr>
        <w:t xml:space="preserve"> primary patency rates </w:t>
      </w:r>
      <w:r w:rsidR="000B2840">
        <w:rPr>
          <w:rFonts w:ascii="Book Antiqua" w:hAnsi="Book Antiqua"/>
          <w:color w:val="auto"/>
          <w:szCs w:val="24"/>
        </w:rPr>
        <w:t>were</w:t>
      </w:r>
      <w:r w:rsidR="000B2840" w:rsidRPr="00411A55">
        <w:rPr>
          <w:rFonts w:ascii="Book Antiqua" w:hAnsi="Book Antiqua"/>
          <w:color w:val="auto"/>
          <w:szCs w:val="24"/>
        </w:rPr>
        <w:t xml:space="preserve"> </w:t>
      </w:r>
      <w:r w:rsidRPr="00411A55">
        <w:rPr>
          <w:rFonts w:ascii="Book Antiqua" w:hAnsi="Book Antiqua"/>
          <w:color w:val="auto"/>
          <w:szCs w:val="24"/>
        </w:rPr>
        <w:t>96% and 84.6%</w:t>
      </w:r>
      <w:r w:rsidR="000B2840">
        <w:rPr>
          <w:rFonts w:ascii="Book Antiqua" w:hAnsi="Book Antiqua"/>
          <w:color w:val="auto"/>
          <w:szCs w:val="24"/>
        </w:rPr>
        <w:t>,</w:t>
      </w:r>
      <w:r w:rsidRPr="00411A55">
        <w:rPr>
          <w:rFonts w:ascii="Book Antiqua" w:hAnsi="Book Antiqua"/>
          <w:color w:val="auto"/>
          <w:szCs w:val="24"/>
        </w:rPr>
        <w:t xml:space="preserve"> and freedom from clinically</w:t>
      </w:r>
      <w:r w:rsidR="000B2840">
        <w:rPr>
          <w:rFonts w:ascii="Book Antiqua" w:hAnsi="Book Antiqua"/>
          <w:color w:val="auto"/>
          <w:szCs w:val="24"/>
        </w:rPr>
        <w:t>-</w:t>
      </w:r>
      <w:r w:rsidRPr="00411A55">
        <w:rPr>
          <w:rFonts w:ascii="Book Antiqua" w:hAnsi="Book Antiqua"/>
          <w:color w:val="auto"/>
          <w:szCs w:val="24"/>
        </w:rPr>
        <w:t xml:space="preserve">driven target lesion revascularization rates </w:t>
      </w:r>
      <w:r w:rsidR="000B2840">
        <w:rPr>
          <w:rFonts w:ascii="Book Antiqua" w:hAnsi="Book Antiqua"/>
          <w:color w:val="auto"/>
          <w:szCs w:val="24"/>
        </w:rPr>
        <w:t>were</w:t>
      </w:r>
      <w:r w:rsidRPr="00411A55">
        <w:rPr>
          <w:rFonts w:ascii="Book Antiqua" w:hAnsi="Book Antiqua"/>
          <w:color w:val="auto"/>
          <w:szCs w:val="24"/>
        </w:rPr>
        <w:t xml:space="preserve"> 96% at 12 and 24 </w:t>
      </w:r>
      <w:proofErr w:type="gramStart"/>
      <w:r w:rsidRPr="00411A55">
        <w:rPr>
          <w:rFonts w:ascii="Book Antiqua" w:hAnsi="Book Antiqua"/>
          <w:color w:val="auto"/>
          <w:szCs w:val="24"/>
        </w:rPr>
        <w:t>mo</w:t>
      </w:r>
      <w:proofErr w:type="gramEnd"/>
      <w:r w:rsidRPr="00411A55">
        <w:rPr>
          <w:rFonts w:ascii="Book Antiqua" w:hAnsi="Book Antiqua"/>
          <w:color w:val="auto"/>
          <w:szCs w:val="24"/>
        </w:rPr>
        <w:t xml:space="preserve">, respectively. </w:t>
      </w:r>
      <w:r w:rsidR="000B2840">
        <w:rPr>
          <w:rFonts w:ascii="Book Antiqua" w:hAnsi="Book Antiqua"/>
          <w:color w:val="auto"/>
          <w:szCs w:val="24"/>
        </w:rPr>
        <w:t>Al</w:t>
      </w:r>
      <w:r w:rsidRPr="00411A55">
        <w:rPr>
          <w:rFonts w:ascii="Book Antiqua" w:hAnsi="Book Antiqua"/>
          <w:color w:val="auto"/>
          <w:szCs w:val="24"/>
        </w:rPr>
        <w:t>though mean lesion length was only 19.2</w:t>
      </w:r>
      <w:r w:rsidR="000F08DA">
        <w:rPr>
          <w:rFonts w:ascii="Book Antiqua" w:hAnsi="Book Antiqua"/>
          <w:color w:val="auto"/>
          <w:szCs w:val="24"/>
        </w:rPr>
        <w:t xml:space="preserve"> ± </w:t>
      </w:r>
      <w:r w:rsidRPr="00411A55">
        <w:rPr>
          <w:rFonts w:ascii="Book Antiqua" w:hAnsi="Book Antiqua"/>
          <w:color w:val="auto"/>
          <w:szCs w:val="24"/>
        </w:rPr>
        <w:t xml:space="preserve">11.6 mm, most likely due to the current availability of very short bioabsorbable DES, these results may </w:t>
      </w:r>
      <w:r w:rsidR="000B2840">
        <w:rPr>
          <w:rFonts w:ascii="Book Antiqua" w:hAnsi="Book Antiqua"/>
          <w:color w:val="auto"/>
          <w:szCs w:val="24"/>
        </w:rPr>
        <w:t xml:space="preserve">soon </w:t>
      </w:r>
      <w:r w:rsidRPr="00411A55">
        <w:rPr>
          <w:rFonts w:ascii="Book Antiqua" w:hAnsi="Book Antiqua"/>
          <w:color w:val="auto"/>
          <w:szCs w:val="24"/>
        </w:rPr>
        <w:t xml:space="preserve">lead to the implementation of this technology for </w:t>
      </w:r>
      <w:r w:rsidR="000B2840">
        <w:rPr>
          <w:rFonts w:ascii="Book Antiqua" w:hAnsi="Book Antiqua"/>
          <w:color w:val="auto"/>
          <w:szCs w:val="24"/>
        </w:rPr>
        <w:t>CLI</w:t>
      </w:r>
      <w:r w:rsidR="000B2840" w:rsidRPr="00411A55">
        <w:rPr>
          <w:rFonts w:ascii="Book Antiqua" w:hAnsi="Book Antiqua"/>
          <w:color w:val="auto"/>
          <w:szCs w:val="24"/>
        </w:rPr>
        <w:t xml:space="preserve"> </w:t>
      </w:r>
      <w:proofErr w:type="gramStart"/>
      <w:r w:rsidRPr="00411A55">
        <w:rPr>
          <w:rFonts w:ascii="Book Antiqua" w:hAnsi="Book Antiqua"/>
          <w:color w:val="auto"/>
          <w:szCs w:val="24"/>
        </w:rPr>
        <w:t>management</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41]</w:t>
      </w:r>
      <w:r w:rsidRPr="00411A55">
        <w:rPr>
          <w:rFonts w:ascii="Book Antiqua" w:hAnsi="Book Antiqua"/>
          <w:color w:val="auto"/>
          <w:szCs w:val="24"/>
        </w:rPr>
        <w:t>.</w:t>
      </w:r>
    </w:p>
    <w:p w14:paraId="5364E925" w14:textId="2983071C"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ind w:firstLineChars="100" w:firstLine="240"/>
        <w:jc w:val="both"/>
        <w:rPr>
          <w:rFonts w:ascii="Book Antiqua" w:hAnsi="Book Antiqua"/>
          <w:color w:val="auto"/>
          <w:szCs w:val="24"/>
        </w:rPr>
      </w:pPr>
      <w:r w:rsidRPr="00411A55">
        <w:rPr>
          <w:rFonts w:ascii="Book Antiqua" w:hAnsi="Book Antiqua"/>
          <w:color w:val="auto"/>
          <w:szCs w:val="24"/>
        </w:rPr>
        <w:t xml:space="preserve">Furthermore, a new generation of polymer-free, dedicated BTK </w:t>
      </w:r>
      <w:r w:rsidR="00411A55" w:rsidRPr="00411A55">
        <w:rPr>
          <w:rFonts w:ascii="Book Antiqua" w:hAnsi="Book Antiqua"/>
          <w:color w:val="auto"/>
          <w:szCs w:val="24"/>
        </w:rPr>
        <w:t>DES</w:t>
      </w:r>
      <w:r w:rsidRPr="00411A55">
        <w:rPr>
          <w:rFonts w:ascii="Book Antiqua" w:hAnsi="Book Antiqua"/>
          <w:color w:val="auto"/>
          <w:szCs w:val="24"/>
        </w:rPr>
        <w:t xml:space="preserve"> is presently under investigation. Specifically, the Alvimedica Cre8</w:t>
      </w:r>
      <w:r w:rsidRPr="00411A55">
        <w:rPr>
          <w:rFonts w:ascii="Book Antiqua" w:hAnsi="Book Antiqua"/>
          <w:color w:val="auto"/>
          <w:szCs w:val="24"/>
          <w:vertAlign w:val="superscript"/>
        </w:rPr>
        <w:t>TM</w:t>
      </w:r>
      <w:r w:rsidR="002B5C16">
        <w:rPr>
          <w:rFonts w:ascii="Book Antiqua" w:hAnsi="Book Antiqua"/>
          <w:color w:val="auto"/>
          <w:szCs w:val="24"/>
        </w:rPr>
        <w:t xml:space="preserve"> BTK</w:t>
      </w:r>
      <w:r w:rsidRPr="00411A55">
        <w:rPr>
          <w:rFonts w:ascii="Book Antiqua" w:hAnsi="Book Antiqua"/>
          <w:color w:val="auto"/>
          <w:szCs w:val="24"/>
        </w:rPr>
        <w:t xml:space="preserve"> is a polymer-free, balloon-expandable platform-loaded stent with the Amphilimus</w:t>
      </w:r>
      <w:r w:rsidRPr="00411A55">
        <w:rPr>
          <w:rFonts w:ascii="Book Antiqua" w:hAnsi="Book Antiqua"/>
          <w:color w:val="auto"/>
          <w:szCs w:val="24"/>
          <w:vertAlign w:val="superscript"/>
        </w:rPr>
        <w:t xml:space="preserve">TM </w:t>
      </w:r>
      <w:r w:rsidRPr="00411A55">
        <w:rPr>
          <w:rFonts w:ascii="Book Antiqua" w:hAnsi="Book Antiqua"/>
          <w:color w:val="auto"/>
          <w:szCs w:val="24"/>
        </w:rPr>
        <w:t>antirestenotic agent (Sirolimus + Fatty Acid)</w:t>
      </w:r>
      <w:r w:rsidR="00F8305A">
        <w:rPr>
          <w:rFonts w:ascii="Book Antiqua" w:hAnsi="Book Antiqua"/>
          <w:color w:val="auto"/>
          <w:szCs w:val="24"/>
        </w:rPr>
        <w:t>. Futhermore,</w:t>
      </w:r>
      <w:r w:rsidRPr="00411A55">
        <w:rPr>
          <w:rFonts w:ascii="Book Antiqua" w:hAnsi="Book Antiqua"/>
          <w:color w:val="auto"/>
          <w:szCs w:val="24"/>
        </w:rPr>
        <w:t xml:space="preserve"> the Angiolite BTK sirolimus-eluting peripheral stent (iVascular, Spain) is another balloon-expandable device consist</w:t>
      </w:r>
      <w:r w:rsidR="00F8305A">
        <w:rPr>
          <w:rFonts w:ascii="Book Antiqua" w:hAnsi="Book Antiqua"/>
          <w:color w:val="auto"/>
          <w:szCs w:val="24"/>
        </w:rPr>
        <w:t>ing</w:t>
      </w:r>
      <w:r w:rsidRPr="00411A55">
        <w:rPr>
          <w:rFonts w:ascii="Book Antiqua" w:hAnsi="Book Antiqua"/>
          <w:color w:val="auto"/>
          <w:szCs w:val="24"/>
        </w:rPr>
        <w:t xml:space="preserve"> of a cobalt chromium alloy coated with a mix of sirolimus and last generation biostable fluorinated acrylate polymer. Clinical results from these devices are </w:t>
      </w:r>
      <w:r w:rsidR="00F8305A">
        <w:rPr>
          <w:rFonts w:ascii="Book Antiqua" w:hAnsi="Book Antiqua"/>
          <w:color w:val="auto"/>
          <w:szCs w:val="24"/>
        </w:rPr>
        <w:t>pending</w:t>
      </w:r>
      <w:r w:rsidRPr="00411A55">
        <w:rPr>
          <w:rFonts w:ascii="Book Antiqua" w:hAnsi="Book Antiqua"/>
          <w:color w:val="auto"/>
          <w:szCs w:val="24"/>
        </w:rPr>
        <w:t>.</w:t>
      </w:r>
    </w:p>
    <w:p w14:paraId="61510256" w14:textId="3B33F2D3"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ind w:firstLineChars="100" w:firstLine="240"/>
        <w:jc w:val="both"/>
        <w:rPr>
          <w:rFonts w:ascii="Book Antiqua" w:hAnsi="Book Antiqua"/>
          <w:color w:val="auto"/>
          <w:szCs w:val="24"/>
        </w:rPr>
      </w:pPr>
      <w:r w:rsidRPr="00411A55">
        <w:rPr>
          <w:rFonts w:ascii="Book Antiqua" w:hAnsi="Book Antiqua"/>
          <w:color w:val="auto"/>
          <w:szCs w:val="24"/>
        </w:rPr>
        <w:t xml:space="preserve">The cost-effectiveness of </w:t>
      </w:r>
      <w:r w:rsidR="00411A55" w:rsidRPr="00411A55">
        <w:rPr>
          <w:rFonts w:ascii="Book Antiqua" w:hAnsi="Book Antiqua"/>
          <w:color w:val="auto"/>
          <w:szCs w:val="24"/>
        </w:rPr>
        <w:t>DES</w:t>
      </w:r>
      <w:r w:rsidRPr="00411A55">
        <w:rPr>
          <w:rFonts w:ascii="Book Antiqua" w:hAnsi="Book Antiqua"/>
          <w:color w:val="auto"/>
          <w:szCs w:val="24"/>
        </w:rPr>
        <w:t xml:space="preserve"> should indeed be placed under scrutiny; the direct cost of DES is higher than that of a plain balloon, while most CLI patients suffer from long multilevel tibial vessel lesions </w:t>
      </w:r>
      <w:r w:rsidR="00F8305A">
        <w:rPr>
          <w:rFonts w:ascii="Book Antiqua" w:hAnsi="Book Antiqua"/>
          <w:color w:val="auto"/>
          <w:szCs w:val="24"/>
        </w:rPr>
        <w:t>that</w:t>
      </w:r>
      <w:r w:rsidR="00F8305A" w:rsidRPr="00411A55">
        <w:rPr>
          <w:rFonts w:ascii="Book Antiqua" w:hAnsi="Book Antiqua"/>
          <w:color w:val="auto"/>
          <w:szCs w:val="24"/>
        </w:rPr>
        <w:t xml:space="preserve"> </w:t>
      </w:r>
      <w:r w:rsidRPr="00411A55">
        <w:rPr>
          <w:rFonts w:ascii="Book Antiqua" w:hAnsi="Book Antiqua"/>
          <w:color w:val="auto"/>
          <w:szCs w:val="24"/>
        </w:rPr>
        <w:t xml:space="preserve">cannot be treated with the short </w:t>
      </w:r>
      <w:r w:rsidR="00411A55" w:rsidRPr="00411A55">
        <w:rPr>
          <w:rFonts w:ascii="Book Antiqua" w:hAnsi="Book Antiqua"/>
          <w:color w:val="auto"/>
          <w:szCs w:val="24"/>
        </w:rPr>
        <w:t>DES</w:t>
      </w:r>
      <w:r w:rsidRPr="00411A55">
        <w:rPr>
          <w:rFonts w:ascii="Book Antiqua" w:hAnsi="Book Antiqua"/>
          <w:color w:val="auto"/>
          <w:szCs w:val="24"/>
        </w:rPr>
        <w:t xml:space="preserve"> presently</w:t>
      </w:r>
      <w:r w:rsidR="00F8305A">
        <w:rPr>
          <w:rFonts w:ascii="Book Antiqua" w:hAnsi="Book Antiqua"/>
          <w:color w:val="auto"/>
          <w:szCs w:val="24"/>
        </w:rPr>
        <w:t xml:space="preserve"> </w:t>
      </w:r>
      <w:r w:rsidRPr="00411A55">
        <w:rPr>
          <w:rFonts w:ascii="Book Antiqua" w:hAnsi="Book Antiqua"/>
          <w:color w:val="auto"/>
          <w:szCs w:val="24"/>
        </w:rPr>
        <w:t>available. However, despite the increased direct cost, DES</w:t>
      </w:r>
      <w:r w:rsidR="00615731">
        <w:rPr>
          <w:rFonts w:ascii="Book Antiqua" w:hAnsi="Book Antiqua"/>
          <w:color w:val="auto"/>
          <w:szCs w:val="24"/>
        </w:rPr>
        <w:t>s</w:t>
      </w:r>
      <w:r w:rsidRPr="00411A55">
        <w:rPr>
          <w:rFonts w:ascii="Book Antiqua" w:hAnsi="Book Antiqua"/>
          <w:color w:val="auto"/>
          <w:szCs w:val="24"/>
        </w:rPr>
        <w:t xml:space="preserve"> appear cost-effective for the management of long infrapopliteal lesions due to the significantly reduced number of re-interventions that are </w:t>
      </w:r>
      <w:proofErr w:type="gramStart"/>
      <w:r w:rsidRPr="00411A55">
        <w:rPr>
          <w:rFonts w:ascii="Book Antiqua" w:hAnsi="Book Antiqua"/>
          <w:color w:val="auto"/>
          <w:szCs w:val="24"/>
        </w:rPr>
        <w:t>required</w:t>
      </w:r>
      <w:r w:rsidRPr="00411A55">
        <w:rPr>
          <w:rFonts w:ascii="Book Antiqua" w:hAnsi="Book Antiqua"/>
          <w:color w:val="auto"/>
          <w:szCs w:val="24"/>
          <w:vertAlign w:val="superscript"/>
        </w:rPr>
        <w:t>[</w:t>
      </w:r>
      <w:proofErr w:type="gramEnd"/>
      <w:r w:rsidRPr="00411A55">
        <w:rPr>
          <w:rFonts w:ascii="Book Antiqua" w:hAnsi="Book Antiqua"/>
          <w:color w:val="auto"/>
          <w:szCs w:val="24"/>
          <w:vertAlign w:val="superscript"/>
        </w:rPr>
        <w:t>42]</w:t>
      </w:r>
      <w:r w:rsidRPr="00411A55">
        <w:rPr>
          <w:rFonts w:ascii="Book Antiqua" w:hAnsi="Book Antiqua"/>
          <w:color w:val="auto"/>
          <w:szCs w:val="24"/>
        </w:rPr>
        <w:t>. It is generally accepted that the direct cost</w:t>
      </w:r>
      <w:r w:rsidR="00F8305A">
        <w:rPr>
          <w:rFonts w:ascii="Book Antiqua" w:hAnsi="Book Antiqua"/>
          <w:color w:val="auto"/>
          <w:szCs w:val="24"/>
        </w:rPr>
        <w:t>-</w:t>
      </w:r>
      <w:r w:rsidRPr="00411A55">
        <w:rPr>
          <w:rFonts w:ascii="Book Antiqua" w:hAnsi="Book Antiqua"/>
          <w:color w:val="auto"/>
          <w:szCs w:val="24"/>
        </w:rPr>
        <w:t>reduction resulting from deeper market penetration, combined with the development of longer devices, would further i</w:t>
      </w:r>
      <w:r w:rsidR="0065646C">
        <w:rPr>
          <w:rFonts w:ascii="Book Antiqua" w:hAnsi="Book Antiqua"/>
          <w:color w:val="auto"/>
          <w:szCs w:val="24"/>
        </w:rPr>
        <w:t>mprove</w:t>
      </w:r>
      <w:r w:rsidRPr="00411A55">
        <w:rPr>
          <w:rFonts w:ascii="Book Antiqua" w:hAnsi="Book Antiqua"/>
          <w:color w:val="auto"/>
          <w:szCs w:val="24"/>
        </w:rPr>
        <w:t xml:space="preserve"> DES cost-effectiveness.</w:t>
      </w:r>
    </w:p>
    <w:p w14:paraId="7BD38B89" w14:textId="77777777"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hAnsi="Book Antiqua"/>
          <w:color w:val="auto"/>
          <w:szCs w:val="24"/>
        </w:rPr>
      </w:pPr>
    </w:p>
    <w:p w14:paraId="614C528A" w14:textId="77777777" w:rsidR="00411A55" w:rsidRPr="00A75329" w:rsidRDefault="00411A55"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eastAsia="宋体" w:hAnsi="Book Antiqua"/>
          <w:b/>
          <w:color w:val="auto"/>
          <w:szCs w:val="24"/>
          <w:lang w:eastAsia="zh-CN"/>
        </w:rPr>
      </w:pPr>
      <w:r w:rsidRPr="00A75329">
        <w:rPr>
          <w:rFonts w:ascii="Book Antiqua" w:hAnsi="Book Antiqua"/>
          <w:b/>
          <w:color w:val="auto"/>
          <w:szCs w:val="24"/>
        </w:rPr>
        <w:t xml:space="preserve">DCB </w:t>
      </w:r>
    </w:p>
    <w:p w14:paraId="1D0A5E50" w14:textId="71B09117" w:rsidR="00110C9A" w:rsidRPr="00411A55" w:rsidRDefault="00411A55"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hAnsi="Book Antiqua"/>
          <w:color w:val="auto"/>
          <w:szCs w:val="24"/>
        </w:rPr>
      </w:pPr>
      <w:r w:rsidRPr="00411A55">
        <w:rPr>
          <w:rFonts w:ascii="Book Antiqua" w:hAnsi="Book Antiqua"/>
          <w:color w:val="auto"/>
          <w:szCs w:val="24"/>
        </w:rPr>
        <w:t>DCB</w:t>
      </w:r>
      <w:r w:rsidR="00615731">
        <w:rPr>
          <w:rFonts w:ascii="Book Antiqua" w:hAnsi="Book Antiqua"/>
          <w:color w:val="auto"/>
          <w:szCs w:val="24"/>
        </w:rPr>
        <w:t>s</w:t>
      </w:r>
      <w:r w:rsidR="00110C9A" w:rsidRPr="00411A55">
        <w:rPr>
          <w:rFonts w:ascii="Book Antiqua" w:hAnsi="Book Antiqua"/>
          <w:color w:val="auto"/>
          <w:szCs w:val="24"/>
        </w:rPr>
        <w:t xml:space="preserve"> </w:t>
      </w:r>
      <w:r w:rsidR="00615731">
        <w:rPr>
          <w:rFonts w:ascii="Book Antiqua" w:hAnsi="Book Antiqua"/>
          <w:color w:val="auto"/>
          <w:szCs w:val="24"/>
        </w:rPr>
        <w:t>were</w:t>
      </w:r>
      <w:r w:rsidR="00110C9A" w:rsidRPr="00411A55">
        <w:rPr>
          <w:rFonts w:ascii="Book Antiqua" w:hAnsi="Book Antiqua"/>
          <w:color w:val="auto"/>
          <w:szCs w:val="24"/>
        </w:rPr>
        <w:t xml:space="preserve"> first introduced in coronary artery procedures, </w:t>
      </w:r>
      <w:r w:rsidR="00615731">
        <w:rPr>
          <w:rFonts w:ascii="Book Antiqua" w:hAnsi="Book Antiqua"/>
          <w:color w:val="auto"/>
          <w:szCs w:val="24"/>
        </w:rPr>
        <w:t xml:space="preserve">and </w:t>
      </w:r>
      <w:r w:rsidR="00110C9A" w:rsidRPr="00411A55">
        <w:rPr>
          <w:rFonts w:ascii="Book Antiqua" w:hAnsi="Book Antiqua"/>
          <w:color w:val="auto"/>
          <w:szCs w:val="24"/>
        </w:rPr>
        <w:t xml:space="preserve">the applications of this technology have </w:t>
      </w:r>
      <w:r w:rsidR="00615731">
        <w:rPr>
          <w:rFonts w:ascii="Book Antiqua" w:hAnsi="Book Antiqua"/>
          <w:color w:val="auto"/>
          <w:szCs w:val="24"/>
        </w:rPr>
        <w:t xml:space="preserve">subsequently </w:t>
      </w:r>
      <w:r w:rsidR="00110C9A" w:rsidRPr="00411A55">
        <w:rPr>
          <w:rFonts w:ascii="Book Antiqua" w:hAnsi="Book Antiqua"/>
          <w:color w:val="auto"/>
          <w:szCs w:val="24"/>
        </w:rPr>
        <w:t xml:space="preserve">been expanded </w:t>
      </w:r>
      <w:r w:rsidR="00615731">
        <w:rPr>
          <w:rFonts w:ascii="Book Antiqua" w:hAnsi="Book Antiqua"/>
          <w:color w:val="auto"/>
          <w:szCs w:val="24"/>
        </w:rPr>
        <w:t>with the goal of</w:t>
      </w:r>
      <w:r w:rsidR="00110C9A" w:rsidRPr="00411A55">
        <w:rPr>
          <w:rFonts w:ascii="Book Antiqua" w:hAnsi="Book Antiqua"/>
          <w:color w:val="auto"/>
          <w:szCs w:val="24"/>
        </w:rPr>
        <w:t xml:space="preserve"> confronting the endovascular treatment obstacles of femoropopliteal artery atherosclerotic disease.</w:t>
      </w:r>
      <w:r>
        <w:rPr>
          <w:rFonts w:ascii="Book Antiqua" w:hAnsi="Book Antiqua"/>
          <w:color w:val="auto"/>
          <w:szCs w:val="24"/>
        </w:rPr>
        <w:t xml:space="preserve"> </w:t>
      </w:r>
      <w:r w:rsidR="00110C9A" w:rsidRPr="00411A55">
        <w:rPr>
          <w:rFonts w:ascii="Book Antiqua" w:hAnsi="Book Antiqua"/>
          <w:color w:val="auto"/>
          <w:szCs w:val="24"/>
        </w:rPr>
        <w:t>Today</w:t>
      </w:r>
      <w:r w:rsidR="00615731">
        <w:rPr>
          <w:rFonts w:ascii="Book Antiqua" w:hAnsi="Book Antiqua"/>
          <w:color w:val="auto"/>
          <w:szCs w:val="24"/>
        </w:rPr>
        <w:t>,</w:t>
      </w:r>
      <w:r w:rsidR="00110C9A" w:rsidRPr="00411A55">
        <w:rPr>
          <w:rFonts w:ascii="Book Antiqua" w:hAnsi="Book Antiqua"/>
          <w:color w:val="auto"/>
          <w:szCs w:val="24"/>
        </w:rPr>
        <w:t xml:space="preserve"> there is strong level IA evidence </w:t>
      </w:r>
      <w:r w:rsidR="00615731" w:rsidRPr="00411A55">
        <w:rPr>
          <w:rFonts w:ascii="Book Antiqua" w:hAnsi="Book Antiqua"/>
          <w:color w:val="auto"/>
          <w:szCs w:val="24"/>
        </w:rPr>
        <w:t>deriv</w:t>
      </w:r>
      <w:r w:rsidR="00615731">
        <w:rPr>
          <w:rFonts w:ascii="Book Antiqua" w:hAnsi="Book Antiqua"/>
          <w:color w:val="auto"/>
          <w:szCs w:val="24"/>
        </w:rPr>
        <w:t>ed</w:t>
      </w:r>
      <w:r w:rsidR="00615731" w:rsidRPr="00411A55">
        <w:rPr>
          <w:rFonts w:ascii="Book Antiqua" w:hAnsi="Book Antiqua"/>
          <w:color w:val="auto"/>
          <w:szCs w:val="24"/>
        </w:rPr>
        <w:t xml:space="preserve"> </w:t>
      </w:r>
      <w:r w:rsidR="00110C9A" w:rsidRPr="00411A55">
        <w:rPr>
          <w:rFonts w:ascii="Book Antiqua" w:hAnsi="Book Antiqua"/>
          <w:color w:val="auto"/>
          <w:szCs w:val="24"/>
        </w:rPr>
        <w:t>from multiple multicenter RCTs and their meta-analysis</w:t>
      </w:r>
      <w:r w:rsidR="00615731">
        <w:rPr>
          <w:rFonts w:ascii="Book Antiqua" w:hAnsi="Book Antiqua"/>
          <w:color w:val="auto"/>
          <w:szCs w:val="24"/>
        </w:rPr>
        <w:t xml:space="preserve"> </w:t>
      </w:r>
      <w:r w:rsidR="00110C9A" w:rsidRPr="00411A55">
        <w:rPr>
          <w:rFonts w:ascii="Book Antiqua" w:hAnsi="Book Antiqua"/>
          <w:color w:val="auto"/>
          <w:szCs w:val="24"/>
        </w:rPr>
        <w:t xml:space="preserve">demonstrating that femoropopliteal angioplasty using </w:t>
      </w:r>
      <w:r w:rsidRPr="00411A55">
        <w:rPr>
          <w:rFonts w:ascii="Book Antiqua" w:hAnsi="Book Antiqua"/>
          <w:color w:val="auto"/>
          <w:szCs w:val="24"/>
        </w:rPr>
        <w:t>DCB</w:t>
      </w:r>
      <w:r w:rsidR="00110C9A" w:rsidRPr="00411A55">
        <w:rPr>
          <w:rFonts w:ascii="Book Antiqua" w:hAnsi="Book Antiqua"/>
          <w:color w:val="auto"/>
          <w:szCs w:val="24"/>
        </w:rPr>
        <w:t xml:space="preserve"> </w:t>
      </w:r>
      <w:r w:rsidR="00615731" w:rsidRPr="00411A55">
        <w:rPr>
          <w:rFonts w:ascii="Book Antiqua" w:hAnsi="Book Antiqua"/>
          <w:color w:val="auto"/>
          <w:szCs w:val="24"/>
        </w:rPr>
        <w:t xml:space="preserve">significantly </w:t>
      </w:r>
      <w:r w:rsidR="00110C9A" w:rsidRPr="00411A55">
        <w:rPr>
          <w:rFonts w:ascii="Book Antiqua" w:hAnsi="Book Antiqua"/>
          <w:color w:val="auto"/>
          <w:szCs w:val="24"/>
        </w:rPr>
        <w:t xml:space="preserve">reduces restenosis </w:t>
      </w:r>
      <w:proofErr w:type="gramStart"/>
      <w:r w:rsidR="00110C9A" w:rsidRPr="00411A55">
        <w:rPr>
          <w:rFonts w:ascii="Book Antiqua" w:hAnsi="Book Antiqua"/>
          <w:color w:val="auto"/>
          <w:szCs w:val="24"/>
        </w:rPr>
        <w:t>rates</w:t>
      </w:r>
      <w:r w:rsidR="00110C9A" w:rsidRPr="00411A55">
        <w:rPr>
          <w:rFonts w:ascii="Book Antiqua" w:hAnsi="Book Antiqua"/>
          <w:color w:val="auto"/>
          <w:szCs w:val="24"/>
          <w:vertAlign w:val="superscript"/>
        </w:rPr>
        <w:t>[</w:t>
      </w:r>
      <w:proofErr w:type="gramEnd"/>
      <w:r w:rsidR="00110C9A" w:rsidRPr="00411A55">
        <w:rPr>
          <w:rFonts w:ascii="Book Antiqua" w:hAnsi="Book Antiqua"/>
          <w:color w:val="auto"/>
          <w:szCs w:val="24"/>
          <w:vertAlign w:val="superscript"/>
        </w:rPr>
        <w:t>43]</w:t>
      </w:r>
      <w:r w:rsidR="00110C9A" w:rsidRPr="00411A55">
        <w:rPr>
          <w:rFonts w:ascii="Book Antiqua" w:hAnsi="Book Antiqua"/>
          <w:color w:val="auto"/>
          <w:szCs w:val="24"/>
        </w:rPr>
        <w:t>. This new technology to inhibit neointimal hyperplasia by administering a single dose of an antiproliferative agent within the vessel wall without the use of a permanent metallic scaffold (“leave nothing behind” concept) is rather appealing for the infrapopliteal vascular bed. As previously discussed, the distal third of the anterior tibial artery is not readily amenable to stent placement due to the compressive forces of the osseous and musculotendinous tissues in this area that can lead to stent deformations and fractures</w:t>
      </w:r>
      <w:r w:rsidR="00227B79">
        <w:rPr>
          <w:rFonts w:ascii="Book Antiqua" w:hAnsi="Book Antiqua"/>
          <w:color w:val="auto"/>
          <w:szCs w:val="24"/>
        </w:rPr>
        <w:t>,</w:t>
      </w:r>
      <w:r w:rsidR="00110C9A" w:rsidRPr="00411A55">
        <w:rPr>
          <w:rFonts w:ascii="Book Antiqua" w:hAnsi="Book Antiqua"/>
          <w:color w:val="auto"/>
          <w:szCs w:val="24"/>
        </w:rPr>
        <w:t xml:space="preserve"> and </w:t>
      </w:r>
      <w:r w:rsidR="00227B79">
        <w:rPr>
          <w:rFonts w:ascii="Book Antiqua" w:hAnsi="Book Antiqua"/>
          <w:color w:val="auto"/>
          <w:szCs w:val="24"/>
        </w:rPr>
        <w:t>ultimately</w:t>
      </w:r>
      <w:r w:rsidR="00110C9A" w:rsidRPr="00411A55">
        <w:rPr>
          <w:rFonts w:ascii="Book Antiqua" w:hAnsi="Book Antiqua"/>
          <w:color w:val="auto"/>
          <w:szCs w:val="24"/>
        </w:rPr>
        <w:t xml:space="preserve"> decreased patency </w:t>
      </w:r>
      <w:proofErr w:type="gramStart"/>
      <w:r w:rsidR="00110C9A" w:rsidRPr="00411A55">
        <w:rPr>
          <w:rFonts w:ascii="Book Antiqua" w:hAnsi="Book Antiqua"/>
          <w:color w:val="auto"/>
          <w:szCs w:val="24"/>
        </w:rPr>
        <w:t>rates</w:t>
      </w:r>
      <w:r w:rsidR="00110C9A" w:rsidRPr="00411A55">
        <w:rPr>
          <w:rFonts w:ascii="Book Antiqua" w:hAnsi="Book Antiqua"/>
          <w:color w:val="auto"/>
          <w:szCs w:val="24"/>
          <w:vertAlign w:val="superscript"/>
        </w:rPr>
        <w:t>[</w:t>
      </w:r>
      <w:proofErr w:type="gramEnd"/>
      <w:r w:rsidR="00110C9A" w:rsidRPr="00411A55">
        <w:rPr>
          <w:rFonts w:ascii="Book Antiqua" w:hAnsi="Book Antiqua"/>
          <w:color w:val="auto"/>
          <w:szCs w:val="24"/>
          <w:vertAlign w:val="superscript"/>
        </w:rPr>
        <w:t>35]</w:t>
      </w:r>
      <w:r w:rsidR="00110C9A" w:rsidRPr="00411A55">
        <w:rPr>
          <w:rFonts w:ascii="Book Antiqua" w:hAnsi="Book Antiqua"/>
          <w:color w:val="auto"/>
          <w:szCs w:val="24"/>
        </w:rPr>
        <w:t xml:space="preserve">. </w:t>
      </w:r>
      <w:r w:rsidRPr="00411A55">
        <w:rPr>
          <w:rFonts w:ascii="Book Antiqua" w:hAnsi="Book Antiqua"/>
          <w:color w:val="auto"/>
          <w:szCs w:val="24"/>
        </w:rPr>
        <w:t>DCB</w:t>
      </w:r>
      <w:r w:rsidR="00110C9A" w:rsidRPr="00411A55">
        <w:rPr>
          <w:rFonts w:ascii="Book Antiqua" w:hAnsi="Book Antiqua"/>
          <w:color w:val="auto"/>
          <w:szCs w:val="24"/>
        </w:rPr>
        <w:t xml:space="preserve"> could provide a valid solution to such limitations presented by the utilization of DES in this territory. Furthermore, long lesions can be easily treated with DCBs as the available lengths reach up to 150</w:t>
      </w:r>
      <w:r w:rsidR="00A75329">
        <w:rPr>
          <w:rFonts w:ascii="Book Antiqua" w:eastAsia="宋体" w:hAnsi="Book Antiqua" w:hint="eastAsia"/>
          <w:color w:val="auto"/>
          <w:szCs w:val="24"/>
          <w:lang w:eastAsia="zh-CN"/>
        </w:rPr>
        <w:t xml:space="preserve"> </w:t>
      </w:r>
      <w:r w:rsidR="00110C9A" w:rsidRPr="00411A55">
        <w:rPr>
          <w:rFonts w:ascii="Book Antiqua" w:hAnsi="Book Antiqua"/>
          <w:color w:val="auto"/>
          <w:szCs w:val="24"/>
        </w:rPr>
        <w:t xml:space="preserve">mm. </w:t>
      </w:r>
      <w:r w:rsidRPr="00411A55">
        <w:rPr>
          <w:rFonts w:ascii="Book Antiqua" w:hAnsi="Book Antiqua"/>
          <w:color w:val="auto"/>
          <w:szCs w:val="24"/>
        </w:rPr>
        <w:t>DCB</w:t>
      </w:r>
      <w:r w:rsidR="00110C9A" w:rsidRPr="00411A55">
        <w:rPr>
          <w:rFonts w:ascii="Book Antiqua" w:hAnsi="Book Antiqua"/>
          <w:color w:val="auto"/>
          <w:szCs w:val="24"/>
        </w:rPr>
        <w:t xml:space="preserve"> combine</w:t>
      </w:r>
      <w:r w:rsidR="00227B79">
        <w:rPr>
          <w:rFonts w:ascii="Book Antiqua" w:hAnsi="Book Antiqua"/>
          <w:color w:val="auto"/>
          <w:szCs w:val="24"/>
        </w:rPr>
        <w:t xml:space="preserve">s </w:t>
      </w:r>
      <w:r w:rsidR="00110C9A" w:rsidRPr="00411A55">
        <w:rPr>
          <w:rFonts w:ascii="Book Antiqua" w:hAnsi="Book Antiqua"/>
          <w:color w:val="auto"/>
          <w:szCs w:val="24"/>
        </w:rPr>
        <w:t>balloon angioplasty with local, high</w:t>
      </w:r>
      <w:r w:rsidR="00227B79">
        <w:rPr>
          <w:rFonts w:ascii="Book Antiqua" w:hAnsi="Book Antiqua"/>
          <w:color w:val="auto"/>
          <w:szCs w:val="24"/>
        </w:rPr>
        <w:t>-</w:t>
      </w:r>
      <w:r w:rsidR="00110C9A" w:rsidRPr="00411A55">
        <w:rPr>
          <w:rFonts w:ascii="Book Antiqua" w:hAnsi="Book Antiqua"/>
          <w:color w:val="auto"/>
          <w:szCs w:val="24"/>
        </w:rPr>
        <w:t>dose, cytotoxic drug delivery. The drug is coated on the balloon using special excipients</w:t>
      </w:r>
      <w:r w:rsidR="00227B79">
        <w:rPr>
          <w:rFonts w:ascii="Book Antiqua" w:hAnsi="Book Antiqua"/>
          <w:color w:val="auto"/>
          <w:szCs w:val="24"/>
        </w:rPr>
        <w:t>,</w:t>
      </w:r>
      <w:r w:rsidR="00110C9A" w:rsidRPr="00411A55">
        <w:rPr>
          <w:rFonts w:ascii="Book Antiqua" w:hAnsi="Book Antiqua"/>
          <w:color w:val="auto"/>
          <w:szCs w:val="24"/>
        </w:rPr>
        <w:t xml:space="preserve"> and is delivered within the arterial layers during balloon inflation </w:t>
      </w:r>
      <w:r w:rsidR="00227B79">
        <w:rPr>
          <w:rFonts w:ascii="Book Antiqua" w:hAnsi="Book Antiqua"/>
          <w:color w:val="auto"/>
          <w:szCs w:val="24"/>
        </w:rPr>
        <w:t xml:space="preserve">to </w:t>
      </w:r>
      <w:r w:rsidR="00F6699B">
        <w:rPr>
          <w:rFonts w:ascii="Book Antiqua" w:hAnsi="Book Antiqua"/>
          <w:color w:val="auto"/>
          <w:szCs w:val="24"/>
        </w:rPr>
        <w:t xml:space="preserve">both </w:t>
      </w:r>
      <w:r w:rsidR="00110C9A" w:rsidRPr="00411A55">
        <w:rPr>
          <w:rFonts w:ascii="Book Antiqua" w:hAnsi="Book Antiqua"/>
          <w:color w:val="auto"/>
          <w:szCs w:val="24"/>
        </w:rPr>
        <w:t>achiev</w:t>
      </w:r>
      <w:r w:rsidR="00227B79">
        <w:rPr>
          <w:rFonts w:ascii="Book Antiqua" w:hAnsi="Book Antiqua"/>
          <w:color w:val="auto"/>
          <w:szCs w:val="24"/>
        </w:rPr>
        <w:t>e</w:t>
      </w:r>
      <w:r w:rsidR="00110C9A" w:rsidRPr="00411A55">
        <w:rPr>
          <w:rFonts w:ascii="Book Antiqua" w:hAnsi="Book Antiqua"/>
          <w:color w:val="auto"/>
          <w:szCs w:val="24"/>
        </w:rPr>
        <w:t xml:space="preserve"> a uniform application to the vessel wall and </w:t>
      </w:r>
      <w:r w:rsidR="00F6699B">
        <w:rPr>
          <w:rFonts w:ascii="Book Antiqua" w:hAnsi="Book Antiqua"/>
          <w:color w:val="auto"/>
          <w:szCs w:val="24"/>
        </w:rPr>
        <w:t>promote the death of</w:t>
      </w:r>
      <w:r w:rsidR="00110C9A" w:rsidRPr="00411A55">
        <w:rPr>
          <w:rFonts w:ascii="Book Antiqua" w:hAnsi="Book Antiqua"/>
          <w:color w:val="auto"/>
          <w:szCs w:val="24"/>
        </w:rPr>
        <w:t xml:space="preserve"> smooth muscle cells </w:t>
      </w:r>
      <w:r w:rsidR="00F6699B">
        <w:rPr>
          <w:rFonts w:ascii="Book Antiqua" w:hAnsi="Book Antiqua"/>
          <w:color w:val="auto"/>
          <w:szCs w:val="24"/>
        </w:rPr>
        <w:t>in</w:t>
      </w:r>
      <w:r w:rsidR="00F6699B" w:rsidRPr="00411A55">
        <w:rPr>
          <w:rFonts w:ascii="Book Antiqua" w:hAnsi="Book Antiqua"/>
          <w:color w:val="auto"/>
          <w:szCs w:val="24"/>
        </w:rPr>
        <w:t xml:space="preserve"> </w:t>
      </w:r>
      <w:r w:rsidR="00110C9A" w:rsidRPr="00411A55">
        <w:rPr>
          <w:rFonts w:ascii="Book Antiqua" w:hAnsi="Book Antiqua"/>
          <w:color w:val="auto"/>
          <w:szCs w:val="24"/>
        </w:rPr>
        <w:t>the media</w:t>
      </w:r>
      <w:r w:rsidR="00F6699B">
        <w:rPr>
          <w:rFonts w:ascii="Book Antiqua" w:hAnsi="Book Antiqua"/>
          <w:color w:val="auto"/>
          <w:szCs w:val="24"/>
        </w:rPr>
        <w:t>.</w:t>
      </w:r>
      <w:r w:rsidR="00110C9A" w:rsidRPr="00411A55">
        <w:rPr>
          <w:rFonts w:ascii="Book Antiqua" w:hAnsi="Book Antiqua"/>
          <w:color w:val="auto"/>
          <w:szCs w:val="24"/>
        </w:rPr>
        <w:t xml:space="preserve"> </w:t>
      </w:r>
      <w:r w:rsidR="00F6699B">
        <w:rPr>
          <w:rFonts w:ascii="Book Antiqua" w:hAnsi="Book Antiqua"/>
          <w:color w:val="auto"/>
          <w:szCs w:val="24"/>
        </w:rPr>
        <w:t>T</w:t>
      </w:r>
      <w:r w:rsidR="00110C9A" w:rsidRPr="00411A55">
        <w:rPr>
          <w:rFonts w:ascii="Book Antiqua" w:hAnsi="Book Antiqua"/>
          <w:color w:val="auto"/>
          <w:szCs w:val="24"/>
        </w:rPr>
        <w:t xml:space="preserve">his allows for early intimal re-endothelialization and vessel </w:t>
      </w:r>
      <w:proofErr w:type="gramStart"/>
      <w:r w:rsidR="00110C9A" w:rsidRPr="00411A55">
        <w:rPr>
          <w:rFonts w:ascii="Book Antiqua" w:hAnsi="Book Antiqua"/>
          <w:color w:val="auto"/>
          <w:szCs w:val="24"/>
        </w:rPr>
        <w:t>healing</w:t>
      </w:r>
      <w:r w:rsidR="00110C9A" w:rsidRPr="00411A55">
        <w:rPr>
          <w:rFonts w:ascii="Book Antiqua" w:hAnsi="Book Antiqua"/>
          <w:color w:val="auto"/>
          <w:szCs w:val="24"/>
          <w:vertAlign w:val="superscript"/>
        </w:rPr>
        <w:t>[</w:t>
      </w:r>
      <w:proofErr w:type="gramEnd"/>
      <w:r w:rsidR="00110C9A" w:rsidRPr="00411A55">
        <w:rPr>
          <w:rFonts w:ascii="Book Antiqua" w:hAnsi="Book Antiqua"/>
          <w:color w:val="auto"/>
          <w:szCs w:val="24"/>
          <w:vertAlign w:val="superscript"/>
        </w:rPr>
        <w:t>4]</w:t>
      </w:r>
      <w:r w:rsidR="00110C9A" w:rsidRPr="00411A55">
        <w:rPr>
          <w:rFonts w:ascii="Book Antiqua" w:hAnsi="Book Antiqua"/>
          <w:color w:val="auto"/>
          <w:szCs w:val="24"/>
        </w:rPr>
        <w:t xml:space="preserve">. The pharmaceutical agent that is most commonly used in </w:t>
      </w:r>
      <w:r w:rsidRPr="00411A55">
        <w:rPr>
          <w:rFonts w:ascii="Book Antiqua" w:hAnsi="Book Antiqua"/>
          <w:color w:val="auto"/>
          <w:szCs w:val="24"/>
        </w:rPr>
        <w:t>DCB</w:t>
      </w:r>
      <w:r w:rsidR="00110C9A" w:rsidRPr="00411A55">
        <w:rPr>
          <w:rFonts w:ascii="Book Antiqua" w:hAnsi="Book Antiqua"/>
          <w:color w:val="auto"/>
          <w:szCs w:val="24"/>
        </w:rPr>
        <w:t xml:space="preserve"> is paclitaxel</w:t>
      </w:r>
      <w:r w:rsidR="00F6699B">
        <w:rPr>
          <w:rFonts w:ascii="Book Antiqua" w:hAnsi="Book Antiqua"/>
          <w:color w:val="auto"/>
          <w:szCs w:val="24"/>
        </w:rPr>
        <w:t>,</w:t>
      </w:r>
      <w:r w:rsidR="00110C9A" w:rsidRPr="00411A55">
        <w:rPr>
          <w:rFonts w:ascii="Book Antiqua" w:hAnsi="Book Antiqua"/>
          <w:color w:val="auto"/>
          <w:szCs w:val="24"/>
        </w:rPr>
        <w:t xml:space="preserve"> owing to its lipophilic properties that can generate high local tissue concentrations. Although the application of </w:t>
      </w:r>
      <w:r w:rsidRPr="00411A55">
        <w:rPr>
          <w:rFonts w:ascii="Book Antiqua" w:hAnsi="Book Antiqua"/>
          <w:color w:val="auto"/>
          <w:szCs w:val="24"/>
        </w:rPr>
        <w:t>DCB</w:t>
      </w:r>
      <w:r w:rsidR="00110C9A" w:rsidRPr="00411A55">
        <w:rPr>
          <w:rFonts w:ascii="Book Antiqua" w:hAnsi="Book Antiqua"/>
          <w:color w:val="auto"/>
          <w:szCs w:val="24"/>
        </w:rPr>
        <w:t xml:space="preserve"> is less likely to compromise any future surgical revascularization procedures and can achieve a drug distribution to the target lesion that is not affected by malapposition, as in the case of DES, available evidence about the efficacy of DCB in the BTK territory has been conflicting</w:t>
      </w:r>
      <w:r w:rsidR="00110C9A" w:rsidRPr="00411A55">
        <w:rPr>
          <w:rFonts w:ascii="Book Antiqua" w:hAnsi="Book Antiqua"/>
          <w:color w:val="auto"/>
          <w:szCs w:val="24"/>
          <w:vertAlign w:val="superscript"/>
        </w:rPr>
        <w:t>[44-47]</w:t>
      </w:r>
      <w:r w:rsidR="00110C9A" w:rsidRPr="00411A55">
        <w:rPr>
          <w:rFonts w:ascii="Book Antiqua" w:hAnsi="Book Antiqua"/>
          <w:color w:val="auto"/>
          <w:szCs w:val="24"/>
        </w:rPr>
        <w:t>.</w:t>
      </w:r>
      <w:r w:rsidR="00A75329">
        <w:rPr>
          <w:rFonts w:ascii="Book Antiqua" w:eastAsia="宋体" w:hAnsi="Book Antiqua" w:hint="eastAsia"/>
          <w:color w:val="auto"/>
          <w:szCs w:val="24"/>
          <w:lang w:eastAsia="zh-CN"/>
        </w:rPr>
        <w:t xml:space="preserve"> </w:t>
      </w:r>
      <w:r w:rsidR="00110C9A" w:rsidRPr="00411A55">
        <w:rPr>
          <w:rFonts w:ascii="Book Antiqua" w:hAnsi="Book Antiqua"/>
          <w:color w:val="auto"/>
          <w:szCs w:val="24"/>
        </w:rPr>
        <w:t>Despite the initial promising results deriving from single-center studies, two industry-driven, large-scale, multicenter RCT studies failed to prove any clinical or angiographic superiority of DCB over plain PTA. Precisely, the IN.PACT DEEP study was a prospective, multicenter, RCT</w:t>
      </w:r>
      <w:r w:rsidR="00755338">
        <w:rPr>
          <w:rFonts w:ascii="Book Antiqua" w:hAnsi="Book Antiqua"/>
          <w:color w:val="auto"/>
          <w:szCs w:val="24"/>
        </w:rPr>
        <w:t xml:space="preserve"> </w:t>
      </w:r>
      <w:r w:rsidR="00110C9A" w:rsidRPr="00411A55">
        <w:rPr>
          <w:rFonts w:ascii="Book Antiqua" w:hAnsi="Book Antiqua"/>
          <w:color w:val="auto"/>
          <w:szCs w:val="24"/>
        </w:rPr>
        <w:t>designed to undergo independent clinical event adjudication as well as angiographic and wound core laboratory analysis. The trial included 358 CLI patients that were randomized 2:1 to receive IN.PACT Amphirion</w:t>
      </w:r>
      <w:r w:rsidR="00110C9A" w:rsidRPr="00411A55">
        <w:rPr>
          <w:rFonts w:ascii="Book Antiqua" w:hAnsi="Book Antiqua"/>
          <w:color w:val="auto"/>
          <w:szCs w:val="24"/>
          <w:vertAlign w:val="superscript"/>
        </w:rPr>
        <w:t>TM</w:t>
      </w:r>
      <w:r w:rsidR="00110C9A" w:rsidRPr="00411A55">
        <w:rPr>
          <w:rFonts w:ascii="Book Antiqua" w:hAnsi="Book Antiqua"/>
          <w:color w:val="auto"/>
          <w:szCs w:val="24"/>
        </w:rPr>
        <w:t xml:space="preserve"> paclitaxel-coated balloon (Medtronic, USA) or PTA. Despite randomization </w:t>
      </w:r>
      <w:r w:rsidR="00755338">
        <w:rPr>
          <w:rFonts w:ascii="Book Antiqua" w:hAnsi="Book Antiqua"/>
          <w:color w:val="auto"/>
          <w:szCs w:val="24"/>
        </w:rPr>
        <w:t>of</w:t>
      </w:r>
      <w:r w:rsidR="00110C9A" w:rsidRPr="00411A55">
        <w:rPr>
          <w:rFonts w:ascii="Book Antiqua" w:hAnsi="Book Antiqua"/>
          <w:color w:val="auto"/>
          <w:szCs w:val="24"/>
        </w:rPr>
        <w:t xml:space="preserve"> a considerably large population, significant baseline differences were noted between the two arms in </w:t>
      </w:r>
      <w:r w:rsidR="00755338">
        <w:rPr>
          <w:rFonts w:ascii="Book Antiqua" w:hAnsi="Book Antiqua"/>
          <w:color w:val="auto"/>
          <w:szCs w:val="24"/>
        </w:rPr>
        <w:t xml:space="preserve">important </w:t>
      </w:r>
      <w:r w:rsidR="00110C9A" w:rsidRPr="00411A55">
        <w:rPr>
          <w:rFonts w:ascii="Book Antiqua" w:hAnsi="Book Antiqua"/>
          <w:color w:val="auto"/>
          <w:szCs w:val="24"/>
        </w:rPr>
        <w:t>parameters</w:t>
      </w:r>
      <w:r w:rsidR="00755338">
        <w:rPr>
          <w:rFonts w:ascii="Book Antiqua" w:hAnsi="Book Antiqua"/>
          <w:color w:val="auto"/>
          <w:szCs w:val="24"/>
        </w:rPr>
        <w:t>,</w:t>
      </w:r>
      <w:r w:rsidR="00110C9A" w:rsidRPr="00411A55">
        <w:rPr>
          <w:rFonts w:ascii="Book Antiqua" w:hAnsi="Book Antiqua"/>
          <w:color w:val="auto"/>
          <w:szCs w:val="24"/>
        </w:rPr>
        <w:t xml:space="preserve"> such mean lesion length (10.2 cm for DCB </w:t>
      </w:r>
      <w:r w:rsidR="002B5C16" w:rsidRPr="002B5C16">
        <w:rPr>
          <w:rFonts w:ascii="Book Antiqua" w:hAnsi="Book Antiqua"/>
          <w:i/>
          <w:color w:val="auto"/>
          <w:szCs w:val="24"/>
        </w:rPr>
        <w:t>vs</w:t>
      </w:r>
      <w:r w:rsidR="00110C9A" w:rsidRPr="00411A55">
        <w:rPr>
          <w:rFonts w:ascii="Book Antiqua" w:hAnsi="Book Antiqua"/>
          <w:color w:val="auto"/>
          <w:szCs w:val="24"/>
        </w:rPr>
        <w:t xml:space="preserve"> 12.9 cm for control; </w:t>
      </w:r>
      <w:r w:rsidR="00A75329" w:rsidRPr="00A75329">
        <w:rPr>
          <w:rFonts w:ascii="Book Antiqua" w:hAnsi="Book Antiqua"/>
          <w:i/>
          <w:color w:val="auto"/>
          <w:szCs w:val="24"/>
        </w:rPr>
        <w:t>P</w:t>
      </w:r>
      <w:r w:rsidR="00110C9A" w:rsidRPr="00411A55">
        <w:rPr>
          <w:rFonts w:ascii="Book Antiqua" w:hAnsi="Book Antiqua"/>
          <w:color w:val="auto"/>
          <w:szCs w:val="24"/>
        </w:rPr>
        <w:t xml:space="preserve"> = 0.002), impaired inflow (40.7% for DCB </w:t>
      </w:r>
      <w:r w:rsidR="002B5C16" w:rsidRPr="002B5C16">
        <w:rPr>
          <w:rFonts w:ascii="Book Antiqua" w:hAnsi="Book Antiqua"/>
          <w:i/>
          <w:color w:val="auto"/>
          <w:szCs w:val="24"/>
        </w:rPr>
        <w:t>vs</w:t>
      </w:r>
      <w:r w:rsidR="00110C9A" w:rsidRPr="00411A55">
        <w:rPr>
          <w:rFonts w:ascii="Book Antiqua" w:hAnsi="Book Antiqua"/>
          <w:color w:val="auto"/>
          <w:szCs w:val="24"/>
        </w:rPr>
        <w:t xml:space="preserve"> 28.8% for control; </w:t>
      </w:r>
      <w:r w:rsidR="00A75329" w:rsidRPr="00A75329">
        <w:rPr>
          <w:rFonts w:ascii="Book Antiqua" w:hAnsi="Book Antiqua"/>
          <w:i/>
          <w:color w:val="auto"/>
          <w:szCs w:val="24"/>
        </w:rPr>
        <w:t>P</w:t>
      </w:r>
      <w:r w:rsidR="00110C9A" w:rsidRPr="00411A55">
        <w:rPr>
          <w:rFonts w:ascii="Book Antiqua" w:hAnsi="Book Antiqua"/>
          <w:color w:val="auto"/>
          <w:szCs w:val="24"/>
        </w:rPr>
        <w:t xml:space="preserve"> = 0.035), and previous target limb revascularization (32.2% for </w:t>
      </w:r>
      <w:r w:rsidR="002B5C16" w:rsidRPr="002B5C16">
        <w:rPr>
          <w:rFonts w:ascii="Book Antiqua" w:hAnsi="Book Antiqua"/>
          <w:i/>
          <w:color w:val="auto"/>
          <w:szCs w:val="24"/>
        </w:rPr>
        <w:t>vs</w:t>
      </w:r>
      <w:r w:rsidR="00110C9A" w:rsidRPr="00411A55">
        <w:rPr>
          <w:rFonts w:ascii="Book Antiqua" w:hAnsi="Book Antiqua"/>
          <w:color w:val="auto"/>
          <w:szCs w:val="24"/>
        </w:rPr>
        <w:t xml:space="preserve"> 21.8% for control; </w:t>
      </w:r>
      <w:r w:rsidR="00A75329" w:rsidRPr="00A75329">
        <w:rPr>
          <w:rFonts w:ascii="Book Antiqua" w:hAnsi="Book Antiqua"/>
          <w:i/>
          <w:color w:val="auto"/>
          <w:szCs w:val="24"/>
        </w:rPr>
        <w:t>P</w:t>
      </w:r>
      <w:r w:rsidR="00110C9A" w:rsidRPr="00411A55">
        <w:rPr>
          <w:rFonts w:ascii="Book Antiqua" w:hAnsi="Book Antiqua"/>
          <w:color w:val="auto"/>
          <w:szCs w:val="24"/>
        </w:rPr>
        <w:t xml:space="preserve"> = 0.047). No statistically significant differences were detected in the primary efficacy outcomes of clinically</w:t>
      </w:r>
      <w:r w:rsidR="00755338">
        <w:rPr>
          <w:rFonts w:ascii="Book Antiqua" w:hAnsi="Book Antiqua"/>
          <w:color w:val="auto"/>
          <w:szCs w:val="24"/>
        </w:rPr>
        <w:t>-</w:t>
      </w:r>
      <w:r w:rsidR="00110C9A" w:rsidRPr="00411A55">
        <w:rPr>
          <w:rFonts w:ascii="Book Antiqua" w:hAnsi="Book Antiqua"/>
          <w:color w:val="auto"/>
          <w:szCs w:val="24"/>
        </w:rPr>
        <w:t>driven target lesion revascularization (CD-TLR: 9.2% PCB</w:t>
      </w:r>
      <w:r w:rsidR="00110C9A" w:rsidRPr="00A75329">
        <w:rPr>
          <w:rFonts w:ascii="Book Antiqua" w:hAnsi="Book Antiqua"/>
          <w:i/>
          <w:color w:val="auto"/>
          <w:szCs w:val="24"/>
        </w:rPr>
        <w:t xml:space="preserve"> vs</w:t>
      </w:r>
      <w:r w:rsidR="00110C9A" w:rsidRPr="00411A55">
        <w:rPr>
          <w:rFonts w:ascii="Book Antiqua" w:hAnsi="Book Antiqua"/>
          <w:color w:val="auto"/>
          <w:szCs w:val="24"/>
        </w:rPr>
        <w:t xml:space="preserve"> 13.1% control; </w:t>
      </w:r>
      <w:r w:rsidR="00A75329" w:rsidRPr="00A75329">
        <w:rPr>
          <w:rFonts w:ascii="Book Antiqua" w:hAnsi="Book Antiqua"/>
          <w:i/>
          <w:color w:val="auto"/>
          <w:szCs w:val="24"/>
        </w:rPr>
        <w:t>P</w:t>
      </w:r>
      <w:r w:rsidR="00A75329" w:rsidRPr="00411A55">
        <w:rPr>
          <w:rFonts w:ascii="Book Antiqua" w:hAnsi="Book Antiqua"/>
          <w:color w:val="auto"/>
          <w:szCs w:val="24"/>
        </w:rPr>
        <w:t xml:space="preserve"> </w:t>
      </w:r>
      <w:r w:rsidR="00110C9A" w:rsidRPr="00411A55">
        <w:rPr>
          <w:rFonts w:ascii="Book Antiqua" w:hAnsi="Book Antiqua"/>
          <w:color w:val="auto"/>
          <w:szCs w:val="24"/>
        </w:rPr>
        <w:t>= 0.291) and late lumen loss (LLL: 0.61</w:t>
      </w:r>
      <w:r w:rsidR="000F08DA">
        <w:rPr>
          <w:rFonts w:ascii="Book Antiqua" w:hAnsi="Book Antiqua"/>
          <w:color w:val="auto"/>
          <w:szCs w:val="24"/>
        </w:rPr>
        <w:t xml:space="preserve"> ± </w:t>
      </w:r>
      <w:r w:rsidR="00110C9A" w:rsidRPr="00411A55">
        <w:rPr>
          <w:rFonts w:ascii="Book Antiqua" w:hAnsi="Book Antiqua"/>
          <w:color w:val="auto"/>
          <w:szCs w:val="24"/>
        </w:rPr>
        <w:t xml:space="preserve">0.78 mm for PCB </w:t>
      </w:r>
      <w:r w:rsidR="000F08DA" w:rsidRPr="000F08DA">
        <w:rPr>
          <w:rFonts w:ascii="Book Antiqua" w:hAnsi="Book Antiqua"/>
          <w:i/>
          <w:color w:val="auto"/>
          <w:szCs w:val="24"/>
        </w:rPr>
        <w:t>vs</w:t>
      </w:r>
      <w:r w:rsidR="00110C9A" w:rsidRPr="00411A55">
        <w:rPr>
          <w:rFonts w:ascii="Book Antiqua" w:hAnsi="Book Antiqua"/>
          <w:color w:val="auto"/>
          <w:szCs w:val="24"/>
        </w:rPr>
        <w:t xml:space="preserve"> 0.62</w:t>
      </w:r>
      <w:r w:rsidR="000F08DA">
        <w:rPr>
          <w:rFonts w:ascii="Book Antiqua" w:hAnsi="Book Antiqua"/>
          <w:color w:val="auto"/>
          <w:szCs w:val="24"/>
        </w:rPr>
        <w:t xml:space="preserve"> ± </w:t>
      </w:r>
      <w:r w:rsidR="00110C9A" w:rsidRPr="00411A55">
        <w:rPr>
          <w:rFonts w:ascii="Book Antiqua" w:hAnsi="Book Antiqua"/>
          <w:color w:val="auto"/>
          <w:szCs w:val="24"/>
        </w:rPr>
        <w:t xml:space="preserve">0.78 mm for control; </w:t>
      </w:r>
      <w:r w:rsidR="00A75329" w:rsidRPr="00A75329">
        <w:rPr>
          <w:rFonts w:ascii="Book Antiqua" w:hAnsi="Book Antiqua"/>
          <w:i/>
          <w:color w:val="auto"/>
          <w:szCs w:val="24"/>
        </w:rPr>
        <w:t>P</w:t>
      </w:r>
      <w:r w:rsidR="00A75329" w:rsidRPr="00411A55">
        <w:rPr>
          <w:rFonts w:ascii="Book Antiqua" w:hAnsi="Book Antiqua"/>
          <w:color w:val="auto"/>
          <w:szCs w:val="24"/>
        </w:rPr>
        <w:t xml:space="preserve"> </w:t>
      </w:r>
      <w:r w:rsidR="00110C9A" w:rsidRPr="00411A55">
        <w:rPr>
          <w:rFonts w:ascii="Book Antiqua" w:hAnsi="Book Antiqua"/>
          <w:color w:val="auto"/>
          <w:szCs w:val="24"/>
        </w:rPr>
        <w:t>= 0.950) at 1 year follow</w:t>
      </w:r>
      <w:r w:rsidR="00755338">
        <w:rPr>
          <w:rFonts w:ascii="Book Antiqua" w:hAnsi="Book Antiqua"/>
          <w:color w:val="auto"/>
          <w:szCs w:val="24"/>
        </w:rPr>
        <w:t>-</w:t>
      </w:r>
      <w:r w:rsidR="00110C9A" w:rsidRPr="00411A55">
        <w:rPr>
          <w:rFonts w:ascii="Book Antiqua" w:hAnsi="Book Antiqua"/>
          <w:color w:val="auto"/>
          <w:szCs w:val="24"/>
        </w:rPr>
        <w:t>up. The composite primary safety endpoint (6 mo all-cause mortality, major amputation, and CD-TLR) was similar between PCB (17.7%) and control (15.8%), and the non-inferiority hypothesis was met (</w:t>
      </w:r>
      <w:r w:rsidR="00A75329" w:rsidRPr="00A75329">
        <w:rPr>
          <w:rFonts w:ascii="Book Antiqua" w:hAnsi="Book Antiqua"/>
          <w:i/>
          <w:color w:val="auto"/>
          <w:szCs w:val="24"/>
        </w:rPr>
        <w:t>P</w:t>
      </w:r>
      <w:r w:rsidR="00A75329" w:rsidRPr="00411A55">
        <w:rPr>
          <w:rFonts w:ascii="Book Antiqua" w:hAnsi="Book Antiqua"/>
          <w:color w:val="auto"/>
          <w:szCs w:val="24"/>
        </w:rPr>
        <w:t xml:space="preserve"> </w:t>
      </w:r>
      <w:r w:rsidR="00110C9A" w:rsidRPr="00411A55">
        <w:rPr>
          <w:rFonts w:ascii="Book Antiqua" w:hAnsi="Book Antiqua"/>
          <w:color w:val="auto"/>
          <w:szCs w:val="24"/>
        </w:rPr>
        <w:t xml:space="preserve">= 0.021). However, major amputations at 12 mo were more than double in the PCB arm and </w:t>
      </w:r>
      <w:r w:rsidR="00F76D21" w:rsidRPr="00411A55">
        <w:rPr>
          <w:rFonts w:ascii="Book Antiqua" w:hAnsi="Book Antiqua"/>
          <w:color w:val="auto"/>
          <w:szCs w:val="24"/>
        </w:rPr>
        <w:t>on</w:t>
      </w:r>
      <w:r w:rsidR="00110C9A" w:rsidRPr="00411A55">
        <w:rPr>
          <w:rFonts w:ascii="Book Antiqua" w:hAnsi="Book Antiqua"/>
          <w:color w:val="auto"/>
          <w:szCs w:val="24"/>
        </w:rPr>
        <w:t xml:space="preserve"> the verge of statistical significance (8.8% </w:t>
      </w:r>
      <w:r w:rsidR="002B5C16" w:rsidRPr="002B5C16">
        <w:rPr>
          <w:rFonts w:ascii="Book Antiqua" w:hAnsi="Book Antiqua"/>
          <w:i/>
          <w:color w:val="auto"/>
          <w:szCs w:val="24"/>
        </w:rPr>
        <w:t>vs</w:t>
      </w:r>
      <w:r w:rsidR="00110C9A" w:rsidRPr="00411A55">
        <w:rPr>
          <w:rFonts w:ascii="Book Antiqua" w:hAnsi="Book Antiqua"/>
          <w:color w:val="auto"/>
          <w:szCs w:val="24"/>
        </w:rPr>
        <w:t xml:space="preserve"> 3.6%; </w:t>
      </w:r>
      <w:r w:rsidR="00A75329" w:rsidRPr="00A75329">
        <w:rPr>
          <w:rFonts w:ascii="Book Antiqua" w:hAnsi="Book Antiqua"/>
          <w:i/>
          <w:color w:val="auto"/>
          <w:szCs w:val="24"/>
        </w:rPr>
        <w:t>P</w:t>
      </w:r>
      <w:r w:rsidR="00110C9A" w:rsidRPr="00411A55">
        <w:rPr>
          <w:rFonts w:ascii="Book Antiqua" w:hAnsi="Book Antiqua"/>
          <w:color w:val="auto"/>
          <w:szCs w:val="24"/>
        </w:rPr>
        <w:t xml:space="preserve"> = 0.080</w:t>
      </w:r>
      <w:proofErr w:type="gramStart"/>
      <w:r w:rsidR="00110C9A" w:rsidRPr="00411A55">
        <w:rPr>
          <w:rFonts w:ascii="Book Antiqua" w:hAnsi="Book Antiqua"/>
          <w:color w:val="auto"/>
          <w:szCs w:val="24"/>
        </w:rPr>
        <w:t>)</w:t>
      </w:r>
      <w:r w:rsidR="00110C9A" w:rsidRPr="00411A55">
        <w:rPr>
          <w:rFonts w:ascii="Book Antiqua" w:hAnsi="Book Antiqua"/>
          <w:color w:val="auto"/>
          <w:szCs w:val="24"/>
          <w:vertAlign w:val="superscript"/>
        </w:rPr>
        <w:t>[</w:t>
      </w:r>
      <w:proofErr w:type="gramEnd"/>
      <w:r w:rsidR="00110C9A" w:rsidRPr="00411A55">
        <w:rPr>
          <w:rFonts w:ascii="Book Antiqua" w:hAnsi="Book Antiqua"/>
          <w:color w:val="auto"/>
          <w:szCs w:val="24"/>
          <w:vertAlign w:val="superscript"/>
        </w:rPr>
        <w:t>46]</w:t>
      </w:r>
      <w:r w:rsidR="00110C9A" w:rsidRPr="00411A55">
        <w:rPr>
          <w:rFonts w:ascii="Book Antiqua" w:hAnsi="Book Antiqua"/>
          <w:color w:val="auto"/>
          <w:szCs w:val="24"/>
        </w:rPr>
        <w:t xml:space="preserve">. After safety issues were raised, the study was interrupted, and the AmphirionTM paclitaxel-coated balloon was withdrawn from the market. </w:t>
      </w:r>
      <w:r w:rsidR="0003549A" w:rsidRPr="00411A55">
        <w:rPr>
          <w:rFonts w:ascii="Book Antiqua" w:hAnsi="Book Antiqua"/>
          <w:color w:val="auto"/>
          <w:szCs w:val="24"/>
        </w:rPr>
        <w:t xml:space="preserve">It has been suggested that distal embolization due to loss of balloon coating during insertion may have contributed to these poor </w:t>
      </w:r>
      <w:proofErr w:type="gramStart"/>
      <w:r w:rsidR="0003549A" w:rsidRPr="00411A55">
        <w:rPr>
          <w:rFonts w:ascii="Book Antiqua" w:hAnsi="Book Antiqua"/>
          <w:color w:val="auto"/>
          <w:szCs w:val="24"/>
        </w:rPr>
        <w:t>outcomes</w:t>
      </w:r>
      <w:r w:rsidR="0003549A" w:rsidRPr="00411A55">
        <w:rPr>
          <w:rFonts w:ascii="Book Antiqua" w:hAnsi="Book Antiqua"/>
          <w:color w:val="auto"/>
          <w:szCs w:val="24"/>
          <w:vertAlign w:val="superscript"/>
        </w:rPr>
        <w:t>[</w:t>
      </w:r>
      <w:proofErr w:type="gramEnd"/>
      <w:r w:rsidR="0003549A" w:rsidRPr="00411A55">
        <w:rPr>
          <w:rFonts w:ascii="Book Antiqua" w:hAnsi="Book Antiqua"/>
          <w:color w:val="auto"/>
          <w:szCs w:val="24"/>
          <w:vertAlign w:val="superscript"/>
        </w:rPr>
        <w:t>48]</w:t>
      </w:r>
      <w:r w:rsidR="0003549A" w:rsidRPr="00411A55">
        <w:rPr>
          <w:rFonts w:ascii="Book Antiqua" w:hAnsi="Book Antiqua"/>
          <w:color w:val="auto"/>
          <w:szCs w:val="24"/>
        </w:rPr>
        <w:t xml:space="preserve">. </w:t>
      </w:r>
      <w:r w:rsidR="00110C9A" w:rsidRPr="00411A55">
        <w:rPr>
          <w:rFonts w:ascii="Book Antiqua" w:hAnsi="Book Antiqua"/>
          <w:color w:val="auto"/>
          <w:szCs w:val="24"/>
        </w:rPr>
        <w:t xml:space="preserve">The company is currently recruiting patients in an RCT </w:t>
      </w:r>
      <w:r w:rsidR="00755338">
        <w:rPr>
          <w:rFonts w:ascii="Book Antiqua" w:hAnsi="Book Antiqua"/>
          <w:color w:val="auto"/>
          <w:szCs w:val="24"/>
        </w:rPr>
        <w:t xml:space="preserve">to </w:t>
      </w:r>
      <w:r w:rsidR="00755338" w:rsidRPr="00411A55">
        <w:rPr>
          <w:rFonts w:ascii="Book Antiqua" w:hAnsi="Book Antiqua"/>
          <w:color w:val="auto"/>
          <w:szCs w:val="24"/>
        </w:rPr>
        <w:t>investigat</w:t>
      </w:r>
      <w:r w:rsidR="00755338">
        <w:rPr>
          <w:rFonts w:ascii="Book Antiqua" w:hAnsi="Book Antiqua"/>
          <w:color w:val="auto"/>
          <w:szCs w:val="24"/>
        </w:rPr>
        <w:t>e</w:t>
      </w:r>
      <w:r w:rsidR="00755338" w:rsidRPr="00411A55">
        <w:rPr>
          <w:rFonts w:ascii="Book Antiqua" w:hAnsi="Book Antiqua"/>
          <w:color w:val="auto"/>
          <w:szCs w:val="24"/>
        </w:rPr>
        <w:t xml:space="preserve"> </w:t>
      </w:r>
      <w:r w:rsidR="00110C9A" w:rsidRPr="00411A55">
        <w:rPr>
          <w:rFonts w:ascii="Book Antiqua" w:hAnsi="Book Antiqua"/>
          <w:color w:val="auto"/>
          <w:szCs w:val="24"/>
        </w:rPr>
        <w:t xml:space="preserve">a novel PCB for BTK </w:t>
      </w:r>
      <w:proofErr w:type="gramStart"/>
      <w:r w:rsidR="00110C9A" w:rsidRPr="00411A55">
        <w:rPr>
          <w:rFonts w:ascii="Book Antiqua" w:hAnsi="Book Antiqua"/>
          <w:color w:val="auto"/>
          <w:szCs w:val="24"/>
        </w:rPr>
        <w:t>use</w:t>
      </w:r>
      <w:r w:rsidR="00110C9A" w:rsidRPr="00411A55">
        <w:rPr>
          <w:rFonts w:ascii="Book Antiqua" w:hAnsi="Book Antiqua"/>
          <w:color w:val="auto"/>
          <w:szCs w:val="24"/>
          <w:vertAlign w:val="superscript"/>
        </w:rPr>
        <w:t>[</w:t>
      </w:r>
      <w:proofErr w:type="gramEnd"/>
      <w:r w:rsidR="00110C9A" w:rsidRPr="00411A55">
        <w:rPr>
          <w:rFonts w:ascii="Book Antiqua" w:hAnsi="Book Antiqua"/>
          <w:color w:val="auto"/>
          <w:szCs w:val="24"/>
          <w:vertAlign w:val="superscript"/>
        </w:rPr>
        <w:t>49]</w:t>
      </w:r>
      <w:r w:rsidR="00110C9A" w:rsidRPr="00411A55">
        <w:rPr>
          <w:rFonts w:ascii="Book Antiqua" w:hAnsi="Book Antiqua"/>
          <w:color w:val="auto"/>
          <w:szCs w:val="24"/>
        </w:rPr>
        <w:t>. In the BIOLUX P-II multicenter RCT study</w:t>
      </w:r>
      <w:r w:rsidR="00755338">
        <w:rPr>
          <w:rFonts w:ascii="Book Antiqua" w:hAnsi="Book Antiqua"/>
          <w:color w:val="auto"/>
          <w:szCs w:val="24"/>
        </w:rPr>
        <w:t>,</w:t>
      </w:r>
      <w:r w:rsidR="00110C9A" w:rsidRPr="00411A55">
        <w:rPr>
          <w:rFonts w:ascii="Book Antiqua" w:hAnsi="Book Antiqua"/>
          <w:color w:val="auto"/>
          <w:szCs w:val="24"/>
        </w:rPr>
        <w:t xml:space="preserve"> 72 patients were randomized in a 1:1 ratio to undergo treatment with either the Passeo-18 Lux DCB (Biotronik AG, Switzerland) or Passeo-18 PTA. </w:t>
      </w:r>
      <w:r w:rsidR="00755338">
        <w:rPr>
          <w:rFonts w:ascii="Book Antiqua" w:hAnsi="Book Antiqua"/>
          <w:color w:val="auto"/>
          <w:szCs w:val="24"/>
        </w:rPr>
        <w:t>In</w:t>
      </w:r>
      <w:r w:rsidR="00110C9A" w:rsidRPr="00411A55">
        <w:rPr>
          <w:rFonts w:ascii="Book Antiqua" w:hAnsi="Book Antiqua"/>
          <w:color w:val="auto"/>
          <w:szCs w:val="24"/>
        </w:rPr>
        <w:t xml:space="preserve"> this trial, the primary endpoint of 6</w:t>
      </w:r>
      <w:r w:rsidR="00755338">
        <w:rPr>
          <w:rFonts w:ascii="Book Antiqua" w:hAnsi="Book Antiqua"/>
          <w:color w:val="auto"/>
          <w:szCs w:val="24"/>
        </w:rPr>
        <w:t xml:space="preserve"> </w:t>
      </w:r>
      <w:r w:rsidR="00110C9A" w:rsidRPr="00411A55">
        <w:rPr>
          <w:rFonts w:ascii="Book Antiqua" w:hAnsi="Book Antiqua"/>
          <w:color w:val="auto"/>
          <w:szCs w:val="24"/>
        </w:rPr>
        <w:t xml:space="preserve">mo patency loss was not significantly inferior in the DCB group </w:t>
      </w:r>
      <w:r w:rsidR="000F08DA" w:rsidRPr="000F08DA">
        <w:rPr>
          <w:rFonts w:ascii="Book Antiqua" w:hAnsi="Book Antiqua"/>
          <w:i/>
          <w:color w:val="auto"/>
          <w:szCs w:val="24"/>
        </w:rPr>
        <w:t>v</w:t>
      </w:r>
      <w:r w:rsidR="003B6EBC">
        <w:rPr>
          <w:rFonts w:ascii="Book Antiqua" w:hAnsi="Book Antiqua"/>
          <w:i/>
          <w:color w:val="auto"/>
          <w:szCs w:val="24"/>
        </w:rPr>
        <w:t>ersu</w:t>
      </w:r>
      <w:r w:rsidR="000F08DA" w:rsidRPr="000F08DA">
        <w:rPr>
          <w:rFonts w:ascii="Book Antiqua" w:hAnsi="Book Antiqua"/>
          <w:i/>
          <w:color w:val="auto"/>
          <w:szCs w:val="24"/>
        </w:rPr>
        <w:t>s</w:t>
      </w:r>
      <w:r w:rsidR="00110C9A" w:rsidRPr="00411A55">
        <w:rPr>
          <w:rFonts w:ascii="Book Antiqua" w:hAnsi="Book Antiqua"/>
          <w:color w:val="auto"/>
          <w:szCs w:val="24"/>
        </w:rPr>
        <w:t xml:space="preserve"> plain balloon angioplasty (17.1% </w:t>
      </w:r>
      <w:r w:rsidR="002B5C16" w:rsidRPr="002B5C16">
        <w:rPr>
          <w:rFonts w:ascii="Book Antiqua" w:hAnsi="Book Antiqua"/>
          <w:i/>
          <w:color w:val="auto"/>
          <w:szCs w:val="24"/>
        </w:rPr>
        <w:t>vs</w:t>
      </w:r>
      <w:r w:rsidR="00110C9A" w:rsidRPr="00411A55">
        <w:rPr>
          <w:rFonts w:ascii="Book Antiqua" w:hAnsi="Book Antiqua"/>
          <w:color w:val="auto"/>
          <w:szCs w:val="24"/>
        </w:rPr>
        <w:t xml:space="preserve"> 26.1%, respectively; </w:t>
      </w:r>
      <w:r w:rsidR="00A75329" w:rsidRPr="00A75329">
        <w:rPr>
          <w:rFonts w:ascii="Book Antiqua" w:hAnsi="Book Antiqua"/>
          <w:i/>
          <w:color w:val="auto"/>
          <w:szCs w:val="24"/>
        </w:rPr>
        <w:t>P</w:t>
      </w:r>
      <w:r w:rsidR="00110C9A" w:rsidRPr="00411A55">
        <w:rPr>
          <w:rFonts w:ascii="Book Antiqua" w:hAnsi="Book Antiqua"/>
          <w:color w:val="auto"/>
          <w:szCs w:val="24"/>
        </w:rPr>
        <w:t xml:space="preserve"> = 0.298), while major amputations were also similar (3.3% </w:t>
      </w:r>
      <w:r w:rsidR="00110C9A" w:rsidRPr="00A75329">
        <w:rPr>
          <w:rFonts w:ascii="Book Antiqua" w:hAnsi="Book Antiqua"/>
          <w:i/>
          <w:color w:val="auto"/>
          <w:szCs w:val="24"/>
        </w:rPr>
        <w:t>vs</w:t>
      </w:r>
      <w:r w:rsidR="00110C9A" w:rsidRPr="00411A55">
        <w:rPr>
          <w:rFonts w:ascii="Book Antiqua" w:hAnsi="Book Antiqua"/>
          <w:color w:val="auto"/>
          <w:szCs w:val="24"/>
        </w:rPr>
        <w:t xml:space="preserve"> 5.6% at 12 mo, respectively). The 30</w:t>
      </w:r>
      <w:r w:rsidR="00755338">
        <w:rPr>
          <w:rFonts w:ascii="Book Antiqua" w:hAnsi="Book Antiqua"/>
          <w:color w:val="auto"/>
          <w:szCs w:val="24"/>
        </w:rPr>
        <w:t xml:space="preserve"> </w:t>
      </w:r>
      <w:r w:rsidR="00110C9A" w:rsidRPr="00411A55">
        <w:rPr>
          <w:rFonts w:ascii="Book Antiqua" w:hAnsi="Book Antiqua"/>
          <w:color w:val="auto"/>
          <w:szCs w:val="24"/>
        </w:rPr>
        <w:t xml:space="preserve">d composite primary safety endpoint (all-cause mortality, target extremity major amputation, target lesion thrombosis, and target vessel revascularization) was marginally superior in the DCB group (0% PCB </w:t>
      </w:r>
      <w:r w:rsidR="002B5C16" w:rsidRPr="002B5C16">
        <w:rPr>
          <w:rFonts w:ascii="Book Antiqua" w:hAnsi="Book Antiqua"/>
          <w:i/>
          <w:color w:val="auto"/>
          <w:szCs w:val="24"/>
        </w:rPr>
        <w:t>vs</w:t>
      </w:r>
      <w:r w:rsidR="00110C9A" w:rsidRPr="00411A55">
        <w:rPr>
          <w:rFonts w:ascii="Book Antiqua" w:hAnsi="Book Antiqua"/>
          <w:color w:val="auto"/>
          <w:szCs w:val="24"/>
        </w:rPr>
        <w:t xml:space="preserve"> 8.3% PTA; </w:t>
      </w:r>
      <w:r w:rsidR="00A75329" w:rsidRPr="00A75329">
        <w:rPr>
          <w:rFonts w:ascii="Book Antiqua" w:hAnsi="Book Antiqua"/>
          <w:i/>
          <w:color w:val="auto"/>
          <w:szCs w:val="24"/>
        </w:rPr>
        <w:t>P</w:t>
      </w:r>
      <w:r w:rsidR="00110C9A" w:rsidRPr="00411A55">
        <w:rPr>
          <w:rFonts w:ascii="Book Antiqua" w:hAnsi="Book Antiqua"/>
          <w:color w:val="auto"/>
          <w:szCs w:val="24"/>
        </w:rPr>
        <w:t xml:space="preserve"> = 0.239</w:t>
      </w:r>
      <w:proofErr w:type="gramStart"/>
      <w:r w:rsidR="00110C9A" w:rsidRPr="00411A55">
        <w:rPr>
          <w:rFonts w:ascii="Book Antiqua" w:hAnsi="Book Antiqua"/>
          <w:color w:val="auto"/>
          <w:szCs w:val="24"/>
        </w:rPr>
        <w:t>)</w:t>
      </w:r>
      <w:r w:rsidR="00110C9A" w:rsidRPr="00411A55">
        <w:rPr>
          <w:rFonts w:ascii="Book Antiqua" w:hAnsi="Book Antiqua"/>
          <w:color w:val="auto"/>
          <w:szCs w:val="24"/>
          <w:vertAlign w:val="superscript"/>
        </w:rPr>
        <w:t>[</w:t>
      </w:r>
      <w:proofErr w:type="gramEnd"/>
      <w:r w:rsidR="00110C9A" w:rsidRPr="00411A55">
        <w:rPr>
          <w:rFonts w:ascii="Book Antiqua" w:hAnsi="Book Antiqua"/>
          <w:color w:val="auto"/>
          <w:szCs w:val="24"/>
          <w:vertAlign w:val="superscript"/>
        </w:rPr>
        <w:t>47]</w:t>
      </w:r>
      <w:r w:rsidR="00110C9A" w:rsidRPr="00411A55">
        <w:rPr>
          <w:rFonts w:ascii="Book Antiqua" w:hAnsi="Book Antiqua"/>
          <w:color w:val="auto"/>
          <w:szCs w:val="24"/>
        </w:rPr>
        <w:t xml:space="preserve">. </w:t>
      </w:r>
      <w:r w:rsidR="006E1A09" w:rsidRPr="00411A55">
        <w:rPr>
          <w:rFonts w:ascii="Book Antiqua" w:hAnsi="Book Antiqua"/>
          <w:color w:val="auto"/>
          <w:szCs w:val="24"/>
        </w:rPr>
        <w:t xml:space="preserve">The authors would like to comment that the patency rates of plain balloon angioplasty </w:t>
      </w:r>
      <w:r w:rsidR="00755338" w:rsidRPr="00411A55">
        <w:rPr>
          <w:rFonts w:ascii="Book Antiqua" w:hAnsi="Book Antiqua"/>
          <w:color w:val="auto"/>
          <w:szCs w:val="24"/>
        </w:rPr>
        <w:t xml:space="preserve">in both studies </w:t>
      </w:r>
      <w:r w:rsidR="006E1A09" w:rsidRPr="00411A55">
        <w:rPr>
          <w:rFonts w:ascii="Book Antiqua" w:hAnsi="Book Antiqua"/>
          <w:color w:val="auto"/>
          <w:szCs w:val="24"/>
        </w:rPr>
        <w:t xml:space="preserve">were unexpectedly high, taking into consideration reported data from previous infrapopliteal plain balloon angioplasty studies, a fact that </w:t>
      </w:r>
      <w:r w:rsidR="00755338">
        <w:rPr>
          <w:rFonts w:ascii="Book Antiqua" w:hAnsi="Book Antiqua"/>
          <w:color w:val="auto"/>
          <w:szCs w:val="24"/>
        </w:rPr>
        <w:t>potentially</w:t>
      </w:r>
      <w:r w:rsidR="006E1A09" w:rsidRPr="00411A55">
        <w:rPr>
          <w:rFonts w:ascii="Book Antiqua" w:hAnsi="Book Antiqua"/>
          <w:color w:val="auto"/>
          <w:szCs w:val="24"/>
        </w:rPr>
        <w:t xml:space="preserve"> contributed to the inability to prove the anti-restenotic effect of PCB. The reason for this discrepancy remains to be clarified. </w:t>
      </w:r>
      <w:r w:rsidR="00110C9A" w:rsidRPr="00411A55">
        <w:rPr>
          <w:rFonts w:ascii="Book Antiqua" w:hAnsi="Book Antiqua"/>
          <w:color w:val="auto"/>
          <w:szCs w:val="24"/>
        </w:rPr>
        <w:t xml:space="preserve">Outcomes from a new generation of DCB are also </w:t>
      </w:r>
      <w:r w:rsidR="00755338">
        <w:rPr>
          <w:rFonts w:ascii="Book Antiqua" w:hAnsi="Book Antiqua"/>
          <w:color w:val="auto"/>
          <w:szCs w:val="24"/>
        </w:rPr>
        <w:t>pending</w:t>
      </w:r>
      <w:r w:rsidR="00110C9A" w:rsidRPr="00411A55">
        <w:rPr>
          <w:rFonts w:ascii="Book Antiqua" w:hAnsi="Book Antiqua"/>
          <w:color w:val="auto"/>
          <w:szCs w:val="24"/>
        </w:rPr>
        <w:t>. Lutonix</w:t>
      </w:r>
      <w:r w:rsidR="00110C9A" w:rsidRPr="00A75329">
        <w:rPr>
          <w:rFonts w:ascii="Book Antiqua" w:hAnsi="Book Antiqua"/>
          <w:color w:val="auto"/>
          <w:szCs w:val="24"/>
          <w:vertAlign w:val="superscript"/>
        </w:rPr>
        <w:t>®</w:t>
      </w:r>
      <w:r w:rsidR="00110C9A" w:rsidRPr="00411A55">
        <w:rPr>
          <w:rFonts w:ascii="Book Antiqua" w:hAnsi="Book Antiqua"/>
          <w:color w:val="auto"/>
          <w:szCs w:val="24"/>
        </w:rPr>
        <w:t xml:space="preserve"> 014 DCB (paclitaxel dose </w:t>
      </w:r>
      <w:proofErr w:type="gramStart"/>
      <w:r w:rsidR="00110C9A" w:rsidRPr="00411A55">
        <w:rPr>
          <w:rFonts w:ascii="Book Antiqua" w:hAnsi="Book Antiqua"/>
          <w:color w:val="auto"/>
          <w:szCs w:val="24"/>
        </w:rPr>
        <w:t>2</w:t>
      </w:r>
      <w:r w:rsidR="00A75329">
        <w:rPr>
          <w:rFonts w:ascii="Book Antiqua" w:eastAsia="宋体" w:hAnsi="Book Antiqua" w:hint="eastAsia"/>
          <w:color w:val="auto"/>
          <w:szCs w:val="24"/>
          <w:lang w:eastAsia="zh-CN"/>
        </w:rPr>
        <w:t xml:space="preserve"> </w:t>
      </w:r>
      <w:r w:rsidR="00110C9A" w:rsidRPr="00411A55">
        <w:rPr>
          <w:rFonts w:ascii="Book Antiqua" w:hAnsi="Book Antiqua"/>
          <w:color w:val="auto"/>
          <w:szCs w:val="24"/>
        </w:rPr>
        <w:t>µg/mm</w:t>
      </w:r>
      <w:r w:rsidR="00110C9A" w:rsidRPr="00A75329">
        <w:rPr>
          <w:rFonts w:ascii="Book Antiqua" w:hAnsi="Book Antiqua"/>
          <w:color w:val="auto"/>
          <w:szCs w:val="24"/>
          <w:vertAlign w:val="superscript"/>
        </w:rPr>
        <w:t>2</w:t>
      </w:r>
      <w:proofErr w:type="gramEnd"/>
      <w:r w:rsidR="00110C9A" w:rsidRPr="00411A55">
        <w:rPr>
          <w:rFonts w:ascii="Book Antiqua" w:hAnsi="Book Antiqua"/>
          <w:color w:val="auto"/>
          <w:szCs w:val="24"/>
        </w:rPr>
        <w:t>) has been tested in a large-scale multicenter, single-arm registry</w:t>
      </w:r>
      <w:r w:rsidR="0035300A">
        <w:rPr>
          <w:rFonts w:ascii="Book Antiqua" w:hAnsi="Book Antiqua"/>
          <w:color w:val="auto"/>
          <w:szCs w:val="24"/>
        </w:rPr>
        <w:t>,</w:t>
      </w:r>
      <w:r w:rsidR="00110C9A" w:rsidRPr="00411A55">
        <w:rPr>
          <w:rFonts w:ascii="Book Antiqua" w:hAnsi="Book Antiqua"/>
          <w:color w:val="auto"/>
          <w:szCs w:val="24"/>
        </w:rPr>
        <w:t xml:space="preserve"> which included 314 patients from 26 sites and 12 countries. Patients suffered from either CLI or claudication due to infrapopliteal disease. Interim 6</w:t>
      </w:r>
      <w:r w:rsidR="0035300A">
        <w:rPr>
          <w:rFonts w:ascii="Book Antiqua" w:hAnsi="Book Antiqua"/>
          <w:color w:val="auto"/>
          <w:szCs w:val="24"/>
        </w:rPr>
        <w:t xml:space="preserve"> </w:t>
      </w:r>
      <w:r w:rsidR="00110C9A" w:rsidRPr="00411A55">
        <w:rPr>
          <w:rFonts w:ascii="Book Antiqua" w:hAnsi="Book Antiqua"/>
          <w:color w:val="auto"/>
          <w:szCs w:val="24"/>
        </w:rPr>
        <w:t>mo results demonstrated an excellent safety profile, as freedom from major adverse limb events and perioperative death was 98.6% at 30 d and 96.0% at 6</w:t>
      </w:r>
      <w:r w:rsidR="0035300A">
        <w:rPr>
          <w:rFonts w:ascii="Book Antiqua" w:hAnsi="Book Antiqua"/>
          <w:color w:val="auto"/>
          <w:szCs w:val="24"/>
        </w:rPr>
        <w:t xml:space="preserve"> </w:t>
      </w:r>
      <w:r w:rsidR="00110C9A" w:rsidRPr="00411A55">
        <w:rPr>
          <w:rFonts w:ascii="Book Antiqua" w:hAnsi="Book Antiqua"/>
          <w:color w:val="auto"/>
          <w:szCs w:val="24"/>
        </w:rPr>
        <w:t>mo, while freedom from TLR was 87.9% at 6</w:t>
      </w:r>
      <w:r w:rsidR="0035300A">
        <w:rPr>
          <w:rFonts w:ascii="Book Antiqua" w:hAnsi="Book Antiqua"/>
          <w:color w:val="auto"/>
          <w:szCs w:val="24"/>
        </w:rPr>
        <w:t xml:space="preserve"> </w:t>
      </w:r>
      <w:proofErr w:type="gramStart"/>
      <w:r w:rsidR="00110C9A" w:rsidRPr="00411A55">
        <w:rPr>
          <w:rFonts w:ascii="Book Antiqua" w:hAnsi="Book Antiqua"/>
          <w:color w:val="auto"/>
          <w:szCs w:val="24"/>
        </w:rPr>
        <w:t>mo</w:t>
      </w:r>
      <w:r w:rsidR="00110C9A" w:rsidRPr="00411A55">
        <w:rPr>
          <w:rFonts w:ascii="Book Antiqua" w:hAnsi="Book Antiqua"/>
          <w:color w:val="auto"/>
          <w:szCs w:val="24"/>
          <w:vertAlign w:val="superscript"/>
        </w:rPr>
        <w:t>[</w:t>
      </w:r>
      <w:proofErr w:type="gramEnd"/>
      <w:r w:rsidR="00110C9A" w:rsidRPr="00411A55">
        <w:rPr>
          <w:rFonts w:ascii="Book Antiqua" w:hAnsi="Book Antiqua"/>
          <w:color w:val="auto"/>
          <w:szCs w:val="24"/>
          <w:vertAlign w:val="superscript"/>
        </w:rPr>
        <w:t>50]</w:t>
      </w:r>
      <w:r w:rsidR="00110C9A" w:rsidRPr="00411A55">
        <w:rPr>
          <w:rFonts w:ascii="Book Antiqua" w:hAnsi="Book Antiqua"/>
          <w:color w:val="auto"/>
          <w:szCs w:val="24"/>
        </w:rPr>
        <w:t xml:space="preserve">. </w:t>
      </w:r>
      <w:r w:rsidR="0035300A">
        <w:rPr>
          <w:rFonts w:ascii="Book Antiqua" w:hAnsi="Book Antiqua"/>
          <w:color w:val="auto"/>
          <w:szCs w:val="24"/>
        </w:rPr>
        <w:t>The f</w:t>
      </w:r>
      <w:r w:rsidR="00110C9A" w:rsidRPr="00411A55">
        <w:rPr>
          <w:rFonts w:ascii="Book Antiqua" w:hAnsi="Book Antiqua"/>
          <w:color w:val="auto"/>
          <w:szCs w:val="24"/>
        </w:rPr>
        <w:t>inal 24</w:t>
      </w:r>
      <w:r w:rsidR="0035300A">
        <w:rPr>
          <w:rFonts w:ascii="Book Antiqua" w:hAnsi="Book Antiqua"/>
          <w:color w:val="auto"/>
          <w:szCs w:val="24"/>
        </w:rPr>
        <w:t xml:space="preserve"> </w:t>
      </w:r>
      <w:r w:rsidR="00110C9A" w:rsidRPr="00411A55">
        <w:rPr>
          <w:rFonts w:ascii="Book Antiqua" w:hAnsi="Book Antiqua"/>
          <w:color w:val="auto"/>
          <w:szCs w:val="24"/>
        </w:rPr>
        <w:t xml:space="preserve">mo results are </w:t>
      </w:r>
      <w:r w:rsidR="0035300A">
        <w:rPr>
          <w:rFonts w:ascii="Book Antiqua" w:hAnsi="Book Antiqua"/>
          <w:color w:val="auto"/>
          <w:szCs w:val="24"/>
        </w:rPr>
        <w:t>expected</w:t>
      </w:r>
      <w:r w:rsidR="0035300A" w:rsidRPr="00411A55">
        <w:rPr>
          <w:rFonts w:ascii="Book Antiqua" w:hAnsi="Book Antiqua"/>
          <w:color w:val="auto"/>
          <w:szCs w:val="24"/>
        </w:rPr>
        <w:t xml:space="preserve"> </w:t>
      </w:r>
      <w:r w:rsidR="00110C9A" w:rsidRPr="00411A55">
        <w:rPr>
          <w:rFonts w:ascii="Book Antiqua" w:hAnsi="Book Antiqua"/>
          <w:color w:val="auto"/>
          <w:szCs w:val="24"/>
        </w:rPr>
        <w:t>in late 2019. The RangerTM (Boston Scientific Corporation, U</w:t>
      </w:r>
      <w:r w:rsidR="00A75329">
        <w:rPr>
          <w:rFonts w:ascii="Book Antiqua" w:eastAsia="宋体" w:hAnsi="Book Antiqua" w:hint="eastAsia"/>
          <w:color w:val="auto"/>
          <w:szCs w:val="24"/>
          <w:lang w:eastAsia="zh-CN"/>
        </w:rPr>
        <w:t xml:space="preserve">nited </w:t>
      </w:r>
      <w:r w:rsidR="00110C9A" w:rsidRPr="00411A55">
        <w:rPr>
          <w:rFonts w:ascii="Book Antiqua" w:hAnsi="Book Antiqua"/>
          <w:color w:val="auto"/>
          <w:szCs w:val="24"/>
        </w:rPr>
        <w:t>S</w:t>
      </w:r>
      <w:r w:rsidR="00A75329">
        <w:rPr>
          <w:rFonts w:ascii="Book Antiqua" w:eastAsia="宋体" w:hAnsi="Book Antiqua" w:hint="eastAsia"/>
          <w:color w:val="auto"/>
          <w:szCs w:val="24"/>
          <w:lang w:eastAsia="zh-CN"/>
        </w:rPr>
        <w:t>tates</w:t>
      </w:r>
      <w:r w:rsidR="00110C9A" w:rsidRPr="00411A55">
        <w:rPr>
          <w:rFonts w:ascii="Book Antiqua" w:hAnsi="Book Antiqua"/>
          <w:color w:val="auto"/>
          <w:szCs w:val="24"/>
        </w:rPr>
        <w:t>), a new-generation 2 µg/mm</w:t>
      </w:r>
      <w:r w:rsidR="00110C9A" w:rsidRPr="00A75329">
        <w:rPr>
          <w:rFonts w:ascii="Book Antiqua" w:hAnsi="Book Antiqua"/>
          <w:color w:val="auto"/>
          <w:szCs w:val="24"/>
          <w:vertAlign w:val="superscript"/>
        </w:rPr>
        <w:t>2</w:t>
      </w:r>
      <w:r w:rsidR="00110C9A" w:rsidRPr="00411A55">
        <w:rPr>
          <w:rFonts w:ascii="Book Antiqua" w:hAnsi="Book Antiqua"/>
          <w:color w:val="auto"/>
          <w:szCs w:val="24"/>
        </w:rPr>
        <w:t xml:space="preserve"> DCB</w:t>
      </w:r>
      <w:r w:rsidR="0035300A">
        <w:rPr>
          <w:rFonts w:ascii="Book Antiqua" w:hAnsi="Book Antiqua"/>
          <w:color w:val="auto"/>
          <w:szCs w:val="24"/>
        </w:rPr>
        <w:t>,</w:t>
      </w:r>
      <w:r w:rsidR="00110C9A" w:rsidRPr="00411A55">
        <w:rPr>
          <w:rFonts w:ascii="Book Antiqua" w:hAnsi="Book Antiqua"/>
          <w:color w:val="auto"/>
          <w:szCs w:val="24"/>
        </w:rPr>
        <w:t xml:space="preserve"> is also under investigation. The single-center, open-label prospective trial sponsored by Boston Scientific has enrolled 30 CLI patients with infrapopliteal disease treated with the Ranger DCB. The study’s efficacy primary outcome measures will be primary patency at 6</w:t>
      </w:r>
      <w:r w:rsidR="0035300A">
        <w:rPr>
          <w:rFonts w:ascii="Book Antiqua" w:hAnsi="Book Antiqua"/>
          <w:color w:val="auto"/>
          <w:szCs w:val="24"/>
        </w:rPr>
        <w:t xml:space="preserve"> </w:t>
      </w:r>
      <w:r w:rsidR="00110C9A" w:rsidRPr="00411A55">
        <w:rPr>
          <w:rFonts w:ascii="Book Antiqua" w:hAnsi="Book Antiqua"/>
          <w:color w:val="auto"/>
          <w:szCs w:val="24"/>
        </w:rPr>
        <w:t>mo follow</w:t>
      </w:r>
      <w:r w:rsidR="0035300A">
        <w:rPr>
          <w:rFonts w:ascii="Book Antiqua" w:hAnsi="Book Antiqua"/>
          <w:color w:val="auto"/>
          <w:szCs w:val="24"/>
        </w:rPr>
        <w:t>-</w:t>
      </w:r>
      <w:r w:rsidR="00110C9A" w:rsidRPr="00411A55">
        <w:rPr>
          <w:rFonts w:ascii="Book Antiqua" w:hAnsi="Book Antiqua"/>
          <w:color w:val="auto"/>
          <w:szCs w:val="24"/>
        </w:rPr>
        <w:t>up (no stenosis &gt;</w:t>
      </w:r>
      <w:r w:rsidR="00A75329">
        <w:rPr>
          <w:rFonts w:ascii="Book Antiqua" w:eastAsia="宋体" w:hAnsi="Book Antiqua" w:hint="eastAsia"/>
          <w:color w:val="auto"/>
          <w:szCs w:val="24"/>
          <w:lang w:eastAsia="zh-CN"/>
        </w:rPr>
        <w:t xml:space="preserve"> </w:t>
      </w:r>
      <w:r w:rsidR="00110C9A" w:rsidRPr="00411A55">
        <w:rPr>
          <w:rFonts w:ascii="Book Antiqua" w:hAnsi="Book Antiqua"/>
          <w:color w:val="auto"/>
          <w:szCs w:val="24"/>
        </w:rPr>
        <w:t>50% of the target lesion measured by quantitative vascular angiography). The safety outcome measure</w:t>
      </w:r>
      <w:r w:rsidR="0035300A">
        <w:rPr>
          <w:rFonts w:ascii="Book Antiqua" w:hAnsi="Book Antiqua"/>
          <w:color w:val="auto"/>
          <w:szCs w:val="24"/>
        </w:rPr>
        <w:t xml:space="preserve">ment </w:t>
      </w:r>
      <w:r w:rsidR="00110C9A" w:rsidRPr="00411A55">
        <w:rPr>
          <w:rFonts w:ascii="Book Antiqua" w:hAnsi="Book Antiqua"/>
          <w:color w:val="auto"/>
          <w:szCs w:val="24"/>
        </w:rPr>
        <w:t>will be the number of deaths and major amputations at 6</w:t>
      </w:r>
      <w:r w:rsidR="0035300A">
        <w:rPr>
          <w:rFonts w:ascii="Book Antiqua" w:hAnsi="Book Antiqua"/>
          <w:color w:val="auto"/>
          <w:szCs w:val="24"/>
        </w:rPr>
        <w:t xml:space="preserve"> </w:t>
      </w:r>
      <w:r w:rsidR="00110C9A" w:rsidRPr="00411A55">
        <w:rPr>
          <w:rFonts w:ascii="Book Antiqua" w:hAnsi="Book Antiqua"/>
          <w:color w:val="auto"/>
          <w:szCs w:val="24"/>
        </w:rPr>
        <w:t>mo follow</w:t>
      </w:r>
      <w:r w:rsidR="0035300A">
        <w:rPr>
          <w:rFonts w:ascii="Book Antiqua" w:hAnsi="Book Antiqua"/>
          <w:color w:val="auto"/>
          <w:szCs w:val="24"/>
        </w:rPr>
        <w:t>-</w:t>
      </w:r>
      <w:r w:rsidR="00110C9A" w:rsidRPr="00411A55">
        <w:rPr>
          <w:rFonts w:ascii="Book Antiqua" w:hAnsi="Book Antiqua"/>
          <w:color w:val="auto"/>
          <w:szCs w:val="24"/>
        </w:rPr>
        <w:t xml:space="preserve">up. The estimated study completion </w:t>
      </w:r>
      <w:r w:rsidR="0035300A">
        <w:rPr>
          <w:rFonts w:ascii="Book Antiqua" w:hAnsi="Book Antiqua"/>
          <w:color w:val="auto"/>
          <w:szCs w:val="24"/>
        </w:rPr>
        <w:t xml:space="preserve">date </w:t>
      </w:r>
      <w:r w:rsidR="00110C9A" w:rsidRPr="00411A55">
        <w:rPr>
          <w:rFonts w:ascii="Book Antiqua" w:hAnsi="Book Antiqua"/>
          <w:color w:val="auto"/>
          <w:szCs w:val="24"/>
        </w:rPr>
        <w:t>is November 2018</w:t>
      </w:r>
      <w:r w:rsidR="00110C9A" w:rsidRPr="00411A55">
        <w:rPr>
          <w:rFonts w:ascii="Book Antiqua" w:hAnsi="Book Antiqua"/>
          <w:color w:val="auto"/>
          <w:szCs w:val="24"/>
          <w:vertAlign w:val="superscript"/>
        </w:rPr>
        <w:t>[51]</w:t>
      </w:r>
      <w:r w:rsidR="00110C9A" w:rsidRPr="00411A55">
        <w:rPr>
          <w:rFonts w:ascii="Book Antiqua" w:hAnsi="Book Antiqua"/>
          <w:color w:val="auto"/>
          <w:szCs w:val="24"/>
        </w:rPr>
        <w:t>.</w:t>
      </w:r>
    </w:p>
    <w:p w14:paraId="31D0EF57" w14:textId="77777777"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hAnsi="Book Antiqua"/>
          <w:color w:val="auto"/>
          <w:szCs w:val="24"/>
        </w:rPr>
      </w:pPr>
    </w:p>
    <w:p w14:paraId="7931CB08" w14:textId="674BF84F" w:rsidR="00110C9A" w:rsidRPr="00A75329" w:rsidRDefault="00A75329"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hAnsi="Book Antiqua"/>
          <w:b/>
          <w:color w:val="auto"/>
          <w:szCs w:val="24"/>
        </w:rPr>
      </w:pPr>
      <w:r w:rsidRPr="00A75329">
        <w:rPr>
          <w:rFonts w:ascii="Book Antiqua" w:hAnsi="Book Antiqua"/>
          <w:b/>
          <w:color w:val="auto"/>
          <w:szCs w:val="24"/>
        </w:rPr>
        <w:t>DES</w:t>
      </w:r>
      <w:r w:rsidRPr="00A75329">
        <w:rPr>
          <w:rFonts w:ascii="Book Antiqua" w:hAnsi="Book Antiqua"/>
          <w:b/>
          <w:i/>
          <w:color w:val="auto"/>
          <w:szCs w:val="24"/>
        </w:rPr>
        <w:t xml:space="preserve"> V</w:t>
      </w:r>
      <w:r w:rsidR="003B6EBC">
        <w:rPr>
          <w:rFonts w:ascii="Book Antiqua" w:hAnsi="Book Antiqua"/>
          <w:b/>
          <w:i/>
          <w:color w:val="auto"/>
          <w:szCs w:val="24"/>
        </w:rPr>
        <w:t>ERSU</w:t>
      </w:r>
      <w:r w:rsidRPr="00A75329">
        <w:rPr>
          <w:rFonts w:ascii="Book Antiqua" w:hAnsi="Book Antiqua"/>
          <w:b/>
          <w:i/>
          <w:color w:val="auto"/>
          <w:szCs w:val="24"/>
        </w:rPr>
        <w:t>S</w:t>
      </w:r>
      <w:r w:rsidRPr="00A75329">
        <w:rPr>
          <w:rFonts w:ascii="Book Antiqua" w:hAnsi="Book Antiqua"/>
          <w:b/>
          <w:color w:val="auto"/>
          <w:szCs w:val="24"/>
        </w:rPr>
        <w:t xml:space="preserve"> DCB FOR INFRAPOPLITEAL ARTERIAL DISEASE</w:t>
      </w:r>
    </w:p>
    <w:p w14:paraId="6A5B7292" w14:textId="008743C3"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hAnsi="Book Antiqua"/>
          <w:color w:val="auto"/>
          <w:szCs w:val="24"/>
        </w:rPr>
      </w:pPr>
      <w:r w:rsidRPr="00411A55">
        <w:rPr>
          <w:rFonts w:ascii="Book Antiqua" w:hAnsi="Book Antiqua"/>
          <w:color w:val="auto"/>
          <w:szCs w:val="24"/>
        </w:rPr>
        <w:t xml:space="preserve">In 2014, Siablis </w:t>
      </w:r>
      <w:r w:rsidRPr="00A75329">
        <w:rPr>
          <w:rFonts w:ascii="Book Antiqua" w:hAnsi="Book Antiqua"/>
          <w:i/>
          <w:color w:val="auto"/>
          <w:szCs w:val="24"/>
        </w:rPr>
        <w:t xml:space="preserve">et </w:t>
      </w:r>
      <w:proofErr w:type="gramStart"/>
      <w:r w:rsidRPr="00A75329">
        <w:rPr>
          <w:rFonts w:ascii="Book Antiqua" w:hAnsi="Book Antiqua"/>
          <w:i/>
          <w:color w:val="auto"/>
          <w:szCs w:val="24"/>
        </w:rPr>
        <w:t>al</w:t>
      </w:r>
      <w:r w:rsidR="00A75329" w:rsidRPr="00411A55">
        <w:rPr>
          <w:rFonts w:ascii="Book Antiqua" w:hAnsi="Book Antiqua"/>
          <w:color w:val="auto"/>
          <w:szCs w:val="24"/>
          <w:vertAlign w:val="superscript"/>
        </w:rPr>
        <w:t>[</w:t>
      </w:r>
      <w:proofErr w:type="gramEnd"/>
      <w:r w:rsidR="00A75329" w:rsidRPr="00411A55">
        <w:rPr>
          <w:rFonts w:ascii="Book Antiqua" w:hAnsi="Book Antiqua"/>
          <w:color w:val="auto"/>
          <w:szCs w:val="24"/>
          <w:vertAlign w:val="superscript"/>
        </w:rPr>
        <w:t>52]</w:t>
      </w:r>
      <w:r w:rsidRPr="00411A55">
        <w:rPr>
          <w:rFonts w:ascii="Book Antiqua" w:hAnsi="Book Antiqua"/>
          <w:color w:val="auto"/>
          <w:szCs w:val="24"/>
        </w:rPr>
        <w:t xml:space="preserve"> sought to compare the efficacy of the two emerging drug-eluting technologies </w:t>
      </w:r>
      <w:r w:rsidR="00F807C7">
        <w:rPr>
          <w:rFonts w:ascii="Book Antiqua" w:hAnsi="Book Antiqua"/>
          <w:color w:val="auto"/>
          <w:szCs w:val="24"/>
        </w:rPr>
        <w:t>for</w:t>
      </w:r>
      <w:r w:rsidRPr="00411A55">
        <w:rPr>
          <w:rFonts w:ascii="Book Antiqua" w:hAnsi="Book Antiqua"/>
          <w:color w:val="auto"/>
          <w:szCs w:val="24"/>
        </w:rPr>
        <w:t xml:space="preserve"> long infrapopliteal lesions. The authors randomized 50 CLI patients to receive DES or DCB infrapopliteal treatment</w:t>
      </w:r>
      <w:r w:rsidRPr="00411A55">
        <w:rPr>
          <w:rFonts w:ascii="Book Antiqua" w:hAnsi="Book Antiqua"/>
          <w:color w:val="auto"/>
          <w:szCs w:val="24"/>
          <w:vertAlign w:val="superscript"/>
        </w:rPr>
        <w:t>[52]</w:t>
      </w:r>
      <w:r w:rsidRPr="00411A55">
        <w:rPr>
          <w:rFonts w:ascii="Book Antiqua" w:hAnsi="Book Antiqua"/>
          <w:color w:val="auto"/>
          <w:szCs w:val="24"/>
        </w:rPr>
        <w:t>. Among the inclusion criteria was a minimum lesion length of 70 mm. The primary endpoint of 6</w:t>
      </w:r>
      <w:r w:rsidR="002227F1">
        <w:rPr>
          <w:rFonts w:ascii="Book Antiqua" w:hAnsi="Book Antiqua"/>
          <w:color w:val="auto"/>
          <w:szCs w:val="24"/>
        </w:rPr>
        <w:t xml:space="preserve"> </w:t>
      </w:r>
      <w:r w:rsidRPr="00411A55">
        <w:rPr>
          <w:rFonts w:ascii="Book Antiqua" w:hAnsi="Book Antiqua"/>
          <w:color w:val="auto"/>
          <w:szCs w:val="24"/>
        </w:rPr>
        <w:t>mo angiographic &gt;</w:t>
      </w:r>
      <w:r w:rsidR="00A75329">
        <w:rPr>
          <w:rFonts w:ascii="Book Antiqua" w:eastAsia="宋体" w:hAnsi="Book Antiqua" w:hint="eastAsia"/>
          <w:color w:val="auto"/>
          <w:szCs w:val="24"/>
          <w:lang w:eastAsia="zh-CN"/>
        </w:rPr>
        <w:t xml:space="preserve"> </w:t>
      </w:r>
      <w:r w:rsidRPr="00411A55">
        <w:rPr>
          <w:rFonts w:ascii="Book Antiqua" w:hAnsi="Book Antiqua"/>
          <w:color w:val="auto"/>
          <w:szCs w:val="24"/>
        </w:rPr>
        <w:t xml:space="preserve">50% restenosis, adjudicated by quantitative vessel analysis, was significantly less in the DES group (28% </w:t>
      </w:r>
      <w:r w:rsidR="002B5C16" w:rsidRPr="002B5C16">
        <w:rPr>
          <w:rFonts w:ascii="Book Antiqua" w:hAnsi="Book Antiqua"/>
          <w:i/>
          <w:color w:val="auto"/>
          <w:szCs w:val="24"/>
        </w:rPr>
        <w:t>vs</w:t>
      </w:r>
      <w:r w:rsidRPr="00411A55">
        <w:rPr>
          <w:rFonts w:ascii="Book Antiqua" w:hAnsi="Book Antiqua"/>
          <w:color w:val="auto"/>
          <w:szCs w:val="24"/>
        </w:rPr>
        <w:t xml:space="preserve"> 57.9%; </w:t>
      </w:r>
      <w:r w:rsidR="00A75329" w:rsidRPr="00A75329">
        <w:rPr>
          <w:rFonts w:ascii="Book Antiqua" w:hAnsi="Book Antiqua"/>
          <w:i/>
          <w:color w:val="auto"/>
          <w:szCs w:val="24"/>
        </w:rPr>
        <w:t>P</w:t>
      </w:r>
      <w:r w:rsidRPr="00411A55">
        <w:rPr>
          <w:rFonts w:ascii="Book Antiqua" w:hAnsi="Book Antiqua"/>
          <w:color w:val="auto"/>
          <w:szCs w:val="24"/>
        </w:rPr>
        <w:t xml:space="preserve"> = 0.0457). Nonetheless, LLL, TLR and major amputation rates at 6 mo follow</w:t>
      </w:r>
      <w:r w:rsidR="001554A1">
        <w:rPr>
          <w:rFonts w:ascii="Book Antiqua" w:hAnsi="Book Antiqua"/>
          <w:color w:val="auto"/>
          <w:szCs w:val="24"/>
        </w:rPr>
        <w:t>-</w:t>
      </w:r>
      <w:r w:rsidRPr="00411A55">
        <w:rPr>
          <w:rFonts w:ascii="Book Antiqua" w:hAnsi="Book Antiqua"/>
          <w:color w:val="auto"/>
          <w:szCs w:val="24"/>
        </w:rPr>
        <w:t xml:space="preserve">up were similar between the two study groups. This is the only study directly comparing infrapopliteal DES </w:t>
      </w:r>
      <w:r w:rsidR="000F08DA" w:rsidRPr="000F08DA">
        <w:rPr>
          <w:rFonts w:ascii="Book Antiqua" w:hAnsi="Book Antiqua"/>
          <w:i/>
          <w:color w:val="auto"/>
          <w:szCs w:val="24"/>
        </w:rPr>
        <w:t>v</w:t>
      </w:r>
      <w:r w:rsidR="003B6EBC">
        <w:rPr>
          <w:rFonts w:ascii="Book Antiqua" w:hAnsi="Book Antiqua"/>
          <w:i/>
          <w:color w:val="auto"/>
          <w:szCs w:val="24"/>
        </w:rPr>
        <w:t>ersu</w:t>
      </w:r>
      <w:r w:rsidR="000F08DA" w:rsidRPr="000F08DA">
        <w:rPr>
          <w:rFonts w:ascii="Book Antiqua" w:hAnsi="Book Antiqua"/>
          <w:i/>
          <w:color w:val="auto"/>
          <w:szCs w:val="24"/>
        </w:rPr>
        <w:t>s</w:t>
      </w:r>
      <w:r w:rsidRPr="00411A55">
        <w:rPr>
          <w:rFonts w:ascii="Book Antiqua" w:hAnsi="Book Antiqua"/>
          <w:color w:val="auto"/>
          <w:szCs w:val="24"/>
        </w:rPr>
        <w:t xml:space="preserve"> DCB that reported that DCB</w:t>
      </w:r>
      <w:r w:rsidR="001554A1">
        <w:rPr>
          <w:rFonts w:ascii="Book Antiqua" w:hAnsi="Book Antiqua"/>
          <w:color w:val="auto"/>
          <w:szCs w:val="24"/>
        </w:rPr>
        <w:t>s</w:t>
      </w:r>
      <w:r w:rsidRPr="00411A55">
        <w:rPr>
          <w:rFonts w:ascii="Book Antiqua" w:hAnsi="Book Antiqua"/>
          <w:color w:val="auto"/>
          <w:szCs w:val="24"/>
        </w:rPr>
        <w:t xml:space="preserve"> are associated with increased vessel restenosis at 6</w:t>
      </w:r>
      <w:r w:rsidR="001554A1">
        <w:rPr>
          <w:rFonts w:ascii="Book Antiqua" w:hAnsi="Book Antiqua"/>
          <w:color w:val="auto"/>
          <w:szCs w:val="24"/>
        </w:rPr>
        <w:t xml:space="preserve"> </w:t>
      </w:r>
      <w:proofErr w:type="gramStart"/>
      <w:r w:rsidRPr="00411A55">
        <w:rPr>
          <w:rFonts w:ascii="Book Antiqua" w:hAnsi="Book Antiqua"/>
          <w:color w:val="auto"/>
          <w:szCs w:val="24"/>
        </w:rPr>
        <w:t>mo</w:t>
      </w:r>
      <w:proofErr w:type="gramEnd"/>
      <w:r w:rsidRPr="00411A55">
        <w:rPr>
          <w:rFonts w:ascii="Book Antiqua" w:hAnsi="Book Antiqua"/>
          <w:color w:val="auto"/>
          <w:szCs w:val="24"/>
        </w:rPr>
        <w:t>, even though LLL was similar between the two groups. The authors can assume that reduced binary restenosis following DES deployment was due to a significantly superior initial luminal gain compared to DCB angioplasty</w:t>
      </w:r>
      <w:r w:rsidR="001554A1">
        <w:rPr>
          <w:rFonts w:ascii="Book Antiqua" w:hAnsi="Book Antiqua"/>
          <w:color w:val="auto"/>
          <w:szCs w:val="24"/>
        </w:rPr>
        <w:t>. In addition, they can also assume</w:t>
      </w:r>
      <w:r w:rsidR="00800D51" w:rsidRPr="00411A55">
        <w:rPr>
          <w:rFonts w:ascii="Book Antiqua" w:hAnsi="Book Antiqua"/>
          <w:color w:val="auto"/>
          <w:szCs w:val="24"/>
        </w:rPr>
        <w:t xml:space="preserve"> that for small-vessel disease, maximizing the initial luminal gain could lead to less short-term binary restenosis. </w:t>
      </w:r>
      <w:r w:rsidR="001554A1">
        <w:rPr>
          <w:rFonts w:ascii="Book Antiqua" w:hAnsi="Book Antiqua"/>
          <w:color w:val="auto"/>
          <w:szCs w:val="24"/>
        </w:rPr>
        <w:t>Nevertheless</w:t>
      </w:r>
      <w:r w:rsidR="00800D51" w:rsidRPr="00411A55">
        <w:rPr>
          <w:rFonts w:ascii="Book Antiqua" w:hAnsi="Book Antiqua"/>
          <w:color w:val="auto"/>
          <w:szCs w:val="24"/>
        </w:rPr>
        <w:t>, b</w:t>
      </w:r>
      <w:r w:rsidR="00902D3F" w:rsidRPr="00411A55">
        <w:rPr>
          <w:rFonts w:ascii="Book Antiqua" w:hAnsi="Book Antiqua"/>
          <w:color w:val="auto"/>
          <w:szCs w:val="24"/>
        </w:rPr>
        <w:t xml:space="preserve">etter vessel preparation using atherectomy devices or less traumatic semi-compliant balloon catheters could </w:t>
      </w:r>
      <w:r w:rsidR="00800D51" w:rsidRPr="00411A55">
        <w:rPr>
          <w:rFonts w:ascii="Book Antiqua" w:hAnsi="Book Antiqua"/>
          <w:color w:val="auto"/>
          <w:szCs w:val="24"/>
        </w:rPr>
        <w:t xml:space="preserve">also </w:t>
      </w:r>
      <w:r w:rsidR="00902D3F" w:rsidRPr="00411A55">
        <w:rPr>
          <w:rFonts w:ascii="Book Antiqua" w:hAnsi="Book Antiqua"/>
          <w:color w:val="auto"/>
          <w:szCs w:val="24"/>
        </w:rPr>
        <w:t>improve infrapopliteal DCB angioplasty</w:t>
      </w:r>
      <w:r w:rsidR="001554A1">
        <w:rPr>
          <w:rFonts w:ascii="Book Antiqua" w:hAnsi="Book Antiqua"/>
          <w:color w:val="auto"/>
          <w:szCs w:val="24"/>
        </w:rPr>
        <w:t xml:space="preserve"> outcomes</w:t>
      </w:r>
      <w:r w:rsidR="00902D3F" w:rsidRPr="00411A55">
        <w:rPr>
          <w:rFonts w:ascii="Book Antiqua" w:hAnsi="Book Antiqua"/>
          <w:color w:val="auto"/>
          <w:szCs w:val="24"/>
        </w:rPr>
        <w:t xml:space="preserve">. Indeed, the combination of DCB use with debulking atherectomy devices for the management of long, heavily calcified femoropopliteal de novo or restenotic lesions is supported by an increasing level of evidence. Orbital </w:t>
      </w:r>
      <w:r w:rsidR="003A79BC">
        <w:rPr>
          <w:rFonts w:ascii="Book Antiqua" w:hAnsi="Book Antiqua"/>
          <w:color w:val="auto"/>
          <w:szCs w:val="24"/>
        </w:rPr>
        <w:t>and</w:t>
      </w:r>
      <w:r w:rsidR="00902D3F" w:rsidRPr="00411A55">
        <w:rPr>
          <w:rFonts w:ascii="Book Antiqua" w:hAnsi="Book Antiqua"/>
          <w:color w:val="auto"/>
          <w:szCs w:val="24"/>
        </w:rPr>
        <w:t xml:space="preserve"> directional atherectomy ha</w:t>
      </w:r>
      <w:r w:rsidR="003A79BC">
        <w:rPr>
          <w:rFonts w:ascii="Book Antiqua" w:hAnsi="Book Antiqua"/>
          <w:color w:val="auto"/>
          <w:szCs w:val="24"/>
        </w:rPr>
        <w:t>ve</w:t>
      </w:r>
      <w:r w:rsidR="00902D3F" w:rsidRPr="00411A55">
        <w:rPr>
          <w:rFonts w:ascii="Book Antiqua" w:hAnsi="Book Antiqua"/>
          <w:color w:val="auto"/>
          <w:szCs w:val="24"/>
        </w:rPr>
        <w:t xml:space="preserve"> been employed to remove occlusive intimal or neointimal tissue, allowing </w:t>
      </w:r>
      <w:r w:rsidR="00411A55" w:rsidRPr="00411A55">
        <w:rPr>
          <w:rFonts w:ascii="Book Antiqua" w:hAnsi="Book Antiqua"/>
          <w:color w:val="auto"/>
          <w:szCs w:val="24"/>
        </w:rPr>
        <w:t>DCB</w:t>
      </w:r>
      <w:r w:rsidR="00902D3F" w:rsidRPr="00411A55">
        <w:rPr>
          <w:rFonts w:ascii="Book Antiqua" w:hAnsi="Book Antiqua"/>
          <w:color w:val="auto"/>
          <w:szCs w:val="24"/>
        </w:rPr>
        <w:t xml:space="preserve"> to act </w:t>
      </w:r>
      <w:r w:rsidR="003A79BC">
        <w:rPr>
          <w:rFonts w:ascii="Book Antiqua" w:hAnsi="Book Antiqua"/>
          <w:color w:val="auto"/>
          <w:szCs w:val="24"/>
        </w:rPr>
        <w:t>directly</w:t>
      </w:r>
      <w:r w:rsidR="003A79BC" w:rsidRPr="00411A55">
        <w:rPr>
          <w:rFonts w:ascii="Book Antiqua" w:hAnsi="Book Antiqua"/>
          <w:color w:val="auto"/>
          <w:szCs w:val="24"/>
        </w:rPr>
        <w:t xml:space="preserve"> </w:t>
      </w:r>
      <w:r w:rsidR="003A79BC">
        <w:rPr>
          <w:rFonts w:ascii="Book Antiqua" w:hAnsi="Book Antiqua"/>
          <w:color w:val="auto"/>
          <w:szCs w:val="24"/>
        </w:rPr>
        <w:t>on</w:t>
      </w:r>
      <w:r w:rsidR="003A79BC" w:rsidRPr="00411A55">
        <w:rPr>
          <w:rFonts w:ascii="Book Antiqua" w:hAnsi="Book Antiqua"/>
          <w:color w:val="auto"/>
          <w:szCs w:val="24"/>
        </w:rPr>
        <w:t xml:space="preserve"> </w:t>
      </w:r>
      <w:r w:rsidR="00902D3F" w:rsidRPr="00411A55">
        <w:rPr>
          <w:rFonts w:ascii="Book Antiqua" w:hAnsi="Book Antiqua"/>
          <w:color w:val="auto"/>
          <w:szCs w:val="24"/>
        </w:rPr>
        <w:t xml:space="preserve">the vessel </w:t>
      </w:r>
      <w:proofErr w:type="gramStart"/>
      <w:r w:rsidR="00902D3F" w:rsidRPr="00411A55">
        <w:rPr>
          <w:rFonts w:ascii="Book Antiqua" w:hAnsi="Book Antiqua"/>
          <w:color w:val="auto"/>
          <w:szCs w:val="24"/>
        </w:rPr>
        <w:t>wall</w:t>
      </w:r>
      <w:r w:rsidR="00AF686F" w:rsidRPr="00411A55">
        <w:rPr>
          <w:rFonts w:ascii="Book Antiqua" w:hAnsi="Book Antiqua"/>
          <w:color w:val="auto"/>
          <w:szCs w:val="24"/>
          <w:vertAlign w:val="superscript"/>
        </w:rPr>
        <w:t>[</w:t>
      </w:r>
      <w:proofErr w:type="gramEnd"/>
      <w:r w:rsidR="00902D3F" w:rsidRPr="00411A55">
        <w:rPr>
          <w:rFonts w:ascii="Book Antiqua" w:hAnsi="Book Antiqua"/>
          <w:color w:val="auto"/>
          <w:szCs w:val="24"/>
          <w:vertAlign w:val="superscript"/>
        </w:rPr>
        <w:t>53]</w:t>
      </w:r>
      <w:r w:rsidR="00A75329">
        <w:rPr>
          <w:rFonts w:ascii="Book Antiqua" w:eastAsia="宋体" w:hAnsi="Book Antiqua" w:hint="eastAsia"/>
          <w:color w:val="auto"/>
          <w:szCs w:val="24"/>
          <w:lang w:eastAsia="zh-CN"/>
        </w:rPr>
        <w:t>.</w:t>
      </w:r>
      <w:r w:rsidR="00902D3F" w:rsidRPr="00411A55">
        <w:rPr>
          <w:rFonts w:ascii="Book Antiqua" w:hAnsi="Book Antiqua"/>
          <w:color w:val="auto"/>
          <w:szCs w:val="24"/>
        </w:rPr>
        <w:t xml:space="preserve"> </w:t>
      </w:r>
      <w:r w:rsidRPr="00411A55">
        <w:rPr>
          <w:rFonts w:ascii="Book Antiqua" w:hAnsi="Book Antiqua"/>
          <w:color w:val="auto"/>
          <w:szCs w:val="24"/>
        </w:rPr>
        <w:t>Moreover, in a recent Bayesian network meta-analysis by Katsanos</w:t>
      </w:r>
      <w:r w:rsidRPr="000F08DA">
        <w:rPr>
          <w:rFonts w:ascii="Book Antiqua" w:hAnsi="Book Antiqua"/>
          <w:i/>
          <w:color w:val="auto"/>
          <w:szCs w:val="24"/>
        </w:rPr>
        <w:t xml:space="preserve"> et </w:t>
      </w:r>
      <w:proofErr w:type="gramStart"/>
      <w:r w:rsidRPr="000F08DA">
        <w:rPr>
          <w:rFonts w:ascii="Book Antiqua" w:hAnsi="Book Antiqua"/>
          <w:i/>
          <w:color w:val="auto"/>
          <w:szCs w:val="24"/>
        </w:rPr>
        <w:t>al</w:t>
      </w:r>
      <w:r w:rsidR="000F08DA" w:rsidRPr="00411A55">
        <w:rPr>
          <w:rFonts w:ascii="Book Antiqua" w:hAnsi="Book Antiqua"/>
          <w:color w:val="auto"/>
          <w:szCs w:val="24"/>
          <w:vertAlign w:val="superscript"/>
        </w:rPr>
        <w:t>[</w:t>
      </w:r>
      <w:proofErr w:type="gramEnd"/>
      <w:r w:rsidR="000F08DA" w:rsidRPr="00411A55">
        <w:rPr>
          <w:rFonts w:ascii="Book Antiqua" w:hAnsi="Book Antiqua"/>
          <w:color w:val="auto"/>
          <w:szCs w:val="24"/>
          <w:vertAlign w:val="superscript"/>
        </w:rPr>
        <w:t>54]</w:t>
      </w:r>
      <w:r w:rsidR="002B7883">
        <w:rPr>
          <w:rFonts w:ascii="Book Antiqua" w:hAnsi="Book Antiqua"/>
          <w:color w:val="auto"/>
          <w:szCs w:val="24"/>
        </w:rPr>
        <w:t xml:space="preserve">, </w:t>
      </w:r>
      <w:r w:rsidRPr="00411A55">
        <w:rPr>
          <w:rFonts w:ascii="Book Antiqua" w:hAnsi="Book Antiqua"/>
          <w:color w:val="auto"/>
          <w:szCs w:val="24"/>
        </w:rPr>
        <w:t>data from RCTs investigat</w:t>
      </w:r>
      <w:r w:rsidR="002B7883">
        <w:rPr>
          <w:rFonts w:ascii="Book Antiqua" w:hAnsi="Book Antiqua"/>
          <w:color w:val="auto"/>
          <w:szCs w:val="24"/>
        </w:rPr>
        <w:t>ing</w:t>
      </w:r>
      <w:r w:rsidRPr="00411A55">
        <w:rPr>
          <w:rFonts w:ascii="Book Antiqua" w:hAnsi="Book Antiqua"/>
          <w:color w:val="auto"/>
          <w:szCs w:val="24"/>
        </w:rPr>
        <w:t xml:space="preserve"> all endovascular treatment options for BTK arterial disease were elaborated. In total</w:t>
      </w:r>
      <w:r w:rsidR="002B7883">
        <w:rPr>
          <w:rFonts w:ascii="Book Antiqua" w:hAnsi="Book Antiqua"/>
          <w:color w:val="auto"/>
          <w:szCs w:val="24"/>
        </w:rPr>
        <w:t>,</w:t>
      </w:r>
      <w:r w:rsidRPr="00411A55">
        <w:rPr>
          <w:rFonts w:ascii="Book Antiqua" w:hAnsi="Book Antiqua"/>
          <w:color w:val="auto"/>
          <w:szCs w:val="24"/>
        </w:rPr>
        <w:t xml:space="preserve"> 16 RCTs with 1</w:t>
      </w:r>
      <w:r w:rsidR="002B7883">
        <w:rPr>
          <w:rFonts w:ascii="Book Antiqua" w:hAnsi="Book Antiqua"/>
          <w:color w:val="auto"/>
          <w:szCs w:val="24"/>
        </w:rPr>
        <w:t>,</w:t>
      </w:r>
      <w:r w:rsidRPr="00411A55">
        <w:rPr>
          <w:rFonts w:ascii="Book Antiqua" w:hAnsi="Book Antiqua"/>
          <w:color w:val="auto"/>
          <w:szCs w:val="24"/>
        </w:rPr>
        <w:t>805 patients were analyzed. Median follow-up was 1</w:t>
      </w:r>
      <w:r w:rsidR="002B7883">
        <w:rPr>
          <w:rFonts w:ascii="Book Antiqua" w:hAnsi="Book Antiqua"/>
          <w:color w:val="auto"/>
          <w:szCs w:val="24"/>
        </w:rPr>
        <w:t xml:space="preserve"> </w:t>
      </w:r>
      <w:r w:rsidRPr="00411A55">
        <w:rPr>
          <w:rFonts w:ascii="Book Antiqua" w:hAnsi="Book Antiqua"/>
          <w:color w:val="auto"/>
          <w:szCs w:val="24"/>
        </w:rPr>
        <w:t>year. The authors created a network of comparisons between infrapopliteal DES, DCB, plain balloon angioplasty and BMS</w:t>
      </w:r>
      <w:r w:rsidR="002B7883">
        <w:rPr>
          <w:rFonts w:ascii="Book Antiqua" w:hAnsi="Book Antiqua"/>
          <w:color w:val="auto"/>
          <w:szCs w:val="24"/>
        </w:rPr>
        <w:t>,</w:t>
      </w:r>
      <w:r w:rsidRPr="00411A55">
        <w:rPr>
          <w:rFonts w:ascii="Book Antiqua" w:hAnsi="Book Antiqua"/>
          <w:color w:val="auto"/>
          <w:szCs w:val="24"/>
        </w:rPr>
        <w:t xml:space="preserve"> and calculated the cumulative rank probabilities to provide hierarchies of these treatments. Outcomes were found</w:t>
      </w:r>
      <w:r w:rsidR="002B7883">
        <w:rPr>
          <w:rFonts w:ascii="Book Antiqua" w:hAnsi="Book Antiqua"/>
          <w:color w:val="auto"/>
          <w:szCs w:val="24"/>
        </w:rPr>
        <w:t xml:space="preserve"> to be</w:t>
      </w:r>
      <w:r w:rsidRPr="00411A55">
        <w:rPr>
          <w:rFonts w:ascii="Book Antiqua" w:hAnsi="Book Antiqua"/>
          <w:color w:val="auto"/>
          <w:szCs w:val="24"/>
        </w:rPr>
        <w:t xml:space="preserve"> stable </w:t>
      </w:r>
      <w:r w:rsidR="002B7883">
        <w:rPr>
          <w:rFonts w:ascii="Book Antiqua" w:hAnsi="Book Antiqua"/>
          <w:color w:val="auto"/>
          <w:szCs w:val="24"/>
        </w:rPr>
        <w:t xml:space="preserve">upon </w:t>
      </w:r>
      <w:r w:rsidRPr="00411A55">
        <w:rPr>
          <w:rFonts w:ascii="Book Antiqua" w:hAnsi="Book Antiqua"/>
          <w:color w:val="auto"/>
          <w:szCs w:val="24"/>
        </w:rPr>
        <w:t>sensitivity and meta-regression analyses. No significant publication bias or inconsistency was detected. DES</w:t>
      </w:r>
      <w:r w:rsidR="002B7883">
        <w:rPr>
          <w:rFonts w:ascii="Book Antiqua" w:hAnsi="Book Antiqua"/>
          <w:color w:val="auto"/>
          <w:szCs w:val="24"/>
        </w:rPr>
        <w:t>s</w:t>
      </w:r>
      <w:r w:rsidRPr="00411A55">
        <w:rPr>
          <w:rFonts w:ascii="Book Antiqua" w:hAnsi="Book Antiqua"/>
          <w:color w:val="auto"/>
          <w:szCs w:val="24"/>
        </w:rPr>
        <w:t xml:space="preserve"> were found to significantly reduce restenosis, amputations and revascularization procedures compared to </w:t>
      </w:r>
      <w:r w:rsidR="002B5C16" w:rsidRPr="00411A55">
        <w:rPr>
          <w:rFonts w:ascii="Book Antiqua" w:hAnsi="Book Antiqua"/>
          <w:color w:val="auto"/>
          <w:szCs w:val="24"/>
        </w:rPr>
        <w:t>BMS</w:t>
      </w:r>
      <w:r w:rsidRPr="00411A55">
        <w:rPr>
          <w:rFonts w:ascii="Book Antiqua" w:hAnsi="Book Antiqua"/>
          <w:color w:val="auto"/>
          <w:szCs w:val="24"/>
        </w:rPr>
        <w:t xml:space="preserve">s and plain balloon angioplasty. Specifically, DES reduced restenosis </w:t>
      </w:r>
      <w:r w:rsidR="00A75329">
        <w:rPr>
          <w:rFonts w:ascii="Book Antiqua" w:hAnsi="Book Antiqua"/>
          <w:color w:val="auto"/>
          <w:szCs w:val="24"/>
        </w:rPr>
        <w:t xml:space="preserve">compared with BMS </w:t>
      </w:r>
      <w:r w:rsidR="00A75329">
        <w:rPr>
          <w:rFonts w:ascii="Book Antiqua" w:eastAsia="宋体" w:hAnsi="Book Antiqua" w:hint="eastAsia"/>
          <w:color w:val="auto"/>
          <w:szCs w:val="24"/>
          <w:lang w:eastAsia="zh-CN"/>
        </w:rPr>
        <w:t>[</w:t>
      </w:r>
      <w:r w:rsidR="00A75329">
        <w:rPr>
          <w:rFonts w:ascii="Book Antiqua" w:hAnsi="Book Antiqua"/>
          <w:color w:val="auto"/>
          <w:szCs w:val="24"/>
        </w:rPr>
        <w:t>OR 0.26, 95%</w:t>
      </w:r>
      <w:r w:rsidR="00A75329" w:rsidRPr="00411A55">
        <w:rPr>
          <w:rFonts w:ascii="Book Antiqua" w:hAnsi="Book Antiqua"/>
          <w:color w:val="auto"/>
          <w:szCs w:val="24"/>
        </w:rPr>
        <w:t>Credible Interval (CrI)</w:t>
      </w:r>
      <w:r w:rsidR="00A75329">
        <w:rPr>
          <w:rFonts w:ascii="Book Antiqua" w:eastAsia="宋体" w:hAnsi="Book Antiqua" w:hint="eastAsia"/>
          <w:color w:val="auto"/>
          <w:szCs w:val="24"/>
          <w:lang w:eastAsia="zh-CN"/>
        </w:rPr>
        <w:t>:</w:t>
      </w:r>
      <w:r w:rsidRPr="00411A55">
        <w:rPr>
          <w:rFonts w:ascii="Book Antiqua" w:hAnsi="Book Antiqua"/>
          <w:color w:val="auto"/>
          <w:szCs w:val="24"/>
        </w:rPr>
        <w:t xml:space="preserve"> 0.12 to 0.51</w:t>
      </w:r>
      <w:r w:rsidR="00A75329">
        <w:rPr>
          <w:rFonts w:ascii="Book Antiqua" w:eastAsia="宋体" w:hAnsi="Book Antiqua" w:hint="eastAsia"/>
          <w:color w:val="auto"/>
          <w:szCs w:val="24"/>
          <w:lang w:eastAsia="zh-CN"/>
        </w:rPr>
        <w:t>]</w:t>
      </w:r>
      <w:r w:rsidRPr="00411A55">
        <w:rPr>
          <w:rFonts w:ascii="Book Antiqua" w:hAnsi="Book Antiqua"/>
          <w:color w:val="auto"/>
          <w:szCs w:val="24"/>
        </w:rPr>
        <w:t xml:space="preserve"> and plain balloon angiopl</w:t>
      </w:r>
      <w:r w:rsidR="00A75329">
        <w:rPr>
          <w:rFonts w:ascii="Book Antiqua" w:hAnsi="Book Antiqua"/>
          <w:color w:val="auto"/>
          <w:szCs w:val="24"/>
        </w:rPr>
        <w:t>asty (Odds Ratio (OR) 0.22, 95%</w:t>
      </w:r>
      <w:r w:rsidRPr="00411A55">
        <w:rPr>
          <w:rFonts w:ascii="Book Antiqua" w:hAnsi="Book Antiqua"/>
          <w:color w:val="auto"/>
          <w:szCs w:val="24"/>
        </w:rPr>
        <w:t>CrI</w:t>
      </w:r>
      <w:r w:rsidR="00A75329">
        <w:rPr>
          <w:rFonts w:ascii="Book Antiqua" w:eastAsia="宋体" w:hAnsi="Book Antiqua" w:hint="eastAsia"/>
          <w:color w:val="auto"/>
          <w:szCs w:val="24"/>
          <w:lang w:eastAsia="zh-CN"/>
        </w:rPr>
        <w:t>:</w:t>
      </w:r>
      <w:r w:rsidRPr="00411A55">
        <w:rPr>
          <w:rFonts w:ascii="Book Antiqua" w:hAnsi="Book Antiqua"/>
          <w:color w:val="auto"/>
          <w:szCs w:val="24"/>
        </w:rPr>
        <w:t xml:space="preserve"> 0.11 to 0.45)</w:t>
      </w:r>
      <w:r w:rsidR="002B7883">
        <w:rPr>
          <w:rFonts w:ascii="Book Antiqua" w:hAnsi="Book Antiqua"/>
          <w:color w:val="auto"/>
          <w:szCs w:val="24"/>
        </w:rPr>
        <w:t>,</w:t>
      </w:r>
      <w:r w:rsidRPr="00411A55">
        <w:rPr>
          <w:rFonts w:ascii="Book Antiqua" w:hAnsi="Book Antiqua"/>
          <w:color w:val="auto"/>
          <w:szCs w:val="24"/>
        </w:rPr>
        <w:t xml:space="preserve"> and also reduced TLR compared with plain balloon angioplasty (OR 0.41, </w:t>
      </w:r>
      <w:r w:rsidR="00A75329">
        <w:rPr>
          <w:rFonts w:ascii="Book Antiqua" w:hAnsi="Book Antiqua"/>
          <w:color w:val="auto"/>
          <w:szCs w:val="24"/>
        </w:rPr>
        <w:t>95%</w:t>
      </w:r>
      <w:r w:rsidR="00A75329" w:rsidRPr="00411A55">
        <w:rPr>
          <w:rFonts w:ascii="Book Antiqua" w:hAnsi="Book Antiqua"/>
          <w:color w:val="auto"/>
          <w:szCs w:val="24"/>
        </w:rPr>
        <w:t>CrI</w:t>
      </w:r>
      <w:r w:rsidR="00A75329">
        <w:rPr>
          <w:rFonts w:ascii="Book Antiqua" w:eastAsia="宋体" w:hAnsi="Book Antiqua" w:hint="eastAsia"/>
          <w:color w:val="auto"/>
          <w:szCs w:val="24"/>
          <w:lang w:eastAsia="zh-CN"/>
        </w:rPr>
        <w:t>:</w:t>
      </w:r>
      <w:r w:rsidRPr="00411A55">
        <w:rPr>
          <w:rFonts w:ascii="Book Antiqua" w:hAnsi="Book Antiqua"/>
          <w:color w:val="auto"/>
          <w:szCs w:val="24"/>
        </w:rPr>
        <w:t xml:space="preserve"> 0.22 to 0.75) and BMS (OR 0.26, </w:t>
      </w:r>
      <w:r w:rsidR="00A75329">
        <w:rPr>
          <w:rFonts w:ascii="Book Antiqua" w:hAnsi="Book Antiqua"/>
          <w:color w:val="auto"/>
          <w:szCs w:val="24"/>
        </w:rPr>
        <w:t>95%</w:t>
      </w:r>
      <w:r w:rsidR="00A75329" w:rsidRPr="00411A55">
        <w:rPr>
          <w:rFonts w:ascii="Book Antiqua" w:hAnsi="Book Antiqua"/>
          <w:color w:val="auto"/>
          <w:szCs w:val="24"/>
        </w:rPr>
        <w:t>CrI</w:t>
      </w:r>
      <w:r w:rsidR="00A75329">
        <w:rPr>
          <w:rFonts w:ascii="Book Antiqua" w:eastAsia="宋体" w:hAnsi="Book Antiqua" w:hint="eastAsia"/>
          <w:color w:val="auto"/>
          <w:szCs w:val="24"/>
          <w:lang w:eastAsia="zh-CN"/>
        </w:rPr>
        <w:t>:</w:t>
      </w:r>
      <w:r w:rsidRPr="00411A55">
        <w:rPr>
          <w:rFonts w:ascii="Book Antiqua" w:hAnsi="Book Antiqua"/>
          <w:color w:val="auto"/>
          <w:szCs w:val="24"/>
        </w:rPr>
        <w:t xml:space="preserve"> 0.15 to 0.45) (quality of evidence high). DCBs reduced TLR compared with plain balloon angioplasty (OR 0.55, </w:t>
      </w:r>
      <w:r w:rsidR="00A75329">
        <w:rPr>
          <w:rFonts w:ascii="Book Antiqua" w:hAnsi="Book Antiqua"/>
          <w:color w:val="auto"/>
          <w:szCs w:val="24"/>
        </w:rPr>
        <w:t>95%</w:t>
      </w:r>
      <w:r w:rsidR="00A75329" w:rsidRPr="00411A55">
        <w:rPr>
          <w:rFonts w:ascii="Book Antiqua" w:hAnsi="Book Antiqua"/>
          <w:color w:val="auto"/>
          <w:szCs w:val="24"/>
        </w:rPr>
        <w:t>CrI</w:t>
      </w:r>
      <w:r w:rsidR="00A75329">
        <w:rPr>
          <w:rFonts w:ascii="Book Antiqua" w:eastAsia="宋体" w:hAnsi="Book Antiqua" w:hint="eastAsia"/>
          <w:color w:val="auto"/>
          <w:szCs w:val="24"/>
          <w:lang w:eastAsia="zh-CN"/>
        </w:rPr>
        <w:t>:</w:t>
      </w:r>
      <w:r w:rsidRPr="00411A55">
        <w:rPr>
          <w:rFonts w:ascii="Book Antiqua" w:hAnsi="Book Antiqua"/>
          <w:color w:val="auto"/>
          <w:szCs w:val="24"/>
        </w:rPr>
        <w:t xml:space="preserve"> 0.34 to 0.90) and BMS (OR 0.35, </w:t>
      </w:r>
      <w:r w:rsidR="00A75329">
        <w:rPr>
          <w:rFonts w:ascii="Book Antiqua" w:hAnsi="Book Antiqua"/>
          <w:color w:val="auto"/>
          <w:szCs w:val="24"/>
        </w:rPr>
        <w:t>95%</w:t>
      </w:r>
      <w:r w:rsidR="00A75329" w:rsidRPr="00411A55">
        <w:rPr>
          <w:rFonts w:ascii="Book Antiqua" w:hAnsi="Book Antiqua"/>
          <w:color w:val="auto"/>
          <w:szCs w:val="24"/>
        </w:rPr>
        <w:t>CrI</w:t>
      </w:r>
      <w:r w:rsidR="00A75329">
        <w:rPr>
          <w:rFonts w:ascii="Book Antiqua" w:eastAsia="宋体" w:hAnsi="Book Antiqua" w:hint="eastAsia"/>
          <w:color w:val="auto"/>
          <w:szCs w:val="24"/>
          <w:lang w:eastAsia="zh-CN"/>
        </w:rPr>
        <w:t>:</w:t>
      </w:r>
      <w:r w:rsidRPr="00411A55">
        <w:rPr>
          <w:rFonts w:ascii="Book Antiqua" w:hAnsi="Book Antiqua"/>
          <w:color w:val="auto"/>
          <w:szCs w:val="24"/>
        </w:rPr>
        <w:t xml:space="preserve"> 0.18 to 0.67) (quality of evidence low to moderate), while plain balloon angioplasty resulted in significantly less TLR than BMS (OR 0.63, </w:t>
      </w:r>
      <w:r w:rsidR="00A75329">
        <w:rPr>
          <w:rFonts w:ascii="Book Antiqua" w:hAnsi="Book Antiqua"/>
          <w:color w:val="auto"/>
          <w:szCs w:val="24"/>
        </w:rPr>
        <w:t>95%</w:t>
      </w:r>
      <w:r w:rsidR="00A75329" w:rsidRPr="00411A55">
        <w:rPr>
          <w:rFonts w:ascii="Book Antiqua" w:hAnsi="Book Antiqua"/>
          <w:color w:val="auto"/>
          <w:szCs w:val="24"/>
        </w:rPr>
        <w:t>CrI</w:t>
      </w:r>
      <w:r w:rsidR="00A75329">
        <w:rPr>
          <w:rFonts w:ascii="Book Antiqua" w:eastAsia="宋体" w:hAnsi="Book Antiqua" w:hint="eastAsia"/>
          <w:color w:val="auto"/>
          <w:szCs w:val="24"/>
          <w:lang w:eastAsia="zh-CN"/>
        </w:rPr>
        <w:t>:</w:t>
      </w:r>
      <w:r w:rsidRPr="00411A55">
        <w:rPr>
          <w:rFonts w:ascii="Book Antiqua" w:hAnsi="Book Antiqua"/>
          <w:color w:val="auto"/>
          <w:szCs w:val="24"/>
        </w:rPr>
        <w:t xml:space="preserve"> 0.40 to 0.99) (level of evidence high). Furthermore, DES significantly reduced limb amputations compared with plain balloon angioplasty (OR 0.58, </w:t>
      </w:r>
      <w:r w:rsidR="00A75329">
        <w:rPr>
          <w:rFonts w:ascii="Book Antiqua" w:hAnsi="Book Antiqua"/>
          <w:color w:val="auto"/>
          <w:szCs w:val="24"/>
        </w:rPr>
        <w:t>95%</w:t>
      </w:r>
      <w:r w:rsidR="00A75329" w:rsidRPr="00411A55">
        <w:rPr>
          <w:rFonts w:ascii="Book Antiqua" w:hAnsi="Book Antiqua"/>
          <w:color w:val="auto"/>
          <w:szCs w:val="24"/>
        </w:rPr>
        <w:t>CrI</w:t>
      </w:r>
      <w:r w:rsidR="00A75329">
        <w:rPr>
          <w:rFonts w:ascii="Book Antiqua" w:eastAsia="宋体" w:hAnsi="Book Antiqua" w:hint="eastAsia"/>
          <w:color w:val="auto"/>
          <w:szCs w:val="24"/>
          <w:lang w:eastAsia="zh-CN"/>
        </w:rPr>
        <w:t>:</w:t>
      </w:r>
      <w:r w:rsidRPr="00411A55">
        <w:rPr>
          <w:rFonts w:ascii="Book Antiqua" w:hAnsi="Book Antiqua"/>
          <w:color w:val="auto"/>
          <w:szCs w:val="24"/>
        </w:rPr>
        <w:t xml:space="preserve"> 0.35 to 0.96), DCB (OR 0.51, </w:t>
      </w:r>
      <w:r w:rsidR="00A75329">
        <w:rPr>
          <w:rFonts w:ascii="Book Antiqua" w:hAnsi="Book Antiqua"/>
          <w:color w:val="auto"/>
          <w:szCs w:val="24"/>
        </w:rPr>
        <w:t>95%</w:t>
      </w:r>
      <w:r w:rsidR="00A75329" w:rsidRPr="00411A55">
        <w:rPr>
          <w:rFonts w:ascii="Book Antiqua" w:hAnsi="Book Antiqua"/>
          <w:color w:val="auto"/>
          <w:szCs w:val="24"/>
        </w:rPr>
        <w:t>CrI</w:t>
      </w:r>
      <w:r w:rsidR="00A75329">
        <w:rPr>
          <w:rFonts w:ascii="Book Antiqua" w:eastAsia="宋体" w:hAnsi="Book Antiqua" w:hint="eastAsia"/>
          <w:color w:val="auto"/>
          <w:szCs w:val="24"/>
          <w:lang w:eastAsia="zh-CN"/>
        </w:rPr>
        <w:t>:</w:t>
      </w:r>
      <w:r w:rsidRPr="00411A55">
        <w:rPr>
          <w:rFonts w:ascii="Book Antiqua" w:hAnsi="Book Antiqua"/>
          <w:color w:val="auto"/>
          <w:szCs w:val="24"/>
        </w:rPr>
        <w:t xml:space="preserve"> 0.26 to 0.98), or BMS (OR 0.38, </w:t>
      </w:r>
      <w:r w:rsidR="00A75329">
        <w:rPr>
          <w:rFonts w:ascii="Book Antiqua" w:hAnsi="Book Antiqua"/>
          <w:color w:val="auto"/>
          <w:szCs w:val="24"/>
        </w:rPr>
        <w:t>95%</w:t>
      </w:r>
      <w:r w:rsidR="00A75329" w:rsidRPr="00411A55">
        <w:rPr>
          <w:rFonts w:ascii="Book Antiqua" w:hAnsi="Book Antiqua"/>
          <w:color w:val="auto"/>
          <w:szCs w:val="24"/>
        </w:rPr>
        <w:t>CrI</w:t>
      </w:r>
      <w:r w:rsidR="00A75329">
        <w:rPr>
          <w:rFonts w:ascii="Book Antiqua" w:eastAsia="宋体" w:hAnsi="Book Antiqua" w:hint="eastAsia"/>
          <w:color w:val="auto"/>
          <w:szCs w:val="24"/>
          <w:lang w:eastAsia="zh-CN"/>
        </w:rPr>
        <w:t>:</w:t>
      </w:r>
      <w:r w:rsidRPr="00411A55">
        <w:rPr>
          <w:rFonts w:ascii="Book Antiqua" w:hAnsi="Book Antiqua"/>
          <w:color w:val="auto"/>
          <w:szCs w:val="24"/>
        </w:rPr>
        <w:t xml:space="preserve"> 0.19 to 0.72) (quality of evidence moderate to high)</w:t>
      </w:r>
      <w:r w:rsidR="002B7883">
        <w:rPr>
          <w:rFonts w:ascii="Book Antiqua" w:hAnsi="Book Antiqua"/>
          <w:color w:val="auto"/>
          <w:szCs w:val="24"/>
        </w:rPr>
        <w:t>,</w:t>
      </w:r>
      <w:r w:rsidRPr="00411A55">
        <w:rPr>
          <w:rFonts w:ascii="Book Antiqua" w:hAnsi="Book Antiqua"/>
          <w:color w:val="auto"/>
          <w:szCs w:val="24"/>
        </w:rPr>
        <w:t xml:space="preserve"> and improved wound healing compared with plain balloon angioplasty (OR 2.02, </w:t>
      </w:r>
      <w:r w:rsidR="00A75329">
        <w:rPr>
          <w:rFonts w:ascii="Book Antiqua" w:hAnsi="Book Antiqua"/>
          <w:color w:val="auto"/>
          <w:szCs w:val="24"/>
        </w:rPr>
        <w:t>95%</w:t>
      </w:r>
      <w:r w:rsidR="00A75329" w:rsidRPr="00411A55">
        <w:rPr>
          <w:rFonts w:ascii="Book Antiqua" w:hAnsi="Book Antiqua"/>
          <w:color w:val="auto"/>
          <w:szCs w:val="24"/>
        </w:rPr>
        <w:t>CrI</w:t>
      </w:r>
      <w:r w:rsidR="00A75329">
        <w:rPr>
          <w:rFonts w:ascii="Book Antiqua" w:eastAsia="宋体" w:hAnsi="Book Antiqua" w:hint="eastAsia"/>
          <w:color w:val="auto"/>
          <w:szCs w:val="24"/>
          <w:lang w:eastAsia="zh-CN"/>
        </w:rPr>
        <w:t>:</w:t>
      </w:r>
      <w:r w:rsidRPr="00411A55">
        <w:rPr>
          <w:rFonts w:ascii="Book Antiqua" w:hAnsi="Book Antiqua"/>
          <w:color w:val="auto"/>
          <w:szCs w:val="24"/>
        </w:rPr>
        <w:t xml:space="preserve"> 1.01 to 4.07) or BMS (OR 3.45, </w:t>
      </w:r>
      <w:r w:rsidR="00A75329">
        <w:rPr>
          <w:rFonts w:ascii="Book Antiqua" w:hAnsi="Book Antiqua"/>
          <w:color w:val="auto"/>
          <w:szCs w:val="24"/>
        </w:rPr>
        <w:t>95%</w:t>
      </w:r>
      <w:r w:rsidR="00A75329" w:rsidRPr="00411A55">
        <w:rPr>
          <w:rFonts w:ascii="Book Antiqua" w:hAnsi="Book Antiqua"/>
          <w:color w:val="auto"/>
          <w:szCs w:val="24"/>
        </w:rPr>
        <w:t>CrI</w:t>
      </w:r>
      <w:r w:rsidR="00A75329">
        <w:rPr>
          <w:rFonts w:ascii="Book Antiqua" w:eastAsia="宋体" w:hAnsi="Book Antiqua" w:hint="eastAsia"/>
          <w:color w:val="auto"/>
          <w:szCs w:val="24"/>
          <w:lang w:eastAsia="zh-CN"/>
        </w:rPr>
        <w:t>:</w:t>
      </w:r>
      <w:r w:rsidRPr="00411A55">
        <w:rPr>
          <w:rFonts w:ascii="Book Antiqua" w:hAnsi="Book Antiqua"/>
          <w:color w:val="auto"/>
          <w:szCs w:val="24"/>
        </w:rPr>
        <w:t xml:space="preserve"> 1.41 to 8.73) (quality of evidence high). The abovementioned high level of evidence establishes DES as the dominant endovascular treatment modality for BTK disease, although these outcomes mainly relate to short</w:t>
      </w:r>
      <w:r w:rsidR="002B7883">
        <w:rPr>
          <w:rFonts w:ascii="Book Antiqua" w:hAnsi="Book Antiqua"/>
          <w:color w:val="auto"/>
          <w:szCs w:val="24"/>
        </w:rPr>
        <w:t>-</w:t>
      </w:r>
      <w:r w:rsidRPr="00411A55">
        <w:rPr>
          <w:rFonts w:ascii="Book Antiqua" w:hAnsi="Book Antiqua"/>
          <w:color w:val="auto"/>
          <w:szCs w:val="24"/>
        </w:rPr>
        <w:t>to</w:t>
      </w:r>
      <w:r w:rsidR="002B7883">
        <w:rPr>
          <w:rFonts w:ascii="Book Antiqua" w:hAnsi="Book Antiqua"/>
          <w:color w:val="auto"/>
          <w:szCs w:val="24"/>
        </w:rPr>
        <w:t>-</w:t>
      </w:r>
      <w:r w:rsidRPr="00411A55">
        <w:rPr>
          <w:rFonts w:ascii="Book Antiqua" w:hAnsi="Book Antiqua"/>
          <w:color w:val="auto"/>
          <w:szCs w:val="24"/>
        </w:rPr>
        <w:t>medium length lesions and short-to-midterm follow-up.</w:t>
      </w:r>
    </w:p>
    <w:p w14:paraId="51474CAA" w14:textId="77777777"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hAnsi="Book Antiqua"/>
          <w:color w:val="auto"/>
          <w:szCs w:val="24"/>
        </w:rPr>
      </w:pPr>
    </w:p>
    <w:p w14:paraId="3754F8BD" w14:textId="728C8A33" w:rsidR="00110C9A" w:rsidRPr="00A75329" w:rsidRDefault="00A75329"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hAnsi="Book Antiqua"/>
          <w:b/>
          <w:color w:val="auto"/>
          <w:szCs w:val="24"/>
        </w:rPr>
      </w:pPr>
      <w:r w:rsidRPr="00A75329">
        <w:rPr>
          <w:rFonts w:ascii="Book Antiqua" w:hAnsi="Book Antiqua"/>
          <w:b/>
          <w:color w:val="auto"/>
          <w:szCs w:val="24"/>
        </w:rPr>
        <w:t>DRUG INFUSION CATHETERS</w:t>
      </w:r>
    </w:p>
    <w:p w14:paraId="51D7427A" w14:textId="39F70CF8"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hAnsi="Book Antiqua"/>
          <w:color w:val="auto"/>
          <w:szCs w:val="24"/>
        </w:rPr>
      </w:pPr>
      <w:r w:rsidRPr="00411A55">
        <w:rPr>
          <w:rFonts w:ascii="Book Antiqua" w:hAnsi="Book Antiqua"/>
          <w:color w:val="auto"/>
          <w:szCs w:val="24"/>
        </w:rPr>
        <w:t>New elution technologies for BTK treatment include catheters that can deliver therapeutic agents directly to the vessel wall, eliminating drug loss in the circulation.</w:t>
      </w:r>
      <w:r w:rsidR="0072555B" w:rsidRPr="00411A55">
        <w:rPr>
          <w:rFonts w:ascii="Book Antiqua" w:hAnsi="Book Antiqua"/>
          <w:color w:val="auto"/>
          <w:szCs w:val="24"/>
        </w:rPr>
        <w:t xml:space="preserve"> The Occlusion Perfusion Catheter (Advanced Catheter Therapies, Chattanooga, TN) is a universal delivery catheter capable of delivering paclitaxel to the media by forming a treatment chamber between two occlusion balloons. Results from a small multi-center study are promising</w:t>
      </w:r>
      <w:r w:rsidR="0072555B" w:rsidRPr="00411A55">
        <w:rPr>
          <w:rFonts w:ascii="Book Antiqua" w:hAnsi="Book Antiqua"/>
          <w:color w:val="auto"/>
          <w:szCs w:val="24"/>
          <w:vertAlign w:val="superscript"/>
        </w:rPr>
        <w:t>[55</w:t>
      </w:r>
      <w:r w:rsidRPr="00411A55">
        <w:rPr>
          <w:rFonts w:ascii="Book Antiqua" w:hAnsi="Book Antiqua"/>
          <w:color w:val="auto"/>
          <w:szCs w:val="24"/>
          <w:vertAlign w:val="superscript"/>
        </w:rPr>
        <w:t>]</w:t>
      </w:r>
      <w:r w:rsidRPr="00411A55">
        <w:rPr>
          <w:rFonts w:ascii="Book Antiqua" w:hAnsi="Book Antiqua"/>
          <w:color w:val="auto"/>
          <w:szCs w:val="24"/>
        </w:rPr>
        <w:t xml:space="preserve">. Moreover, the infusion of dexamethasone in the adventitia of infrapopliteal arteries is also being studied. The LIMBO-PTA prospective, multicenter RCT is currently recruiting CLI patients (up to 120 participants) in up to 30 sites </w:t>
      </w:r>
      <w:r w:rsidR="00952218">
        <w:rPr>
          <w:rFonts w:ascii="Book Antiqua" w:hAnsi="Book Antiqua"/>
          <w:color w:val="auto"/>
          <w:szCs w:val="24"/>
        </w:rPr>
        <w:t>throughout</w:t>
      </w:r>
      <w:r w:rsidRPr="00411A55">
        <w:rPr>
          <w:rFonts w:ascii="Book Antiqua" w:hAnsi="Book Antiqua"/>
          <w:color w:val="auto"/>
          <w:szCs w:val="24"/>
        </w:rPr>
        <w:t xml:space="preserve"> Europe and the US</w:t>
      </w:r>
      <w:r w:rsidR="00952218">
        <w:rPr>
          <w:rFonts w:ascii="Book Antiqua" w:hAnsi="Book Antiqua"/>
          <w:color w:val="auto"/>
          <w:szCs w:val="24"/>
        </w:rPr>
        <w:t xml:space="preserve"> in order</w:t>
      </w:r>
      <w:r w:rsidRPr="00411A55">
        <w:rPr>
          <w:rFonts w:ascii="Book Antiqua" w:hAnsi="Book Antiqua"/>
          <w:color w:val="auto"/>
          <w:szCs w:val="24"/>
        </w:rPr>
        <w:t xml:space="preserve"> to document the effects of adventitial delivery of dexamethasone via the Bullfrog Micro-Infusion Device</w:t>
      </w:r>
      <w:r w:rsidR="00F1601A">
        <w:rPr>
          <w:rFonts w:ascii="Book Antiqua" w:hAnsi="Book Antiqua"/>
          <w:color w:val="auto"/>
          <w:szCs w:val="24"/>
        </w:rPr>
        <w:t xml:space="preserve"> </w:t>
      </w:r>
      <w:r w:rsidRPr="00411A55">
        <w:rPr>
          <w:rFonts w:ascii="Book Antiqua" w:hAnsi="Book Antiqua"/>
          <w:color w:val="auto"/>
          <w:szCs w:val="24"/>
        </w:rPr>
        <w:t>(Mercator MedSystems, Inc.</w:t>
      </w:r>
      <w:r w:rsidR="002959B6">
        <w:rPr>
          <w:rFonts w:ascii="Book Antiqua" w:eastAsia="宋体" w:hAnsi="Book Antiqua" w:hint="eastAsia"/>
          <w:color w:val="auto"/>
          <w:szCs w:val="24"/>
          <w:lang w:eastAsia="zh-CN"/>
        </w:rPr>
        <w:t>,</w:t>
      </w:r>
      <w:r w:rsidRPr="00411A55">
        <w:rPr>
          <w:rFonts w:ascii="Book Antiqua" w:hAnsi="Book Antiqua"/>
          <w:color w:val="auto"/>
          <w:szCs w:val="24"/>
        </w:rPr>
        <w:t xml:space="preserve"> U</w:t>
      </w:r>
      <w:r w:rsidR="002959B6">
        <w:rPr>
          <w:rFonts w:ascii="Book Antiqua" w:eastAsia="宋体" w:hAnsi="Book Antiqua" w:hint="eastAsia"/>
          <w:color w:val="auto"/>
          <w:szCs w:val="24"/>
          <w:lang w:eastAsia="zh-CN"/>
        </w:rPr>
        <w:t xml:space="preserve">nited </w:t>
      </w:r>
      <w:r w:rsidRPr="00411A55">
        <w:rPr>
          <w:rFonts w:ascii="Book Antiqua" w:hAnsi="Book Antiqua"/>
          <w:color w:val="auto"/>
          <w:szCs w:val="24"/>
        </w:rPr>
        <w:t>S</w:t>
      </w:r>
      <w:r w:rsidR="002959B6">
        <w:rPr>
          <w:rFonts w:ascii="Book Antiqua" w:eastAsia="宋体" w:hAnsi="Book Antiqua" w:hint="eastAsia"/>
          <w:color w:val="auto"/>
          <w:szCs w:val="24"/>
          <w:lang w:eastAsia="zh-CN"/>
        </w:rPr>
        <w:t>tates</w:t>
      </w:r>
      <w:r w:rsidRPr="00411A55">
        <w:rPr>
          <w:rFonts w:ascii="Book Antiqua" w:hAnsi="Book Antiqua"/>
          <w:color w:val="auto"/>
          <w:szCs w:val="24"/>
        </w:rPr>
        <w:t>) after balloon angioplasty of infrapopliteal lesions</w:t>
      </w:r>
      <w:r w:rsidRPr="00411A55">
        <w:rPr>
          <w:rFonts w:ascii="Book Antiqua" w:hAnsi="Book Antiqua"/>
          <w:color w:val="auto"/>
          <w:szCs w:val="24"/>
          <w:vertAlign w:val="superscript"/>
        </w:rPr>
        <w:t>[56]</w:t>
      </w:r>
      <w:r w:rsidRPr="00411A55">
        <w:rPr>
          <w:rFonts w:ascii="Book Antiqua" w:hAnsi="Book Antiqua"/>
          <w:color w:val="auto"/>
          <w:szCs w:val="24"/>
        </w:rPr>
        <w:t>. Patients will be randomized 1:1 to receive either the active treatment or control therapy. The study is currently recruiting patients, and the estimated study completion date is February 2020.</w:t>
      </w:r>
    </w:p>
    <w:p w14:paraId="4A1E17AA" w14:textId="77777777"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hAnsi="Book Antiqua"/>
          <w:color w:val="auto"/>
          <w:szCs w:val="24"/>
        </w:rPr>
      </w:pPr>
    </w:p>
    <w:p w14:paraId="39591CA0" w14:textId="050B1700" w:rsidR="00110C9A" w:rsidRPr="002959B6" w:rsidRDefault="002959B6"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hAnsi="Book Antiqua"/>
          <w:b/>
          <w:color w:val="auto"/>
          <w:szCs w:val="24"/>
        </w:rPr>
      </w:pPr>
      <w:r w:rsidRPr="002959B6">
        <w:rPr>
          <w:rFonts w:ascii="Book Antiqua" w:hAnsi="Book Antiqua"/>
          <w:b/>
          <w:color w:val="auto"/>
          <w:szCs w:val="24"/>
        </w:rPr>
        <w:t>CONCLUSION</w:t>
      </w:r>
    </w:p>
    <w:p w14:paraId="6DEBDF25" w14:textId="26C1FE79" w:rsidR="00110C9A" w:rsidRPr="003316A7"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hAnsi="Book Antiqua"/>
          <w:color w:val="auto"/>
          <w:szCs w:val="24"/>
        </w:rPr>
      </w:pPr>
      <w:r w:rsidRPr="00411A55">
        <w:rPr>
          <w:rFonts w:ascii="Book Antiqua" w:hAnsi="Book Antiqua"/>
          <w:color w:val="auto"/>
          <w:szCs w:val="24"/>
        </w:rPr>
        <w:t>Level IA evidence supports the use of infrapopliteal DES for short-to</w:t>
      </w:r>
      <w:r w:rsidR="00952218">
        <w:rPr>
          <w:rFonts w:ascii="Book Antiqua" w:hAnsi="Book Antiqua"/>
          <w:color w:val="auto"/>
          <w:szCs w:val="24"/>
        </w:rPr>
        <w:t>-</w:t>
      </w:r>
      <w:r w:rsidRPr="00411A55">
        <w:rPr>
          <w:rFonts w:ascii="Book Antiqua" w:hAnsi="Book Antiqua"/>
          <w:color w:val="auto"/>
          <w:szCs w:val="24"/>
        </w:rPr>
        <w:t>medium length lesions. New developments in DES</w:t>
      </w:r>
      <w:r w:rsidR="00952218">
        <w:rPr>
          <w:rFonts w:ascii="Book Antiqua" w:hAnsi="Book Antiqua"/>
          <w:color w:val="auto"/>
          <w:szCs w:val="24"/>
        </w:rPr>
        <w:t>,</w:t>
      </w:r>
      <w:r w:rsidRPr="00411A55">
        <w:rPr>
          <w:rFonts w:ascii="Book Antiqua" w:hAnsi="Book Antiqua"/>
          <w:color w:val="auto"/>
          <w:szCs w:val="24"/>
        </w:rPr>
        <w:t xml:space="preserve"> such as bioabsorbable, polymer-free or even longer self-expanding DES</w:t>
      </w:r>
      <w:r w:rsidR="00952218">
        <w:rPr>
          <w:rFonts w:ascii="Book Antiqua" w:hAnsi="Book Antiqua"/>
          <w:color w:val="auto"/>
          <w:szCs w:val="24"/>
        </w:rPr>
        <w:t>,</w:t>
      </w:r>
      <w:r w:rsidRPr="00411A55">
        <w:rPr>
          <w:rFonts w:ascii="Book Antiqua" w:hAnsi="Book Antiqua"/>
          <w:color w:val="auto"/>
          <w:szCs w:val="24"/>
        </w:rPr>
        <w:t xml:space="preserve"> could maximize outcomes. Large trials to prove their superiority over other endovascular technologies in longer lesions are required. DCBs are a very appealing endovascular solution for infrapopliteal artery disease due to their inherent features</w:t>
      </w:r>
      <w:r w:rsidR="00952218">
        <w:rPr>
          <w:rFonts w:ascii="Book Antiqua" w:hAnsi="Book Antiqua"/>
          <w:color w:val="auto"/>
          <w:szCs w:val="24"/>
        </w:rPr>
        <w:t>,</w:t>
      </w:r>
      <w:r w:rsidRPr="00411A55">
        <w:rPr>
          <w:rFonts w:ascii="Book Antiqua" w:hAnsi="Book Antiqua"/>
          <w:color w:val="auto"/>
          <w:szCs w:val="24"/>
        </w:rPr>
        <w:t xml:space="preserve"> which enable metal-free inhibition of vessel restenosis. However, data to prove the superiority of DCBs over plain balloon angioplasty are scarce</w:t>
      </w:r>
      <w:r w:rsidR="00952218">
        <w:rPr>
          <w:rFonts w:ascii="Book Antiqua" w:hAnsi="Book Antiqua"/>
          <w:color w:val="auto"/>
          <w:szCs w:val="24"/>
        </w:rPr>
        <w:t>. In</w:t>
      </w:r>
      <w:r w:rsidRPr="00411A55">
        <w:rPr>
          <w:rFonts w:ascii="Book Antiqua" w:hAnsi="Book Antiqua"/>
          <w:color w:val="auto"/>
          <w:szCs w:val="24"/>
        </w:rPr>
        <w:t xml:space="preserve"> a single-institution randomized comparison with DES in long infrapopliteal lesions, DES resulted in significantly less 6</w:t>
      </w:r>
      <w:r w:rsidR="00952218">
        <w:rPr>
          <w:rFonts w:ascii="Book Antiqua" w:hAnsi="Book Antiqua"/>
          <w:color w:val="auto"/>
          <w:szCs w:val="24"/>
        </w:rPr>
        <w:t xml:space="preserve"> </w:t>
      </w:r>
      <w:r w:rsidRPr="00411A55">
        <w:rPr>
          <w:rFonts w:ascii="Book Antiqua" w:hAnsi="Book Antiqua"/>
          <w:color w:val="auto"/>
          <w:szCs w:val="24"/>
        </w:rPr>
        <w:t>mo binary restenosis. Multicenter RCTs and long-term results from large-scale registries are awaited in order to justify the use of DCBs in BTK disease. New-generation drug</w:t>
      </w:r>
      <w:r w:rsidR="00952218">
        <w:rPr>
          <w:rFonts w:ascii="Book Antiqua" w:hAnsi="Book Antiqua"/>
          <w:color w:val="auto"/>
          <w:szCs w:val="24"/>
        </w:rPr>
        <w:t xml:space="preserve"> </w:t>
      </w:r>
      <w:r w:rsidRPr="00411A55">
        <w:rPr>
          <w:rFonts w:ascii="Book Antiqua" w:hAnsi="Book Antiqua"/>
          <w:color w:val="auto"/>
          <w:szCs w:val="24"/>
        </w:rPr>
        <w:t>elution and drug</w:t>
      </w:r>
      <w:r w:rsidR="00952218">
        <w:rPr>
          <w:rFonts w:ascii="Book Antiqua" w:hAnsi="Book Antiqua"/>
          <w:color w:val="auto"/>
          <w:szCs w:val="24"/>
        </w:rPr>
        <w:t xml:space="preserve"> </w:t>
      </w:r>
      <w:r w:rsidRPr="00411A55">
        <w:rPr>
          <w:rFonts w:ascii="Book Antiqua" w:hAnsi="Book Antiqua"/>
          <w:color w:val="auto"/>
          <w:szCs w:val="24"/>
        </w:rPr>
        <w:t>infusion devices are also under investigation.</w:t>
      </w:r>
      <w:r w:rsidRPr="00411A55">
        <w:rPr>
          <w:rFonts w:ascii="Book Antiqua" w:hAnsi="Book Antiqua"/>
          <w:color w:val="auto"/>
          <w:szCs w:val="24"/>
        </w:rPr>
        <w:br w:type="page"/>
      </w:r>
      <w:r w:rsidR="00E86B47" w:rsidRPr="003316A7">
        <w:rPr>
          <w:rFonts w:ascii="Book Antiqua" w:hAnsi="Book Antiqua"/>
          <w:b/>
          <w:color w:val="auto"/>
          <w:szCs w:val="24"/>
        </w:rPr>
        <w:t>REFERENCES</w:t>
      </w:r>
    </w:p>
    <w:p w14:paraId="1E6C508F"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1 </w:t>
      </w:r>
      <w:r w:rsidRPr="003316A7">
        <w:rPr>
          <w:rFonts w:ascii="Book Antiqua" w:hAnsi="Book Antiqua"/>
          <w:b/>
        </w:rPr>
        <w:t>Graziani L</w:t>
      </w:r>
      <w:r w:rsidRPr="003316A7">
        <w:rPr>
          <w:rFonts w:ascii="Book Antiqua" w:hAnsi="Book Antiqua"/>
        </w:rPr>
        <w:t xml:space="preserve">, Silvestro A, Bertone V, Manara E, Andreini R, Sigala A, Mingardi R, De Giglio R. Vascular involvement in diabetic subjects with ischemic foot ulcer: a new morphologic categorization of disease severity. </w:t>
      </w:r>
      <w:r w:rsidRPr="003316A7">
        <w:rPr>
          <w:rFonts w:ascii="Book Antiqua" w:hAnsi="Book Antiqua"/>
          <w:i/>
        </w:rPr>
        <w:t>Eur J Vasc Endovasc Surg</w:t>
      </w:r>
      <w:r w:rsidRPr="003316A7">
        <w:rPr>
          <w:rFonts w:ascii="Book Antiqua" w:hAnsi="Book Antiqua"/>
        </w:rPr>
        <w:t xml:space="preserve"> 2007; </w:t>
      </w:r>
      <w:r w:rsidRPr="003316A7">
        <w:rPr>
          <w:rFonts w:ascii="Book Antiqua" w:hAnsi="Book Antiqua"/>
          <w:b/>
        </w:rPr>
        <w:t>33</w:t>
      </w:r>
      <w:r w:rsidRPr="003316A7">
        <w:rPr>
          <w:rFonts w:ascii="Book Antiqua" w:hAnsi="Book Antiqua"/>
        </w:rPr>
        <w:t>: 453-460 [PMID: 17196848 DOI: 10.1016/j.ejvs.2006.11.022]</w:t>
      </w:r>
    </w:p>
    <w:p w14:paraId="3C5B437C"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2 </w:t>
      </w:r>
      <w:r w:rsidRPr="003316A7">
        <w:rPr>
          <w:rFonts w:ascii="Book Antiqua" w:hAnsi="Book Antiqua"/>
          <w:b/>
        </w:rPr>
        <w:t>Norgren L</w:t>
      </w:r>
      <w:r w:rsidRPr="003316A7">
        <w:rPr>
          <w:rFonts w:ascii="Book Antiqua" w:hAnsi="Book Antiqua"/>
        </w:rPr>
        <w:t xml:space="preserve">, Hiatt WR, Dormandy JA, Nehler MR, Harris KA, Fowkes FG; TASC II Working Group. Inter-Society Consensus for the Management of Peripheral Arterial Disease (TASC II). </w:t>
      </w:r>
      <w:r w:rsidRPr="003316A7">
        <w:rPr>
          <w:rFonts w:ascii="Book Antiqua" w:hAnsi="Book Antiqua"/>
          <w:i/>
        </w:rPr>
        <w:t>J Vasc Surg</w:t>
      </w:r>
      <w:r w:rsidRPr="003316A7">
        <w:rPr>
          <w:rFonts w:ascii="Book Antiqua" w:hAnsi="Book Antiqua"/>
        </w:rPr>
        <w:t xml:space="preserve"> 2007; </w:t>
      </w:r>
      <w:r w:rsidRPr="003316A7">
        <w:rPr>
          <w:rFonts w:ascii="Book Antiqua" w:hAnsi="Book Antiqua"/>
          <w:b/>
        </w:rPr>
        <w:t>45</w:t>
      </w:r>
      <w:r w:rsidRPr="003316A7">
        <w:rPr>
          <w:rFonts w:ascii="Book Antiqua" w:hAnsi="Book Antiqua"/>
        </w:rPr>
        <w:t xml:space="preserve"> Suppl S: S5-67 [PMID: 17223489 DOI: 10.1016/j.jvs.2006.12.037]</w:t>
      </w:r>
    </w:p>
    <w:p w14:paraId="1438B51B"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3 </w:t>
      </w:r>
      <w:r w:rsidRPr="003316A7">
        <w:rPr>
          <w:rFonts w:ascii="Book Antiqua" w:hAnsi="Book Antiqua"/>
          <w:b/>
        </w:rPr>
        <w:t>Rooke TW</w:t>
      </w:r>
      <w:r w:rsidRPr="003316A7">
        <w:rPr>
          <w:rFonts w:ascii="Book Antiqua" w:hAnsi="Book Antiqua"/>
        </w:rPr>
        <w:t xml:space="preserve">, Hirsch AT, Misra S, Sidawy AN, Beckman JA, Findeiss L, Golzarian J, Gornik HL, Jaff MR, Moneta GL, Olin JW, Stanley JC, White CJ, White JV, Zierler RE; American College of Cardiology Foundation Task Force; American Heart Association Task Force. Management of patients with peripheral artery disease (compilation of 2005 and 2011 ACCF/AHA Guideline Recommendations): a report of the American College of Cardiology Foundation/American Heart Association Task Force on Practice Guidelines. </w:t>
      </w:r>
      <w:r w:rsidRPr="003316A7">
        <w:rPr>
          <w:rFonts w:ascii="Book Antiqua" w:hAnsi="Book Antiqua"/>
          <w:i/>
        </w:rPr>
        <w:t>J Am Coll Cardiol</w:t>
      </w:r>
      <w:r w:rsidRPr="003316A7">
        <w:rPr>
          <w:rFonts w:ascii="Book Antiqua" w:hAnsi="Book Antiqua"/>
        </w:rPr>
        <w:t xml:space="preserve"> 2013; </w:t>
      </w:r>
      <w:r w:rsidRPr="003316A7">
        <w:rPr>
          <w:rFonts w:ascii="Book Antiqua" w:hAnsi="Book Antiqua"/>
          <w:b/>
        </w:rPr>
        <w:t>61</w:t>
      </w:r>
      <w:r w:rsidRPr="003316A7">
        <w:rPr>
          <w:rFonts w:ascii="Book Antiqua" w:hAnsi="Book Antiqua"/>
        </w:rPr>
        <w:t>: 1555-1570 [PMID: 23473760 DOI: 10.1016/j.jacc.2013.01.004]</w:t>
      </w:r>
    </w:p>
    <w:p w14:paraId="5E88841B"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4 </w:t>
      </w:r>
      <w:r w:rsidRPr="003316A7">
        <w:rPr>
          <w:rFonts w:ascii="Book Antiqua" w:hAnsi="Book Antiqua"/>
          <w:b/>
        </w:rPr>
        <w:t>Karnabatidis D</w:t>
      </w:r>
      <w:r w:rsidRPr="003316A7">
        <w:rPr>
          <w:rFonts w:ascii="Book Antiqua" w:hAnsi="Book Antiqua"/>
        </w:rPr>
        <w:t xml:space="preserve">, Spiliopoulos S, Katsanos K, Siablis D. Below-the-knee drug-eluting stents and drug-coated balloons. </w:t>
      </w:r>
      <w:r w:rsidRPr="003316A7">
        <w:rPr>
          <w:rFonts w:ascii="Book Antiqua" w:hAnsi="Book Antiqua"/>
          <w:i/>
        </w:rPr>
        <w:t>Expert Rev Med Devices</w:t>
      </w:r>
      <w:r w:rsidRPr="003316A7">
        <w:rPr>
          <w:rFonts w:ascii="Book Antiqua" w:hAnsi="Book Antiqua"/>
        </w:rPr>
        <w:t xml:space="preserve"> 2012; </w:t>
      </w:r>
      <w:r w:rsidRPr="003316A7">
        <w:rPr>
          <w:rFonts w:ascii="Book Antiqua" w:hAnsi="Book Antiqua"/>
          <w:b/>
        </w:rPr>
        <w:t>9</w:t>
      </w:r>
      <w:r w:rsidRPr="003316A7">
        <w:rPr>
          <w:rFonts w:ascii="Book Antiqua" w:hAnsi="Book Antiqua"/>
        </w:rPr>
        <w:t>: 85-94 [PMID: 22145843 DOI: 10.1586/erd.11.67]</w:t>
      </w:r>
    </w:p>
    <w:p w14:paraId="3640DB99"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5 </w:t>
      </w:r>
      <w:r w:rsidRPr="003316A7">
        <w:rPr>
          <w:rFonts w:ascii="Book Antiqua" w:hAnsi="Book Antiqua"/>
          <w:b/>
        </w:rPr>
        <w:t>Spiliopoulos S</w:t>
      </w:r>
      <w:r w:rsidRPr="003316A7">
        <w:rPr>
          <w:rFonts w:ascii="Book Antiqua" w:hAnsi="Book Antiqua"/>
        </w:rPr>
        <w:t xml:space="preserve">, Theodosiadou V, Katsanos K, Kitrou P, Kagadis GC, Siablis D, Karnabatidis D. Long-Term Clinical Outcomes of Infrapopliteal Drug-Eluting Stent Placement for Critical Limb Ischemia in Diabetic Patients. </w:t>
      </w:r>
      <w:r w:rsidRPr="003316A7">
        <w:rPr>
          <w:rFonts w:ascii="Book Antiqua" w:hAnsi="Book Antiqua"/>
          <w:i/>
        </w:rPr>
        <w:t>J Vasc Interv Radiol</w:t>
      </w:r>
      <w:r w:rsidRPr="003316A7">
        <w:rPr>
          <w:rFonts w:ascii="Book Antiqua" w:hAnsi="Book Antiqua"/>
        </w:rPr>
        <w:t xml:space="preserve"> 2015; </w:t>
      </w:r>
      <w:r w:rsidRPr="003316A7">
        <w:rPr>
          <w:rFonts w:ascii="Book Antiqua" w:hAnsi="Book Antiqua"/>
          <w:b/>
        </w:rPr>
        <w:t>26</w:t>
      </w:r>
      <w:r w:rsidRPr="003316A7">
        <w:rPr>
          <w:rFonts w:ascii="Book Antiqua" w:hAnsi="Book Antiqua"/>
        </w:rPr>
        <w:t>: 1423-1430 [PMID: 26250856 DOI: 10.1016/j.jvir.2015.06.034]</w:t>
      </w:r>
    </w:p>
    <w:p w14:paraId="7135439D"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6 </w:t>
      </w:r>
      <w:r w:rsidRPr="003316A7">
        <w:rPr>
          <w:rFonts w:ascii="Book Antiqua" w:hAnsi="Book Antiqua"/>
          <w:b/>
        </w:rPr>
        <w:t>Mills JL Sr</w:t>
      </w:r>
      <w:r w:rsidRPr="003316A7">
        <w:rPr>
          <w:rFonts w:ascii="Book Antiqua" w:hAnsi="Book Antiqua"/>
        </w:rPr>
        <w:t xml:space="preserve">, Conte MS, Armstrong DG, Pomposelli FB, Schanzer A, Sidawy AN, Andros G; Society for Vascular Surgery Lower Extremity Guidelines Committee. The Society for Vascular Surgery Lower Extremity Threatened Limb Classification System: risk stratification based on wound, ischemia, and foot infection (WIfI). </w:t>
      </w:r>
      <w:r w:rsidRPr="003316A7">
        <w:rPr>
          <w:rFonts w:ascii="Book Antiqua" w:hAnsi="Book Antiqua"/>
          <w:i/>
        </w:rPr>
        <w:t>J Vasc Surg</w:t>
      </w:r>
      <w:r w:rsidRPr="003316A7">
        <w:rPr>
          <w:rFonts w:ascii="Book Antiqua" w:hAnsi="Book Antiqua"/>
        </w:rPr>
        <w:t xml:space="preserve"> 2014; </w:t>
      </w:r>
      <w:r w:rsidRPr="003316A7">
        <w:rPr>
          <w:rFonts w:ascii="Book Antiqua" w:hAnsi="Book Antiqua"/>
          <w:b/>
        </w:rPr>
        <w:t>59</w:t>
      </w:r>
      <w:r w:rsidRPr="003316A7">
        <w:rPr>
          <w:rFonts w:ascii="Book Antiqua" w:hAnsi="Book Antiqua"/>
        </w:rPr>
        <w:t>: 220-34.e1-2 [PMID: 24126108 DOI: 10.1016/j.jvs.2013.08.003]</w:t>
      </w:r>
    </w:p>
    <w:p w14:paraId="236FBF5E"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7 </w:t>
      </w:r>
      <w:r w:rsidRPr="003316A7">
        <w:rPr>
          <w:rFonts w:ascii="Book Antiqua" w:hAnsi="Book Antiqua"/>
          <w:b/>
        </w:rPr>
        <w:t>Aboyans V</w:t>
      </w:r>
      <w:r w:rsidRPr="003316A7">
        <w:rPr>
          <w:rFonts w:ascii="Book Antiqua" w:hAnsi="Book Antiqua"/>
        </w:rPr>
        <w:t xml:space="preserve">, Ricco JB, Bartelink MEL, Björck M, Brodmann M, Cohnert T, Collet JP, Czerny M, De Carlo M, Debus S, Espinola-Klein C, Kahan T, Kownator S, Mazzolai L, Naylor AR, Roffi M, Röther J, Sprynger M, Tendera M, Tepe G, Venermo M, Vlachopoulos C, Desormais I; ESC Scientific Document Group . 2017 ESC Guidelines on the Diagnosis and Treatment of Peripheral Arterial Diseases, in collaboration with the European Society for Vascular Surgery (ESVS): Document covering atherosclerotic disease of extracranial carotid and vertebral, mesenteric, renal, upper and lower extremity arteriesEndorsed by: the European Stroke Organization (ESO)The Task Force for the Diagnosis and Treatment of Peripheral Arterial Diseases of the European Society of Cardiology (ESC) and of the European Society for Vascular Surgery (ESVS). </w:t>
      </w:r>
      <w:r w:rsidRPr="003316A7">
        <w:rPr>
          <w:rFonts w:ascii="Book Antiqua" w:hAnsi="Book Antiqua"/>
          <w:i/>
        </w:rPr>
        <w:t>Eur Heart J</w:t>
      </w:r>
      <w:r w:rsidRPr="003316A7">
        <w:rPr>
          <w:rFonts w:ascii="Book Antiqua" w:hAnsi="Book Antiqua"/>
        </w:rPr>
        <w:t xml:space="preserve"> 2018; </w:t>
      </w:r>
      <w:r w:rsidRPr="003316A7">
        <w:rPr>
          <w:rFonts w:ascii="Book Antiqua" w:hAnsi="Book Antiqua"/>
          <w:b/>
        </w:rPr>
        <w:t>39</w:t>
      </w:r>
      <w:r w:rsidRPr="003316A7">
        <w:rPr>
          <w:rFonts w:ascii="Book Antiqua" w:hAnsi="Book Antiqua"/>
        </w:rPr>
        <w:t>: 763-816 [PMID: 28886620 DOI: 10.1093/eurheartj/ehx095]</w:t>
      </w:r>
    </w:p>
    <w:p w14:paraId="110D5131"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8 </w:t>
      </w:r>
      <w:r w:rsidRPr="003316A7">
        <w:rPr>
          <w:rFonts w:ascii="Book Antiqua" w:hAnsi="Book Antiqua"/>
          <w:b/>
        </w:rPr>
        <w:t>Adam DJ</w:t>
      </w:r>
      <w:r w:rsidRPr="003316A7">
        <w:rPr>
          <w:rFonts w:ascii="Book Antiqua" w:hAnsi="Book Antiqua"/>
        </w:rPr>
        <w:t xml:space="preserve">, Beard JD, Cleveland T, Bell J, Bradbury AW, Forbes JF, Fowkes FG, Gillepsie I, Ruckley CV, Raab G, Storkey H; BASIL trial participants. Bypass versus angioplasty in severe ischaemia of the leg (BASIL): multicentre, randomised controlled trial. </w:t>
      </w:r>
      <w:r w:rsidRPr="003316A7">
        <w:rPr>
          <w:rFonts w:ascii="Book Antiqua" w:hAnsi="Book Antiqua"/>
          <w:i/>
        </w:rPr>
        <w:t>Lancet</w:t>
      </w:r>
      <w:r w:rsidRPr="003316A7">
        <w:rPr>
          <w:rFonts w:ascii="Book Antiqua" w:hAnsi="Book Antiqua"/>
        </w:rPr>
        <w:t xml:space="preserve"> 2005; </w:t>
      </w:r>
      <w:r w:rsidRPr="003316A7">
        <w:rPr>
          <w:rFonts w:ascii="Book Antiqua" w:hAnsi="Book Antiqua"/>
          <w:b/>
        </w:rPr>
        <w:t>366</w:t>
      </w:r>
      <w:r w:rsidRPr="003316A7">
        <w:rPr>
          <w:rFonts w:ascii="Book Antiqua" w:hAnsi="Book Antiqua"/>
        </w:rPr>
        <w:t>: 1925-1934 [PMID: 16325694 DOI: 10.1016/S0140-6736(05)67704-5]</w:t>
      </w:r>
    </w:p>
    <w:p w14:paraId="46F088B0"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9 </w:t>
      </w:r>
      <w:r w:rsidRPr="003316A7">
        <w:rPr>
          <w:rFonts w:ascii="Book Antiqua" w:hAnsi="Book Antiqua"/>
          <w:b/>
        </w:rPr>
        <w:t>Verzini F</w:t>
      </w:r>
      <w:r w:rsidRPr="003316A7">
        <w:rPr>
          <w:rFonts w:ascii="Book Antiqua" w:hAnsi="Book Antiqua"/>
        </w:rPr>
        <w:t xml:space="preserve">, De Rango P, Isernia G, Simonte G, Farchioni L, Cao P. Results of the "endovascular treatment first" policy for infrapopliteal disease. </w:t>
      </w:r>
      <w:r w:rsidRPr="003316A7">
        <w:rPr>
          <w:rFonts w:ascii="Book Antiqua" w:hAnsi="Book Antiqua"/>
          <w:i/>
        </w:rPr>
        <w:t>J Cardiovasc Surg</w:t>
      </w:r>
      <w:r w:rsidRPr="003316A7">
        <w:rPr>
          <w:rFonts w:ascii="Book Antiqua" w:hAnsi="Book Antiqua"/>
        </w:rPr>
        <w:t xml:space="preserve"> (Torino) 2012; </w:t>
      </w:r>
      <w:r w:rsidRPr="003316A7">
        <w:rPr>
          <w:rFonts w:ascii="Book Antiqua" w:hAnsi="Book Antiqua"/>
          <w:b/>
        </w:rPr>
        <w:t>53</w:t>
      </w:r>
      <w:r w:rsidRPr="003316A7">
        <w:rPr>
          <w:rFonts w:ascii="Book Antiqua" w:hAnsi="Book Antiqua"/>
        </w:rPr>
        <w:t>: 179-188 [PMID: 22433737]</w:t>
      </w:r>
    </w:p>
    <w:p w14:paraId="14B89125"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10 </w:t>
      </w:r>
      <w:r w:rsidRPr="003316A7">
        <w:rPr>
          <w:rFonts w:ascii="Book Antiqua" w:hAnsi="Book Antiqua"/>
          <w:b/>
        </w:rPr>
        <w:t>Hicks CW</w:t>
      </w:r>
      <w:r w:rsidRPr="003316A7">
        <w:rPr>
          <w:rFonts w:ascii="Book Antiqua" w:hAnsi="Book Antiqua"/>
        </w:rPr>
        <w:t xml:space="preserve">, Najafian A, Farber A, Menard MT, Malas MB, Black JH 3rd, Abularrage CJ. Below-knee endovascular interventions have better outcomes compared to open bypass for patients with critical limb ischemia. </w:t>
      </w:r>
      <w:r w:rsidRPr="003316A7">
        <w:rPr>
          <w:rFonts w:ascii="Book Antiqua" w:hAnsi="Book Antiqua"/>
          <w:i/>
        </w:rPr>
        <w:t>Vasc Med</w:t>
      </w:r>
      <w:r w:rsidRPr="003316A7">
        <w:rPr>
          <w:rFonts w:ascii="Book Antiqua" w:hAnsi="Book Antiqua"/>
        </w:rPr>
        <w:t xml:space="preserve"> 2017; </w:t>
      </w:r>
      <w:r w:rsidRPr="003316A7">
        <w:rPr>
          <w:rFonts w:ascii="Book Antiqua" w:hAnsi="Book Antiqua"/>
          <w:b/>
        </w:rPr>
        <w:t>22</w:t>
      </w:r>
      <w:r w:rsidRPr="003316A7">
        <w:rPr>
          <w:rFonts w:ascii="Book Antiqua" w:hAnsi="Book Antiqua"/>
        </w:rPr>
        <w:t>: 28-34 [PMID: 27928034 DOI: 10.1177/1358863X16676901]</w:t>
      </w:r>
    </w:p>
    <w:p w14:paraId="07A4FDAE"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11 </w:t>
      </w:r>
      <w:r w:rsidRPr="003316A7">
        <w:rPr>
          <w:rFonts w:ascii="Book Antiqua" w:hAnsi="Book Antiqua"/>
          <w:b/>
        </w:rPr>
        <w:t>Söder HK</w:t>
      </w:r>
      <w:r w:rsidRPr="003316A7">
        <w:rPr>
          <w:rFonts w:ascii="Book Antiqua" w:hAnsi="Book Antiqua"/>
        </w:rPr>
        <w:t xml:space="preserve">, Manninen HI, Jaakkola P, Matsi PJ, Räsänen HT, Kaukanen E, Loponen P, Soimakallio S. Prospective trial of infrapopliteal artery balloon angioplasty for critical limb ischemia: angiographic and clinical results. </w:t>
      </w:r>
      <w:r w:rsidRPr="003316A7">
        <w:rPr>
          <w:rFonts w:ascii="Book Antiqua" w:hAnsi="Book Antiqua"/>
          <w:i/>
        </w:rPr>
        <w:t>J Vasc Interv Radiol</w:t>
      </w:r>
      <w:r w:rsidRPr="003316A7">
        <w:rPr>
          <w:rFonts w:ascii="Book Antiqua" w:hAnsi="Book Antiqua"/>
        </w:rPr>
        <w:t xml:space="preserve"> 2000; </w:t>
      </w:r>
      <w:r w:rsidRPr="003316A7">
        <w:rPr>
          <w:rFonts w:ascii="Book Antiqua" w:hAnsi="Book Antiqua"/>
          <w:b/>
        </w:rPr>
        <w:t>11</w:t>
      </w:r>
      <w:r w:rsidRPr="003316A7">
        <w:rPr>
          <w:rFonts w:ascii="Book Antiqua" w:hAnsi="Book Antiqua"/>
        </w:rPr>
        <w:t>: 1021-1031 [PMID: 10997465 DOI: 10.1016/S1051-0443(07)61332-3]</w:t>
      </w:r>
    </w:p>
    <w:p w14:paraId="5FA4A964"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12 </w:t>
      </w:r>
      <w:r w:rsidRPr="003316A7">
        <w:rPr>
          <w:rFonts w:ascii="Book Antiqua" w:hAnsi="Book Antiqua"/>
          <w:b/>
        </w:rPr>
        <w:t>Nasr MK</w:t>
      </w:r>
      <w:r w:rsidRPr="003316A7">
        <w:rPr>
          <w:rFonts w:ascii="Book Antiqua" w:hAnsi="Book Antiqua"/>
        </w:rPr>
        <w:t xml:space="preserve">, McCarthy RJ, Hardman J, Chalmers A, Horrocks M. The increasing role of percutaneous transluminal angioplasty in the primary management of critical limb ischaemia. </w:t>
      </w:r>
      <w:r w:rsidRPr="003316A7">
        <w:rPr>
          <w:rFonts w:ascii="Book Antiqua" w:hAnsi="Book Antiqua"/>
          <w:i/>
        </w:rPr>
        <w:t>Eur J Vasc Endovasc Surg</w:t>
      </w:r>
      <w:r w:rsidRPr="003316A7">
        <w:rPr>
          <w:rFonts w:ascii="Book Antiqua" w:hAnsi="Book Antiqua"/>
        </w:rPr>
        <w:t xml:space="preserve"> 2002; </w:t>
      </w:r>
      <w:r w:rsidRPr="003316A7">
        <w:rPr>
          <w:rFonts w:ascii="Book Antiqua" w:hAnsi="Book Antiqua"/>
          <w:b/>
        </w:rPr>
        <w:t>23</w:t>
      </w:r>
      <w:r w:rsidRPr="003316A7">
        <w:rPr>
          <w:rFonts w:ascii="Book Antiqua" w:hAnsi="Book Antiqua"/>
        </w:rPr>
        <w:t>: 398-403 [PMID: 12027466 DOI: 10.1053/ejvs.2002.1615]</w:t>
      </w:r>
    </w:p>
    <w:p w14:paraId="4B034F79"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13 </w:t>
      </w:r>
      <w:r w:rsidRPr="003316A7">
        <w:rPr>
          <w:rFonts w:ascii="Book Antiqua" w:hAnsi="Book Antiqua"/>
          <w:b/>
        </w:rPr>
        <w:t>Katsanos K</w:t>
      </w:r>
      <w:r w:rsidRPr="003316A7">
        <w:rPr>
          <w:rFonts w:ascii="Book Antiqua" w:hAnsi="Book Antiqua"/>
        </w:rPr>
        <w:t xml:space="preserve">, Spiliopoulos S, Krokidis M, Karnabatidis D, Siablis D. Does below-the-knee placement of drug-eluting stents improve clinical outcomes? </w:t>
      </w:r>
      <w:r w:rsidRPr="003316A7">
        <w:rPr>
          <w:rFonts w:ascii="Book Antiqua" w:hAnsi="Book Antiqua"/>
          <w:i/>
        </w:rPr>
        <w:t xml:space="preserve">J Cardiovasc Surg </w:t>
      </w:r>
      <w:r w:rsidRPr="003316A7">
        <w:rPr>
          <w:rFonts w:ascii="Book Antiqua" w:hAnsi="Book Antiqua"/>
        </w:rPr>
        <w:t xml:space="preserve">(Torino) 2012; </w:t>
      </w:r>
      <w:r w:rsidRPr="003316A7">
        <w:rPr>
          <w:rFonts w:ascii="Book Antiqua" w:hAnsi="Book Antiqua"/>
          <w:b/>
        </w:rPr>
        <w:t>53</w:t>
      </w:r>
      <w:r w:rsidRPr="003316A7">
        <w:rPr>
          <w:rFonts w:ascii="Book Antiqua" w:hAnsi="Book Antiqua"/>
        </w:rPr>
        <w:t>: 195-203 [PMID: 22456642 DOI: 10.1532/HSF98.20111083]</w:t>
      </w:r>
    </w:p>
    <w:p w14:paraId="590CAF3F"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14 </w:t>
      </w:r>
      <w:r w:rsidRPr="003316A7">
        <w:rPr>
          <w:rFonts w:ascii="Book Antiqua" w:hAnsi="Book Antiqua"/>
          <w:b/>
        </w:rPr>
        <w:t>Dorros G</w:t>
      </w:r>
      <w:r w:rsidRPr="003316A7">
        <w:rPr>
          <w:rFonts w:ascii="Book Antiqua" w:hAnsi="Book Antiqua"/>
        </w:rPr>
        <w:t xml:space="preserve">, Hall P, Prince C. Successful limb salvage after recanalization of an occluded infrapopliteal artery utilizing a balloon expandable (Palmaz-Schatz) stent. </w:t>
      </w:r>
      <w:r w:rsidRPr="003316A7">
        <w:rPr>
          <w:rFonts w:ascii="Book Antiqua" w:hAnsi="Book Antiqua"/>
          <w:i/>
        </w:rPr>
        <w:t>Cathet Cardiovasc Diagn</w:t>
      </w:r>
      <w:r w:rsidRPr="003316A7">
        <w:rPr>
          <w:rFonts w:ascii="Book Antiqua" w:hAnsi="Book Antiqua"/>
        </w:rPr>
        <w:t xml:space="preserve"> 1993; </w:t>
      </w:r>
      <w:r w:rsidRPr="003316A7">
        <w:rPr>
          <w:rFonts w:ascii="Book Antiqua" w:hAnsi="Book Antiqua"/>
          <w:b/>
        </w:rPr>
        <w:t>28</w:t>
      </w:r>
      <w:r w:rsidRPr="003316A7">
        <w:rPr>
          <w:rFonts w:ascii="Book Antiqua" w:hAnsi="Book Antiqua"/>
        </w:rPr>
        <w:t>: 83-88 [PMID: 8416340 DOI: 10.1002/ccd.1810280117]</w:t>
      </w:r>
    </w:p>
    <w:p w14:paraId="56ABD901"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15 </w:t>
      </w:r>
      <w:r w:rsidRPr="003316A7">
        <w:rPr>
          <w:rFonts w:ascii="Book Antiqua" w:hAnsi="Book Antiqua"/>
          <w:b/>
        </w:rPr>
        <w:t>Bosiers M</w:t>
      </w:r>
      <w:r w:rsidRPr="003316A7">
        <w:rPr>
          <w:rFonts w:ascii="Book Antiqua" w:hAnsi="Book Antiqua"/>
        </w:rPr>
        <w:t xml:space="preserve">, Hart JP, Deloose K, Verbist J, Peeters P. Endovascular therapy as the primary approach for limb salvage in patients with critical limb ischemia: experience with 443 infrapopliteal procedures. </w:t>
      </w:r>
      <w:r w:rsidRPr="003316A7">
        <w:rPr>
          <w:rFonts w:ascii="Book Antiqua" w:hAnsi="Book Antiqua"/>
          <w:i/>
        </w:rPr>
        <w:t>Vascular</w:t>
      </w:r>
      <w:r w:rsidRPr="003316A7">
        <w:rPr>
          <w:rFonts w:ascii="Book Antiqua" w:hAnsi="Book Antiqua"/>
        </w:rPr>
        <w:t xml:space="preserve"> 2006; </w:t>
      </w:r>
      <w:r w:rsidRPr="003316A7">
        <w:rPr>
          <w:rFonts w:ascii="Book Antiqua" w:hAnsi="Book Antiqua"/>
          <w:b/>
        </w:rPr>
        <w:t>14</w:t>
      </w:r>
      <w:r w:rsidRPr="003316A7">
        <w:rPr>
          <w:rFonts w:ascii="Book Antiqua" w:hAnsi="Book Antiqua"/>
        </w:rPr>
        <w:t>: 63-69 [PMID: 16956473 DOI: 10.2310/6670.2006.00014]</w:t>
      </w:r>
    </w:p>
    <w:p w14:paraId="19B0E264"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16 </w:t>
      </w:r>
      <w:r w:rsidRPr="003316A7">
        <w:rPr>
          <w:rFonts w:ascii="Book Antiqua" w:hAnsi="Book Antiqua"/>
          <w:b/>
        </w:rPr>
        <w:t>Epstein SE</w:t>
      </w:r>
      <w:r w:rsidRPr="003316A7">
        <w:rPr>
          <w:rFonts w:ascii="Book Antiqua" w:hAnsi="Book Antiqua"/>
        </w:rPr>
        <w:t xml:space="preserve">, Speir E, Unger EF, Guzman RJ, Finkel T. The basis of molecular strategies for treating coronary restenosis after angioplasty. </w:t>
      </w:r>
      <w:r w:rsidRPr="003316A7">
        <w:rPr>
          <w:rFonts w:ascii="Book Antiqua" w:hAnsi="Book Antiqua"/>
          <w:i/>
        </w:rPr>
        <w:t>J Am Coll Cardiol</w:t>
      </w:r>
      <w:r w:rsidRPr="003316A7">
        <w:rPr>
          <w:rFonts w:ascii="Book Antiqua" w:hAnsi="Book Antiqua"/>
        </w:rPr>
        <w:t xml:space="preserve"> 1994; </w:t>
      </w:r>
      <w:r w:rsidRPr="003316A7">
        <w:rPr>
          <w:rFonts w:ascii="Book Antiqua" w:hAnsi="Book Antiqua"/>
          <w:b/>
        </w:rPr>
        <w:t>23</w:t>
      </w:r>
      <w:r w:rsidRPr="003316A7">
        <w:rPr>
          <w:rFonts w:ascii="Book Antiqua" w:hAnsi="Book Antiqua"/>
        </w:rPr>
        <w:t>: 1278-1288 [PMID: 8176084 DOI: 10.1016/0735-1097(94)90368-9]</w:t>
      </w:r>
    </w:p>
    <w:p w14:paraId="31E9E6CD"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17 </w:t>
      </w:r>
      <w:r w:rsidRPr="003316A7">
        <w:rPr>
          <w:rFonts w:ascii="Book Antiqua" w:hAnsi="Book Antiqua"/>
          <w:b/>
        </w:rPr>
        <w:t>Herrman JP</w:t>
      </w:r>
      <w:r w:rsidRPr="003316A7">
        <w:rPr>
          <w:rFonts w:ascii="Book Antiqua" w:hAnsi="Book Antiqua"/>
        </w:rPr>
        <w:t xml:space="preserve">, Hermans WR, Vos J, Serruys PW. Pharmacological approaches to the prevention of restenosis following angioplasty. The search for the Holy Grail? (Part I). </w:t>
      </w:r>
      <w:r w:rsidRPr="003316A7">
        <w:rPr>
          <w:rFonts w:ascii="Book Antiqua" w:hAnsi="Book Antiqua"/>
          <w:i/>
        </w:rPr>
        <w:t>Drugs</w:t>
      </w:r>
      <w:r w:rsidRPr="003316A7">
        <w:rPr>
          <w:rFonts w:ascii="Book Antiqua" w:hAnsi="Book Antiqua"/>
        </w:rPr>
        <w:t xml:space="preserve"> 1993; </w:t>
      </w:r>
      <w:r w:rsidRPr="003316A7">
        <w:rPr>
          <w:rFonts w:ascii="Book Antiqua" w:hAnsi="Book Antiqua"/>
          <w:b/>
        </w:rPr>
        <w:t>46</w:t>
      </w:r>
      <w:r w:rsidRPr="003316A7">
        <w:rPr>
          <w:rFonts w:ascii="Book Antiqua" w:hAnsi="Book Antiqua"/>
        </w:rPr>
        <w:t>: 18-52 [PMID: 7691506 DOI: 10.2165/00003495-199346010-00003]</w:t>
      </w:r>
    </w:p>
    <w:p w14:paraId="75482375"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18 </w:t>
      </w:r>
      <w:r w:rsidRPr="003316A7">
        <w:rPr>
          <w:rFonts w:ascii="Book Antiqua" w:hAnsi="Book Antiqua"/>
          <w:b/>
        </w:rPr>
        <w:t>Siablis D</w:t>
      </w:r>
      <w:r w:rsidRPr="003316A7">
        <w:rPr>
          <w:rFonts w:ascii="Book Antiqua" w:hAnsi="Book Antiqua"/>
        </w:rPr>
        <w:t xml:space="preserve">, Kraniotis P, Karnabatidis D, Kagadis GC, Katsanos K, Tsolakis J. Sirolimus-eluting versus bare stents for bailout after suboptimal infrapopliteal angioplasty for critical limb ischemia: 6-month angiographic results from a nonrandomized prospective single-center study. </w:t>
      </w:r>
      <w:r w:rsidRPr="003316A7">
        <w:rPr>
          <w:rFonts w:ascii="Book Antiqua" w:hAnsi="Book Antiqua"/>
          <w:i/>
        </w:rPr>
        <w:t>J Endovasc Ther</w:t>
      </w:r>
      <w:r w:rsidRPr="003316A7">
        <w:rPr>
          <w:rFonts w:ascii="Book Antiqua" w:hAnsi="Book Antiqua"/>
        </w:rPr>
        <w:t xml:space="preserve"> 2005; </w:t>
      </w:r>
      <w:r w:rsidRPr="003316A7">
        <w:rPr>
          <w:rFonts w:ascii="Book Antiqua" w:hAnsi="Book Antiqua"/>
          <w:b/>
        </w:rPr>
        <w:t>12</w:t>
      </w:r>
      <w:r w:rsidRPr="003316A7">
        <w:rPr>
          <w:rFonts w:ascii="Book Antiqua" w:hAnsi="Book Antiqua"/>
        </w:rPr>
        <w:t>: 685-695 [PMID: 16363898 DOI: 10.1583/05-1620MR.1]</w:t>
      </w:r>
    </w:p>
    <w:p w14:paraId="6B85294D"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19 </w:t>
      </w:r>
      <w:r w:rsidRPr="003316A7">
        <w:rPr>
          <w:rFonts w:ascii="Book Antiqua" w:hAnsi="Book Antiqua"/>
          <w:b/>
        </w:rPr>
        <w:t>Siablis D</w:t>
      </w:r>
      <w:r w:rsidRPr="003316A7">
        <w:rPr>
          <w:rFonts w:ascii="Book Antiqua" w:hAnsi="Book Antiqua"/>
        </w:rPr>
        <w:t xml:space="preserve">, Karnabatidis D, Katsanos K, Kagadis GC, Kraniotis P, Diamantopoulos A, Tsolakis J. Sirolimus-eluting versus bare stents after suboptimal infrapopliteal angioplasty for critical limb ischemia: enduring 1-year angiographic and clinical benefit. </w:t>
      </w:r>
      <w:r w:rsidRPr="003316A7">
        <w:rPr>
          <w:rFonts w:ascii="Book Antiqua" w:hAnsi="Book Antiqua"/>
          <w:i/>
        </w:rPr>
        <w:t>J Endovasc Ther</w:t>
      </w:r>
      <w:r w:rsidRPr="003316A7">
        <w:rPr>
          <w:rFonts w:ascii="Book Antiqua" w:hAnsi="Book Antiqua"/>
        </w:rPr>
        <w:t xml:space="preserve"> 2007; </w:t>
      </w:r>
      <w:r w:rsidRPr="003316A7">
        <w:rPr>
          <w:rFonts w:ascii="Book Antiqua" w:hAnsi="Book Antiqua"/>
          <w:b/>
        </w:rPr>
        <w:t>14</w:t>
      </w:r>
      <w:r w:rsidRPr="003316A7">
        <w:rPr>
          <w:rFonts w:ascii="Book Antiqua" w:hAnsi="Book Antiqua"/>
        </w:rPr>
        <w:t>: 241-250 [PMID: 17484536 DOI: 10.1177/152660280701400217]</w:t>
      </w:r>
    </w:p>
    <w:p w14:paraId="6E8E5B17"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20 </w:t>
      </w:r>
      <w:r w:rsidRPr="003316A7">
        <w:rPr>
          <w:rFonts w:ascii="Book Antiqua" w:hAnsi="Book Antiqua"/>
          <w:b/>
        </w:rPr>
        <w:t>Karnabatidis D</w:t>
      </w:r>
      <w:r w:rsidRPr="003316A7">
        <w:rPr>
          <w:rFonts w:ascii="Book Antiqua" w:hAnsi="Book Antiqua"/>
        </w:rPr>
        <w:t xml:space="preserve">, Spiliopoulos S, Diamantopoulos A, Katsanos K, Kagadis GC, Kakkos S, Siablis D. Primary everolimus-eluting stenting versus balloon angioplasty with bailout bare metal stenting of long infrapopliteal lesions for treatment of critical limb ischemia. </w:t>
      </w:r>
      <w:r w:rsidRPr="003316A7">
        <w:rPr>
          <w:rFonts w:ascii="Book Antiqua" w:hAnsi="Book Antiqua"/>
          <w:i/>
        </w:rPr>
        <w:t>J Endovasc Ther</w:t>
      </w:r>
      <w:r w:rsidRPr="003316A7">
        <w:rPr>
          <w:rFonts w:ascii="Book Antiqua" w:hAnsi="Book Antiqua"/>
        </w:rPr>
        <w:t xml:space="preserve"> 2011; </w:t>
      </w:r>
      <w:r w:rsidRPr="003316A7">
        <w:rPr>
          <w:rFonts w:ascii="Book Antiqua" w:hAnsi="Book Antiqua"/>
          <w:b/>
        </w:rPr>
        <w:t>18</w:t>
      </w:r>
      <w:r w:rsidRPr="003316A7">
        <w:rPr>
          <w:rFonts w:ascii="Book Antiqua" w:hAnsi="Book Antiqua"/>
        </w:rPr>
        <w:t>: 1-12 [PMID: 21314342 DOI: 10.1583/10-3242.1]</w:t>
      </w:r>
    </w:p>
    <w:p w14:paraId="664985C0"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21 </w:t>
      </w:r>
      <w:r w:rsidRPr="003316A7">
        <w:rPr>
          <w:rFonts w:ascii="Book Antiqua" w:hAnsi="Book Antiqua"/>
          <w:b/>
        </w:rPr>
        <w:t>Duda SH</w:t>
      </w:r>
      <w:r w:rsidRPr="003316A7">
        <w:rPr>
          <w:rFonts w:ascii="Book Antiqua" w:hAnsi="Book Antiqua"/>
        </w:rPr>
        <w:t xml:space="preserve">, Poerner TC, Wiesinger B, Rundback JH, Tepe G, Wiskirchen J, Haase KK. Drug-eluting stents: potential applications for peripheral arterial occlusive disease. </w:t>
      </w:r>
      <w:r w:rsidRPr="003316A7">
        <w:rPr>
          <w:rFonts w:ascii="Book Antiqua" w:hAnsi="Book Antiqua"/>
          <w:i/>
        </w:rPr>
        <w:t>J Vasc Interv Radiol</w:t>
      </w:r>
      <w:r w:rsidRPr="003316A7">
        <w:rPr>
          <w:rFonts w:ascii="Book Antiqua" w:hAnsi="Book Antiqua"/>
        </w:rPr>
        <w:t xml:space="preserve"> 2003; </w:t>
      </w:r>
      <w:r w:rsidRPr="003316A7">
        <w:rPr>
          <w:rFonts w:ascii="Book Antiqua" w:hAnsi="Book Antiqua"/>
          <w:b/>
        </w:rPr>
        <w:t>14</w:t>
      </w:r>
      <w:r w:rsidRPr="003316A7">
        <w:rPr>
          <w:rFonts w:ascii="Book Antiqua" w:hAnsi="Book Antiqua"/>
        </w:rPr>
        <w:t>: 291-301 [PMID: 12631633 DOI: 10.1097/01.RVI.0000058423.01661.57]</w:t>
      </w:r>
    </w:p>
    <w:p w14:paraId="2D9D1575"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22 </w:t>
      </w:r>
      <w:r w:rsidRPr="003316A7">
        <w:rPr>
          <w:rFonts w:ascii="Book Antiqua" w:hAnsi="Book Antiqua"/>
          <w:b/>
        </w:rPr>
        <w:t>Marx SO</w:t>
      </w:r>
      <w:r w:rsidRPr="003316A7">
        <w:rPr>
          <w:rFonts w:ascii="Book Antiqua" w:hAnsi="Book Antiqua"/>
        </w:rPr>
        <w:t xml:space="preserve">, Jayaraman T, Go LO, Marks AR. Rapamycin-FKBP inhibits cell cycle regulators of proliferation in vascular smooth muscle cells. </w:t>
      </w:r>
      <w:r w:rsidRPr="003316A7">
        <w:rPr>
          <w:rFonts w:ascii="Book Antiqua" w:hAnsi="Book Antiqua"/>
          <w:i/>
        </w:rPr>
        <w:t>Circ Res</w:t>
      </w:r>
      <w:r w:rsidRPr="003316A7">
        <w:rPr>
          <w:rFonts w:ascii="Book Antiqua" w:hAnsi="Book Antiqua"/>
        </w:rPr>
        <w:t xml:space="preserve"> 1995; </w:t>
      </w:r>
      <w:r w:rsidRPr="003316A7">
        <w:rPr>
          <w:rFonts w:ascii="Book Antiqua" w:hAnsi="Book Antiqua"/>
          <w:b/>
        </w:rPr>
        <w:t>76</w:t>
      </w:r>
      <w:r w:rsidRPr="003316A7">
        <w:rPr>
          <w:rFonts w:ascii="Book Antiqua" w:hAnsi="Book Antiqua"/>
        </w:rPr>
        <w:t>: 412-417 [PMID: 7532117 DOI: 10.1161/01.RES.76.3.412]</w:t>
      </w:r>
    </w:p>
    <w:p w14:paraId="7E4CE2E5"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23 </w:t>
      </w:r>
      <w:r w:rsidRPr="003316A7">
        <w:rPr>
          <w:rFonts w:ascii="Book Antiqua" w:hAnsi="Book Antiqua"/>
          <w:b/>
        </w:rPr>
        <w:t>Commeau P</w:t>
      </w:r>
      <w:r w:rsidRPr="003316A7">
        <w:rPr>
          <w:rFonts w:ascii="Book Antiqua" w:hAnsi="Book Antiqua"/>
        </w:rPr>
        <w:t xml:space="preserve">, Barragan P, Roquebert PO. Sirolimus for below the knee lesions: mid-term results of SiroBTK study. </w:t>
      </w:r>
      <w:r w:rsidRPr="003316A7">
        <w:rPr>
          <w:rFonts w:ascii="Book Antiqua" w:hAnsi="Book Antiqua"/>
          <w:i/>
        </w:rPr>
        <w:t>Catheter Cardiovasc Interv</w:t>
      </w:r>
      <w:r w:rsidRPr="003316A7">
        <w:rPr>
          <w:rFonts w:ascii="Book Antiqua" w:hAnsi="Book Antiqua"/>
        </w:rPr>
        <w:t xml:space="preserve"> 2006; </w:t>
      </w:r>
      <w:r w:rsidRPr="003316A7">
        <w:rPr>
          <w:rFonts w:ascii="Book Antiqua" w:hAnsi="Book Antiqua"/>
          <w:b/>
        </w:rPr>
        <w:t>68</w:t>
      </w:r>
      <w:r w:rsidRPr="003316A7">
        <w:rPr>
          <w:rFonts w:ascii="Book Antiqua" w:hAnsi="Book Antiqua"/>
        </w:rPr>
        <w:t>: 793-798 [PMID: 17039538 DOI: 10.1002/ccd.20893]</w:t>
      </w:r>
    </w:p>
    <w:p w14:paraId="66A970A3"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24 </w:t>
      </w:r>
      <w:r w:rsidRPr="003316A7">
        <w:rPr>
          <w:rFonts w:ascii="Book Antiqua" w:hAnsi="Book Antiqua"/>
          <w:b/>
        </w:rPr>
        <w:t>Bosiers M</w:t>
      </w:r>
      <w:r w:rsidRPr="003316A7">
        <w:rPr>
          <w:rFonts w:ascii="Book Antiqua" w:hAnsi="Book Antiqua"/>
        </w:rPr>
        <w:t xml:space="preserve">, Deloose K, Verbist J, Peeters P. Percutaneous transluminal angioplasty for treatment of ''below-the-knee'' critical limb ischemia: early outcomes following the use of sirolimus-eluting stents. </w:t>
      </w:r>
      <w:r w:rsidRPr="003316A7">
        <w:rPr>
          <w:rFonts w:ascii="Book Antiqua" w:hAnsi="Book Antiqua"/>
          <w:i/>
        </w:rPr>
        <w:t xml:space="preserve">J Cardiovasc Surg </w:t>
      </w:r>
      <w:r w:rsidRPr="003316A7">
        <w:rPr>
          <w:rFonts w:ascii="Book Antiqua" w:hAnsi="Book Antiqua"/>
        </w:rPr>
        <w:t xml:space="preserve">(Torino) 2006; </w:t>
      </w:r>
      <w:r w:rsidRPr="003316A7">
        <w:rPr>
          <w:rFonts w:ascii="Book Antiqua" w:hAnsi="Book Antiqua"/>
          <w:b/>
        </w:rPr>
        <w:t>47</w:t>
      </w:r>
      <w:r w:rsidRPr="003316A7">
        <w:rPr>
          <w:rFonts w:ascii="Book Antiqua" w:hAnsi="Book Antiqua"/>
        </w:rPr>
        <w:t>: 171-176 [PMID: 16572091]</w:t>
      </w:r>
    </w:p>
    <w:p w14:paraId="0D530A64"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25 </w:t>
      </w:r>
      <w:r w:rsidRPr="003316A7">
        <w:rPr>
          <w:rFonts w:ascii="Book Antiqua" w:hAnsi="Book Antiqua"/>
          <w:b/>
        </w:rPr>
        <w:t>Falkowski A</w:t>
      </w:r>
      <w:r w:rsidRPr="003316A7">
        <w:rPr>
          <w:rFonts w:ascii="Book Antiqua" w:hAnsi="Book Antiqua"/>
        </w:rPr>
        <w:t xml:space="preserve">, Poncyljusz W, Wilk G, Szczerbo-Trojanowska M. The evaluation of primary stenting of sirolimus-eluting versus bare-metal stents in the treatment of atherosclerotic lesions of crural arteries. </w:t>
      </w:r>
      <w:r w:rsidRPr="003316A7">
        <w:rPr>
          <w:rFonts w:ascii="Book Antiqua" w:hAnsi="Book Antiqua"/>
          <w:i/>
        </w:rPr>
        <w:t>Eur Radiol</w:t>
      </w:r>
      <w:r w:rsidRPr="003316A7">
        <w:rPr>
          <w:rFonts w:ascii="Book Antiqua" w:hAnsi="Book Antiqua"/>
        </w:rPr>
        <w:t xml:space="preserve"> 2009; </w:t>
      </w:r>
      <w:r w:rsidRPr="003316A7">
        <w:rPr>
          <w:rFonts w:ascii="Book Antiqua" w:hAnsi="Book Antiqua"/>
          <w:b/>
        </w:rPr>
        <w:t>19</w:t>
      </w:r>
      <w:r w:rsidRPr="003316A7">
        <w:rPr>
          <w:rFonts w:ascii="Book Antiqua" w:hAnsi="Book Antiqua"/>
        </w:rPr>
        <w:t>: 966-974 [PMID: 19034460 DOI: 10.1007/s00330-008-1225-1]</w:t>
      </w:r>
    </w:p>
    <w:p w14:paraId="45C24464"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26 </w:t>
      </w:r>
      <w:r w:rsidRPr="003316A7">
        <w:rPr>
          <w:rFonts w:ascii="Book Antiqua" w:hAnsi="Book Antiqua"/>
          <w:b/>
        </w:rPr>
        <w:t>Rastan A</w:t>
      </w:r>
      <w:r w:rsidRPr="003316A7">
        <w:rPr>
          <w:rFonts w:ascii="Book Antiqua" w:hAnsi="Book Antiqua"/>
        </w:rPr>
        <w:t xml:space="preserve">, Tepe G, Krankenberg H, Zahorsky R, Beschorner U, Noory E, Sixt S, Schwarz T, Brechtel K, Böhme C, Neumann FJ, Zeller T. Sirolimus-eluting stents vs. bare-metal stents for treatment of focal lesions in infrapopliteal arteries: a double-blind, multi-centre, randomized clinical trial. </w:t>
      </w:r>
      <w:r w:rsidRPr="003316A7">
        <w:rPr>
          <w:rFonts w:ascii="Book Antiqua" w:hAnsi="Book Antiqua"/>
          <w:i/>
        </w:rPr>
        <w:t>Eur Heart J</w:t>
      </w:r>
      <w:r w:rsidRPr="003316A7">
        <w:rPr>
          <w:rFonts w:ascii="Book Antiqua" w:hAnsi="Book Antiqua"/>
        </w:rPr>
        <w:t xml:space="preserve"> 2011; </w:t>
      </w:r>
      <w:r w:rsidRPr="003316A7">
        <w:rPr>
          <w:rFonts w:ascii="Book Antiqua" w:hAnsi="Book Antiqua"/>
          <w:b/>
        </w:rPr>
        <w:t>32</w:t>
      </w:r>
      <w:r w:rsidRPr="003316A7">
        <w:rPr>
          <w:rFonts w:ascii="Book Antiqua" w:hAnsi="Book Antiqua"/>
        </w:rPr>
        <w:t>: 2274-2281 [PMID: 21622669 DOI: 10.1093/eurheartj/ehr144]</w:t>
      </w:r>
    </w:p>
    <w:p w14:paraId="48C694A8"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27 </w:t>
      </w:r>
      <w:r w:rsidRPr="003316A7">
        <w:rPr>
          <w:rFonts w:ascii="Book Antiqua" w:hAnsi="Book Antiqua"/>
          <w:b/>
        </w:rPr>
        <w:t>Bosiers M</w:t>
      </w:r>
      <w:r w:rsidRPr="003316A7">
        <w:rPr>
          <w:rFonts w:ascii="Book Antiqua" w:hAnsi="Book Antiqua"/>
        </w:rPr>
        <w:t xml:space="preserve">, Scheinert D, Peeters P, Torsello G, Zeller T, Deloose K, Schmidt A, Tessarek J, Vinck E, Schwartz LB. Randomized comparison of everolimus-eluting versus bare-metal stents in patients with critical limb ischemia and infrapopliteal arterial occlusive disease. </w:t>
      </w:r>
      <w:r w:rsidRPr="003316A7">
        <w:rPr>
          <w:rFonts w:ascii="Book Antiqua" w:hAnsi="Book Antiqua"/>
          <w:i/>
        </w:rPr>
        <w:t>J Vasc Surg</w:t>
      </w:r>
      <w:r w:rsidRPr="003316A7">
        <w:rPr>
          <w:rFonts w:ascii="Book Antiqua" w:hAnsi="Book Antiqua"/>
        </w:rPr>
        <w:t xml:space="preserve"> 2012; </w:t>
      </w:r>
      <w:r w:rsidRPr="003316A7">
        <w:rPr>
          <w:rFonts w:ascii="Book Antiqua" w:hAnsi="Book Antiqua"/>
          <w:b/>
        </w:rPr>
        <w:t>55</w:t>
      </w:r>
      <w:r w:rsidRPr="003316A7">
        <w:rPr>
          <w:rFonts w:ascii="Book Antiqua" w:hAnsi="Book Antiqua"/>
        </w:rPr>
        <w:t>: 390-398 [PMID: 22169682 DOI: 10.1016/j.jvs.2011.07.099]</w:t>
      </w:r>
    </w:p>
    <w:p w14:paraId="0541D331"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28 </w:t>
      </w:r>
      <w:r w:rsidRPr="003316A7">
        <w:rPr>
          <w:rFonts w:ascii="Book Antiqua" w:hAnsi="Book Antiqua"/>
          <w:b/>
        </w:rPr>
        <w:t>Scheinert D</w:t>
      </w:r>
      <w:r w:rsidRPr="003316A7">
        <w:rPr>
          <w:rFonts w:ascii="Book Antiqua" w:hAnsi="Book Antiqua"/>
        </w:rPr>
        <w:t xml:space="preserve">, Katsanos K, Zeller T, Koppensteiner R, Commeau P, Bosiers M, Krankenberg H, Baumgartner I, Siablis D, Lammer J, Van Ransbeeck M, Qureshi AC, Stoll HP; ACHILLES Investigators. A prospective randomized multicenter comparison of balloon angioplasty and infrapopliteal stenting with the sirolimus-eluting stent in patients with ischemic peripheral arterial disease: 1-year results from the ACHILLES trial. </w:t>
      </w:r>
      <w:r w:rsidRPr="003316A7">
        <w:rPr>
          <w:rFonts w:ascii="Book Antiqua" w:hAnsi="Book Antiqua"/>
          <w:i/>
        </w:rPr>
        <w:t>J Am Coll Cardiol</w:t>
      </w:r>
      <w:r w:rsidRPr="003316A7">
        <w:rPr>
          <w:rFonts w:ascii="Book Antiqua" w:hAnsi="Book Antiqua"/>
        </w:rPr>
        <w:t xml:space="preserve"> 2012; </w:t>
      </w:r>
      <w:r w:rsidRPr="003316A7">
        <w:rPr>
          <w:rFonts w:ascii="Book Antiqua" w:hAnsi="Book Antiqua"/>
          <w:b/>
        </w:rPr>
        <w:t>60</w:t>
      </w:r>
      <w:r w:rsidRPr="003316A7">
        <w:rPr>
          <w:rFonts w:ascii="Book Antiqua" w:hAnsi="Book Antiqua"/>
        </w:rPr>
        <w:t>: 2290-2295 [PMID: 23194941 DOI: 10.1016/j.jacc.2012.08.989]</w:t>
      </w:r>
    </w:p>
    <w:p w14:paraId="494FB054"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29 </w:t>
      </w:r>
      <w:r w:rsidRPr="003316A7">
        <w:rPr>
          <w:rFonts w:ascii="Book Antiqua" w:hAnsi="Book Antiqua"/>
          <w:b/>
        </w:rPr>
        <w:t>Katsanos K</w:t>
      </w:r>
      <w:r w:rsidRPr="003316A7">
        <w:rPr>
          <w:rFonts w:ascii="Book Antiqua" w:hAnsi="Book Antiqua"/>
        </w:rPr>
        <w:t xml:space="preserve">, Spiliopoulos S, Diamantopoulos A, Siablis D, Karnabatidis D, Scheinert D. Wound Healing Outcomes and Health-Related Quality-of-Life Changes in the ACHILLES Trial: 1-Year Results From a Prospective Randomized Controlled Trial of Infrapopliteal Balloon Angioplasty Versus Sirolimus-Eluting Stenting in Patients With Ischemic Peripheral Arterial Disease. </w:t>
      </w:r>
      <w:r w:rsidRPr="003316A7">
        <w:rPr>
          <w:rFonts w:ascii="Book Antiqua" w:hAnsi="Book Antiqua"/>
          <w:i/>
        </w:rPr>
        <w:t>JACC Cardiovasc Interv</w:t>
      </w:r>
      <w:r w:rsidRPr="003316A7">
        <w:rPr>
          <w:rFonts w:ascii="Book Antiqua" w:hAnsi="Book Antiqua"/>
        </w:rPr>
        <w:t xml:space="preserve"> 2016; </w:t>
      </w:r>
      <w:r w:rsidRPr="003316A7">
        <w:rPr>
          <w:rFonts w:ascii="Book Antiqua" w:hAnsi="Book Antiqua"/>
          <w:b/>
        </w:rPr>
        <w:t>9</w:t>
      </w:r>
      <w:r w:rsidRPr="003316A7">
        <w:rPr>
          <w:rFonts w:ascii="Book Antiqua" w:hAnsi="Book Antiqua"/>
        </w:rPr>
        <w:t>: 259-267 [PMID: 26777329 DOI: 10.1016/j.jcin.2015.10.038]</w:t>
      </w:r>
    </w:p>
    <w:p w14:paraId="112C62D5"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30 </w:t>
      </w:r>
      <w:r w:rsidRPr="003316A7">
        <w:rPr>
          <w:rFonts w:ascii="Book Antiqua" w:hAnsi="Book Antiqua"/>
          <w:b/>
        </w:rPr>
        <w:t>Katsanos K</w:t>
      </w:r>
      <w:r w:rsidRPr="003316A7">
        <w:rPr>
          <w:rFonts w:ascii="Book Antiqua" w:hAnsi="Book Antiqua"/>
        </w:rPr>
        <w:t xml:space="preserve">, Spiliopoulos S, Diamantopoulos A, Karnabatidis D, Sabharwal T, Siablis D. Systematic review of infrapopliteal drug-eluting stents: a meta-analysis of randomized controlled trials. </w:t>
      </w:r>
      <w:r w:rsidRPr="003316A7">
        <w:rPr>
          <w:rFonts w:ascii="Book Antiqua" w:hAnsi="Book Antiqua"/>
          <w:i/>
        </w:rPr>
        <w:t>Cardiovasc Intervent Radiol</w:t>
      </w:r>
      <w:r w:rsidRPr="003316A7">
        <w:rPr>
          <w:rFonts w:ascii="Book Antiqua" w:hAnsi="Book Antiqua"/>
        </w:rPr>
        <w:t xml:space="preserve"> 2013; </w:t>
      </w:r>
      <w:r w:rsidRPr="003316A7">
        <w:rPr>
          <w:rFonts w:ascii="Book Antiqua" w:hAnsi="Book Antiqua"/>
          <w:b/>
        </w:rPr>
        <w:t>36</w:t>
      </w:r>
      <w:r w:rsidRPr="003316A7">
        <w:rPr>
          <w:rFonts w:ascii="Book Antiqua" w:hAnsi="Book Antiqua"/>
        </w:rPr>
        <w:t>: 645-658 [PMID: 23435741 DOI: 10.1007/s00270-013-0578-2]</w:t>
      </w:r>
    </w:p>
    <w:p w14:paraId="6ED83076" w14:textId="774707D6"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31 </w:t>
      </w:r>
      <w:r w:rsidRPr="003316A7">
        <w:rPr>
          <w:rFonts w:ascii="Book Antiqua" w:hAnsi="Book Antiqua"/>
          <w:b/>
        </w:rPr>
        <w:t>Spreen MI</w:t>
      </w:r>
      <w:r w:rsidRPr="003316A7">
        <w:rPr>
          <w:rFonts w:ascii="Book Antiqua" w:hAnsi="Book Antiqua"/>
        </w:rPr>
        <w:t xml:space="preserve">, Martens JM, Knippenberg B, van Dijk LC, de Vries JPM, Vos JA, de Borst GJ, Vonken EPA, Bijlstra OD, Wever JJ, Statius van Eps RG, Mali WPTM, van Overhagen H. Long-Term Follow-up of the PADI Trial: Percutaneous Transluminal Angioplasty Versus Drug-Eluting Stents for Infrapopliteal Lesions in Critical Limb Ischemia. </w:t>
      </w:r>
      <w:r w:rsidRPr="003316A7">
        <w:rPr>
          <w:rFonts w:ascii="Book Antiqua" w:hAnsi="Book Antiqua"/>
          <w:i/>
        </w:rPr>
        <w:t>J Am Heart Assoc</w:t>
      </w:r>
      <w:r w:rsidRPr="003316A7">
        <w:rPr>
          <w:rFonts w:ascii="Book Antiqua" w:hAnsi="Book Antiqua"/>
        </w:rPr>
        <w:t xml:space="preserve"> 2017; </w:t>
      </w:r>
      <w:r w:rsidRPr="003316A7">
        <w:rPr>
          <w:rFonts w:ascii="Book Antiqua" w:hAnsi="Book Antiqua"/>
          <w:b/>
        </w:rPr>
        <w:t>6</w:t>
      </w:r>
      <w:r w:rsidRPr="003316A7">
        <w:rPr>
          <w:rFonts w:ascii="Book Antiqua" w:hAnsi="Book Antiqua"/>
        </w:rPr>
        <w:t>: pii: e004877 [PMID: 28411244 DOI: 10.1161/JAHA.116.004877]</w:t>
      </w:r>
    </w:p>
    <w:p w14:paraId="76C809B6"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32 </w:t>
      </w:r>
      <w:r w:rsidRPr="003316A7">
        <w:rPr>
          <w:rFonts w:ascii="Book Antiqua" w:hAnsi="Book Antiqua"/>
          <w:b/>
        </w:rPr>
        <w:t>Liu X</w:t>
      </w:r>
      <w:r w:rsidRPr="003316A7">
        <w:rPr>
          <w:rFonts w:ascii="Book Antiqua" w:hAnsi="Book Antiqua"/>
        </w:rPr>
        <w:t xml:space="preserve">, Zheng G, Wen S. Drug-eluting stents versus control therapy in the infrapopliteal disease: A meta-analysis of eight randomized controlled trials and two cohort studies. </w:t>
      </w:r>
      <w:r w:rsidRPr="003316A7">
        <w:rPr>
          <w:rFonts w:ascii="Book Antiqua" w:hAnsi="Book Antiqua"/>
          <w:i/>
        </w:rPr>
        <w:t>Int J Surg</w:t>
      </w:r>
      <w:r w:rsidRPr="003316A7">
        <w:rPr>
          <w:rFonts w:ascii="Book Antiqua" w:hAnsi="Book Antiqua"/>
        </w:rPr>
        <w:t xml:space="preserve"> 2017; </w:t>
      </w:r>
      <w:r w:rsidRPr="003316A7">
        <w:rPr>
          <w:rFonts w:ascii="Book Antiqua" w:hAnsi="Book Antiqua"/>
          <w:b/>
        </w:rPr>
        <w:t>44</w:t>
      </w:r>
      <w:r w:rsidRPr="003316A7">
        <w:rPr>
          <w:rFonts w:ascii="Book Antiqua" w:hAnsi="Book Antiqua"/>
        </w:rPr>
        <w:t>: 166-175 [PMID: 28648791 DOI: 10.1016/j.ijsu.2017.06.075]</w:t>
      </w:r>
    </w:p>
    <w:p w14:paraId="73298C11"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33 </w:t>
      </w:r>
      <w:r w:rsidRPr="003316A7">
        <w:rPr>
          <w:rFonts w:ascii="Book Antiqua" w:hAnsi="Book Antiqua"/>
          <w:b/>
        </w:rPr>
        <w:t>Spiliopoulos S</w:t>
      </w:r>
      <w:r w:rsidRPr="003316A7">
        <w:rPr>
          <w:rFonts w:ascii="Book Antiqua" w:hAnsi="Book Antiqua"/>
        </w:rPr>
        <w:t xml:space="preserve">, Fragkos G, Katsanos K, Diamantopoulos A, Karnabatidis D, Siablis D. Long-term outcomes following primary drug-eluting stenting of infrapopliteal bifurcations. </w:t>
      </w:r>
      <w:r w:rsidRPr="003316A7">
        <w:rPr>
          <w:rFonts w:ascii="Book Antiqua" w:hAnsi="Book Antiqua"/>
          <w:i/>
        </w:rPr>
        <w:t>J Endovasc Ther</w:t>
      </w:r>
      <w:r w:rsidRPr="003316A7">
        <w:rPr>
          <w:rFonts w:ascii="Book Antiqua" w:hAnsi="Book Antiqua"/>
        </w:rPr>
        <w:t xml:space="preserve"> 2012; </w:t>
      </w:r>
      <w:r w:rsidRPr="003316A7">
        <w:rPr>
          <w:rFonts w:ascii="Book Antiqua" w:hAnsi="Book Antiqua"/>
          <w:b/>
        </w:rPr>
        <w:t>19</w:t>
      </w:r>
      <w:r w:rsidRPr="003316A7">
        <w:rPr>
          <w:rFonts w:ascii="Book Antiqua" w:hAnsi="Book Antiqua"/>
        </w:rPr>
        <w:t>: 788-796 [PMID: 23210878 DOI: 10.1583/JEVT-12-3993R.1]</w:t>
      </w:r>
    </w:p>
    <w:p w14:paraId="1BEF593F"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34 </w:t>
      </w:r>
      <w:r w:rsidRPr="003316A7">
        <w:rPr>
          <w:rFonts w:ascii="Book Antiqua" w:hAnsi="Book Antiqua"/>
          <w:b/>
        </w:rPr>
        <w:t>Werner M</w:t>
      </w:r>
      <w:r w:rsidRPr="003316A7">
        <w:rPr>
          <w:rFonts w:ascii="Book Antiqua" w:hAnsi="Book Antiqua"/>
        </w:rPr>
        <w:t xml:space="preserve">, Scheinert S, Bausback Y, Bräunlich S, Ulrich M, Piorkowski M, Scheinert D, Schmidt A. Bifurcation stenting after failed angioplasty of infrapopliteal arteries in critical limb ischemia: techniques and short-term follow-up. </w:t>
      </w:r>
      <w:r w:rsidRPr="003316A7">
        <w:rPr>
          <w:rFonts w:ascii="Book Antiqua" w:hAnsi="Book Antiqua"/>
          <w:i/>
        </w:rPr>
        <w:t>Catheter Cardiovasc Interv</w:t>
      </w:r>
      <w:r w:rsidRPr="003316A7">
        <w:rPr>
          <w:rFonts w:ascii="Book Antiqua" w:hAnsi="Book Antiqua"/>
        </w:rPr>
        <w:t xml:space="preserve"> 2013; </w:t>
      </w:r>
      <w:r w:rsidRPr="003316A7">
        <w:rPr>
          <w:rFonts w:ascii="Book Antiqua" w:hAnsi="Book Antiqua"/>
          <w:b/>
        </w:rPr>
        <w:t>82</w:t>
      </w:r>
      <w:r w:rsidRPr="003316A7">
        <w:rPr>
          <w:rFonts w:ascii="Book Antiqua" w:hAnsi="Book Antiqua"/>
        </w:rPr>
        <w:t>: E522-E528 [PMID: 23404942 DOI: 10.1002/ccd.24828]</w:t>
      </w:r>
    </w:p>
    <w:p w14:paraId="483F7D1C"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35 </w:t>
      </w:r>
      <w:r w:rsidRPr="003316A7">
        <w:rPr>
          <w:rFonts w:ascii="Book Antiqua" w:hAnsi="Book Antiqua"/>
          <w:b/>
        </w:rPr>
        <w:t>Karnabatidis D</w:t>
      </w:r>
      <w:r w:rsidRPr="003316A7">
        <w:rPr>
          <w:rFonts w:ascii="Book Antiqua" w:hAnsi="Book Antiqua"/>
        </w:rPr>
        <w:t xml:space="preserve">, Katsanos K, Spiliopoulos S, Diamantopoulos A, Kagadis GC, Siablis D. Incidence, anatomical location, and clinical significance of compressions and fractures in infrapopliteal balloon-expandable metal stents. </w:t>
      </w:r>
      <w:r w:rsidRPr="003316A7">
        <w:rPr>
          <w:rFonts w:ascii="Book Antiqua" w:hAnsi="Book Antiqua"/>
          <w:i/>
        </w:rPr>
        <w:t>J Endovasc Ther</w:t>
      </w:r>
      <w:r w:rsidRPr="003316A7">
        <w:rPr>
          <w:rFonts w:ascii="Book Antiqua" w:hAnsi="Book Antiqua"/>
        </w:rPr>
        <w:t xml:space="preserve"> 2009; </w:t>
      </w:r>
      <w:r w:rsidRPr="003316A7">
        <w:rPr>
          <w:rFonts w:ascii="Book Antiqua" w:hAnsi="Book Antiqua"/>
          <w:b/>
        </w:rPr>
        <w:t>16</w:t>
      </w:r>
      <w:r w:rsidRPr="003316A7">
        <w:rPr>
          <w:rFonts w:ascii="Book Antiqua" w:hAnsi="Book Antiqua"/>
        </w:rPr>
        <w:t>: 15-22 [PMID: 19281287 DOI: 10.1583/08-2530.1]</w:t>
      </w:r>
    </w:p>
    <w:p w14:paraId="46AF6FFE"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36 </w:t>
      </w:r>
      <w:r w:rsidRPr="003316A7">
        <w:rPr>
          <w:rFonts w:ascii="Book Antiqua" w:hAnsi="Book Antiqua"/>
          <w:b/>
        </w:rPr>
        <w:t>Spiliopoulos S</w:t>
      </w:r>
      <w:r w:rsidRPr="003316A7">
        <w:rPr>
          <w:rFonts w:ascii="Book Antiqua" w:hAnsi="Book Antiqua"/>
        </w:rPr>
        <w:t xml:space="preserve">, Theodosiadou V, Fragkos G, Diamantopoulos A, Katsanos K, Siablis D, Karnabatidis D. Feasibility of endovascular recanalization of occluded infrapopliteal drug-eluting stents. </w:t>
      </w:r>
      <w:r w:rsidRPr="003316A7">
        <w:rPr>
          <w:rFonts w:ascii="Book Antiqua" w:hAnsi="Book Antiqua"/>
          <w:i/>
        </w:rPr>
        <w:t>J Endovasc Ther</w:t>
      </w:r>
      <w:r w:rsidRPr="003316A7">
        <w:rPr>
          <w:rFonts w:ascii="Book Antiqua" w:hAnsi="Book Antiqua"/>
        </w:rPr>
        <w:t xml:space="preserve"> 2014; </w:t>
      </w:r>
      <w:r w:rsidRPr="003316A7">
        <w:rPr>
          <w:rFonts w:ascii="Book Antiqua" w:hAnsi="Book Antiqua"/>
          <w:b/>
        </w:rPr>
        <w:t>21</w:t>
      </w:r>
      <w:r w:rsidRPr="003316A7">
        <w:rPr>
          <w:rFonts w:ascii="Book Antiqua" w:hAnsi="Book Antiqua"/>
        </w:rPr>
        <w:t>: 392-399 [PMID: 24915587 DOI: 10.1583/13-4593MR.1]</w:t>
      </w:r>
    </w:p>
    <w:p w14:paraId="53682E6D"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37 </w:t>
      </w:r>
      <w:r w:rsidRPr="003316A7">
        <w:rPr>
          <w:rFonts w:ascii="Book Antiqua" w:hAnsi="Book Antiqua"/>
          <w:b/>
        </w:rPr>
        <w:t>Nakazawa G</w:t>
      </w:r>
      <w:r w:rsidRPr="003316A7">
        <w:rPr>
          <w:rFonts w:ascii="Book Antiqua" w:hAnsi="Book Antiqua"/>
        </w:rPr>
        <w:t xml:space="preserve">, Otsuka F, Nakano M, Vorpahl M, Yazdani SK, Ladich E, Kolodgie FD, Finn AV, Virmani R. The pathology of neoatherosclerosis in human coronary implants bare-metal and drug-eluting stents. </w:t>
      </w:r>
      <w:r w:rsidRPr="003316A7">
        <w:rPr>
          <w:rFonts w:ascii="Book Antiqua" w:hAnsi="Book Antiqua"/>
          <w:i/>
        </w:rPr>
        <w:t>J Am Coll Cardiol</w:t>
      </w:r>
      <w:r w:rsidRPr="003316A7">
        <w:rPr>
          <w:rFonts w:ascii="Book Antiqua" w:hAnsi="Book Antiqua"/>
        </w:rPr>
        <w:t xml:space="preserve"> 2011; </w:t>
      </w:r>
      <w:r w:rsidRPr="003316A7">
        <w:rPr>
          <w:rFonts w:ascii="Book Antiqua" w:hAnsi="Book Antiqua"/>
          <w:b/>
        </w:rPr>
        <w:t>57</w:t>
      </w:r>
      <w:r w:rsidRPr="003316A7">
        <w:rPr>
          <w:rFonts w:ascii="Book Antiqua" w:hAnsi="Book Antiqua"/>
        </w:rPr>
        <w:t>: 1314-1322 [PMID: 21376502 DOI: 10.1016/j.jacc.2011.01.011]</w:t>
      </w:r>
    </w:p>
    <w:p w14:paraId="5EC9EC8E"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38 </w:t>
      </w:r>
      <w:r w:rsidRPr="003316A7">
        <w:rPr>
          <w:rFonts w:ascii="Book Antiqua" w:hAnsi="Book Antiqua"/>
          <w:b/>
        </w:rPr>
        <w:t>Paraskevopoulos I</w:t>
      </w:r>
      <w:r w:rsidRPr="003316A7">
        <w:rPr>
          <w:rFonts w:ascii="Book Antiqua" w:hAnsi="Book Antiqua"/>
        </w:rPr>
        <w:t xml:space="preserve">, Spiliopoulos S, Davlouros P, Karnabatidis D, Katsanos K, Alexopoulos D, Siablis D. Evaluation of below-the-knee drug-eluting stents with frequency-domain optical coherence tomography: neointimal hyperplasia and neoatherosclerosis. </w:t>
      </w:r>
      <w:r w:rsidRPr="003316A7">
        <w:rPr>
          <w:rFonts w:ascii="Book Antiqua" w:hAnsi="Book Antiqua"/>
          <w:i/>
        </w:rPr>
        <w:t>J Endovasc Ther</w:t>
      </w:r>
      <w:r w:rsidRPr="003316A7">
        <w:rPr>
          <w:rFonts w:ascii="Book Antiqua" w:hAnsi="Book Antiqua"/>
        </w:rPr>
        <w:t xml:space="preserve"> 2013; </w:t>
      </w:r>
      <w:r w:rsidRPr="003316A7">
        <w:rPr>
          <w:rFonts w:ascii="Book Antiqua" w:hAnsi="Book Antiqua"/>
          <w:b/>
        </w:rPr>
        <w:t>20</w:t>
      </w:r>
      <w:r w:rsidRPr="003316A7">
        <w:rPr>
          <w:rFonts w:ascii="Book Antiqua" w:hAnsi="Book Antiqua"/>
        </w:rPr>
        <w:t>: 80-93 [PMID: 23391087 DOI: 10.1583/12-4091.1]</w:t>
      </w:r>
    </w:p>
    <w:p w14:paraId="0384DF14"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39 </w:t>
      </w:r>
      <w:r w:rsidRPr="003316A7">
        <w:rPr>
          <w:rFonts w:ascii="Book Antiqua" w:hAnsi="Book Antiqua"/>
          <w:b/>
        </w:rPr>
        <w:t>Tepe G</w:t>
      </w:r>
      <w:r w:rsidRPr="003316A7">
        <w:rPr>
          <w:rFonts w:ascii="Book Antiqua" w:hAnsi="Book Antiqua"/>
        </w:rPr>
        <w:t xml:space="preserve">, Schmehl J, Heller S, Brechtel K, Heuschmid M, Fenchel M, Kramer U, Miller S, Claussen CD. Drug eluting stents versus PTA with GP IIb/IIIa blockade below the knee in patients with current ulcers--The BELOW Study. </w:t>
      </w:r>
      <w:r w:rsidRPr="003316A7">
        <w:rPr>
          <w:rFonts w:ascii="Book Antiqua" w:hAnsi="Book Antiqua"/>
          <w:i/>
        </w:rPr>
        <w:t>J Cardiovasc Surg (Torino)</w:t>
      </w:r>
      <w:r w:rsidRPr="003316A7">
        <w:rPr>
          <w:rFonts w:ascii="Book Antiqua" w:hAnsi="Book Antiqua"/>
        </w:rPr>
        <w:t xml:space="preserve"> 2010; </w:t>
      </w:r>
      <w:r w:rsidRPr="003316A7">
        <w:rPr>
          <w:rFonts w:ascii="Book Antiqua" w:hAnsi="Book Antiqua"/>
          <w:b/>
        </w:rPr>
        <w:t>51</w:t>
      </w:r>
      <w:r w:rsidRPr="003316A7">
        <w:rPr>
          <w:rFonts w:ascii="Book Antiqua" w:hAnsi="Book Antiqua"/>
        </w:rPr>
        <w:t>: 203-212 [PMID: 20354490 DOI: 10.1097/FJC.0b013e3181d4ca66]</w:t>
      </w:r>
    </w:p>
    <w:p w14:paraId="1B6EAD6D"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40 </w:t>
      </w:r>
      <w:r w:rsidRPr="003316A7">
        <w:rPr>
          <w:rFonts w:ascii="Book Antiqua" w:hAnsi="Book Antiqua"/>
          <w:b/>
        </w:rPr>
        <w:t>Kassimis G</w:t>
      </w:r>
      <w:r w:rsidRPr="003316A7">
        <w:rPr>
          <w:rFonts w:ascii="Book Antiqua" w:hAnsi="Book Antiqua"/>
        </w:rPr>
        <w:t xml:space="preserve">, Spiliopoulos S, Katsanos K, Tsetis D, Krokidis ME. Bioresorbable scaffolds in peripheral arterial disease. </w:t>
      </w:r>
      <w:r w:rsidRPr="003316A7">
        <w:rPr>
          <w:rFonts w:ascii="Book Antiqua" w:hAnsi="Book Antiqua"/>
          <w:i/>
        </w:rPr>
        <w:t>Expert Rev Cardiovasc Ther</w:t>
      </w:r>
      <w:r w:rsidRPr="003316A7">
        <w:rPr>
          <w:rFonts w:ascii="Book Antiqua" w:hAnsi="Book Antiqua"/>
        </w:rPr>
        <w:t xml:space="preserve"> 2014; </w:t>
      </w:r>
      <w:r w:rsidRPr="003316A7">
        <w:rPr>
          <w:rFonts w:ascii="Book Antiqua" w:hAnsi="Book Antiqua"/>
          <w:b/>
        </w:rPr>
        <w:t>12</w:t>
      </w:r>
      <w:r w:rsidRPr="003316A7">
        <w:rPr>
          <w:rFonts w:ascii="Book Antiqua" w:hAnsi="Book Antiqua"/>
        </w:rPr>
        <w:t>: 443-450 [PMID: 24650312 DOI: 10.1586/14779072.2014.897226]</w:t>
      </w:r>
    </w:p>
    <w:p w14:paraId="7FFFFA0C"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41 </w:t>
      </w:r>
      <w:r w:rsidRPr="003316A7">
        <w:rPr>
          <w:rFonts w:ascii="Book Antiqua" w:hAnsi="Book Antiqua"/>
          <w:b/>
        </w:rPr>
        <w:t>Varcoe RL</w:t>
      </w:r>
      <w:r w:rsidRPr="003316A7">
        <w:rPr>
          <w:rFonts w:ascii="Book Antiqua" w:hAnsi="Book Antiqua"/>
        </w:rPr>
        <w:t xml:space="preserve">, Schouten O, Thomas SD, Lennox AF. Experience With the Absorb Everolimus-Eluting Bioresorbable Vascular Scaffold in Arteries Below the Knee: 12-Month Clinical and Imaging Outcomes. </w:t>
      </w:r>
      <w:r w:rsidRPr="003316A7">
        <w:rPr>
          <w:rFonts w:ascii="Book Antiqua" w:hAnsi="Book Antiqua"/>
          <w:i/>
        </w:rPr>
        <w:t>JACC Cardiovasc Interv</w:t>
      </w:r>
      <w:r w:rsidRPr="003316A7">
        <w:rPr>
          <w:rFonts w:ascii="Book Antiqua" w:hAnsi="Book Antiqua"/>
        </w:rPr>
        <w:t xml:space="preserve"> 2016; </w:t>
      </w:r>
      <w:r w:rsidRPr="003316A7">
        <w:rPr>
          <w:rFonts w:ascii="Book Antiqua" w:hAnsi="Book Antiqua"/>
          <w:b/>
        </w:rPr>
        <w:t>9</w:t>
      </w:r>
      <w:r w:rsidRPr="003316A7">
        <w:rPr>
          <w:rFonts w:ascii="Book Antiqua" w:hAnsi="Book Antiqua"/>
        </w:rPr>
        <w:t>: 1721-1728 [PMID: 27539693 DOI: 10.1016/j.jcin.2016.06.005]</w:t>
      </w:r>
    </w:p>
    <w:p w14:paraId="1A289B31"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42 </w:t>
      </w:r>
      <w:r w:rsidRPr="003316A7">
        <w:rPr>
          <w:rFonts w:ascii="Book Antiqua" w:hAnsi="Book Antiqua"/>
          <w:b/>
        </w:rPr>
        <w:t>Katsanos K</w:t>
      </w:r>
      <w:r w:rsidRPr="003316A7">
        <w:rPr>
          <w:rFonts w:ascii="Book Antiqua" w:hAnsi="Book Antiqua"/>
        </w:rPr>
        <w:t xml:space="preserve">, Karnabatidis D, Diamantopoulos A, Spiliopoulos S, Siablis D. Cost-effectiveness analysis of infrapopliteal drug-eluting stents. </w:t>
      </w:r>
      <w:r w:rsidRPr="003316A7">
        <w:rPr>
          <w:rFonts w:ascii="Book Antiqua" w:hAnsi="Book Antiqua"/>
          <w:i/>
        </w:rPr>
        <w:t>Cardiovasc Intervent Radiol</w:t>
      </w:r>
      <w:r w:rsidRPr="003316A7">
        <w:rPr>
          <w:rFonts w:ascii="Book Antiqua" w:hAnsi="Book Antiqua"/>
        </w:rPr>
        <w:t xml:space="preserve"> 2013; </w:t>
      </w:r>
      <w:r w:rsidRPr="003316A7">
        <w:rPr>
          <w:rFonts w:ascii="Book Antiqua" w:hAnsi="Book Antiqua"/>
          <w:b/>
        </w:rPr>
        <w:t>36</w:t>
      </w:r>
      <w:r w:rsidRPr="003316A7">
        <w:rPr>
          <w:rFonts w:ascii="Book Antiqua" w:hAnsi="Book Antiqua"/>
        </w:rPr>
        <w:t>: 90-97 [PMID: 22414987 DOI: 10.1007/s00270-012-0370-8]</w:t>
      </w:r>
    </w:p>
    <w:p w14:paraId="22D671CE"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43 </w:t>
      </w:r>
      <w:r w:rsidRPr="003316A7">
        <w:rPr>
          <w:rFonts w:ascii="Book Antiqua" w:hAnsi="Book Antiqua"/>
          <w:b/>
        </w:rPr>
        <w:t>Katsanos K</w:t>
      </w:r>
      <w:r w:rsidRPr="003316A7">
        <w:rPr>
          <w:rFonts w:ascii="Book Antiqua" w:hAnsi="Book Antiqua"/>
        </w:rPr>
        <w:t xml:space="preserve">, Spiliopoulos S, Paraskevopoulos I, Diamantopoulos A, Karnabatidis D. Systematic Review and Meta-analysis of Randomized Controlled Trials of Paclitaxel-Coated Balloon Angioplasty in the Femoropopliteal Arteries: Role of Paclitaxel Dose and Bioavailability. </w:t>
      </w:r>
      <w:r w:rsidRPr="003316A7">
        <w:rPr>
          <w:rFonts w:ascii="Book Antiqua" w:hAnsi="Book Antiqua"/>
          <w:i/>
        </w:rPr>
        <w:t>J Endovasc Ther</w:t>
      </w:r>
      <w:r w:rsidRPr="003316A7">
        <w:rPr>
          <w:rFonts w:ascii="Book Antiqua" w:hAnsi="Book Antiqua"/>
        </w:rPr>
        <w:t xml:space="preserve"> 2016; </w:t>
      </w:r>
      <w:r w:rsidRPr="003316A7">
        <w:rPr>
          <w:rFonts w:ascii="Book Antiqua" w:hAnsi="Book Antiqua"/>
          <w:b/>
        </w:rPr>
        <w:t>23</w:t>
      </w:r>
      <w:r w:rsidRPr="003316A7">
        <w:rPr>
          <w:rFonts w:ascii="Book Antiqua" w:hAnsi="Book Antiqua"/>
        </w:rPr>
        <w:t>: 356-370 [PMID: 26823485 DOI: 10.1177/1526602815626557]</w:t>
      </w:r>
    </w:p>
    <w:p w14:paraId="17D8BEDC"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44 </w:t>
      </w:r>
      <w:r w:rsidRPr="003316A7">
        <w:rPr>
          <w:rFonts w:ascii="Book Antiqua" w:hAnsi="Book Antiqua"/>
          <w:b/>
        </w:rPr>
        <w:t>Schmidt A</w:t>
      </w:r>
      <w:r w:rsidRPr="003316A7">
        <w:rPr>
          <w:rFonts w:ascii="Book Antiqua" w:hAnsi="Book Antiqua"/>
        </w:rPr>
        <w:t xml:space="preserve">, Piorkowski M, Werner M, Ulrich M, Bausback Y, Bräunlich S, Ick H, Schuster J, Botsios S, Kruse HJ, Varcoe RL, Scheinert D. First experience with drug-eluting balloons in infrapopliteal arteries: restenosis rate and clinical outcome. </w:t>
      </w:r>
      <w:r w:rsidRPr="003316A7">
        <w:rPr>
          <w:rFonts w:ascii="Book Antiqua" w:hAnsi="Book Antiqua"/>
          <w:i/>
        </w:rPr>
        <w:t>J Am Coll Cardiol</w:t>
      </w:r>
      <w:r w:rsidRPr="003316A7">
        <w:rPr>
          <w:rFonts w:ascii="Book Antiqua" w:hAnsi="Book Antiqua"/>
        </w:rPr>
        <w:t xml:space="preserve"> 2011; </w:t>
      </w:r>
      <w:r w:rsidRPr="003316A7">
        <w:rPr>
          <w:rFonts w:ascii="Book Antiqua" w:hAnsi="Book Antiqua"/>
          <w:b/>
        </w:rPr>
        <w:t>58</w:t>
      </w:r>
      <w:r w:rsidRPr="003316A7">
        <w:rPr>
          <w:rFonts w:ascii="Book Antiqua" w:hAnsi="Book Antiqua"/>
        </w:rPr>
        <w:t>: 1105-1109 [PMID: 21884945 DOI: 10.1016/j.jacc.2011.05.034]</w:t>
      </w:r>
    </w:p>
    <w:p w14:paraId="711EBB49"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45 </w:t>
      </w:r>
      <w:r w:rsidRPr="003316A7">
        <w:rPr>
          <w:rFonts w:ascii="Book Antiqua" w:hAnsi="Book Antiqua"/>
          <w:b/>
        </w:rPr>
        <w:t>Liistro F</w:t>
      </w:r>
      <w:r w:rsidRPr="003316A7">
        <w:rPr>
          <w:rFonts w:ascii="Book Antiqua" w:hAnsi="Book Antiqua"/>
        </w:rPr>
        <w:t xml:space="preserve">, Porto I, Angioli P, Grotti S, Ricci L, Ducci K, Falsini G, Ventoruzzo G, Turini F, Bellandi G, Bolognese L. Drug-eluting balloon in peripheral intervention for below the knee angioplasty evaluation (DEBATE-BTK): a randomized trial in diabetic patients with critical limb ischemia. </w:t>
      </w:r>
      <w:r w:rsidRPr="003316A7">
        <w:rPr>
          <w:rFonts w:ascii="Book Antiqua" w:hAnsi="Book Antiqua"/>
          <w:i/>
        </w:rPr>
        <w:t>Circulation</w:t>
      </w:r>
      <w:r w:rsidRPr="003316A7">
        <w:rPr>
          <w:rFonts w:ascii="Book Antiqua" w:hAnsi="Book Antiqua"/>
        </w:rPr>
        <w:t xml:space="preserve"> 2013; </w:t>
      </w:r>
      <w:r w:rsidRPr="003316A7">
        <w:rPr>
          <w:rFonts w:ascii="Book Antiqua" w:hAnsi="Book Antiqua"/>
          <w:b/>
        </w:rPr>
        <w:t>128</w:t>
      </w:r>
      <w:r w:rsidRPr="003316A7">
        <w:rPr>
          <w:rFonts w:ascii="Book Antiqua" w:hAnsi="Book Antiqua"/>
        </w:rPr>
        <w:t>: 615-621 [PMID: 23797811 DOI: 10.1161/CIRCULATIONAHA.113.001811]</w:t>
      </w:r>
    </w:p>
    <w:p w14:paraId="4303D6A8"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46 </w:t>
      </w:r>
      <w:r w:rsidRPr="003316A7">
        <w:rPr>
          <w:rFonts w:ascii="Book Antiqua" w:hAnsi="Book Antiqua"/>
          <w:b/>
        </w:rPr>
        <w:t>Zeller T</w:t>
      </w:r>
      <w:r w:rsidRPr="003316A7">
        <w:rPr>
          <w:rFonts w:ascii="Book Antiqua" w:hAnsi="Book Antiqua"/>
        </w:rPr>
        <w:t xml:space="preserve">, Baumgartner I, Scheinert D, Brodmann M, Bosiers M, Micari A, Peeters P, Vermassen F, Landini M, Snead DB, Kent KC, Rocha-Singh KJ; IN.PACT DEEP Trial Investigators. Drug-eluting balloon versus standard balloon angioplasty for infrapopliteal arterial revascularization in critical limb ischemia: 12-month results from the IN.PACT DEEP randomized trial. </w:t>
      </w:r>
      <w:r w:rsidRPr="003316A7">
        <w:rPr>
          <w:rFonts w:ascii="Book Antiqua" w:hAnsi="Book Antiqua"/>
          <w:i/>
        </w:rPr>
        <w:t>J Am Coll Cardiol</w:t>
      </w:r>
      <w:r w:rsidRPr="003316A7">
        <w:rPr>
          <w:rFonts w:ascii="Book Antiqua" w:hAnsi="Book Antiqua"/>
        </w:rPr>
        <w:t xml:space="preserve"> 2014; </w:t>
      </w:r>
      <w:r w:rsidRPr="003316A7">
        <w:rPr>
          <w:rFonts w:ascii="Book Antiqua" w:hAnsi="Book Antiqua"/>
          <w:b/>
        </w:rPr>
        <w:t>64</w:t>
      </w:r>
      <w:r w:rsidRPr="003316A7">
        <w:rPr>
          <w:rFonts w:ascii="Book Antiqua" w:hAnsi="Book Antiqua"/>
        </w:rPr>
        <w:t>: 1568-1576 [PMID: 25301459 DOI: 10.1016/j.jacc.2014.06.1198]</w:t>
      </w:r>
    </w:p>
    <w:p w14:paraId="054EBD88"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47 </w:t>
      </w:r>
      <w:r w:rsidRPr="003316A7">
        <w:rPr>
          <w:rFonts w:ascii="Book Antiqua" w:hAnsi="Book Antiqua"/>
          <w:b/>
        </w:rPr>
        <w:t>Zeller T</w:t>
      </w:r>
      <w:r w:rsidRPr="003316A7">
        <w:rPr>
          <w:rFonts w:ascii="Book Antiqua" w:hAnsi="Book Antiqua"/>
        </w:rPr>
        <w:t xml:space="preserve">, Beschorner U, Pilger E, Bosiers M, Deloose K, Peeters P, Scheinert D, Schulte KL, Rastan A, Brodmann M. Paclitaxel-Coated Balloon in Infrapopliteal Arteries: 12-Month Results From the BIOLUX P-II Randomized Trial (BIOTRONIK'S-First in Man study of the Passeo-18 LUX drug releasing PTA Balloon Catheter vs. the uncoated Passeo-18 PTA balloon catheter in subjects requiring revascularization of infrapopliteal arteries). </w:t>
      </w:r>
      <w:r w:rsidRPr="003316A7">
        <w:rPr>
          <w:rFonts w:ascii="Book Antiqua" w:hAnsi="Book Antiqua"/>
          <w:i/>
        </w:rPr>
        <w:t>JACC Cardiovasc Interv</w:t>
      </w:r>
      <w:r w:rsidRPr="003316A7">
        <w:rPr>
          <w:rFonts w:ascii="Book Antiqua" w:hAnsi="Book Antiqua"/>
        </w:rPr>
        <w:t xml:space="preserve"> 2015; </w:t>
      </w:r>
      <w:r w:rsidRPr="003316A7">
        <w:rPr>
          <w:rFonts w:ascii="Book Antiqua" w:hAnsi="Book Antiqua"/>
          <w:b/>
        </w:rPr>
        <w:t>8</w:t>
      </w:r>
      <w:r w:rsidRPr="003316A7">
        <w:rPr>
          <w:rFonts w:ascii="Book Antiqua" w:hAnsi="Book Antiqua"/>
        </w:rPr>
        <w:t>: 1614-1622 [PMID: 26493253 DOI: 10.1016/j.jcin.2015.07.011]</w:t>
      </w:r>
    </w:p>
    <w:p w14:paraId="38C9BD5C"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48 </w:t>
      </w:r>
      <w:r w:rsidRPr="003316A7">
        <w:rPr>
          <w:rFonts w:ascii="Book Antiqua" w:hAnsi="Book Antiqua"/>
          <w:b/>
        </w:rPr>
        <w:t>Herten M</w:t>
      </w:r>
      <w:r w:rsidRPr="003316A7">
        <w:rPr>
          <w:rFonts w:ascii="Book Antiqua" w:hAnsi="Book Antiqua"/>
        </w:rPr>
        <w:t xml:space="preserve">, Stahlhoff S, Imm B, Schönefeld E, Schwindt A, Torsello GB. [Drug-coated balloons in the treatment of peripheral artery disease (PAD). History and current level of evidence]. </w:t>
      </w:r>
      <w:r w:rsidRPr="003316A7">
        <w:rPr>
          <w:rFonts w:ascii="Book Antiqua" w:hAnsi="Book Antiqua"/>
          <w:i/>
        </w:rPr>
        <w:t>Radiologe</w:t>
      </w:r>
      <w:r w:rsidRPr="003316A7">
        <w:rPr>
          <w:rFonts w:ascii="Book Antiqua" w:hAnsi="Book Antiqua"/>
        </w:rPr>
        <w:t xml:space="preserve"> 2016; </w:t>
      </w:r>
      <w:r w:rsidRPr="003316A7">
        <w:rPr>
          <w:rFonts w:ascii="Book Antiqua" w:hAnsi="Book Antiqua"/>
          <w:b/>
        </w:rPr>
        <w:t>56</w:t>
      </w:r>
      <w:r w:rsidRPr="003316A7">
        <w:rPr>
          <w:rFonts w:ascii="Book Antiqua" w:hAnsi="Book Antiqua"/>
        </w:rPr>
        <w:t>: 240-253 [PMID: 26885653 DOI: 10.1007/s00117-015-0073-7]</w:t>
      </w:r>
    </w:p>
    <w:p w14:paraId="2E7239AE" w14:textId="3B4E6D18" w:rsidR="003316A7" w:rsidRPr="003316A7" w:rsidRDefault="003316A7" w:rsidP="003B6EBC">
      <w:pPr>
        <w:snapToGrid w:val="0"/>
        <w:spacing w:line="360" w:lineRule="auto"/>
        <w:jc w:val="both"/>
        <w:rPr>
          <w:rFonts w:ascii="Book Antiqua" w:hAnsi="Book Antiqua"/>
        </w:rPr>
      </w:pPr>
      <w:r>
        <w:rPr>
          <w:rFonts w:ascii="Book Antiqua" w:hAnsi="Book Antiqua"/>
        </w:rPr>
        <w:t xml:space="preserve">49 </w:t>
      </w:r>
      <w:r w:rsidRPr="003316A7">
        <w:rPr>
          <w:rFonts w:ascii="Book Antiqua" w:hAnsi="Book Antiqua"/>
        </w:rPr>
        <w:t>Randomized Study of IN.PACT 014 Paclitaxel-Coated Percutaneous Transluminal Angioplasty Balloon Catheter vs Standard Percutaneous Transluminal Angioplasty for the Treatment of Chronic Total Occlusions in the Infrapopliteal Arteries. In: ClinicalTrials.gov [Internet]. Bethesda (MD): U.S. National Library of Medicine. Available from: https://clinicaltrials.gov/ct2/show/NCT02963649 ClinicalTrials.gov Identifier: NCT02963649</w:t>
      </w:r>
    </w:p>
    <w:p w14:paraId="6F1B9815"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50 </w:t>
      </w:r>
      <w:r w:rsidRPr="003316A7">
        <w:rPr>
          <w:rFonts w:ascii="Book Antiqua" w:hAnsi="Book Antiqua"/>
          <w:b/>
        </w:rPr>
        <w:t>Thieme M</w:t>
      </w:r>
      <w:r w:rsidRPr="003316A7">
        <w:rPr>
          <w:rFonts w:ascii="Book Antiqua" w:hAnsi="Book Antiqua"/>
        </w:rPr>
        <w:t xml:space="preserve">, Lichtenberg M, Brodmann M, Cioppa A, Scheinert D. Lutonix® 014 DCB global Below the Knee Registry Study: interim 6-month outcomes. </w:t>
      </w:r>
      <w:r w:rsidRPr="003316A7">
        <w:rPr>
          <w:rFonts w:ascii="Book Antiqua" w:hAnsi="Book Antiqua"/>
          <w:i/>
        </w:rPr>
        <w:t>J Cardiovasc Surg (Torino)</w:t>
      </w:r>
      <w:r w:rsidRPr="003316A7">
        <w:rPr>
          <w:rFonts w:ascii="Book Antiqua" w:hAnsi="Book Antiqua"/>
        </w:rPr>
        <w:t xml:space="preserve"> 2018; </w:t>
      </w:r>
      <w:r w:rsidRPr="003316A7">
        <w:rPr>
          <w:rFonts w:ascii="Book Antiqua" w:hAnsi="Book Antiqua"/>
          <w:b/>
        </w:rPr>
        <w:t>59</w:t>
      </w:r>
      <w:r w:rsidRPr="003316A7">
        <w:rPr>
          <w:rFonts w:ascii="Book Antiqua" w:hAnsi="Book Antiqua"/>
        </w:rPr>
        <w:t>: 232-236 [PMID: 29363894 DOI: 10.23736/S0021-9509.18.10269-2]</w:t>
      </w:r>
    </w:p>
    <w:p w14:paraId="10A64F99" w14:textId="47B56BB7" w:rsidR="003316A7" w:rsidRPr="003316A7" w:rsidRDefault="003316A7" w:rsidP="003B6EBC">
      <w:pPr>
        <w:snapToGrid w:val="0"/>
        <w:spacing w:line="360" w:lineRule="auto"/>
        <w:jc w:val="both"/>
        <w:rPr>
          <w:rFonts w:ascii="Book Antiqua" w:hAnsi="Book Antiqua"/>
        </w:rPr>
      </w:pPr>
      <w:r>
        <w:rPr>
          <w:rFonts w:ascii="Book Antiqua" w:hAnsi="Book Antiqua"/>
        </w:rPr>
        <w:t xml:space="preserve">51 </w:t>
      </w:r>
      <w:r w:rsidRPr="003316A7">
        <w:rPr>
          <w:rFonts w:ascii="Book Antiqua" w:hAnsi="Book Antiqua"/>
        </w:rPr>
        <w:t>An Efficacy and Safety Study to Evaluate Ranger Drug-eluting Balloon for Below the Knee Angioplasty in Patients With Critical Limb Ischemia. In: ClinicalTrials.gov [Internet]. Bethesda (MD): U.S. National Library of Medicine. Available from: https://clinicaltrials.gov/ct2/show/record/NCT02856230 ClinicalTrials.gov Identifier: NCT02856230</w:t>
      </w:r>
    </w:p>
    <w:p w14:paraId="57485EB2"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52 </w:t>
      </w:r>
      <w:r w:rsidRPr="003316A7">
        <w:rPr>
          <w:rFonts w:ascii="Book Antiqua" w:hAnsi="Book Antiqua"/>
          <w:b/>
        </w:rPr>
        <w:t>Siablis D</w:t>
      </w:r>
      <w:r w:rsidRPr="003316A7">
        <w:rPr>
          <w:rFonts w:ascii="Book Antiqua" w:hAnsi="Book Antiqua"/>
        </w:rPr>
        <w:t xml:space="preserve">, Kitrou PM, Spiliopoulos S, Katsanos K, Karnabatidis D. Paclitaxel-coated balloon angioplasty versus drug-eluting stenting for the treatment of infrapopliteal long-segment arterial occlusive disease: the IDEAS randomized controlled trial. </w:t>
      </w:r>
      <w:r w:rsidRPr="003316A7">
        <w:rPr>
          <w:rFonts w:ascii="Book Antiqua" w:hAnsi="Book Antiqua"/>
          <w:i/>
        </w:rPr>
        <w:t>JACC Cardiovasc Interv</w:t>
      </w:r>
      <w:r w:rsidRPr="003316A7">
        <w:rPr>
          <w:rFonts w:ascii="Book Antiqua" w:hAnsi="Book Antiqua"/>
        </w:rPr>
        <w:t xml:space="preserve"> 2014; </w:t>
      </w:r>
      <w:r w:rsidRPr="003316A7">
        <w:rPr>
          <w:rFonts w:ascii="Book Antiqua" w:hAnsi="Book Antiqua"/>
          <w:b/>
        </w:rPr>
        <w:t>7</w:t>
      </w:r>
      <w:r w:rsidRPr="003316A7">
        <w:rPr>
          <w:rFonts w:ascii="Book Antiqua" w:hAnsi="Book Antiqua"/>
        </w:rPr>
        <w:t>: 1048-1056 [PMID: 25234679 DOI: 10.1016/j.jcin.2014.04.015]</w:t>
      </w:r>
    </w:p>
    <w:p w14:paraId="0E65C2C3"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53 </w:t>
      </w:r>
      <w:r w:rsidRPr="003316A7">
        <w:rPr>
          <w:rFonts w:ascii="Book Antiqua" w:hAnsi="Book Antiqua"/>
          <w:b/>
        </w:rPr>
        <w:t>Korosoglou G</w:t>
      </w:r>
      <w:r w:rsidRPr="003316A7">
        <w:rPr>
          <w:rFonts w:ascii="Book Antiqua" w:hAnsi="Book Antiqua"/>
        </w:rPr>
        <w:t xml:space="preserve">, Lichtenberg M, Celik S, Andrassy J, Brodmann M, Andrassy M. The evolving role of drug-coated balloons for the treatment of complex femoropopliteal lesions. </w:t>
      </w:r>
      <w:r w:rsidRPr="003316A7">
        <w:rPr>
          <w:rFonts w:ascii="Book Antiqua" w:hAnsi="Book Antiqua"/>
          <w:i/>
        </w:rPr>
        <w:t xml:space="preserve">J Cardiovasc Surg </w:t>
      </w:r>
      <w:r w:rsidRPr="003316A7">
        <w:rPr>
          <w:rFonts w:ascii="Book Antiqua" w:hAnsi="Book Antiqua"/>
        </w:rPr>
        <w:t xml:space="preserve">(Torino) 2018; </w:t>
      </w:r>
      <w:r w:rsidRPr="003316A7">
        <w:rPr>
          <w:rFonts w:ascii="Book Antiqua" w:hAnsi="Book Antiqua"/>
          <w:b/>
        </w:rPr>
        <w:t>59</w:t>
      </w:r>
      <w:r w:rsidRPr="003316A7">
        <w:rPr>
          <w:rFonts w:ascii="Book Antiqua" w:hAnsi="Book Antiqua"/>
        </w:rPr>
        <w:t>: 51-59 [PMID: 28975777 DOI: 10.23736/S0021-9509.17.10245-4]</w:t>
      </w:r>
    </w:p>
    <w:p w14:paraId="70ED5C1F"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54 </w:t>
      </w:r>
      <w:r w:rsidRPr="003316A7">
        <w:rPr>
          <w:rFonts w:ascii="Book Antiqua" w:hAnsi="Book Antiqua"/>
          <w:b/>
        </w:rPr>
        <w:t>Katsanos K</w:t>
      </w:r>
      <w:r w:rsidRPr="003316A7">
        <w:rPr>
          <w:rFonts w:ascii="Book Antiqua" w:hAnsi="Book Antiqua"/>
        </w:rPr>
        <w:t xml:space="preserve">, Kitrou P, Spiliopoulos S, Diamantopoulos A, Karnabatidis D. Comparative Effectiveness of Plain Balloon Angioplasty, Bare Metal Stents, Drug-Coated Balloons, and Drug-Eluting Stents for the Treatment of Infrapopliteal Artery Disease: Systematic Review and Bayesian Network Meta-analysis of Randomized Controlled Trials. </w:t>
      </w:r>
      <w:r w:rsidRPr="003316A7">
        <w:rPr>
          <w:rFonts w:ascii="Book Antiqua" w:hAnsi="Book Antiqua"/>
          <w:i/>
        </w:rPr>
        <w:t>J Endovasc Ther</w:t>
      </w:r>
      <w:r w:rsidRPr="003316A7">
        <w:rPr>
          <w:rFonts w:ascii="Book Antiqua" w:hAnsi="Book Antiqua"/>
        </w:rPr>
        <w:t xml:space="preserve"> 2016; </w:t>
      </w:r>
      <w:r w:rsidRPr="003316A7">
        <w:rPr>
          <w:rFonts w:ascii="Book Antiqua" w:hAnsi="Book Antiqua"/>
          <w:b/>
        </w:rPr>
        <w:t>23</w:t>
      </w:r>
      <w:r w:rsidRPr="003316A7">
        <w:rPr>
          <w:rFonts w:ascii="Book Antiqua" w:hAnsi="Book Antiqua"/>
        </w:rPr>
        <w:t>: 851-863 [PMID: 27708143 DOI: 10.1177/1526602816671740]</w:t>
      </w:r>
    </w:p>
    <w:p w14:paraId="5CF414AF" w14:textId="77777777" w:rsidR="003316A7" w:rsidRPr="003316A7" w:rsidRDefault="003316A7" w:rsidP="003B6EBC">
      <w:pPr>
        <w:snapToGrid w:val="0"/>
        <w:spacing w:line="360" w:lineRule="auto"/>
        <w:jc w:val="both"/>
        <w:rPr>
          <w:rFonts w:ascii="Book Antiqua" w:hAnsi="Book Antiqua"/>
        </w:rPr>
      </w:pPr>
      <w:r w:rsidRPr="003316A7">
        <w:rPr>
          <w:rFonts w:ascii="Book Antiqua" w:hAnsi="Book Antiqua"/>
        </w:rPr>
        <w:t xml:space="preserve">55 </w:t>
      </w:r>
      <w:r w:rsidRPr="003316A7">
        <w:rPr>
          <w:rFonts w:ascii="Book Antiqua" w:hAnsi="Book Antiqua"/>
          <w:b/>
        </w:rPr>
        <w:t>Bunch F</w:t>
      </w:r>
      <w:r w:rsidRPr="003316A7">
        <w:rPr>
          <w:rFonts w:ascii="Book Antiqua" w:hAnsi="Book Antiqua"/>
        </w:rPr>
        <w:t xml:space="preserve">, Walker C, Kassab E, Carr J. A universal drug delivery catheter for the treatment of infrapopliteal arterial disease: Results from the multi-center first-in-human study. </w:t>
      </w:r>
      <w:r w:rsidRPr="003316A7">
        <w:rPr>
          <w:rFonts w:ascii="Book Antiqua" w:hAnsi="Book Antiqua"/>
          <w:i/>
        </w:rPr>
        <w:t>Catheter Cardiovasc Interv</w:t>
      </w:r>
      <w:r w:rsidRPr="003316A7">
        <w:rPr>
          <w:rFonts w:ascii="Book Antiqua" w:hAnsi="Book Antiqua"/>
        </w:rPr>
        <w:t xml:space="preserve"> 2018; </w:t>
      </w:r>
      <w:r w:rsidRPr="003316A7">
        <w:rPr>
          <w:rFonts w:ascii="Book Antiqua" w:hAnsi="Book Antiqua"/>
          <w:b/>
        </w:rPr>
        <w:t>91</w:t>
      </w:r>
      <w:r w:rsidRPr="003316A7">
        <w:rPr>
          <w:rFonts w:ascii="Book Antiqua" w:hAnsi="Book Antiqua"/>
        </w:rPr>
        <w:t>: 296-301 [PMID: 28707423 DOI: 10.1002/ccd.27176]</w:t>
      </w:r>
    </w:p>
    <w:p w14:paraId="1ACA6E58" w14:textId="5B6DC2FA" w:rsidR="003316A7" w:rsidRPr="003316A7" w:rsidRDefault="003316A7" w:rsidP="003B6EBC">
      <w:pPr>
        <w:snapToGrid w:val="0"/>
        <w:spacing w:line="360" w:lineRule="auto"/>
        <w:jc w:val="both"/>
        <w:rPr>
          <w:rFonts w:ascii="Book Antiqua" w:hAnsi="Book Antiqua"/>
        </w:rPr>
      </w:pPr>
      <w:r>
        <w:rPr>
          <w:rFonts w:ascii="Book Antiqua" w:hAnsi="Book Antiqua"/>
        </w:rPr>
        <w:t xml:space="preserve">56 </w:t>
      </w:r>
      <w:r w:rsidRPr="003316A7">
        <w:rPr>
          <w:rFonts w:ascii="Book Antiqua" w:hAnsi="Book Antiqua"/>
        </w:rPr>
        <w:t>LIMBO-PTA: Lower-Limb Adventitial Infusion of DexaMethasone Via Bullfrog to Reduce Occurrence of Restenosis After Percutaneous Transluminal Angioplasty Revascularization In: ClinicalTrials.gov [Internet]. Bethesda (MD): U.S. National Library of Medicine. Available from: https://clinicaltrials.gov/ct2/show/record/NCT02479555 ClinicalTrials.gov Identifier: NCT02479555</w:t>
      </w:r>
    </w:p>
    <w:p w14:paraId="0CDC8EF2" w14:textId="77777777" w:rsidR="00110C9A" w:rsidRPr="003316A7"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hAnsi="Book Antiqua"/>
          <w:color w:val="auto"/>
          <w:szCs w:val="24"/>
        </w:rPr>
      </w:pPr>
    </w:p>
    <w:p w14:paraId="42FE6CDE" w14:textId="77777777" w:rsidR="003B6EBC" w:rsidRDefault="00E86B47" w:rsidP="003B6EBC">
      <w:pPr>
        <w:pStyle w:val="a7"/>
        <w:snapToGrid w:val="0"/>
        <w:spacing w:line="360" w:lineRule="auto"/>
        <w:jc w:val="right"/>
        <w:rPr>
          <w:rFonts w:ascii="Book Antiqua" w:hAnsi="Book Antiqua"/>
          <w:b/>
          <w:sz w:val="24"/>
          <w:szCs w:val="24"/>
        </w:rPr>
      </w:pPr>
      <w:r w:rsidRPr="003316A7">
        <w:rPr>
          <w:rFonts w:ascii="Book Antiqua" w:hAnsi="Book Antiqua"/>
          <w:b/>
          <w:sz w:val="24"/>
          <w:szCs w:val="24"/>
        </w:rPr>
        <w:t xml:space="preserve">P-Reviewer: </w:t>
      </w:r>
      <w:r w:rsidR="00F723E0" w:rsidRPr="003316A7">
        <w:rPr>
          <w:rFonts w:ascii="Book Antiqua" w:hAnsi="Book Antiqua"/>
          <w:color w:val="000000"/>
          <w:sz w:val="24"/>
          <w:szCs w:val="24"/>
        </w:rPr>
        <w:t xml:space="preserve">Korosoglou G, Iacoviello M, Okutucu S </w:t>
      </w:r>
      <w:r w:rsidRPr="003316A7">
        <w:rPr>
          <w:rFonts w:ascii="Book Antiqua" w:hAnsi="Book Antiqua"/>
          <w:b/>
          <w:sz w:val="24"/>
          <w:szCs w:val="24"/>
        </w:rPr>
        <w:t xml:space="preserve">S-Editor: </w:t>
      </w:r>
      <w:r w:rsidRPr="003316A7">
        <w:rPr>
          <w:rFonts w:ascii="Book Antiqua" w:hAnsi="Book Antiqua"/>
          <w:sz w:val="24"/>
          <w:szCs w:val="24"/>
        </w:rPr>
        <w:t>Ji FF</w:t>
      </w:r>
      <w:r w:rsidRPr="003316A7">
        <w:rPr>
          <w:rFonts w:ascii="Book Antiqua" w:hAnsi="Book Antiqua"/>
          <w:b/>
          <w:sz w:val="24"/>
          <w:szCs w:val="24"/>
        </w:rPr>
        <w:t xml:space="preserve"> </w:t>
      </w:r>
    </w:p>
    <w:p w14:paraId="68603446" w14:textId="3A934E7E" w:rsidR="00E86B47" w:rsidRPr="003316A7" w:rsidRDefault="00E86B47" w:rsidP="00437706">
      <w:pPr>
        <w:pStyle w:val="a7"/>
        <w:wordWrap w:val="0"/>
        <w:snapToGrid w:val="0"/>
        <w:spacing w:line="360" w:lineRule="auto"/>
        <w:jc w:val="right"/>
        <w:rPr>
          <w:rFonts w:ascii="Book Antiqua" w:hAnsi="Book Antiqua"/>
          <w:b/>
          <w:sz w:val="24"/>
          <w:szCs w:val="24"/>
        </w:rPr>
      </w:pPr>
      <w:r w:rsidRPr="003316A7">
        <w:rPr>
          <w:rFonts w:ascii="Book Antiqua" w:hAnsi="Book Antiqua"/>
          <w:b/>
          <w:sz w:val="24"/>
          <w:szCs w:val="24"/>
        </w:rPr>
        <w:t>L-Editor:</w:t>
      </w:r>
      <w:r w:rsidR="00E31E2E">
        <w:rPr>
          <w:rFonts w:ascii="Book Antiqua" w:hAnsi="Book Antiqua"/>
          <w:b/>
          <w:sz w:val="24"/>
          <w:szCs w:val="24"/>
        </w:rPr>
        <w:t xml:space="preserve"> </w:t>
      </w:r>
      <w:r w:rsidR="00E31E2E">
        <w:rPr>
          <w:rFonts w:ascii="Book Antiqua" w:hAnsi="Book Antiqua"/>
          <w:sz w:val="24"/>
          <w:szCs w:val="24"/>
        </w:rPr>
        <w:t>Filipodia</w:t>
      </w:r>
      <w:r w:rsidRPr="003316A7">
        <w:rPr>
          <w:rFonts w:ascii="Book Antiqua" w:hAnsi="Book Antiqua"/>
          <w:b/>
          <w:sz w:val="24"/>
          <w:szCs w:val="24"/>
        </w:rPr>
        <w:t xml:space="preserve"> E-Editor: </w:t>
      </w:r>
      <w:r w:rsidR="00437706" w:rsidRPr="00437706">
        <w:rPr>
          <w:rFonts w:ascii="Book Antiqua" w:hAnsi="Book Antiqua" w:hint="eastAsia"/>
          <w:sz w:val="24"/>
          <w:szCs w:val="24"/>
        </w:rPr>
        <w:t>Song H</w:t>
      </w:r>
    </w:p>
    <w:p w14:paraId="4DC23FB1" w14:textId="77777777" w:rsidR="00E86B47" w:rsidRPr="003316A7" w:rsidRDefault="00E86B47" w:rsidP="003B6EBC">
      <w:pPr>
        <w:pStyle w:val="a7"/>
        <w:snapToGrid w:val="0"/>
        <w:spacing w:line="360" w:lineRule="auto"/>
        <w:rPr>
          <w:rFonts w:ascii="Book Antiqua" w:hAnsi="Book Antiqua"/>
          <w:b/>
          <w:sz w:val="24"/>
          <w:szCs w:val="24"/>
        </w:rPr>
      </w:pPr>
      <w:r w:rsidRPr="003316A7">
        <w:rPr>
          <w:rFonts w:ascii="Book Antiqua" w:hAnsi="Book Antiqua"/>
          <w:b/>
          <w:sz w:val="24"/>
          <w:szCs w:val="24"/>
        </w:rPr>
        <w:t xml:space="preserve"> </w:t>
      </w:r>
    </w:p>
    <w:p w14:paraId="3012471D" w14:textId="477E14D7" w:rsidR="00E86B47" w:rsidRPr="003316A7" w:rsidRDefault="00E86B47" w:rsidP="003B6EBC">
      <w:pPr>
        <w:snapToGrid w:val="0"/>
        <w:spacing w:line="360" w:lineRule="auto"/>
        <w:jc w:val="both"/>
        <w:rPr>
          <w:rFonts w:ascii="Book Antiqua" w:eastAsia="宋体" w:hAnsi="Book Antiqua" w:cs="Helvetica"/>
          <w:b/>
        </w:rPr>
      </w:pPr>
      <w:r w:rsidRPr="003316A7">
        <w:rPr>
          <w:rFonts w:ascii="Book Antiqua" w:eastAsia="宋体" w:hAnsi="Book Antiqua" w:cs="Helvetica"/>
          <w:b/>
        </w:rPr>
        <w:t xml:space="preserve">Specialty type: </w:t>
      </w:r>
      <w:r w:rsidR="00F723E0" w:rsidRPr="003316A7">
        <w:rPr>
          <w:rFonts w:ascii="Book Antiqua" w:eastAsia="微软雅黑" w:hAnsi="Book Antiqua" w:cs="宋体"/>
        </w:rPr>
        <w:t>Cardiac and cardiovascular systems</w:t>
      </w:r>
    </w:p>
    <w:p w14:paraId="483EE6E5" w14:textId="09C5A5C7" w:rsidR="00E86B47" w:rsidRPr="003316A7" w:rsidRDefault="00E86B47" w:rsidP="003B6EBC">
      <w:pPr>
        <w:snapToGrid w:val="0"/>
        <w:spacing w:line="360" w:lineRule="auto"/>
        <w:jc w:val="both"/>
        <w:rPr>
          <w:rFonts w:ascii="Book Antiqua" w:eastAsia="宋体" w:hAnsi="Book Antiqua" w:cs="Helvetica"/>
          <w:b/>
        </w:rPr>
      </w:pPr>
      <w:r w:rsidRPr="003316A7">
        <w:rPr>
          <w:rFonts w:ascii="Book Antiqua" w:eastAsia="宋体" w:hAnsi="Book Antiqua" w:cs="Helvetica"/>
          <w:b/>
        </w:rPr>
        <w:t xml:space="preserve">Country of origin: </w:t>
      </w:r>
      <w:r w:rsidR="00F723E0" w:rsidRPr="003316A7">
        <w:rPr>
          <w:rFonts w:ascii="Book Antiqua" w:eastAsia="宋体" w:hAnsi="Book Antiqua"/>
        </w:rPr>
        <w:t>Greece</w:t>
      </w:r>
    </w:p>
    <w:p w14:paraId="302CC459" w14:textId="77777777" w:rsidR="00E86B47" w:rsidRPr="003316A7" w:rsidRDefault="00E86B47" w:rsidP="003B6EBC">
      <w:pPr>
        <w:snapToGrid w:val="0"/>
        <w:spacing w:line="360" w:lineRule="auto"/>
        <w:jc w:val="both"/>
        <w:rPr>
          <w:rFonts w:ascii="Book Antiqua" w:eastAsia="宋体" w:hAnsi="Book Antiqua" w:cs="Helvetica"/>
          <w:b/>
        </w:rPr>
      </w:pPr>
      <w:r w:rsidRPr="003316A7">
        <w:rPr>
          <w:rFonts w:ascii="Book Antiqua" w:eastAsia="宋体" w:hAnsi="Book Antiqua" w:cs="Helvetica"/>
          <w:b/>
        </w:rPr>
        <w:t>Peer-review report classification</w:t>
      </w:r>
    </w:p>
    <w:p w14:paraId="4075460D" w14:textId="7CBEA533" w:rsidR="00E86B47" w:rsidRPr="003316A7" w:rsidRDefault="00E86B47" w:rsidP="003B6EBC">
      <w:pPr>
        <w:snapToGrid w:val="0"/>
        <w:spacing w:line="360" w:lineRule="auto"/>
        <w:jc w:val="both"/>
        <w:rPr>
          <w:rFonts w:ascii="Book Antiqua" w:eastAsia="宋体" w:hAnsi="Book Antiqua" w:cs="Helvetica"/>
          <w:lang w:eastAsia="zh-CN"/>
        </w:rPr>
      </w:pPr>
      <w:r w:rsidRPr="003316A7">
        <w:rPr>
          <w:rFonts w:ascii="Book Antiqua" w:eastAsia="宋体" w:hAnsi="Book Antiqua" w:cs="Helvetica"/>
        </w:rPr>
        <w:t xml:space="preserve">Grade A (Excellent): </w:t>
      </w:r>
      <w:r w:rsidR="00F723E0" w:rsidRPr="003316A7">
        <w:rPr>
          <w:rFonts w:ascii="Book Antiqua" w:eastAsia="宋体" w:hAnsi="Book Antiqua" w:cs="Helvetica"/>
          <w:lang w:eastAsia="zh-CN"/>
        </w:rPr>
        <w:t>0</w:t>
      </w:r>
    </w:p>
    <w:p w14:paraId="6E0D31A5" w14:textId="38D488FE" w:rsidR="00E86B47" w:rsidRPr="003316A7" w:rsidRDefault="00E86B47" w:rsidP="003B6EBC">
      <w:pPr>
        <w:snapToGrid w:val="0"/>
        <w:spacing w:line="360" w:lineRule="auto"/>
        <w:jc w:val="both"/>
        <w:rPr>
          <w:rFonts w:ascii="Book Antiqua" w:eastAsia="宋体" w:hAnsi="Book Antiqua" w:cs="Helvetica"/>
          <w:lang w:eastAsia="zh-CN"/>
        </w:rPr>
      </w:pPr>
      <w:r w:rsidRPr="003316A7">
        <w:rPr>
          <w:rFonts w:ascii="Book Antiqua" w:eastAsia="宋体" w:hAnsi="Book Antiqua" w:cs="Helvetica"/>
        </w:rPr>
        <w:t>Grade B (Very good): B</w:t>
      </w:r>
      <w:r w:rsidR="00F723E0" w:rsidRPr="003316A7">
        <w:rPr>
          <w:rFonts w:ascii="Book Antiqua" w:eastAsia="宋体" w:hAnsi="Book Antiqua" w:cs="Helvetica"/>
          <w:lang w:eastAsia="zh-CN"/>
        </w:rPr>
        <w:t>, B</w:t>
      </w:r>
    </w:p>
    <w:p w14:paraId="0B366761" w14:textId="77777777" w:rsidR="00E86B47" w:rsidRPr="003316A7" w:rsidRDefault="00E86B47" w:rsidP="003B6EBC">
      <w:pPr>
        <w:snapToGrid w:val="0"/>
        <w:spacing w:line="360" w:lineRule="auto"/>
        <w:jc w:val="both"/>
        <w:rPr>
          <w:rFonts w:ascii="Book Antiqua" w:eastAsia="宋体" w:hAnsi="Book Antiqua" w:cs="Helvetica"/>
        </w:rPr>
      </w:pPr>
      <w:r w:rsidRPr="003316A7">
        <w:rPr>
          <w:rFonts w:ascii="Book Antiqua" w:eastAsia="宋体" w:hAnsi="Book Antiqua" w:cs="Helvetica"/>
        </w:rPr>
        <w:t>Grade C (Good): C</w:t>
      </w:r>
    </w:p>
    <w:p w14:paraId="41289F06" w14:textId="77777777" w:rsidR="00E86B47" w:rsidRPr="003316A7" w:rsidRDefault="00E86B47" w:rsidP="003B6EBC">
      <w:pPr>
        <w:snapToGrid w:val="0"/>
        <w:spacing w:line="360" w:lineRule="auto"/>
        <w:jc w:val="both"/>
        <w:rPr>
          <w:rFonts w:ascii="Book Antiqua" w:eastAsia="宋体" w:hAnsi="Book Antiqua" w:cs="Helvetica"/>
        </w:rPr>
      </w:pPr>
      <w:r w:rsidRPr="003316A7">
        <w:rPr>
          <w:rFonts w:ascii="Book Antiqua" w:eastAsia="宋体" w:hAnsi="Book Antiqua" w:cs="Helvetica"/>
        </w:rPr>
        <w:t xml:space="preserve">Grade D (Fair): 0 </w:t>
      </w:r>
    </w:p>
    <w:p w14:paraId="0464A12D" w14:textId="4E697827" w:rsidR="00110C9A" w:rsidRPr="003316A7" w:rsidRDefault="00E86B47"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hAnsi="Book Antiqua"/>
          <w:color w:val="auto"/>
          <w:szCs w:val="24"/>
        </w:rPr>
      </w:pPr>
      <w:r w:rsidRPr="003316A7">
        <w:rPr>
          <w:rFonts w:ascii="Book Antiqua" w:eastAsia="宋体" w:hAnsi="Book Antiqua" w:cs="Helvetica"/>
          <w:szCs w:val="24"/>
        </w:rPr>
        <w:t>Grade E (Poor): 0</w:t>
      </w:r>
    </w:p>
    <w:p w14:paraId="145E7E4A" w14:textId="77777777" w:rsidR="00110C9A" w:rsidRPr="00411A55"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hAnsi="Book Antiqua"/>
          <w:color w:val="auto"/>
          <w:szCs w:val="24"/>
        </w:rPr>
      </w:pPr>
    </w:p>
    <w:p w14:paraId="4D034028" w14:textId="77777777" w:rsidR="00F723E0" w:rsidRDefault="00F723E0" w:rsidP="003B6EBC">
      <w:pPr>
        <w:snapToGrid w:val="0"/>
        <w:spacing w:line="360" w:lineRule="auto"/>
        <w:rPr>
          <w:rFonts w:ascii="Book Antiqua" w:hAnsi="Book Antiqua"/>
          <w:b/>
          <w:color w:val="auto"/>
          <w:lang w:eastAsia="el-GR"/>
        </w:rPr>
      </w:pPr>
      <w:r>
        <w:rPr>
          <w:rFonts w:ascii="Book Antiqua" w:hAnsi="Book Antiqua"/>
          <w:b/>
          <w:color w:val="auto"/>
        </w:rPr>
        <w:br w:type="page"/>
      </w:r>
    </w:p>
    <w:p w14:paraId="081F92FC" w14:textId="5F61FB97" w:rsidR="00110C9A" w:rsidRPr="00F723E0" w:rsidRDefault="00110C9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hAnsi="Book Antiqua"/>
          <w:b/>
          <w:color w:val="auto"/>
          <w:szCs w:val="24"/>
        </w:rPr>
      </w:pPr>
      <w:r w:rsidRPr="00F723E0">
        <w:rPr>
          <w:rFonts w:ascii="Book Antiqua" w:hAnsi="Book Antiqua"/>
          <w:b/>
          <w:color w:val="auto"/>
          <w:szCs w:val="24"/>
        </w:rPr>
        <w:t>Table 1 Assessment of amputation</w:t>
      </w:r>
      <w:r w:rsidR="000922DE">
        <w:rPr>
          <w:rFonts w:ascii="Book Antiqua" w:hAnsi="Book Antiqua"/>
          <w:b/>
          <w:color w:val="auto"/>
          <w:szCs w:val="24"/>
        </w:rPr>
        <w:t xml:space="preserve"> risk</w:t>
      </w:r>
      <w:r w:rsidRPr="00F723E0">
        <w:rPr>
          <w:rFonts w:ascii="Book Antiqua" w:hAnsi="Book Antiqua"/>
          <w:b/>
          <w:color w:val="auto"/>
          <w:szCs w:val="24"/>
        </w:rPr>
        <w:t>:</w:t>
      </w:r>
      <w:r w:rsidR="00F723E0" w:rsidRPr="00F723E0">
        <w:rPr>
          <w:rFonts w:ascii="Book Antiqua" w:hAnsi="Book Antiqua"/>
          <w:b/>
          <w:color w:val="auto"/>
          <w:szCs w:val="24"/>
        </w:rPr>
        <w:t xml:space="preserve"> wound (W), ischemia (I) and foot infection</w:t>
      </w:r>
      <w:r w:rsidRPr="00F723E0">
        <w:rPr>
          <w:rFonts w:ascii="Book Antiqua" w:hAnsi="Book Antiqua"/>
          <w:b/>
          <w:color w:val="auto"/>
          <w:szCs w:val="24"/>
        </w:rPr>
        <w:t xml:space="preserve"> </w:t>
      </w:r>
      <w:proofErr w:type="gramStart"/>
      <w:r w:rsidRPr="00F723E0">
        <w:rPr>
          <w:rFonts w:ascii="Book Antiqua" w:hAnsi="Book Antiqua"/>
          <w:b/>
          <w:color w:val="auto"/>
          <w:szCs w:val="24"/>
        </w:rPr>
        <w:t>classification</w:t>
      </w:r>
      <w:r w:rsidRPr="00F723E0">
        <w:rPr>
          <w:rFonts w:ascii="Book Antiqua" w:hAnsi="Book Antiqua"/>
          <w:b/>
          <w:color w:val="auto"/>
          <w:szCs w:val="24"/>
          <w:vertAlign w:val="superscript"/>
        </w:rPr>
        <w:t>[</w:t>
      </w:r>
      <w:proofErr w:type="gramEnd"/>
      <w:r w:rsidRPr="00F723E0">
        <w:rPr>
          <w:rFonts w:ascii="Book Antiqua" w:hAnsi="Book Antiqua"/>
          <w:b/>
          <w:color w:val="auto"/>
          <w:szCs w:val="24"/>
          <w:vertAlign w:val="superscript"/>
        </w:rPr>
        <w:t>6,7]</w:t>
      </w:r>
    </w:p>
    <w:tbl>
      <w:tblPr>
        <w:tblW w:w="0" w:type="auto"/>
        <w:tblInd w:w="100" w:type="dxa"/>
        <w:tblBorders>
          <w:top w:val="single" w:sz="4" w:space="0" w:color="auto"/>
          <w:bottom w:val="single" w:sz="4" w:space="0" w:color="auto"/>
        </w:tblBorders>
        <w:tblLayout w:type="fixed"/>
        <w:tblLook w:val="0000" w:firstRow="0" w:lastRow="0" w:firstColumn="0" w:lastColumn="0" w:noHBand="0" w:noVBand="0"/>
      </w:tblPr>
      <w:tblGrid>
        <w:gridCol w:w="1922"/>
        <w:gridCol w:w="1922"/>
        <w:gridCol w:w="1922"/>
        <w:gridCol w:w="1922"/>
        <w:gridCol w:w="1923"/>
      </w:tblGrid>
      <w:tr w:rsidR="00411A55" w:rsidRPr="00411A55" w14:paraId="36AB9FB9" w14:textId="77777777" w:rsidTr="00F723E0">
        <w:trPr>
          <w:cantSplit/>
          <w:trHeight w:val="280"/>
          <w:tblHeader/>
        </w:trPr>
        <w:tc>
          <w:tcPr>
            <w:tcW w:w="1922" w:type="dxa"/>
            <w:tcBorders>
              <w:top w:val="single" w:sz="4" w:space="0" w:color="auto"/>
              <w:bottom w:val="single" w:sz="4" w:space="0" w:color="auto"/>
            </w:tcBorders>
            <w:shd w:val="clear" w:color="auto" w:fill="auto"/>
            <w:tcMar>
              <w:top w:w="100" w:type="dxa"/>
              <w:left w:w="100" w:type="dxa"/>
              <w:bottom w:w="100" w:type="dxa"/>
              <w:right w:w="100" w:type="dxa"/>
            </w:tcMar>
          </w:tcPr>
          <w:p w14:paraId="3E568691" w14:textId="77777777" w:rsidR="00110C9A" w:rsidRPr="00411A55" w:rsidRDefault="00110C9A" w:rsidP="003B6EBC">
            <w:pPr>
              <w:pStyle w:val="21"/>
              <w:snapToGrid w:val="0"/>
              <w:spacing w:line="360" w:lineRule="auto"/>
              <w:jc w:val="both"/>
              <w:outlineLvl w:val="9"/>
              <w:rPr>
                <w:rFonts w:ascii="Book Antiqua" w:hAnsi="Book Antiqua"/>
                <w:color w:val="auto"/>
                <w:szCs w:val="24"/>
              </w:rPr>
            </w:pPr>
            <w:r w:rsidRPr="00411A55">
              <w:rPr>
                <w:rFonts w:ascii="Book Antiqua" w:hAnsi="Book Antiqua"/>
                <w:color w:val="auto"/>
                <w:szCs w:val="24"/>
              </w:rPr>
              <w:t>Component</w:t>
            </w:r>
          </w:p>
        </w:tc>
        <w:tc>
          <w:tcPr>
            <w:tcW w:w="1922" w:type="dxa"/>
            <w:tcBorders>
              <w:top w:val="single" w:sz="4" w:space="0" w:color="auto"/>
              <w:bottom w:val="single" w:sz="4" w:space="0" w:color="auto"/>
            </w:tcBorders>
            <w:shd w:val="clear" w:color="auto" w:fill="auto"/>
            <w:tcMar>
              <w:top w:w="100" w:type="dxa"/>
              <w:left w:w="100" w:type="dxa"/>
              <w:bottom w:w="100" w:type="dxa"/>
              <w:right w:w="100" w:type="dxa"/>
            </w:tcMar>
          </w:tcPr>
          <w:p w14:paraId="18754B49" w14:textId="77777777" w:rsidR="00110C9A" w:rsidRPr="00411A55" w:rsidRDefault="00110C9A" w:rsidP="003B6EBC">
            <w:pPr>
              <w:pStyle w:val="21"/>
              <w:snapToGrid w:val="0"/>
              <w:spacing w:line="360" w:lineRule="auto"/>
              <w:jc w:val="both"/>
              <w:outlineLvl w:val="9"/>
              <w:rPr>
                <w:rFonts w:ascii="Book Antiqua" w:hAnsi="Book Antiqua"/>
                <w:color w:val="auto"/>
                <w:szCs w:val="24"/>
              </w:rPr>
            </w:pPr>
            <w:r w:rsidRPr="00411A55">
              <w:rPr>
                <w:rFonts w:ascii="Book Antiqua" w:hAnsi="Book Antiqua"/>
                <w:color w:val="auto"/>
                <w:szCs w:val="24"/>
              </w:rPr>
              <w:t>Score</w:t>
            </w:r>
          </w:p>
        </w:tc>
        <w:tc>
          <w:tcPr>
            <w:tcW w:w="5767" w:type="dxa"/>
            <w:gridSpan w:val="3"/>
            <w:tcBorders>
              <w:top w:val="single" w:sz="4" w:space="0" w:color="auto"/>
              <w:bottom w:val="single" w:sz="4" w:space="0" w:color="auto"/>
            </w:tcBorders>
            <w:shd w:val="clear" w:color="auto" w:fill="auto"/>
            <w:tcMar>
              <w:top w:w="100" w:type="dxa"/>
              <w:left w:w="100" w:type="dxa"/>
              <w:bottom w:w="100" w:type="dxa"/>
              <w:right w:w="100" w:type="dxa"/>
            </w:tcMar>
          </w:tcPr>
          <w:p w14:paraId="66D5E47E" w14:textId="77777777" w:rsidR="00110C9A" w:rsidRPr="00411A55" w:rsidRDefault="00110C9A" w:rsidP="003B6EBC">
            <w:pPr>
              <w:pStyle w:val="21"/>
              <w:snapToGrid w:val="0"/>
              <w:spacing w:line="360" w:lineRule="auto"/>
              <w:jc w:val="both"/>
              <w:outlineLvl w:val="9"/>
              <w:rPr>
                <w:rFonts w:ascii="Book Antiqua" w:hAnsi="Book Antiqua"/>
                <w:color w:val="auto"/>
                <w:szCs w:val="24"/>
              </w:rPr>
            </w:pPr>
            <w:r w:rsidRPr="00411A55">
              <w:rPr>
                <w:rFonts w:ascii="Book Antiqua" w:hAnsi="Book Antiqua"/>
                <w:color w:val="auto"/>
                <w:szCs w:val="24"/>
              </w:rPr>
              <w:t>Description</w:t>
            </w:r>
          </w:p>
        </w:tc>
      </w:tr>
      <w:tr w:rsidR="00411A55" w:rsidRPr="00411A55" w14:paraId="7E4F2D2C" w14:textId="77777777" w:rsidTr="00F723E0">
        <w:trPr>
          <w:cantSplit/>
          <w:trHeight w:val="280"/>
        </w:trPr>
        <w:tc>
          <w:tcPr>
            <w:tcW w:w="1922" w:type="dxa"/>
            <w:vMerge w:val="restart"/>
            <w:tcBorders>
              <w:top w:val="single" w:sz="4" w:space="0" w:color="auto"/>
            </w:tcBorders>
            <w:shd w:val="clear" w:color="auto" w:fill="auto"/>
            <w:tcMar>
              <w:top w:w="100" w:type="dxa"/>
              <w:left w:w="100" w:type="dxa"/>
              <w:bottom w:w="100" w:type="dxa"/>
              <w:right w:w="100" w:type="dxa"/>
            </w:tcMar>
          </w:tcPr>
          <w:p w14:paraId="711B4FE6" w14:textId="77777777" w:rsidR="00110C9A" w:rsidRPr="00411A55" w:rsidRDefault="00110C9A" w:rsidP="00234DCA">
            <w:pPr>
              <w:pStyle w:val="Body"/>
              <w:snapToGrid w:val="0"/>
              <w:spacing w:line="360" w:lineRule="auto"/>
              <w:rPr>
                <w:rFonts w:ascii="Book Antiqua" w:hAnsi="Book Antiqua"/>
                <w:color w:val="auto"/>
                <w:szCs w:val="24"/>
              </w:rPr>
            </w:pPr>
          </w:p>
          <w:p w14:paraId="3FD526A3" w14:textId="77777777" w:rsidR="00110C9A" w:rsidRPr="00411A55" w:rsidRDefault="00110C9A" w:rsidP="00234DCA">
            <w:pPr>
              <w:pStyle w:val="Body"/>
              <w:snapToGrid w:val="0"/>
              <w:spacing w:line="360" w:lineRule="auto"/>
              <w:rPr>
                <w:rFonts w:ascii="Book Antiqua" w:hAnsi="Book Antiqua"/>
                <w:color w:val="auto"/>
                <w:szCs w:val="24"/>
              </w:rPr>
            </w:pPr>
          </w:p>
          <w:p w14:paraId="6F380D42" w14:textId="77777777" w:rsidR="00110C9A" w:rsidRPr="00411A55" w:rsidRDefault="00110C9A" w:rsidP="00234DCA">
            <w:pPr>
              <w:pStyle w:val="Body"/>
              <w:snapToGrid w:val="0"/>
              <w:spacing w:line="360" w:lineRule="auto"/>
              <w:rPr>
                <w:rFonts w:ascii="Book Antiqua" w:hAnsi="Book Antiqua"/>
                <w:color w:val="auto"/>
                <w:szCs w:val="24"/>
              </w:rPr>
            </w:pPr>
          </w:p>
          <w:p w14:paraId="54619935" w14:textId="77777777" w:rsidR="00110C9A" w:rsidRPr="00411A55" w:rsidRDefault="00110C9A" w:rsidP="00234DCA">
            <w:pPr>
              <w:pStyle w:val="Body"/>
              <w:snapToGrid w:val="0"/>
              <w:spacing w:line="360" w:lineRule="auto"/>
              <w:rPr>
                <w:rFonts w:ascii="Book Antiqua" w:hAnsi="Book Antiqua"/>
                <w:color w:val="auto"/>
                <w:szCs w:val="24"/>
              </w:rPr>
            </w:pPr>
          </w:p>
          <w:p w14:paraId="3F3F6663" w14:textId="3A6F62D2"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W</w:t>
            </w:r>
          </w:p>
        </w:tc>
        <w:tc>
          <w:tcPr>
            <w:tcW w:w="1922" w:type="dxa"/>
            <w:tcBorders>
              <w:top w:val="single" w:sz="4" w:space="0" w:color="auto"/>
            </w:tcBorders>
            <w:shd w:val="clear" w:color="auto" w:fill="auto"/>
            <w:tcMar>
              <w:top w:w="100" w:type="dxa"/>
              <w:left w:w="100" w:type="dxa"/>
              <w:bottom w:w="100" w:type="dxa"/>
              <w:right w:w="100" w:type="dxa"/>
            </w:tcMar>
          </w:tcPr>
          <w:p w14:paraId="7E47BF86" w14:textId="77777777"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0</w:t>
            </w:r>
          </w:p>
        </w:tc>
        <w:tc>
          <w:tcPr>
            <w:tcW w:w="5767" w:type="dxa"/>
            <w:gridSpan w:val="3"/>
            <w:tcBorders>
              <w:top w:val="single" w:sz="4" w:space="0" w:color="auto"/>
            </w:tcBorders>
            <w:shd w:val="clear" w:color="auto" w:fill="auto"/>
            <w:tcMar>
              <w:top w:w="100" w:type="dxa"/>
              <w:left w:w="100" w:type="dxa"/>
              <w:bottom w:w="100" w:type="dxa"/>
              <w:right w:w="100" w:type="dxa"/>
            </w:tcMar>
          </w:tcPr>
          <w:p w14:paraId="218B7689" w14:textId="77777777"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No ulcer (ischemic rest pain)</w:t>
            </w:r>
          </w:p>
        </w:tc>
      </w:tr>
      <w:tr w:rsidR="00411A55" w:rsidRPr="00411A55" w14:paraId="24900C49" w14:textId="77777777" w:rsidTr="00F723E0">
        <w:trPr>
          <w:cantSplit/>
          <w:trHeight w:val="560"/>
        </w:trPr>
        <w:tc>
          <w:tcPr>
            <w:tcW w:w="1922" w:type="dxa"/>
            <w:vMerge/>
            <w:shd w:val="clear" w:color="auto" w:fill="auto"/>
            <w:tcMar>
              <w:top w:w="100" w:type="dxa"/>
              <w:left w:w="0" w:type="dxa"/>
              <w:bottom w:w="100" w:type="dxa"/>
              <w:right w:w="0" w:type="dxa"/>
            </w:tcMar>
            <w:vAlign w:val="center"/>
          </w:tcPr>
          <w:p w14:paraId="3E84F529" w14:textId="77777777" w:rsidR="00110C9A" w:rsidRPr="00411A55" w:rsidRDefault="00110C9A" w:rsidP="00234DCA">
            <w:pPr>
              <w:pStyle w:val="Body"/>
              <w:snapToGrid w:val="0"/>
              <w:spacing w:line="360" w:lineRule="auto"/>
              <w:rPr>
                <w:rFonts w:ascii="Book Antiqua" w:hAnsi="Book Antiqua"/>
                <w:color w:val="auto"/>
                <w:szCs w:val="24"/>
              </w:rPr>
            </w:pPr>
          </w:p>
        </w:tc>
        <w:tc>
          <w:tcPr>
            <w:tcW w:w="1922" w:type="dxa"/>
            <w:shd w:val="clear" w:color="auto" w:fill="auto"/>
            <w:tcMar>
              <w:top w:w="100" w:type="dxa"/>
              <w:left w:w="100" w:type="dxa"/>
              <w:bottom w:w="100" w:type="dxa"/>
              <w:right w:w="100" w:type="dxa"/>
            </w:tcMar>
          </w:tcPr>
          <w:p w14:paraId="0DBDE942" w14:textId="77777777"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1</w:t>
            </w:r>
          </w:p>
        </w:tc>
        <w:tc>
          <w:tcPr>
            <w:tcW w:w="5767" w:type="dxa"/>
            <w:gridSpan w:val="3"/>
            <w:shd w:val="clear" w:color="auto" w:fill="auto"/>
            <w:tcMar>
              <w:top w:w="100" w:type="dxa"/>
              <w:left w:w="100" w:type="dxa"/>
              <w:bottom w:w="100" w:type="dxa"/>
              <w:right w:w="100" w:type="dxa"/>
            </w:tcMar>
          </w:tcPr>
          <w:p w14:paraId="49AA47C4" w14:textId="77777777"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Small, shallow ulcer on distal leg or foot without gangrene</w:t>
            </w:r>
          </w:p>
        </w:tc>
      </w:tr>
      <w:tr w:rsidR="00411A55" w:rsidRPr="00411A55" w14:paraId="5384936B" w14:textId="77777777" w:rsidTr="00F723E0">
        <w:trPr>
          <w:cantSplit/>
          <w:trHeight w:val="560"/>
        </w:trPr>
        <w:tc>
          <w:tcPr>
            <w:tcW w:w="1922" w:type="dxa"/>
            <w:vMerge/>
            <w:shd w:val="clear" w:color="auto" w:fill="auto"/>
            <w:tcMar>
              <w:top w:w="100" w:type="dxa"/>
              <w:left w:w="0" w:type="dxa"/>
              <w:bottom w:w="100" w:type="dxa"/>
              <w:right w:w="0" w:type="dxa"/>
            </w:tcMar>
            <w:vAlign w:val="center"/>
          </w:tcPr>
          <w:p w14:paraId="45341D71" w14:textId="77777777" w:rsidR="00110C9A" w:rsidRPr="00411A55" w:rsidRDefault="00110C9A" w:rsidP="00234DCA">
            <w:pPr>
              <w:pStyle w:val="Body"/>
              <w:snapToGrid w:val="0"/>
              <w:spacing w:line="360" w:lineRule="auto"/>
              <w:rPr>
                <w:rFonts w:ascii="Book Antiqua" w:hAnsi="Book Antiqua"/>
                <w:color w:val="auto"/>
                <w:szCs w:val="24"/>
              </w:rPr>
            </w:pPr>
          </w:p>
        </w:tc>
        <w:tc>
          <w:tcPr>
            <w:tcW w:w="1922" w:type="dxa"/>
            <w:shd w:val="clear" w:color="auto" w:fill="auto"/>
            <w:tcMar>
              <w:top w:w="100" w:type="dxa"/>
              <w:left w:w="100" w:type="dxa"/>
              <w:bottom w:w="100" w:type="dxa"/>
              <w:right w:w="100" w:type="dxa"/>
            </w:tcMar>
          </w:tcPr>
          <w:p w14:paraId="7B5A587B" w14:textId="77777777"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2</w:t>
            </w:r>
          </w:p>
        </w:tc>
        <w:tc>
          <w:tcPr>
            <w:tcW w:w="5767" w:type="dxa"/>
            <w:gridSpan w:val="3"/>
            <w:shd w:val="clear" w:color="auto" w:fill="auto"/>
            <w:tcMar>
              <w:top w:w="100" w:type="dxa"/>
              <w:left w:w="100" w:type="dxa"/>
              <w:bottom w:w="100" w:type="dxa"/>
              <w:right w:w="100" w:type="dxa"/>
            </w:tcMar>
          </w:tcPr>
          <w:p w14:paraId="54015E1E" w14:textId="0268A6A4"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Deeper ulcer with exposed bone, joint or tendon</w:t>
            </w:r>
            <w:r w:rsidR="000F08DA">
              <w:rPr>
                <w:rFonts w:ascii="Book Antiqua" w:hAnsi="Book Antiqua"/>
                <w:color w:val="auto"/>
                <w:szCs w:val="24"/>
              </w:rPr>
              <w:t xml:space="preserve"> ± </w:t>
            </w:r>
            <w:r w:rsidRPr="00411A55">
              <w:rPr>
                <w:rFonts w:ascii="Book Antiqua" w:hAnsi="Book Antiqua"/>
                <w:color w:val="auto"/>
                <w:szCs w:val="24"/>
              </w:rPr>
              <w:t>gangrenous changes limited to toes</w:t>
            </w:r>
          </w:p>
        </w:tc>
      </w:tr>
      <w:tr w:rsidR="00411A55" w:rsidRPr="00411A55" w14:paraId="320603D8" w14:textId="77777777" w:rsidTr="00F723E0">
        <w:trPr>
          <w:cantSplit/>
          <w:trHeight w:val="560"/>
        </w:trPr>
        <w:tc>
          <w:tcPr>
            <w:tcW w:w="1922" w:type="dxa"/>
            <w:vMerge/>
            <w:shd w:val="clear" w:color="auto" w:fill="auto"/>
            <w:tcMar>
              <w:top w:w="100" w:type="dxa"/>
              <w:left w:w="0" w:type="dxa"/>
              <w:bottom w:w="100" w:type="dxa"/>
              <w:right w:w="0" w:type="dxa"/>
            </w:tcMar>
            <w:vAlign w:val="center"/>
          </w:tcPr>
          <w:p w14:paraId="201846A4" w14:textId="77777777" w:rsidR="00110C9A" w:rsidRPr="00411A55" w:rsidRDefault="00110C9A" w:rsidP="00234DCA">
            <w:pPr>
              <w:pStyle w:val="Body"/>
              <w:snapToGrid w:val="0"/>
              <w:spacing w:line="360" w:lineRule="auto"/>
              <w:rPr>
                <w:rFonts w:ascii="Book Antiqua" w:hAnsi="Book Antiqua"/>
                <w:color w:val="auto"/>
                <w:szCs w:val="24"/>
              </w:rPr>
            </w:pPr>
          </w:p>
        </w:tc>
        <w:tc>
          <w:tcPr>
            <w:tcW w:w="1922" w:type="dxa"/>
            <w:shd w:val="clear" w:color="auto" w:fill="auto"/>
            <w:tcMar>
              <w:top w:w="100" w:type="dxa"/>
              <w:left w:w="100" w:type="dxa"/>
              <w:bottom w:w="100" w:type="dxa"/>
              <w:right w:w="100" w:type="dxa"/>
            </w:tcMar>
          </w:tcPr>
          <w:p w14:paraId="5E5AC217" w14:textId="77777777"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3</w:t>
            </w:r>
          </w:p>
        </w:tc>
        <w:tc>
          <w:tcPr>
            <w:tcW w:w="5767" w:type="dxa"/>
            <w:gridSpan w:val="3"/>
            <w:shd w:val="clear" w:color="auto" w:fill="auto"/>
            <w:tcMar>
              <w:top w:w="100" w:type="dxa"/>
              <w:left w:w="100" w:type="dxa"/>
              <w:bottom w:w="100" w:type="dxa"/>
              <w:right w:w="100" w:type="dxa"/>
            </w:tcMar>
          </w:tcPr>
          <w:p w14:paraId="5AD4D541" w14:textId="222885B5"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Extensive deep ulcer, full thickness heel ulcer</w:t>
            </w:r>
            <w:r w:rsidR="000F08DA">
              <w:rPr>
                <w:rFonts w:ascii="Book Antiqua" w:hAnsi="Book Antiqua"/>
                <w:color w:val="auto"/>
                <w:szCs w:val="24"/>
              </w:rPr>
              <w:t xml:space="preserve"> ± </w:t>
            </w:r>
            <w:r w:rsidRPr="00411A55">
              <w:rPr>
                <w:rFonts w:ascii="Book Antiqua" w:hAnsi="Book Antiqua"/>
                <w:color w:val="auto"/>
                <w:szCs w:val="24"/>
              </w:rPr>
              <w:t>calcaneal involvement</w:t>
            </w:r>
            <w:r w:rsidR="000F08DA">
              <w:rPr>
                <w:rFonts w:ascii="Book Antiqua" w:hAnsi="Book Antiqua"/>
                <w:color w:val="auto"/>
                <w:szCs w:val="24"/>
              </w:rPr>
              <w:t xml:space="preserve"> ± </w:t>
            </w:r>
            <w:r w:rsidRPr="00411A55">
              <w:rPr>
                <w:rFonts w:ascii="Book Antiqua" w:hAnsi="Book Antiqua"/>
                <w:color w:val="auto"/>
                <w:szCs w:val="24"/>
              </w:rPr>
              <w:t>extensive gangrene</w:t>
            </w:r>
          </w:p>
        </w:tc>
      </w:tr>
      <w:tr w:rsidR="00411A55" w:rsidRPr="00411A55" w14:paraId="5244123C" w14:textId="77777777" w:rsidTr="00F723E0">
        <w:trPr>
          <w:cantSplit/>
          <w:trHeight w:val="560"/>
        </w:trPr>
        <w:tc>
          <w:tcPr>
            <w:tcW w:w="1922" w:type="dxa"/>
            <w:vMerge w:val="restart"/>
            <w:shd w:val="clear" w:color="auto" w:fill="auto"/>
            <w:tcMar>
              <w:top w:w="100" w:type="dxa"/>
              <w:left w:w="100" w:type="dxa"/>
              <w:bottom w:w="100" w:type="dxa"/>
              <w:right w:w="100" w:type="dxa"/>
            </w:tcMar>
          </w:tcPr>
          <w:p w14:paraId="2BCE3828" w14:textId="77777777" w:rsidR="00110C9A" w:rsidRPr="00411A55" w:rsidRDefault="00110C9A" w:rsidP="00234DCA">
            <w:pPr>
              <w:pStyle w:val="Body"/>
              <w:snapToGrid w:val="0"/>
              <w:spacing w:line="360" w:lineRule="auto"/>
              <w:rPr>
                <w:rFonts w:ascii="Book Antiqua" w:hAnsi="Book Antiqua"/>
                <w:color w:val="auto"/>
                <w:szCs w:val="24"/>
              </w:rPr>
            </w:pPr>
          </w:p>
          <w:p w14:paraId="214D2356" w14:textId="77777777" w:rsidR="00110C9A" w:rsidRPr="00411A55" w:rsidRDefault="00110C9A" w:rsidP="00234DCA">
            <w:pPr>
              <w:pStyle w:val="Body"/>
              <w:snapToGrid w:val="0"/>
              <w:spacing w:line="360" w:lineRule="auto"/>
              <w:rPr>
                <w:rFonts w:ascii="Book Antiqua" w:hAnsi="Book Antiqua"/>
                <w:color w:val="auto"/>
                <w:szCs w:val="24"/>
              </w:rPr>
            </w:pPr>
          </w:p>
          <w:p w14:paraId="275154B0" w14:textId="77777777" w:rsidR="00110C9A" w:rsidRPr="00411A55" w:rsidRDefault="00110C9A" w:rsidP="00234DCA">
            <w:pPr>
              <w:pStyle w:val="Body"/>
              <w:snapToGrid w:val="0"/>
              <w:spacing w:line="360" w:lineRule="auto"/>
              <w:rPr>
                <w:rFonts w:ascii="Book Antiqua" w:hAnsi="Book Antiqua"/>
                <w:color w:val="auto"/>
                <w:szCs w:val="24"/>
              </w:rPr>
            </w:pPr>
          </w:p>
          <w:p w14:paraId="762AB17C" w14:textId="77777777" w:rsidR="00110C9A" w:rsidRPr="00411A55" w:rsidRDefault="00110C9A" w:rsidP="00234DCA">
            <w:pPr>
              <w:pStyle w:val="Body"/>
              <w:snapToGrid w:val="0"/>
              <w:spacing w:line="360" w:lineRule="auto"/>
              <w:rPr>
                <w:rFonts w:ascii="Book Antiqua" w:hAnsi="Book Antiqua"/>
                <w:color w:val="auto"/>
                <w:szCs w:val="24"/>
              </w:rPr>
            </w:pPr>
          </w:p>
          <w:p w14:paraId="5EE7E22C" w14:textId="469BDCE3"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I</w:t>
            </w:r>
          </w:p>
        </w:tc>
        <w:tc>
          <w:tcPr>
            <w:tcW w:w="1922" w:type="dxa"/>
            <w:shd w:val="clear" w:color="auto" w:fill="auto"/>
            <w:tcMar>
              <w:top w:w="100" w:type="dxa"/>
              <w:left w:w="100" w:type="dxa"/>
              <w:bottom w:w="100" w:type="dxa"/>
              <w:right w:w="100" w:type="dxa"/>
            </w:tcMar>
          </w:tcPr>
          <w:p w14:paraId="00DCA335" w14:textId="77777777" w:rsidR="00110C9A" w:rsidRPr="00411A55" w:rsidRDefault="00110C9A" w:rsidP="00234DCA">
            <w:pPr>
              <w:pStyle w:val="Body"/>
              <w:snapToGrid w:val="0"/>
              <w:spacing w:line="360" w:lineRule="auto"/>
              <w:rPr>
                <w:rFonts w:ascii="Book Antiqua" w:hAnsi="Book Antiqua"/>
                <w:color w:val="auto"/>
                <w:szCs w:val="24"/>
              </w:rPr>
            </w:pPr>
          </w:p>
        </w:tc>
        <w:tc>
          <w:tcPr>
            <w:tcW w:w="1922" w:type="dxa"/>
            <w:shd w:val="clear" w:color="auto" w:fill="auto"/>
            <w:tcMar>
              <w:top w:w="100" w:type="dxa"/>
              <w:left w:w="100" w:type="dxa"/>
              <w:bottom w:w="100" w:type="dxa"/>
              <w:right w:w="100" w:type="dxa"/>
            </w:tcMar>
          </w:tcPr>
          <w:p w14:paraId="2B6DC6FA" w14:textId="77777777"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ABI</w:t>
            </w:r>
          </w:p>
        </w:tc>
        <w:tc>
          <w:tcPr>
            <w:tcW w:w="1922" w:type="dxa"/>
            <w:shd w:val="clear" w:color="auto" w:fill="auto"/>
            <w:tcMar>
              <w:top w:w="100" w:type="dxa"/>
              <w:left w:w="100" w:type="dxa"/>
              <w:bottom w:w="100" w:type="dxa"/>
              <w:right w:w="100" w:type="dxa"/>
            </w:tcMar>
          </w:tcPr>
          <w:p w14:paraId="2D772A6E" w14:textId="77777777"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Ankle pressure (mmHg)</w:t>
            </w:r>
          </w:p>
        </w:tc>
        <w:tc>
          <w:tcPr>
            <w:tcW w:w="1922" w:type="dxa"/>
            <w:shd w:val="clear" w:color="auto" w:fill="auto"/>
            <w:tcMar>
              <w:top w:w="100" w:type="dxa"/>
              <w:left w:w="100" w:type="dxa"/>
              <w:bottom w:w="100" w:type="dxa"/>
              <w:right w:w="100" w:type="dxa"/>
            </w:tcMar>
          </w:tcPr>
          <w:p w14:paraId="4FA3997C" w14:textId="3E7FC670"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Toe pressure or</w:t>
            </w:r>
            <w:r w:rsidR="00411A55">
              <w:rPr>
                <w:rFonts w:ascii="Book Antiqua" w:hAnsi="Book Antiqua"/>
                <w:color w:val="auto"/>
                <w:szCs w:val="24"/>
              </w:rPr>
              <w:t xml:space="preserve"> </w:t>
            </w:r>
            <w:r w:rsidRPr="00411A55">
              <w:rPr>
                <w:rFonts w:ascii="Book Antiqua" w:hAnsi="Book Antiqua"/>
                <w:color w:val="auto"/>
                <w:szCs w:val="24"/>
              </w:rPr>
              <w:t>TcPO2</w:t>
            </w:r>
          </w:p>
        </w:tc>
      </w:tr>
      <w:tr w:rsidR="00411A55" w:rsidRPr="00411A55" w14:paraId="73548C39" w14:textId="77777777" w:rsidTr="00F723E0">
        <w:trPr>
          <w:cantSplit/>
          <w:trHeight w:val="280"/>
        </w:trPr>
        <w:tc>
          <w:tcPr>
            <w:tcW w:w="1922" w:type="dxa"/>
            <w:vMerge/>
            <w:shd w:val="clear" w:color="auto" w:fill="auto"/>
            <w:tcMar>
              <w:top w:w="100" w:type="dxa"/>
              <w:left w:w="0" w:type="dxa"/>
              <w:bottom w:w="100" w:type="dxa"/>
              <w:right w:w="0" w:type="dxa"/>
            </w:tcMar>
            <w:vAlign w:val="center"/>
          </w:tcPr>
          <w:p w14:paraId="187C6469" w14:textId="77777777" w:rsidR="00110C9A" w:rsidRPr="00411A55" w:rsidRDefault="00110C9A" w:rsidP="00234DCA">
            <w:pPr>
              <w:pStyle w:val="Body"/>
              <w:snapToGrid w:val="0"/>
              <w:spacing w:line="360" w:lineRule="auto"/>
              <w:rPr>
                <w:rFonts w:ascii="Book Antiqua" w:hAnsi="Book Antiqua"/>
                <w:color w:val="auto"/>
                <w:szCs w:val="24"/>
              </w:rPr>
            </w:pPr>
          </w:p>
        </w:tc>
        <w:tc>
          <w:tcPr>
            <w:tcW w:w="1922" w:type="dxa"/>
            <w:shd w:val="clear" w:color="auto" w:fill="auto"/>
            <w:tcMar>
              <w:top w:w="100" w:type="dxa"/>
              <w:left w:w="100" w:type="dxa"/>
              <w:bottom w:w="100" w:type="dxa"/>
              <w:right w:w="100" w:type="dxa"/>
            </w:tcMar>
          </w:tcPr>
          <w:p w14:paraId="7724D719" w14:textId="77777777"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0</w:t>
            </w:r>
          </w:p>
        </w:tc>
        <w:tc>
          <w:tcPr>
            <w:tcW w:w="1922" w:type="dxa"/>
            <w:shd w:val="clear" w:color="auto" w:fill="auto"/>
            <w:tcMar>
              <w:top w:w="100" w:type="dxa"/>
              <w:left w:w="100" w:type="dxa"/>
              <w:bottom w:w="100" w:type="dxa"/>
              <w:right w:w="100" w:type="dxa"/>
            </w:tcMar>
          </w:tcPr>
          <w:p w14:paraId="5B5CDACF" w14:textId="0D798A4B"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w:t>
            </w:r>
            <w:r w:rsidR="00310E45">
              <w:rPr>
                <w:rFonts w:ascii="Book Antiqua" w:eastAsia="宋体" w:hAnsi="Book Antiqua" w:hint="eastAsia"/>
                <w:color w:val="auto"/>
                <w:szCs w:val="24"/>
                <w:lang w:eastAsia="zh-CN"/>
              </w:rPr>
              <w:t xml:space="preserve"> </w:t>
            </w:r>
            <w:r w:rsidRPr="00411A55">
              <w:rPr>
                <w:rFonts w:ascii="Book Antiqua" w:hAnsi="Book Antiqua"/>
                <w:color w:val="auto"/>
                <w:szCs w:val="24"/>
              </w:rPr>
              <w:t>0.80</w:t>
            </w:r>
          </w:p>
        </w:tc>
        <w:tc>
          <w:tcPr>
            <w:tcW w:w="1922" w:type="dxa"/>
            <w:shd w:val="clear" w:color="auto" w:fill="auto"/>
            <w:tcMar>
              <w:top w:w="100" w:type="dxa"/>
              <w:left w:w="100" w:type="dxa"/>
              <w:bottom w:w="100" w:type="dxa"/>
              <w:right w:w="100" w:type="dxa"/>
            </w:tcMar>
          </w:tcPr>
          <w:p w14:paraId="14431370" w14:textId="0ABB174C"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&gt;</w:t>
            </w:r>
            <w:r w:rsidR="00310E45">
              <w:rPr>
                <w:rFonts w:ascii="Book Antiqua" w:eastAsia="宋体" w:hAnsi="Book Antiqua" w:hint="eastAsia"/>
                <w:color w:val="auto"/>
                <w:szCs w:val="24"/>
                <w:lang w:eastAsia="zh-CN"/>
              </w:rPr>
              <w:t xml:space="preserve"> </w:t>
            </w:r>
            <w:r w:rsidRPr="00411A55">
              <w:rPr>
                <w:rFonts w:ascii="Book Antiqua" w:hAnsi="Book Antiqua"/>
                <w:color w:val="auto"/>
                <w:szCs w:val="24"/>
              </w:rPr>
              <w:t>100</w:t>
            </w:r>
          </w:p>
        </w:tc>
        <w:tc>
          <w:tcPr>
            <w:tcW w:w="1922" w:type="dxa"/>
            <w:shd w:val="clear" w:color="auto" w:fill="auto"/>
            <w:tcMar>
              <w:top w:w="100" w:type="dxa"/>
              <w:left w:w="100" w:type="dxa"/>
              <w:bottom w:w="100" w:type="dxa"/>
              <w:right w:w="100" w:type="dxa"/>
            </w:tcMar>
          </w:tcPr>
          <w:p w14:paraId="6C4D7A2A" w14:textId="604D8833"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w:t>
            </w:r>
            <w:r w:rsidR="00310E45">
              <w:rPr>
                <w:rFonts w:ascii="Book Antiqua" w:eastAsia="宋体" w:hAnsi="Book Antiqua" w:hint="eastAsia"/>
                <w:color w:val="auto"/>
                <w:szCs w:val="24"/>
                <w:lang w:eastAsia="zh-CN"/>
              </w:rPr>
              <w:t xml:space="preserve"> </w:t>
            </w:r>
            <w:r w:rsidRPr="00411A55">
              <w:rPr>
                <w:rFonts w:ascii="Book Antiqua" w:hAnsi="Book Antiqua"/>
                <w:color w:val="auto"/>
                <w:szCs w:val="24"/>
              </w:rPr>
              <w:t>60 </w:t>
            </w:r>
          </w:p>
        </w:tc>
      </w:tr>
      <w:tr w:rsidR="00411A55" w:rsidRPr="00411A55" w14:paraId="3FB99F64" w14:textId="77777777" w:rsidTr="00F723E0">
        <w:trPr>
          <w:cantSplit/>
          <w:trHeight w:val="280"/>
        </w:trPr>
        <w:tc>
          <w:tcPr>
            <w:tcW w:w="1922" w:type="dxa"/>
            <w:vMerge/>
            <w:shd w:val="clear" w:color="auto" w:fill="auto"/>
            <w:tcMar>
              <w:top w:w="100" w:type="dxa"/>
              <w:left w:w="0" w:type="dxa"/>
              <w:bottom w:w="100" w:type="dxa"/>
              <w:right w:w="0" w:type="dxa"/>
            </w:tcMar>
            <w:vAlign w:val="center"/>
          </w:tcPr>
          <w:p w14:paraId="0D94675D" w14:textId="77777777" w:rsidR="00110C9A" w:rsidRPr="00411A55" w:rsidRDefault="00110C9A" w:rsidP="00234DCA">
            <w:pPr>
              <w:pStyle w:val="Body"/>
              <w:snapToGrid w:val="0"/>
              <w:spacing w:line="360" w:lineRule="auto"/>
              <w:rPr>
                <w:rFonts w:ascii="Book Antiqua" w:hAnsi="Book Antiqua"/>
                <w:color w:val="auto"/>
                <w:szCs w:val="24"/>
              </w:rPr>
            </w:pPr>
          </w:p>
        </w:tc>
        <w:tc>
          <w:tcPr>
            <w:tcW w:w="1922" w:type="dxa"/>
            <w:shd w:val="clear" w:color="auto" w:fill="auto"/>
            <w:tcMar>
              <w:top w:w="100" w:type="dxa"/>
              <w:left w:w="100" w:type="dxa"/>
              <w:bottom w:w="100" w:type="dxa"/>
              <w:right w:w="100" w:type="dxa"/>
            </w:tcMar>
          </w:tcPr>
          <w:p w14:paraId="114E099E" w14:textId="77777777"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1</w:t>
            </w:r>
          </w:p>
        </w:tc>
        <w:tc>
          <w:tcPr>
            <w:tcW w:w="1922" w:type="dxa"/>
            <w:shd w:val="clear" w:color="auto" w:fill="auto"/>
            <w:tcMar>
              <w:top w:w="100" w:type="dxa"/>
              <w:left w:w="100" w:type="dxa"/>
              <w:bottom w:w="100" w:type="dxa"/>
              <w:right w:w="100" w:type="dxa"/>
            </w:tcMar>
          </w:tcPr>
          <w:p w14:paraId="79D3BA07" w14:textId="77777777"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0.6-0.79</w:t>
            </w:r>
          </w:p>
        </w:tc>
        <w:tc>
          <w:tcPr>
            <w:tcW w:w="1922" w:type="dxa"/>
            <w:shd w:val="clear" w:color="auto" w:fill="auto"/>
            <w:tcMar>
              <w:top w:w="100" w:type="dxa"/>
              <w:left w:w="100" w:type="dxa"/>
              <w:bottom w:w="100" w:type="dxa"/>
              <w:right w:w="100" w:type="dxa"/>
            </w:tcMar>
          </w:tcPr>
          <w:p w14:paraId="4A949142" w14:textId="77777777"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70-100</w:t>
            </w:r>
          </w:p>
        </w:tc>
        <w:tc>
          <w:tcPr>
            <w:tcW w:w="1922" w:type="dxa"/>
            <w:shd w:val="clear" w:color="auto" w:fill="auto"/>
            <w:tcMar>
              <w:top w:w="100" w:type="dxa"/>
              <w:left w:w="100" w:type="dxa"/>
              <w:bottom w:w="100" w:type="dxa"/>
              <w:right w:w="100" w:type="dxa"/>
            </w:tcMar>
          </w:tcPr>
          <w:p w14:paraId="40956E6A" w14:textId="77777777"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40-59</w:t>
            </w:r>
          </w:p>
        </w:tc>
      </w:tr>
      <w:tr w:rsidR="00411A55" w:rsidRPr="00411A55" w14:paraId="3698DBDC" w14:textId="77777777" w:rsidTr="00F723E0">
        <w:trPr>
          <w:cantSplit/>
          <w:trHeight w:val="280"/>
        </w:trPr>
        <w:tc>
          <w:tcPr>
            <w:tcW w:w="1922" w:type="dxa"/>
            <w:vMerge/>
            <w:shd w:val="clear" w:color="auto" w:fill="auto"/>
            <w:tcMar>
              <w:top w:w="100" w:type="dxa"/>
              <w:left w:w="0" w:type="dxa"/>
              <w:bottom w:w="100" w:type="dxa"/>
              <w:right w:w="0" w:type="dxa"/>
            </w:tcMar>
            <w:vAlign w:val="center"/>
          </w:tcPr>
          <w:p w14:paraId="4F2492B9" w14:textId="77777777" w:rsidR="00110C9A" w:rsidRPr="00411A55" w:rsidRDefault="00110C9A" w:rsidP="00234DCA">
            <w:pPr>
              <w:pStyle w:val="Body"/>
              <w:snapToGrid w:val="0"/>
              <w:spacing w:line="360" w:lineRule="auto"/>
              <w:rPr>
                <w:rFonts w:ascii="Book Antiqua" w:hAnsi="Book Antiqua"/>
                <w:color w:val="auto"/>
                <w:szCs w:val="24"/>
              </w:rPr>
            </w:pPr>
          </w:p>
        </w:tc>
        <w:tc>
          <w:tcPr>
            <w:tcW w:w="1922" w:type="dxa"/>
            <w:shd w:val="clear" w:color="auto" w:fill="auto"/>
            <w:tcMar>
              <w:top w:w="100" w:type="dxa"/>
              <w:left w:w="100" w:type="dxa"/>
              <w:bottom w:w="100" w:type="dxa"/>
              <w:right w:w="100" w:type="dxa"/>
            </w:tcMar>
          </w:tcPr>
          <w:p w14:paraId="491DA36A" w14:textId="77777777"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2</w:t>
            </w:r>
          </w:p>
        </w:tc>
        <w:tc>
          <w:tcPr>
            <w:tcW w:w="1922" w:type="dxa"/>
            <w:shd w:val="clear" w:color="auto" w:fill="auto"/>
            <w:tcMar>
              <w:top w:w="100" w:type="dxa"/>
              <w:left w:w="100" w:type="dxa"/>
              <w:bottom w:w="100" w:type="dxa"/>
              <w:right w:w="100" w:type="dxa"/>
            </w:tcMar>
          </w:tcPr>
          <w:p w14:paraId="1112FC0B" w14:textId="77777777"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0.4-0.59</w:t>
            </w:r>
          </w:p>
        </w:tc>
        <w:tc>
          <w:tcPr>
            <w:tcW w:w="1922" w:type="dxa"/>
            <w:shd w:val="clear" w:color="auto" w:fill="auto"/>
            <w:tcMar>
              <w:top w:w="100" w:type="dxa"/>
              <w:left w:w="100" w:type="dxa"/>
              <w:bottom w:w="100" w:type="dxa"/>
              <w:right w:w="100" w:type="dxa"/>
            </w:tcMar>
          </w:tcPr>
          <w:p w14:paraId="205BE001" w14:textId="77777777"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50-70</w:t>
            </w:r>
          </w:p>
        </w:tc>
        <w:tc>
          <w:tcPr>
            <w:tcW w:w="1922" w:type="dxa"/>
            <w:shd w:val="clear" w:color="auto" w:fill="auto"/>
            <w:tcMar>
              <w:top w:w="100" w:type="dxa"/>
              <w:left w:w="100" w:type="dxa"/>
              <w:bottom w:w="100" w:type="dxa"/>
              <w:right w:w="100" w:type="dxa"/>
            </w:tcMar>
          </w:tcPr>
          <w:p w14:paraId="7FAD4E11" w14:textId="77777777"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30-39 </w:t>
            </w:r>
          </w:p>
        </w:tc>
      </w:tr>
      <w:tr w:rsidR="00411A55" w:rsidRPr="00411A55" w14:paraId="4D07A648" w14:textId="77777777" w:rsidTr="00F723E0">
        <w:trPr>
          <w:cantSplit/>
          <w:trHeight w:val="280"/>
        </w:trPr>
        <w:tc>
          <w:tcPr>
            <w:tcW w:w="1922" w:type="dxa"/>
            <w:vMerge/>
            <w:shd w:val="clear" w:color="auto" w:fill="auto"/>
            <w:tcMar>
              <w:top w:w="100" w:type="dxa"/>
              <w:left w:w="0" w:type="dxa"/>
              <w:bottom w:w="100" w:type="dxa"/>
              <w:right w:w="0" w:type="dxa"/>
            </w:tcMar>
            <w:vAlign w:val="center"/>
          </w:tcPr>
          <w:p w14:paraId="2137602A" w14:textId="77777777" w:rsidR="00110C9A" w:rsidRPr="00411A55" w:rsidRDefault="00110C9A" w:rsidP="00234DCA">
            <w:pPr>
              <w:pStyle w:val="Body"/>
              <w:snapToGrid w:val="0"/>
              <w:spacing w:line="360" w:lineRule="auto"/>
              <w:rPr>
                <w:rFonts w:ascii="Book Antiqua" w:hAnsi="Book Antiqua"/>
                <w:color w:val="auto"/>
                <w:szCs w:val="24"/>
              </w:rPr>
            </w:pPr>
          </w:p>
        </w:tc>
        <w:tc>
          <w:tcPr>
            <w:tcW w:w="1922" w:type="dxa"/>
            <w:shd w:val="clear" w:color="auto" w:fill="auto"/>
            <w:tcMar>
              <w:top w:w="100" w:type="dxa"/>
              <w:left w:w="100" w:type="dxa"/>
              <w:bottom w:w="100" w:type="dxa"/>
              <w:right w:w="100" w:type="dxa"/>
            </w:tcMar>
          </w:tcPr>
          <w:p w14:paraId="6470EB8B" w14:textId="77777777"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3</w:t>
            </w:r>
          </w:p>
        </w:tc>
        <w:tc>
          <w:tcPr>
            <w:tcW w:w="1922" w:type="dxa"/>
            <w:shd w:val="clear" w:color="auto" w:fill="auto"/>
            <w:tcMar>
              <w:top w:w="100" w:type="dxa"/>
              <w:left w:w="100" w:type="dxa"/>
              <w:bottom w:w="100" w:type="dxa"/>
              <w:right w:w="100" w:type="dxa"/>
            </w:tcMar>
          </w:tcPr>
          <w:p w14:paraId="5B092DDA" w14:textId="65C57C87"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&lt;</w:t>
            </w:r>
            <w:r w:rsidR="00310E45">
              <w:rPr>
                <w:rFonts w:ascii="Book Antiqua" w:eastAsia="宋体" w:hAnsi="Book Antiqua" w:hint="eastAsia"/>
                <w:color w:val="auto"/>
                <w:szCs w:val="24"/>
                <w:lang w:eastAsia="zh-CN"/>
              </w:rPr>
              <w:t xml:space="preserve"> </w:t>
            </w:r>
            <w:r w:rsidRPr="00411A55">
              <w:rPr>
                <w:rFonts w:ascii="Book Antiqua" w:hAnsi="Book Antiqua"/>
                <w:color w:val="auto"/>
                <w:szCs w:val="24"/>
              </w:rPr>
              <w:t>0.40</w:t>
            </w:r>
          </w:p>
        </w:tc>
        <w:tc>
          <w:tcPr>
            <w:tcW w:w="1922" w:type="dxa"/>
            <w:shd w:val="clear" w:color="auto" w:fill="auto"/>
            <w:tcMar>
              <w:top w:w="100" w:type="dxa"/>
              <w:left w:w="100" w:type="dxa"/>
              <w:bottom w:w="100" w:type="dxa"/>
              <w:right w:w="100" w:type="dxa"/>
            </w:tcMar>
          </w:tcPr>
          <w:p w14:paraId="0A30F5CA" w14:textId="5065A05A"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&lt;</w:t>
            </w:r>
            <w:r w:rsidR="00310E45">
              <w:rPr>
                <w:rFonts w:ascii="Book Antiqua" w:eastAsia="宋体" w:hAnsi="Book Antiqua" w:hint="eastAsia"/>
                <w:color w:val="auto"/>
                <w:szCs w:val="24"/>
                <w:lang w:eastAsia="zh-CN"/>
              </w:rPr>
              <w:t xml:space="preserve"> </w:t>
            </w:r>
            <w:r w:rsidRPr="00411A55">
              <w:rPr>
                <w:rFonts w:ascii="Book Antiqua" w:hAnsi="Book Antiqua"/>
                <w:color w:val="auto"/>
                <w:szCs w:val="24"/>
              </w:rPr>
              <w:t>50</w:t>
            </w:r>
          </w:p>
        </w:tc>
        <w:tc>
          <w:tcPr>
            <w:tcW w:w="1922" w:type="dxa"/>
            <w:shd w:val="clear" w:color="auto" w:fill="auto"/>
            <w:tcMar>
              <w:top w:w="100" w:type="dxa"/>
              <w:left w:w="100" w:type="dxa"/>
              <w:bottom w:w="100" w:type="dxa"/>
              <w:right w:w="100" w:type="dxa"/>
            </w:tcMar>
          </w:tcPr>
          <w:p w14:paraId="135207F3" w14:textId="196EF2CF"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&lt;</w:t>
            </w:r>
            <w:r w:rsidR="00310E45">
              <w:rPr>
                <w:rFonts w:ascii="Book Antiqua" w:eastAsia="宋体" w:hAnsi="Book Antiqua" w:hint="eastAsia"/>
                <w:color w:val="auto"/>
                <w:szCs w:val="24"/>
                <w:lang w:eastAsia="zh-CN"/>
              </w:rPr>
              <w:t xml:space="preserve"> </w:t>
            </w:r>
            <w:r w:rsidRPr="00411A55">
              <w:rPr>
                <w:rFonts w:ascii="Book Antiqua" w:hAnsi="Book Antiqua"/>
                <w:color w:val="auto"/>
                <w:szCs w:val="24"/>
              </w:rPr>
              <w:t>30</w:t>
            </w:r>
          </w:p>
        </w:tc>
      </w:tr>
      <w:tr w:rsidR="00411A55" w:rsidRPr="00411A55" w14:paraId="286B99FB" w14:textId="77777777" w:rsidTr="00F723E0">
        <w:trPr>
          <w:cantSplit/>
          <w:trHeight w:val="280"/>
        </w:trPr>
        <w:tc>
          <w:tcPr>
            <w:tcW w:w="1922" w:type="dxa"/>
            <w:vMerge w:val="restart"/>
            <w:shd w:val="clear" w:color="auto" w:fill="auto"/>
            <w:tcMar>
              <w:top w:w="100" w:type="dxa"/>
              <w:left w:w="100" w:type="dxa"/>
              <w:bottom w:w="100" w:type="dxa"/>
              <w:right w:w="100" w:type="dxa"/>
            </w:tcMar>
          </w:tcPr>
          <w:p w14:paraId="3982EA0E" w14:textId="77777777" w:rsidR="00110C9A" w:rsidRPr="00411A55" w:rsidRDefault="00110C9A" w:rsidP="00234DCA">
            <w:pPr>
              <w:pStyle w:val="Body"/>
              <w:snapToGrid w:val="0"/>
              <w:spacing w:line="360" w:lineRule="auto"/>
              <w:rPr>
                <w:rFonts w:ascii="Book Antiqua" w:hAnsi="Book Antiqua"/>
                <w:color w:val="auto"/>
                <w:szCs w:val="24"/>
              </w:rPr>
            </w:pPr>
          </w:p>
          <w:p w14:paraId="6E59E304" w14:textId="77777777" w:rsidR="00110C9A" w:rsidRPr="00411A55" w:rsidRDefault="00110C9A" w:rsidP="00234DCA">
            <w:pPr>
              <w:pStyle w:val="Body"/>
              <w:snapToGrid w:val="0"/>
              <w:spacing w:line="360" w:lineRule="auto"/>
              <w:rPr>
                <w:rFonts w:ascii="Book Antiqua" w:hAnsi="Book Antiqua"/>
                <w:color w:val="auto"/>
                <w:szCs w:val="24"/>
              </w:rPr>
            </w:pPr>
          </w:p>
          <w:p w14:paraId="0966F8AF" w14:textId="77777777" w:rsidR="00110C9A" w:rsidRPr="00411A55" w:rsidRDefault="00110C9A" w:rsidP="00234DCA">
            <w:pPr>
              <w:pStyle w:val="Body"/>
              <w:snapToGrid w:val="0"/>
              <w:spacing w:line="360" w:lineRule="auto"/>
              <w:rPr>
                <w:rFonts w:ascii="Book Antiqua" w:hAnsi="Book Antiqua"/>
                <w:color w:val="auto"/>
                <w:szCs w:val="24"/>
              </w:rPr>
            </w:pPr>
          </w:p>
          <w:p w14:paraId="4E5EF829" w14:textId="795BBAB2"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FI</w:t>
            </w:r>
          </w:p>
        </w:tc>
        <w:tc>
          <w:tcPr>
            <w:tcW w:w="1922" w:type="dxa"/>
            <w:shd w:val="clear" w:color="auto" w:fill="auto"/>
            <w:tcMar>
              <w:top w:w="100" w:type="dxa"/>
              <w:left w:w="100" w:type="dxa"/>
              <w:bottom w:w="100" w:type="dxa"/>
              <w:right w:w="100" w:type="dxa"/>
            </w:tcMar>
          </w:tcPr>
          <w:p w14:paraId="2C632BA4" w14:textId="77777777"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0</w:t>
            </w:r>
          </w:p>
        </w:tc>
        <w:tc>
          <w:tcPr>
            <w:tcW w:w="5767" w:type="dxa"/>
            <w:gridSpan w:val="3"/>
            <w:shd w:val="clear" w:color="auto" w:fill="auto"/>
            <w:tcMar>
              <w:top w:w="100" w:type="dxa"/>
              <w:left w:w="100" w:type="dxa"/>
              <w:bottom w:w="100" w:type="dxa"/>
              <w:right w:w="100" w:type="dxa"/>
            </w:tcMar>
          </w:tcPr>
          <w:p w14:paraId="738DF7E2" w14:textId="77777777"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No symptoms or signs of infection</w:t>
            </w:r>
          </w:p>
        </w:tc>
      </w:tr>
      <w:tr w:rsidR="00411A55" w:rsidRPr="00411A55" w14:paraId="47426BB3" w14:textId="77777777" w:rsidTr="00F723E0">
        <w:trPr>
          <w:cantSplit/>
          <w:trHeight w:val="560"/>
        </w:trPr>
        <w:tc>
          <w:tcPr>
            <w:tcW w:w="1922" w:type="dxa"/>
            <w:vMerge/>
            <w:shd w:val="clear" w:color="auto" w:fill="auto"/>
            <w:tcMar>
              <w:top w:w="100" w:type="dxa"/>
              <w:left w:w="0" w:type="dxa"/>
              <w:bottom w:w="100" w:type="dxa"/>
              <w:right w:w="0" w:type="dxa"/>
            </w:tcMar>
            <w:vAlign w:val="center"/>
          </w:tcPr>
          <w:p w14:paraId="42FEF5D8" w14:textId="77777777" w:rsidR="00110C9A" w:rsidRPr="00411A55" w:rsidRDefault="00110C9A" w:rsidP="00234DCA">
            <w:pPr>
              <w:pStyle w:val="Body"/>
              <w:snapToGrid w:val="0"/>
              <w:spacing w:line="360" w:lineRule="auto"/>
              <w:rPr>
                <w:rFonts w:ascii="Book Antiqua" w:hAnsi="Book Antiqua"/>
                <w:color w:val="auto"/>
                <w:szCs w:val="24"/>
              </w:rPr>
            </w:pPr>
          </w:p>
        </w:tc>
        <w:tc>
          <w:tcPr>
            <w:tcW w:w="1922" w:type="dxa"/>
            <w:shd w:val="clear" w:color="auto" w:fill="auto"/>
            <w:tcMar>
              <w:top w:w="100" w:type="dxa"/>
              <w:left w:w="100" w:type="dxa"/>
              <w:bottom w:w="100" w:type="dxa"/>
              <w:right w:w="100" w:type="dxa"/>
            </w:tcMar>
          </w:tcPr>
          <w:p w14:paraId="4A2A3A22" w14:textId="77777777"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1</w:t>
            </w:r>
          </w:p>
        </w:tc>
        <w:tc>
          <w:tcPr>
            <w:tcW w:w="5767" w:type="dxa"/>
            <w:gridSpan w:val="3"/>
            <w:shd w:val="clear" w:color="auto" w:fill="auto"/>
            <w:tcMar>
              <w:top w:w="100" w:type="dxa"/>
              <w:left w:w="100" w:type="dxa"/>
              <w:bottom w:w="100" w:type="dxa"/>
              <w:right w:w="100" w:type="dxa"/>
            </w:tcMar>
          </w:tcPr>
          <w:p w14:paraId="5104FBF3" w14:textId="77777777"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Local infection involving only skin and subcutaneous tissue </w:t>
            </w:r>
          </w:p>
        </w:tc>
      </w:tr>
      <w:tr w:rsidR="00411A55" w:rsidRPr="00411A55" w14:paraId="3C7212A9" w14:textId="77777777" w:rsidTr="00F723E0">
        <w:trPr>
          <w:cantSplit/>
          <w:trHeight w:val="560"/>
        </w:trPr>
        <w:tc>
          <w:tcPr>
            <w:tcW w:w="1922" w:type="dxa"/>
            <w:vMerge/>
            <w:shd w:val="clear" w:color="auto" w:fill="auto"/>
            <w:tcMar>
              <w:top w:w="100" w:type="dxa"/>
              <w:left w:w="0" w:type="dxa"/>
              <w:bottom w:w="100" w:type="dxa"/>
              <w:right w:w="0" w:type="dxa"/>
            </w:tcMar>
            <w:vAlign w:val="center"/>
          </w:tcPr>
          <w:p w14:paraId="5A2A845F" w14:textId="77777777" w:rsidR="00110C9A" w:rsidRPr="00411A55" w:rsidRDefault="00110C9A" w:rsidP="00234DCA">
            <w:pPr>
              <w:pStyle w:val="Body"/>
              <w:snapToGrid w:val="0"/>
              <w:spacing w:line="360" w:lineRule="auto"/>
              <w:rPr>
                <w:rFonts w:ascii="Book Antiqua" w:hAnsi="Book Antiqua"/>
                <w:color w:val="auto"/>
                <w:szCs w:val="24"/>
              </w:rPr>
            </w:pPr>
          </w:p>
        </w:tc>
        <w:tc>
          <w:tcPr>
            <w:tcW w:w="1922" w:type="dxa"/>
            <w:shd w:val="clear" w:color="auto" w:fill="auto"/>
            <w:tcMar>
              <w:top w:w="100" w:type="dxa"/>
              <w:left w:w="100" w:type="dxa"/>
              <w:bottom w:w="100" w:type="dxa"/>
              <w:right w:w="100" w:type="dxa"/>
            </w:tcMar>
          </w:tcPr>
          <w:p w14:paraId="2C252241" w14:textId="77777777"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2</w:t>
            </w:r>
          </w:p>
        </w:tc>
        <w:tc>
          <w:tcPr>
            <w:tcW w:w="5767" w:type="dxa"/>
            <w:gridSpan w:val="3"/>
            <w:shd w:val="clear" w:color="auto" w:fill="auto"/>
            <w:tcMar>
              <w:top w:w="100" w:type="dxa"/>
              <w:left w:w="100" w:type="dxa"/>
              <w:bottom w:w="100" w:type="dxa"/>
              <w:right w:w="100" w:type="dxa"/>
            </w:tcMar>
          </w:tcPr>
          <w:p w14:paraId="279FE71D" w14:textId="77777777"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Local infection involving deeper than skin/subcutaneous tissue</w:t>
            </w:r>
          </w:p>
        </w:tc>
      </w:tr>
      <w:tr w:rsidR="00411A55" w:rsidRPr="00411A55" w14:paraId="0B7D5C0D" w14:textId="77777777" w:rsidTr="00F723E0">
        <w:trPr>
          <w:cantSplit/>
          <w:trHeight w:val="280"/>
        </w:trPr>
        <w:tc>
          <w:tcPr>
            <w:tcW w:w="1922" w:type="dxa"/>
            <w:vMerge/>
            <w:shd w:val="clear" w:color="auto" w:fill="auto"/>
            <w:tcMar>
              <w:top w:w="100" w:type="dxa"/>
              <w:left w:w="0" w:type="dxa"/>
              <w:bottom w:w="100" w:type="dxa"/>
              <w:right w:w="0" w:type="dxa"/>
            </w:tcMar>
            <w:vAlign w:val="center"/>
          </w:tcPr>
          <w:p w14:paraId="7F42B009" w14:textId="77777777" w:rsidR="00110C9A" w:rsidRPr="00411A55" w:rsidRDefault="00110C9A" w:rsidP="00234DCA">
            <w:pPr>
              <w:pStyle w:val="Body"/>
              <w:snapToGrid w:val="0"/>
              <w:spacing w:line="360" w:lineRule="auto"/>
              <w:rPr>
                <w:rFonts w:ascii="Book Antiqua" w:hAnsi="Book Antiqua"/>
                <w:color w:val="auto"/>
                <w:szCs w:val="24"/>
              </w:rPr>
            </w:pPr>
          </w:p>
        </w:tc>
        <w:tc>
          <w:tcPr>
            <w:tcW w:w="1922" w:type="dxa"/>
            <w:shd w:val="clear" w:color="auto" w:fill="auto"/>
            <w:tcMar>
              <w:top w:w="100" w:type="dxa"/>
              <w:left w:w="100" w:type="dxa"/>
              <w:bottom w:w="100" w:type="dxa"/>
              <w:right w:w="100" w:type="dxa"/>
            </w:tcMar>
          </w:tcPr>
          <w:p w14:paraId="3C6856E2" w14:textId="77777777"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3</w:t>
            </w:r>
          </w:p>
        </w:tc>
        <w:tc>
          <w:tcPr>
            <w:tcW w:w="5767" w:type="dxa"/>
            <w:gridSpan w:val="3"/>
            <w:shd w:val="clear" w:color="auto" w:fill="auto"/>
            <w:tcMar>
              <w:top w:w="100" w:type="dxa"/>
              <w:left w:w="100" w:type="dxa"/>
              <w:bottom w:w="100" w:type="dxa"/>
              <w:right w:w="100" w:type="dxa"/>
            </w:tcMar>
          </w:tcPr>
          <w:p w14:paraId="09DA01A2" w14:textId="77777777" w:rsidR="00110C9A" w:rsidRPr="00411A55" w:rsidRDefault="00110C9A" w:rsidP="00234DCA">
            <w:pPr>
              <w:pStyle w:val="Body"/>
              <w:snapToGrid w:val="0"/>
              <w:spacing w:line="360" w:lineRule="auto"/>
              <w:rPr>
                <w:rFonts w:ascii="Book Antiqua" w:hAnsi="Book Antiqua"/>
                <w:color w:val="auto"/>
                <w:szCs w:val="24"/>
              </w:rPr>
            </w:pPr>
            <w:r w:rsidRPr="00411A55">
              <w:rPr>
                <w:rFonts w:ascii="Book Antiqua" w:hAnsi="Book Antiqua"/>
                <w:color w:val="auto"/>
                <w:szCs w:val="24"/>
              </w:rPr>
              <w:t>Systemic inflammatory response syndrome</w:t>
            </w:r>
          </w:p>
        </w:tc>
      </w:tr>
    </w:tbl>
    <w:p w14:paraId="4D1D377E" w14:textId="77777777" w:rsidR="00310E45" w:rsidRDefault="00310E45" w:rsidP="00234DCA">
      <w:pPr>
        <w:pStyle w:val="FreeForm"/>
        <w:snapToGrid w:val="0"/>
        <w:spacing w:line="360" w:lineRule="auto"/>
        <w:rPr>
          <w:rFonts w:ascii="Book Antiqua" w:eastAsia="宋体" w:hAnsi="Book Antiqua"/>
          <w:color w:val="auto"/>
          <w:sz w:val="24"/>
          <w:szCs w:val="24"/>
          <w:lang w:eastAsia="zh-CN"/>
        </w:rPr>
      </w:pPr>
    </w:p>
    <w:p w14:paraId="12110B1F" w14:textId="77777777" w:rsidR="008B74B5" w:rsidRDefault="008B74B5" w:rsidP="003B6EBC">
      <w:pPr>
        <w:pStyle w:val="FreeForm"/>
        <w:snapToGrid w:val="0"/>
        <w:spacing w:line="360" w:lineRule="auto"/>
        <w:jc w:val="both"/>
        <w:rPr>
          <w:rFonts w:ascii="Book Antiqua" w:eastAsia="宋体" w:hAnsi="Book Antiqua"/>
          <w:color w:val="auto"/>
          <w:sz w:val="24"/>
          <w:szCs w:val="24"/>
          <w:lang w:eastAsia="zh-CN"/>
        </w:rPr>
      </w:pPr>
    </w:p>
    <w:p w14:paraId="32E44D40" w14:textId="77777777" w:rsidR="008B74B5" w:rsidRDefault="008B74B5" w:rsidP="003B6EBC">
      <w:pPr>
        <w:pStyle w:val="FreeForm"/>
        <w:snapToGrid w:val="0"/>
        <w:spacing w:line="360" w:lineRule="auto"/>
        <w:jc w:val="both"/>
        <w:rPr>
          <w:rFonts w:ascii="Book Antiqua" w:eastAsia="宋体" w:hAnsi="Book Antiqua"/>
          <w:color w:val="auto"/>
          <w:sz w:val="24"/>
          <w:szCs w:val="24"/>
          <w:lang w:eastAsia="zh-CN"/>
        </w:rPr>
      </w:pPr>
    </w:p>
    <w:p w14:paraId="7B74516F" w14:textId="77777777" w:rsidR="008B74B5" w:rsidRDefault="008B74B5" w:rsidP="003B6EBC">
      <w:pPr>
        <w:pStyle w:val="FreeForm"/>
        <w:snapToGrid w:val="0"/>
        <w:spacing w:line="360" w:lineRule="auto"/>
        <w:jc w:val="both"/>
        <w:rPr>
          <w:rFonts w:ascii="Book Antiqua" w:eastAsia="宋体" w:hAnsi="Book Antiqua"/>
          <w:color w:val="auto"/>
          <w:sz w:val="24"/>
          <w:szCs w:val="24"/>
          <w:lang w:eastAsia="zh-CN"/>
        </w:rPr>
      </w:pPr>
    </w:p>
    <w:p w14:paraId="63411B0A" w14:textId="523D739A" w:rsidR="00110C9A" w:rsidRPr="00411A55" w:rsidRDefault="00310E45" w:rsidP="003B6EBC">
      <w:pPr>
        <w:pStyle w:val="FreeForm"/>
        <w:snapToGrid w:val="0"/>
        <w:spacing w:line="360" w:lineRule="auto"/>
        <w:jc w:val="both"/>
        <w:rPr>
          <w:rFonts w:ascii="Book Antiqua" w:hAnsi="Book Antiqua"/>
          <w:color w:val="auto"/>
          <w:sz w:val="24"/>
          <w:szCs w:val="24"/>
        </w:rPr>
      </w:pPr>
      <w:r w:rsidRPr="00310E45">
        <w:rPr>
          <w:rFonts w:ascii="Book Antiqua" w:hAnsi="Book Antiqua"/>
          <w:b/>
          <w:color w:val="auto"/>
          <w:sz w:val="24"/>
          <w:szCs w:val="24"/>
          <w:lang w:val="en-GB"/>
        </w:rPr>
        <w:t>Table 2 Summary of randomized controlled trials investigating infrapopliteal drug-eluting technologies</w:t>
      </w:r>
      <w:r w:rsidRPr="00411A55">
        <w:rPr>
          <w:rFonts w:ascii="Book Antiqua" w:hAnsi="Book Antiqua"/>
          <w:color w:val="auto"/>
          <w:sz w:val="24"/>
          <w:szCs w:val="24"/>
        </w:rPr>
        <w:t xml:space="preserve"> </w:t>
      </w:r>
      <w:r w:rsidR="00110C9A" w:rsidRPr="00411A55">
        <w:rPr>
          <w:rFonts w:ascii="Book Antiqua" w:hAnsi="Book Antiqua"/>
          <w:color w:val="auto"/>
          <w:sz w:val="24"/>
          <w:szCs w:val="24"/>
        </w:rPr>
        <w:br w:type="page"/>
      </w:r>
    </w:p>
    <w:tbl>
      <w:tblPr>
        <w:tblpPr w:leftFromText="180" w:rightFromText="180" w:horzAnchor="margin" w:tblpY="5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
        <w:gridCol w:w="1451"/>
        <w:gridCol w:w="1296"/>
        <w:gridCol w:w="1077"/>
        <w:gridCol w:w="1031"/>
        <w:gridCol w:w="816"/>
        <w:gridCol w:w="1423"/>
        <w:gridCol w:w="2142"/>
      </w:tblGrid>
      <w:tr w:rsidR="00411A55" w:rsidRPr="00411A55" w14:paraId="4D807772" w14:textId="77777777" w:rsidTr="00310E45">
        <w:trPr>
          <w:cantSplit/>
          <w:trHeight w:val="715"/>
        </w:trPr>
        <w:tc>
          <w:tcPr>
            <w:tcW w:w="396" w:type="dxa"/>
            <w:vMerge w:val="restart"/>
            <w:shd w:val="clear" w:color="auto" w:fill="auto"/>
            <w:tcMar>
              <w:top w:w="0" w:type="dxa"/>
              <w:left w:w="0" w:type="dxa"/>
              <w:bottom w:w="0" w:type="dxa"/>
              <w:right w:w="0" w:type="dxa"/>
            </w:tcMar>
          </w:tcPr>
          <w:p w14:paraId="05E06687"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DES</w:t>
            </w:r>
          </w:p>
          <w:p w14:paraId="0CC9F4E1" w14:textId="77777777" w:rsidR="00110C9A" w:rsidRPr="00411A55" w:rsidRDefault="00110C9A" w:rsidP="003B6EBC">
            <w:pPr>
              <w:snapToGrid w:val="0"/>
              <w:spacing w:line="360" w:lineRule="auto"/>
              <w:jc w:val="both"/>
              <w:rPr>
                <w:rFonts w:ascii="Book Antiqua" w:hAnsi="Book Antiqua"/>
                <w:color w:val="auto"/>
                <w:lang w:val="en-GB"/>
              </w:rPr>
            </w:pPr>
          </w:p>
          <w:p w14:paraId="3AC4192E" w14:textId="77777777" w:rsidR="00110C9A" w:rsidRPr="00411A55" w:rsidRDefault="00110C9A" w:rsidP="003B6EBC">
            <w:pPr>
              <w:snapToGrid w:val="0"/>
              <w:spacing w:line="360" w:lineRule="auto"/>
              <w:jc w:val="both"/>
              <w:rPr>
                <w:rFonts w:ascii="Book Antiqua" w:hAnsi="Book Antiqua"/>
                <w:color w:val="auto"/>
                <w:lang w:val="en-GB"/>
              </w:rPr>
            </w:pPr>
          </w:p>
          <w:p w14:paraId="1006D175" w14:textId="77777777" w:rsidR="00110C9A" w:rsidRPr="00411A55" w:rsidRDefault="00110C9A" w:rsidP="003B6EBC">
            <w:pPr>
              <w:snapToGrid w:val="0"/>
              <w:spacing w:line="360" w:lineRule="auto"/>
              <w:jc w:val="both"/>
              <w:rPr>
                <w:rFonts w:ascii="Book Antiqua" w:hAnsi="Book Antiqua"/>
                <w:color w:val="auto"/>
              </w:rPr>
            </w:pPr>
          </w:p>
        </w:tc>
        <w:tc>
          <w:tcPr>
            <w:tcW w:w="1451" w:type="dxa"/>
            <w:shd w:val="clear" w:color="auto" w:fill="auto"/>
            <w:tcMar>
              <w:top w:w="0" w:type="dxa"/>
              <w:left w:w="0" w:type="dxa"/>
              <w:bottom w:w="0" w:type="dxa"/>
              <w:right w:w="0" w:type="dxa"/>
            </w:tcMar>
            <w:vAlign w:val="center"/>
          </w:tcPr>
          <w:p w14:paraId="709E1D83"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Trial</w:t>
            </w:r>
          </w:p>
        </w:tc>
        <w:tc>
          <w:tcPr>
            <w:tcW w:w="1296" w:type="dxa"/>
            <w:shd w:val="clear" w:color="auto" w:fill="auto"/>
            <w:tcMar>
              <w:top w:w="0" w:type="dxa"/>
              <w:left w:w="0" w:type="dxa"/>
              <w:bottom w:w="0" w:type="dxa"/>
              <w:right w:w="0" w:type="dxa"/>
            </w:tcMar>
            <w:vAlign w:val="center"/>
          </w:tcPr>
          <w:p w14:paraId="7CDF2AA4"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Study design</w:t>
            </w:r>
          </w:p>
        </w:tc>
        <w:tc>
          <w:tcPr>
            <w:tcW w:w="1077" w:type="dxa"/>
            <w:shd w:val="clear" w:color="auto" w:fill="auto"/>
            <w:tcMar>
              <w:top w:w="0" w:type="dxa"/>
              <w:left w:w="0" w:type="dxa"/>
              <w:bottom w:w="0" w:type="dxa"/>
              <w:right w:w="0" w:type="dxa"/>
            </w:tcMar>
            <w:vAlign w:val="center"/>
          </w:tcPr>
          <w:p w14:paraId="1873BFC1"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Patients</w:t>
            </w:r>
          </w:p>
        </w:tc>
        <w:tc>
          <w:tcPr>
            <w:tcW w:w="1031" w:type="dxa"/>
            <w:shd w:val="clear" w:color="auto" w:fill="auto"/>
            <w:tcMar>
              <w:top w:w="0" w:type="dxa"/>
              <w:left w:w="0" w:type="dxa"/>
              <w:bottom w:w="0" w:type="dxa"/>
              <w:right w:w="0" w:type="dxa"/>
            </w:tcMar>
            <w:vAlign w:val="center"/>
          </w:tcPr>
          <w:p w14:paraId="2B90116D"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Follow-up</w:t>
            </w:r>
          </w:p>
        </w:tc>
        <w:tc>
          <w:tcPr>
            <w:tcW w:w="816" w:type="dxa"/>
            <w:shd w:val="clear" w:color="auto" w:fill="auto"/>
            <w:tcMar>
              <w:top w:w="0" w:type="dxa"/>
              <w:left w:w="0" w:type="dxa"/>
              <w:bottom w:w="0" w:type="dxa"/>
              <w:right w:w="0" w:type="dxa"/>
            </w:tcMar>
            <w:vAlign w:val="center"/>
          </w:tcPr>
          <w:p w14:paraId="50F952EC"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CLI</w:t>
            </w:r>
          </w:p>
        </w:tc>
        <w:tc>
          <w:tcPr>
            <w:tcW w:w="1423" w:type="dxa"/>
            <w:shd w:val="clear" w:color="auto" w:fill="auto"/>
            <w:tcMar>
              <w:top w:w="0" w:type="dxa"/>
              <w:left w:w="0" w:type="dxa"/>
              <w:bottom w:w="0" w:type="dxa"/>
              <w:right w:w="0" w:type="dxa"/>
            </w:tcMar>
            <w:vAlign w:val="center"/>
          </w:tcPr>
          <w:p w14:paraId="757E48B2" w14:textId="4A5A961B"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Lesion</w:t>
            </w:r>
            <w:r w:rsidR="00310E45">
              <w:rPr>
                <w:rFonts w:ascii="Book Antiqua" w:eastAsia="宋体" w:hAnsi="Book Antiqua" w:hint="eastAsia"/>
                <w:color w:val="auto"/>
                <w:lang w:val="en-GB" w:eastAsia="zh-CN"/>
              </w:rPr>
              <w:t xml:space="preserve"> </w:t>
            </w:r>
            <w:r w:rsidR="00310E45" w:rsidRPr="00411A55">
              <w:rPr>
                <w:rFonts w:ascii="Book Antiqua" w:hAnsi="Book Antiqua"/>
                <w:color w:val="auto"/>
                <w:lang w:val="en-GB"/>
              </w:rPr>
              <w:t>l</w:t>
            </w:r>
            <w:r w:rsidRPr="00411A55">
              <w:rPr>
                <w:rFonts w:ascii="Book Antiqua" w:hAnsi="Book Antiqua"/>
                <w:color w:val="auto"/>
                <w:lang w:val="en-GB"/>
              </w:rPr>
              <w:t>ength</w:t>
            </w:r>
          </w:p>
          <w:p w14:paraId="08B7C00A"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(cm)</w:t>
            </w:r>
          </w:p>
        </w:tc>
        <w:tc>
          <w:tcPr>
            <w:tcW w:w="2142" w:type="dxa"/>
            <w:shd w:val="clear" w:color="auto" w:fill="auto"/>
            <w:tcMar>
              <w:top w:w="0" w:type="dxa"/>
              <w:left w:w="0" w:type="dxa"/>
              <w:bottom w:w="0" w:type="dxa"/>
              <w:right w:w="0" w:type="dxa"/>
            </w:tcMar>
            <w:vAlign w:val="center"/>
          </w:tcPr>
          <w:p w14:paraId="0C4EFE5A"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Primary endpoints</w:t>
            </w:r>
          </w:p>
        </w:tc>
      </w:tr>
      <w:tr w:rsidR="00411A55" w:rsidRPr="00411A55" w14:paraId="2F3A434D" w14:textId="77777777" w:rsidTr="00310E45">
        <w:trPr>
          <w:cantSplit/>
          <w:trHeight w:val="1520"/>
        </w:trPr>
        <w:tc>
          <w:tcPr>
            <w:tcW w:w="396" w:type="dxa"/>
            <w:vMerge/>
            <w:shd w:val="clear" w:color="auto" w:fill="auto"/>
            <w:tcMar>
              <w:top w:w="0" w:type="dxa"/>
              <w:left w:w="113" w:type="dxa"/>
              <w:bottom w:w="0" w:type="dxa"/>
              <w:right w:w="113" w:type="dxa"/>
            </w:tcMar>
            <w:vAlign w:val="center"/>
          </w:tcPr>
          <w:p w14:paraId="54732575" w14:textId="77777777" w:rsidR="00110C9A" w:rsidRPr="00411A55" w:rsidRDefault="00110C9A" w:rsidP="003B6EBC">
            <w:pPr>
              <w:snapToGrid w:val="0"/>
              <w:spacing w:line="360" w:lineRule="auto"/>
              <w:jc w:val="both"/>
              <w:rPr>
                <w:rFonts w:ascii="Book Antiqua" w:hAnsi="Book Antiqua"/>
                <w:color w:val="auto"/>
              </w:rPr>
            </w:pPr>
          </w:p>
        </w:tc>
        <w:tc>
          <w:tcPr>
            <w:tcW w:w="1451" w:type="dxa"/>
            <w:shd w:val="clear" w:color="auto" w:fill="auto"/>
            <w:tcMar>
              <w:top w:w="0" w:type="dxa"/>
              <w:left w:w="0" w:type="dxa"/>
              <w:bottom w:w="0" w:type="dxa"/>
              <w:right w:w="0" w:type="dxa"/>
            </w:tcMar>
            <w:vAlign w:val="center"/>
          </w:tcPr>
          <w:p w14:paraId="64573DE8" w14:textId="33CA075E" w:rsidR="00110C9A" w:rsidRPr="00310E4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Falkowski </w:t>
            </w:r>
            <w:r w:rsidRPr="00310E45">
              <w:rPr>
                <w:rFonts w:ascii="Book Antiqua" w:hAnsi="Book Antiqua"/>
                <w:i/>
                <w:color w:val="auto"/>
                <w:lang w:val="en-GB"/>
              </w:rPr>
              <w:t>et al</w:t>
            </w:r>
            <w:r w:rsidR="00310E45" w:rsidRPr="00411A55">
              <w:rPr>
                <w:rFonts w:ascii="Book Antiqua" w:hAnsi="Book Antiqua"/>
                <w:color w:val="auto"/>
                <w:vertAlign w:val="superscript"/>
                <w:lang w:val="en-GB"/>
              </w:rPr>
              <w:t>[25]</w:t>
            </w:r>
            <w:r w:rsidR="00310E45">
              <w:rPr>
                <w:rFonts w:ascii="Book Antiqua" w:eastAsia="宋体" w:hAnsi="Book Antiqua" w:hint="eastAsia"/>
                <w:color w:val="auto"/>
                <w:lang w:val="en-GB" w:eastAsia="zh-CN"/>
              </w:rPr>
              <w:t>,</w:t>
            </w:r>
            <w:r w:rsidR="00310E45">
              <w:rPr>
                <w:rFonts w:ascii="Book Antiqua" w:eastAsia="宋体" w:hAnsi="Book Antiqua" w:hint="eastAsia"/>
                <w:color w:val="auto"/>
                <w:vertAlign w:val="superscript"/>
                <w:lang w:val="en-GB" w:eastAsia="zh-CN"/>
              </w:rPr>
              <w:t xml:space="preserve"> </w:t>
            </w:r>
            <w:r w:rsidRPr="00411A55">
              <w:rPr>
                <w:rFonts w:ascii="Book Antiqua" w:hAnsi="Book Antiqua"/>
                <w:color w:val="auto"/>
                <w:lang w:val="en-GB"/>
              </w:rPr>
              <w:t>2009</w:t>
            </w:r>
          </w:p>
        </w:tc>
        <w:tc>
          <w:tcPr>
            <w:tcW w:w="1296" w:type="dxa"/>
            <w:shd w:val="clear" w:color="auto" w:fill="auto"/>
            <w:tcMar>
              <w:top w:w="0" w:type="dxa"/>
              <w:left w:w="0" w:type="dxa"/>
              <w:bottom w:w="0" w:type="dxa"/>
              <w:right w:w="0" w:type="dxa"/>
            </w:tcMar>
            <w:vAlign w:val="center"/>
          </w:tcPr>
          <w:p w14:paraId="01EEC9E6" w14:textId="4F16448F"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Single-</w:t>
            </w:r>
            <w:r w:rsidR="00673A80" w:rsidRPr="00411A55">
              <w:rPr>
                <w:rFonts w:ascii="Book Antiqua" w:hAnsi="Book Antiqua"/>
                <w:color w:val="auto"/>
                <w:lang w:val="en-GB"/>
              </w:rPr>
              <w:t>centre</w:t>
            </w:r>
          </w:p>
          <w:p w14:paraId="40C41D26"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BMS </w:t>
            </w:r>
            <w:r w:rsidRPr="00310E45">
              <w:rPr>
                <w:rFonts w:ascii="Book Antiqua" w:hAnsi="Book Antiqua"/>
                <w:i/>
                <w:color w:val="auto"/>
                <w:lang w:val="en-GB"/>
              </w:rPr>
              <w:t>vs</w:t>
            </w:r>
            <w:r w:rsidRPr="00411A55">
              <w:rPr>
                <w:rFonts w:ascii="Book Antiqua" w:hAnsi="Book Antiqua"/>
                <w:color w:val="auto"/>
                <w:lang w:val="en-GB"/>
              </w:rPr>
              <w:t xml:space="preserve"> SES</w:t>
            </w:r>
          </w:p>
        </w:tc>
        <w:tc>
          <w:tcPr>
            <w:tcW w:w="1077" w:type="dxa"/>
            <w:shd w:val="clear" w:color="auto" w:fill="auto"/>
            <w:tcMar>
              <w:top w:w="0" w:type="dxa"/>
              <w:left w:w="0" w:type="dxa"/>
              <w:bottom w:w="0" w:type="dxa"/>
              <w:right w:w="0" w:type="dxa"/>
            </w:tcMar>
            <w:vAlign w:val="center"/>
          </w:tcPr>
          <w:p w14:paraId="3E9F152C"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50 patients</w:t>
            </w:r>
          </w:p>
          <w:p w14:paraId="77FC05B5" w14:textId="32C18809"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(25</w:t>
            </w:r>
            <w:r w:rsidR="000F08DA">
              <w:rPr>
                <w:rFonts w:ascii="Book Antiqua" w:hAnsi="Book Antiqua"/>
                <w:color w:val="auto"/>
                <w:lang w:val="en-GB"/>
              </w:rPr>
              <w:t xml:space="preserve"> </w:t>
            </w:r>
            <w:r w:rsidR="00310E45" w:rsidRPr="00310E45">
              <w:rPr>
                <w:rFonts w:ascii="Book Antiqua" w:hAnsi="Book Antiqua"/>
                <w:i/>
                <w:color w:val="auto"/>
                <w:lang w:val="en-GB"/>
              </w:rPr>
              <w:t>vs</w:t>
            </w:r>
            <w:r w:rsidR="000F08DA">
              <w:rPr>
                <w:rFonts w:ascii="Book Antiqua" w:hAnsi="Book Antiqua"/>
                <w:color w:val="auto"/>
                <w:lang w:val="en-GB"/>
              </w:rPr>
              <w:t xml:space="preserve"> </w:t>
            </w:r>
            <w:r w:rsidRPr="00411A55">
              <w:rPr>
                <w:rFonts w:ascii="Book Antiqua" w:hAnsi="Book Antiqua"/>
                <w:color w:val="auto"/>
                <w:lang w:val="en-GB"/>
              </w:rPr>
              <w:t>25)</w:t>
            </w:r>
          </w:p>
        </w:tc>
        <w:tc>
          <w:tcPr>
            <w:tcW w:w="1031" w:type="dxa"/>
            <w:shd w:val="clear" w:color="auto" w:fill="auto"/>
            <w:tcMar>
              <w:top w:w="0" w:type="dxa"/>
              <w:left w:w="0" w:type="dxa"/>
              <w:bottom w:w="0" w:type="dxa"/>
              <w:right w:w="0" w:type="dxa"/>
            </w:tcMar>
            <w:vAlign w:val="center"/>
          </w:tcPr>
          <w:p w14:paraId="1A73F0F5" w14:textId="11D6112A"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6 mo</w:t>
            </w:r>
          </w:p>
        </w:tc>
        <w:tc>
          <w:tcPr>
            <w:tcW w:w="816" w:type="dxa"/>
            <w:shd w:val="clear" w:color="auto" w:fill="auto"/>
            <w:tcMar>
              <w:top w:w="0" w:type="dxa"/>
              <w:left w:w="0" w:type="dxa"/>
              <w:bottom w:w="0" w:type="dxa"/>
              <w:right w:w="0" w:type="dxa"/>
            </w:tcMar>
            <w:vAlign w:val="center"/>
          </w:tcPr>
          <w:p w14:paraId="6CEFB8C0"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32% </w:t>
            </w:r>
          </w:p>
        </w:tc>
        <w:tc>
          <w:tcPr>
            <w:tcW w:w="1423" w:type="dxa"/>
            <w:shd w:val="clear" w:color="auto" w:fill="auto"/>
            <w:tcMar>
              <w:top w:w="0" w:type="dxa"/>
              <w:left w:w="0" w:type="dxa"/>
              <w:bottom w:w="0" w:type="dxa"/>
              <w:right w:w="0" w:type="dxa"/>
            </w:tcMar>
            <w:vAlign w:val="center"/>
          </w:tcPr>
          <w:p w14:paraId="438F7E1C" w14:textId="63C56510"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1.8</w:t>
            </w:r>
            <w:r w:rsidR="000F08DA">
              <w:rPr>
                <w:rFonts w:ascii="Book Antiqua" w:hAnsi="Book Antiqua"/>
                <w:color w:val="auto"/>
                <w:lang w:val="en-GB"/>
              </w:rPr>
              <w:t xml:space="preserve"> ± </w:t>
            </w:r>
            <w:r w:rsidRPr="00411A55">
              <w:rPr>
                <w:rFonts w:ascii="Book Antiqua" w:hAnsi="Book Antiqua"/>
                <w:color w:val="auto"/>
                <w:lang w:val="en-GB"/>
              </w:rPr>
              <w:t>2.4</w:t>
            </w:r>
          </w:p>
        </w:tc>
        <w:tc>
          <w:tcPr>
            <w:tcW w:w="2142" w:type="dxa"/>
            <w:shd w:val="clear" w:color="auto" w:fill="auto"/>
            <w:tcMar>
              <w:top w:w="0" w:type="dxa"/>
              <w:left w:w="0" w:type="dxa"/>
              <w:bottom w:w="0" w:type="dxa"/>
              <w:right w:w="0" w:type="dxa"/>
            </w:tcMar>
            <w:vAlign w:val="center"/>
          </w:tcPr>
          <w:p w14:paraId="72E5C26C" w14:textId="6E575B5E"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LLL:</w:t>
            </w:r>
            <w:r w:rsidR="000F08DA">
              <w:rPr>
                <w:rFonts w:ascii="Book Antiqua" w:eastAsia="宋体" w:hAnsi="Book Antiqua" w:hint="eastAsia"/>
                <w:color w:val="auto"/>
                <w:lang w:val="en-GB" w:eastAsia="zh-CN"/>
              </w:rPr>
              <w:t xml:space="preserve"> </w:t>
            </w:r>
            <w:r w:rsidRPr="00411A55">
              <w:rPr>
                <w:rFonts w:ascii="Book Antiqua" w:hAnsi="Book Antiqua"/>
                <w:color w:val="auto"/>
                <w:lang w:val="en-GB"/>
              </w:rPr>
              <w:t>SES 0.46</w:t>
            </w:r>
            <w:r w:rsidR="000F08DA">
              <w:rPr>
                <w:rFonts w:ascii="Book Antiqua" w:hAnsi="Book Antiqua"/>
                <w:color w:val="auto"/>
                <w:lang w:val="en-GB"/>
              </w:rPr>
              <w:t xml:space="preserve"> ± </w:t>
            </w:r>
            <w:r w:rsidRPr="00411A55">
              <w:rPr>
                <w:rFonts w:ascii="Book Antiqua" w:hAnsi="Book Antiqua"/>
                <w:color w:val="auto"/>
                <w:lang w:val="en-GB"/>
              </w:rPr>
              <w:t xml:space="preserve">0.72 </w:t>
            </w:r>
            <w:r w:rsidR="002B5C16" w:rsidRPr="002B5C16">
              <w:rPr>
                <w:rFonts w:ascii="Book Antiqua" w:hAnsi="Book Antiqua"/>
                <w:i/>
                <w:color w:val="auto"/>
                <w:lang w:val="en-GB"/>
              </w:rPr>
              <w:t>vs</w:t>
            </w:r>
            <w:r w:rsidRPr="00411A55">
              <w:rPr>
                <w:rFonts w:ascii="Book Antiqua" w:hAnsi="Book Antiqua"/>
                <w:color w:val="auto"/>
                <w:lang w:val="en-GB"/>
              </w:rPr>
              <w:t xml:space="preserve"> BMS 1.70</w:t>
            </w:r>
            <w:r w:rsidR="000F08DA">
              <w:rPr>
                <w:rFonts w:ascii="Book Antiqua" w:hAnsi="Book Antiqua"/>
                <w:color w:val="auto"/>
                <w:lang w:val="en-GB"/>
              </w:rPr>
              <w:t xml:space="preserve"> ± </w:t>
            </w:r>
            <w:r w:rsidRPr="00411A55">
              <w:rPr>
                <w:rFonts w:ascii="Book Antiqua" w:hAnsi="Book Antiqua"/>
                <w:color w:val="auto"/>
                <w:lang w:val="en-GB"/>
              </w:rPr>
              <w:t>0.94</w:t>
            </w:r>
            <w:r w:rsidR="000F08DA">
              <w:rPr>
                <w:rFonts w:ascii="Book Antiqua" w:eastAsia="宋体" w:hAnsi="Book Antiqua" w:hint="eastAsia"/>
                <w:color w:val="auto"/>
                <w:lang w:val="en-GB" w:eastAsia="zh-CN"/>
              </w:rPr>
              <w:t xml:space="preserve"> </w:t>
            </w:r>
            <w:r w:rsidRPr="00411A55">
              <w:rPr>
                <w:rFonts w:ascii="Book Antiqua" w:hAnsi="Book Antiqua"/>
                <w:color w:val="auto"/>
                <w:lang w:val="en-GB"/>
              </w:rPr>
              <w:t xml:space="preserve">mm; </w:t>
            </w:r>
            <w:r w:rsidR="00310E45" w:rsidRPr="00310E45">
              <w:rPr>
                <w:rFonts w:ascii="Book Antiqua" w:hAnsi="Book Antiqua"/>
                <w:i/>
                <w:color w:val="auto"/>
                <w:lang w:val="en-GB"/>
              </w:rPr>
              <w:t>P</w:t>
            </w:r>
            <w:r w:rsidR="00310E45">
              <w:rPr>
                <w:rFonts w:ascii="Book Antiqua" w:eastAsia="宋体" w:hAnsi="Book Antiqua"/>
                <w:color w:val="auto"/>
                <w:lang w:val="en-GB" w:eastAsia="zh-CN"/>
              </w:rPr>
              <w:t xml:space="preserve"> </w:t>
            </w:r>
            <w:r w:rsidRPr="00411A55">
              <w:rPr>
                <w:rFonts w:ascii="Book Antiqua" w:hAnsi="Book Antiqua"/>
                <w:color w:val="auto"/>
                <w:lang w:val="en-GB"/>
              </w:rPr>
              <w:t>&lt;</w:t>
            </w:r>
            <w:r w:rsidR="00310E45">
              <w:rPr>
                <w:rFonts w:ascii="Book Antiqua" w:eastAsia="宋体" w:hAnsi="Book Antiqua" w:hint="eastAsia"/>
                <w:color w:val="auto"/>
                <w:lang w:val="en-GB" w:eastAsia="zh-CN"/>
              </w:rPr>
              <w:t xml:space="preserve"> </w:t>
            </w:r>
            <w:r w:rsidRPr="00411A55">
              <w:rPr>
                <w:rFonts w:ascii="Book Antiqua" w:hAnsi="Book Antiqua"/>
                <w:color w:val="auto"/>
                <w:lang w:val="en-GB"/>
              </w:rPr>
              <w:t>0.001</w:t>
            </w:r>
          </w:p>
          <w:p w14:paraId="7360A9A9" w14:textId="710355EB"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6-mo restenosis: SES 16% </w:t>
            </w:r>
            <w:r w:rsidR="002B5C16" w:rsidRPr="002B5C16">
              <w:rPr>
                <w:rFonts w:ascii="Book Antiqua" w:hAnsi="Book Antiqua"/>
                <w:i/>
                <w:color w:val="auto"/>
                <w:lang w:val="en-GB"/>
              </w:rPr>
              <w:t>vs</w:t>
            </w:r>
            <w:r w:rsidRPr="00411A55">
              <w:rPr>
                <w:rFonts w:ascii="Book Antiqua" w:hAnsi="Book Antiqua"/>
                <w:color w:val="auto"/>
                <w:lang w:val="en-GB"/>
              </w:rPr>
              <w:t xml:space="preserve"> BMS 76%; </w:t>
            </w:r>
            <w:r w:rsidR="000F08DA" w:rsidRPr="000F08DA">
              <w:rPr>
                <w:rFonts w:ascii="Book Antiqua" w:hAnsi="Book Antiqua"/>
                <w:i/>
                <w:color w:val="auto"/>
                <w:lang w:val="en-GB"/>
              </w:rPr>
              <w:t>P</w:t>
            </w:r>
            <w:r w:rsidR="000F08DA">
              <w:rPr>
                <w:rFonts w:ascii="Book Antiqua" w:eastAsia="宋体" w:hAnsi="Book Antiqua" w:hint="eastAsia"/>
                <w:color w:val="auto"/>
                <w:lang w:val="en-GB" w:eastAsia="zh-CN"/>
              </w:rPr>
              <w:t xml:space="preserve"> </w:t>
            </w:r>
            <w:r w:rsidRPr="00411A55">
              <w:rPr>
                <w:rFonts w:ascii="Book Antiqua" w:hAnsi="Book Antiqua"/>
                <w:color w:val="auto"/>
                <w:lang w:val="en-GB"/>
              </w:rPr>
              <w:t>&lt; 0.001</w:t>
            </w:r>
          </w:p>
          <w:p w14:paraId="5E599F1F" w14:textId="7D31B3ED"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6-mo TLR: SES 12% </w:t>
            </w:r>
            <w:r w:rsidRPr="000F08DA">
              <w:rPr>
                <w:rFonts w:ascii="Book Antiqua" w:hAnsi="Book Antiqua"/>
                <w:i/>
                <w:color w:val="auto"/>
                <w:lang w:val="en-GB"/>
              </w:rPr>
              <w:t>vs</w:t>
            </w:r>
            <w:r w:rsidRPr="00411A55">
              <w:rPr>
                <w:rFonts w:ascii="Book Antiqua" w:hAnsi="Book Antiqua"/>
                <w:color w:val="auto"/>
                <w:lang w:val="en-GB"/>
              </w:rPr>
              <w:t xml:space="preserve"> BMS.14 56%;</w:t>
            </w:r>
            <w:r w:rsidR="000F08DA">
              <w:rPr>
                <w:rFonts w:ascii="Book Antiqua" w:hAnsi="Book Antiqua"/>
                <w:color w:val="auto"/>
                <w:lang w:val="en-GB"/>
              </w:rPr>
              <w:t xml:space="preserve"> </w:t>
            </w:r>
            <w:r w:rsidR="000F08DA" w:rsidRPr="000F08DA">
              <w:rPr>
                <w:rFonts w:ascii="Book Antiqua" w:hAnsi="Book Antiqua"/>
                <w:i/>
                <w:color w:val="auto"/>
                <w:lang w:val="en-GB"/>
              </w:rPr>
              <w:t>P</w:t>
            </w:r>
            <w:r w:rsidR="000F08DA" w:rsidRPr="00411A55">
              <w:rPr>
                <w:rFonts w:ascii="Book Antiqua" w:hAnsi="Book Antiqua"/>
                <w:color w:val="auto"/>
                <w:lang w:val="en-GB"/>
              </w:rPr>
              <w:t xml:space="preserve"> </w:t>
            </w:r>
            <w:r w:rsidRPr="00411A55">
              <w:rPr>
                <w:rFonts w:ascii="Book Antiqua" w:hAnsi="Book Antiqua"/>
                <w:color w:val="auto"/>
                <w:lang w:val="en-GB"/>
              </w:rPr>
              <w:t>&lt;</w:t>
            </w:r>
            <w:r w:rsidR="000F08DA">
              <w:rPr>
                <w:rFonts w:ascii="Book Antiqua" w:eastAsia="宋体" w:hAnsi="Book Antiqua" w:hint="eastAsia"/>
                <w:color w:val="auto"/>
                <w:lang w:val="en-GB" w:eastAsia="zh-CN"/>
              </w:rPr>
              <w:t xml:space="preserve"> </w:t>
            </w:r>
            <w:r w:rsidRPr="00411A55">
              <w:rPr>
                <w:rFonts w:ascii="Book Antiqua" w:hAnsi="Book Antiqua"/>
                <w:color w:val="auto"/>
                <w:lang w:val="en-GB"/>
              </w:rPr>
              <w:t>0.05</w:t>
            </w:r>
          </w:p>
        </w:tc>
      </w:tr>
      <w:tr w:rsidR="00411A55" w:rsidRPr="00411A55" w14:paraId="59B4D166" w14:textId="77777777" w:rsidTr="00310E45">
        <w:trPr>
          <w:cantSplit/>
          <w:trHeight w:val="980"/>
        </w:trPr>
        <w:tc>
          <w:tcPr>
            <w:tcW w:w="396" w:type="dxa"/>
            <w:vMerge/>
            <w:shd w:val="clear" w:color="auto" w:fill="auto"/>
            <w:tcMar>
              <w:top w:w="0" w:type="dxa"/>
              <w:left w:w="113" w:type="dxa"/>
              <w:bottom w:w="0" w:type="dxa"/>
              <w:right w:w="113" w:type="dxa"/>
            </w:tcMar>
            <w:vAlign w:val="center"/>
          </w:tcPr>
          <w:p w14:paraId="6934AF0C" w14:textId="77777777" w:rsidR="00110C9A" w:rsidRPr="00411A55" w:rsidRDefault="00110C9A" w:rsidP="003B6EBC">
            <w:pPr>
              <w:snapToGrid w:val="0"/>
              <w:spacing w:line="360" w:lineRule="auto"/>
              <w:jc w:val="both"/>
              <w:rPr>
                <w:rFonts w:ascii="Book Antiqua" w:hAnsi="Book Antiqua"/>
                <w:color w:val="auto"/>
              </w:rPr>
            </w:pPr>
          </w:p>
        </w:tc>
        <w:tc>
          <w:tcPr>
            <w:tcW w:w="1451" w:type="dxa"/>
            <w:shd w:val="clear" w:color="auto" w:fill="auto"/>
            <w:tcMar>
              <w:top w:w="0" w:type="dxa"/>
              <w:left w:w="0" w:type="dxa"/>
              <w:bottom w:w="0" w:type="dxa"/>
              <w:right w:w="0" w:type="dxa"/>
            </w:tcMar>
            <w:vAlign w:val="center"/>
          </w:tcPr>
          <w:p w14:paraId="252C438A" w14:textId="39E1761E" w:rsidR="00110C9A" w:rsidRPr="00411A55" w:rsidRDefault="00110C9A" w:rsidP="003B6EBC">
            <w:pPr>
              <w:snapToGrid w:val="0"/>
              <w:spacing w:line="360" w:lineRule="auto"/>
              <w:jc w:val="both"/>
              <w:rPr>
                <w:rFonts w:ascii="Book Antiqua" w:hAnsi="Book Antiqua"/>
                <w:color w:val="auto"/>
                <w:vertAlign w:val="superscript"/>
                <w:lang w:val="en-GB"/>
              </w:rPr>
            </w:pPr>
            <w:r w:rsidRPr="00411A55">
              <w:rPr>
                <w:rFonts w:ascii="Book Antiqua" w:hAnsi="Book Antiqua"/>
                <w:color w:val="auto"/>
                <w:lang w:val="en-GB"/>
              </w:rPr>
              <w:t>A</w:t>
            </w:r>
            <w:r w:rsidR="000F08DA" w:rsidRPr="00411A55">
              <w:rPr>
                <w:rFonts w:ascii="Book Antiqua" w:hAnsi="Book Antiqua"/>
                <w:color w:val="auto"/>
                <w:lang w:val="en-GB"/>
              </w:rPr>
              <w:t xml:space="preserve">CHILLES </w:t>
            </w:r>
            <w:r w:rsidRPr="00411A55">
              <w:rPr>
                <w:rFonts w:ascii="Book Antiqua" w:hAnsi="Book Antiqua"/>
                <w:color w:val="auto"/>
                <w:lang w:val="en-GB"/>
              </w:rPr>
              <w:t>Scheinert</w:t>
            </w:r>
            <w:r w:rsidR="000F08DA">
              <w:rPr>
                <w:rFonts w:ascii="Book Antiqua" w:hAnsi="Book Antiqua"/>
                <w:color w:val="auto"/>
                <w:lang w:val="en-GB"/>
              </w:rPr>
              <w:t xml:space="preserve"> </w:t>
            </w:r>
            <w:r w:rsidR="00310E45" w:rsidRPr="00310E45">
              <w:rPr>
                <w:rFonts w:ascii="Book Antiqua" w:hAnsi="Book Antiqua"/>
                <w:i/>
                <w:color w:val="auto"/>
                <w:lang w:val="en-GB"/>
              </w:rPr>
              <w:t>et al</w:t>
            </w:r>
            <w:r w:rsidR="00310E45" w:rsidRPr="00411A55">
              <w:rPr>
                <w:rFonts w:ascii="Book Antiqua" w:hAnsi="Book Antiqua"/>
                <w:color w:val="auto"/>
                <w:vertAlign w:val="superscript"/>
                <w:lang w:val="en-GB"/>
              </w:rPr>
              <w:t>[2</w:t>
            </w:r>
            <w:r w:rsidR="00310E45">
              <w:rPr>
                <w:rFonts w:ascii="Book Antiqua" w:eastAsia="宋体" w:hAnsi="Book Antiqua" w:hint="eastAsia"/>
                <w:color w:val="auto"/>
                <w:vertAlign w:val="superscript"/>
                <w:lang w:val="en-GB" w:eastAsia="zh-CN"/>
              </w:rPr>
              <w:t>8</w:t>
            </w:r>
            <w:r w:rsidR="00310E45" w:rsidRPr="00411A55">
              <w:rPr>
                <w:rFonts w:ascii="Book Antiqua" w:hAnsi="Book Antiqua"/>
                <w:color w:val="auto"/>
                <w:vertAlign w:val="superscript"/>
                <w:lang w:val="en-GB"/>
              </w:rPr>
              <w:t>]</w:t>
            </w:r>
            <w:r w:rsidR="00310E45">
              <w:rPr>
                <w:rFonts w:ascii="Book Antiqua" w:eastAsia="宋体" w:hAnsi="Book Antiqua" w:hint="eastAsia"/>
                <w:color w:val="auto"/>
                <w:lang w:val="en-GB" w:eastAsia="zh-CN"/>
              </w:rPr>
              <w:t>,</w:t>
            </w:r>
            <w:r w:rsidRPr="00411A55">
              <w:rPr>
                <w:rFonts w:ascii="Book Antiqua" w:hAnsi="Book Antiqua"/>
                <w:color w:val="auto"/>
                <w:lang w:val="en-GB"/>
              </w:rPr>
              <w:t xml:space="preserve"> 2012</w:t>
            </w:r>
          </w:p>
        </w:tc>
        <w:tc>
          <w:tcPr>
            <w:tcW w:w="1296" w:type="dxa"/>
            <w:shd w:val="clear" w:color="auto" w:fill="auto"/>
            <w:tcMar>
              <w:top w:w="0" w:type="dxa"/>
              <w:left w:w="0" w:type="dxa"/>
              <w:bottom w:w="0" w:type="dxa"/>
              <w:right w:w="0" w:type="dxa"/>
            </w:tcMar>
            <w:vAlign w:val="center"/>
          </w:tcPr>
          <w:p w14:paraId="2E27D95B" w14:textId="24511292" w:rsidR="00110C9A" w:rsidRPr="00411A55" w:rsidRDefault="00673A80"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Multicentre</w:t>
            </w:r>
          </w:p>
          <w:p w14:paraId="49CA31D4" w14:textId="2756ED4B"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PTA</w:t>
            </w:r>
            <w:r w:rsidR="000F08DA">
              <w:rPr>
                <w:rFonts w:ascii="Book Antiqua" w:hAnsi="Book Antiqua"/>
                <w:color w:val="auto"/>
                <w:lang w:val="en-GB"/>
              </w:rPr>
              <w:t xml:space="preserve"> </w:t>
            </w:r>
            <w:r w:rsidR="00310E45" w:rsidRPr="00310E45">
              <w:rPr>
                <w:rFonts w:ascii="Book Antiqua" w:hAnsi="Book Antiqua"/>
                <w:i/>
                <w:color w:val="auto"/>
                <w:lang w:val="en-GB"/>
              </w:rPr>
              <w:t>vs</w:t>
            </w:r>
            <w:r w:rsidR="000F08DA">
              <w:rPr>
                <w:rFonts w:ascii="Book Antiqua" w:hAnsi="Book Antiqua"/>
                <w:color w:val="auto"/>
                <w:lang w:val="en-GB"/>
              </w:rPr>
              <w:t xml:space="preserve"> </w:t>
            </w:r>
            <w:r w:rsidRPr="00411A55">
              <w:rPr>
                <w:rFonts w:ascii="Book Antiqua" w:hAnsi="Book Antiqua"/>
                <w:color w:val="auto"/>
                <w:lang w:val="en-GB"/>
              </w:rPr>
              <w:t>SES</w:t>
            </w:r>
          </w:p>
        </w:tc>
        <w:tc>
          <w:tcPr>
            <w:tcW w:w="1077" w:type="dxa"/>
            <w:shd w:val="clear" w:color="auto" w:fill="auto"/>
            <w:tcMar>
              <w:top w:w="0" w:type="dxa"/>
              <w:left w:w="0" w:type="dxa"/>
              <w:bottom w:w="0" w:type="dxa"/>
              <w:right w:w="0" w:type="dxa"/>
            </w:tcMar>
            <w:vAlign w:val="center"/>
          </w:tcPr>
          <w:p w14:paraId="6CE66D93"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200 patients</w:t>
            </w:r>
          </w:p>
          <w:p w14:paraId="5F069F41"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(101 </w:t>
            </w:r>
            <w:r w:rsidRPr="00310E45">
              <w:rPr>
                <w:rFonts w:ascii="Book Antiqua" w:hAnsi="Book Antiqua"/>
                <w:i/>
                <w:color w:val="auto"/>
                <w:lang w:val="en-GB"/>
              </w:rPr>
              <w:t>vs</w:t>
            </w:r>
            <w:r w:rsidRPr="00411A55">
              <w:rPr>
                <w:rFonts w:ascii="Book Antiqua" w:hAnsi="Book Antiqua"/>
                <w:color w:val="auto"/>
                <w:lang w:val="en-GB"/>
              </w:rPr>
              <w:t xml:space="preserve"> 99)</w:t>
            </w:r>
          </w:p>
        </w:tc>
        <w:tc>
          <w:tcPr>
            <w:tcW w:w="1031" w:type="dxa"/>
            <w:shd w:val="clear" w:color="auto" w:fill="auto"/>
            <w:tcMar>
              <w:top w:w="0" w:type="dxa"/>
              <w:left w:w="0" w:type="dxa"/>
              <w:bottom w:w="0" w:type="dxa"/>
              <w:right w:w="0" w:type="dxa"/>
            </w:tcMar>
            <w:vAlign w:val="center"/>
          </w:tcPr>
          <w:p w14:paraId="1C186E63" w14:textId="6959AED3"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1</w:t>
            </w:r>
            <w:r w:rsidR="000F08DA">
              <w:rPr>
                <w:rFonts w:ascii="Book Antiqua" w:hAnsi="Book Antiqua"/>
                <w:color w:val="auto"/>
                <w:lang w:val="en-GB"/>
              </w:rPr>
              <w:t xml:space="preserve"> </w:t>
            </w:r>
            <w:r w:rsidR="00310E45">
              <w:rPr>
                <w:rFonts w:ascii="Book Antiqua" w:hAnsi="Book Antiqua"/>
                <w:color w:val="auto"/>
                <w:lang w:val="en-GB"/>
              </w:rPr>
              <w:t>y</w:t>
            </w:r>
            <w:r w:rsidR="00310E45" w:rsidRPr="00411A55">
              <w:rPr>
                <w:rFonts w:ascii="Book Antiqua" w:hAnsi="Book Antiqua"/>
                <w:color w:val="auto"/>
                <w:lang w:val="en-GB"/>
              </w:rPr>
              <w:t>r</w:t>
            </w:r>
          </w:p>
        </w:tc>
        <w:tc>
          <w:tcPr>
            <w:tcW w:w="816" w:type="dxa"/>
            <w:shd w:val="clear" w:color="auto" w:fill="auto"/>
            <w:tcMar>
              <w:top w:w="0" w:type="dxa"/>
              <w:left w:w="0" w:type="dxa"/>
              <w:bottom w:w="0" w:type="dxa"/>
              <w:right w:w="0" w:type="dxa"/>
            </w:tcMar>
            <w:vAlign w:val="center"/>
          </w:tcPr>
          <w:p w14:paraId="704F8369"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39% </w:t>
            </w:r>
          </w:p>
        </w:tc>
        <w:tc>
          <w:tcPr>
            <w:tcW w:w="1423" w:type="dxa"/>
            <w:shd w:val="clear" w:color="auto" w:fill="auto"/>
            <w:tcMar>
              <w:top w:w="0" w:type="dxa"/>
              <w:left w:w="0" w:type="dxa"/>
              <w:bottom w:w="0" w:type="dxa"/>
              <w:right w:w="0" w:type="dxa"/>
            </w:tcMar>
            <w:vAlign w:val="center"/>
          </w:tcPr>
          <w:p w14:paraId="35713CDF"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both</w:t>
            </w:r>
          </w:p>
          <w:p w14:paraId="5438F5E0" w14:textId="46986913"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2.7</w:t>
            </w:r>
            <w:r w:rsidR="000F08DA">
              <w:rPr>
                <w:rFonts w:ascii="Book Antiqua" w:hAnsi="Book Antiqua"/>
                <w:color w:val="auto"/>
                <w:lang w:val="en-GB"/>
              </w:rPr>
              <w:t xml:space="preserve"> ± </w:t>
            </w:r>
            <w:r w:rsidRPr="00411A55">
              <w:rPr>
                <w:rFonts w:ascii="Book Antiqua" w:hAnsi="Book Antiqua"/>
                <w:color w:val="auto"/>
                <w:lang w:val="en-GB"/>
              </w:rPr>
              <w:t>2.1</w:t>
            </w:r>
          </w:p>
        </w:tc>
        <w:tc>
          <w:tcPr>
            <w:tcW w:w="2142" w:type="dxa"/>
            <w:shd w:val="clear" w:color="auto" w:fill="auto"/>
            <w:tcMar>
              <w:top w:w="0" w:type="dxa"/>
              <w:left w:w="0" w:type="dxa"/>
              <w:bottom w:w="0" w:type="dxa"/>
              <w:right w:w="0" w:type="dxa"/>
            </w:tcMar>
            <w:vAlign w:val="center"/>
          </w:tcPr>
          <w:p w14:paraId="283D7B6D" w14:textId="58748A34" w:rsidR="00110C9A" w:rsidRPr="00411A55" w:rsidRDefault="000F08DA" w:rsidP="003B6EBC">
            <w:pPr>
              <w:snapToGrid w:val="0"/>
              <w:spacing w:line="360" w:lineRule="auto"/>
              <w:jc w:val="both"/>
              <w:rPr>
                <w:rFonts w:ascii="Book Antiqua" w:hAnsi="Book Antiqua"/>
                <w:color w:val="auto"/>
                <w:lang w:val="en-GB"/>
              </w:rPr>
            </w:pPr>
            <w:r>
              <w:rPr>
                <w:rFonts w:ascii="Book Antiqua" w:hAnsi="Book Antiqua"/>
                <w:color w:val="auto"/>
                <w:lang w:val="en-GB"/>
              </w:rPr>
              <w:t>1-y</w:t>
            </w:r>
            <w:r w:rsidR="00110C9A" w:rsidRPr="00411A55">
              <w:rPr>
                <w:rFonts w:ascii="Book Antiqua" w:hAnsi="Book Antiqua"/>
                <w:color w:val="auto"/>
                <w:lang w:val="en-GB"/>
              </w:rPr>
              <w:t xml:space="preserve">r in-segment binary restenosis by quantitative angiography: SES 22.4% </w:t>
            </w:r>
            <w:r w:rsidR="002B5C16" w:rsidRPr="002B5C16">
              <w:rPr>
                <w:rFonts w:ascii="Book Antiqua" w:hAnsi="Book Antiqua"/>
                <w:i/>
                <w:color w:val="auto"/>
                <w:lang w:val="en-GB"/>
              </w:rPr>
              <w:t>vs</w:t>
            </w:r>
            <w:r w:rsidR="00110C9A" w:rsidRPr="00411A55">
              <w:rPr>
                <w:rFonts w:ascii="Book Antiqua" w:hAnsi="Book Antiqua"/>
                <w:color w:val="auto"/>
                <w:lang w:val="en-GB"/>
              </w:rPr>
              <w:t xml:space="preserve"> PTA 41.9%,</w:t>
            </w:r>
            <w:r>
              <w:rPr>
                <w:rFonts w:ascii="Book Antiqua" w:hAnsi="Book Antiqua"/>
                <w:color w:val="auto"/>
                <w:lang w:val="en-GB"/>
              </w:rPr>
              <w:t xml:space="preserve"> </w:t>
            </w:r>
            <w:r w:rsidRPr="000F08DA">
              <w:rPr>
                <w:rFonts w:ascii="Book Antiqua" w:hAnsi="Book Antiqua"/>
                <w:i/>
                <w:color w:val="auto"/>
                <w:lang w:val="en-GB"/>
              </w:rPr>
              <w:t>P</w:t>
            </w:r>
            <w:r w:rsidRPr="00411A55">
              <w:rPr>
                <w:rFonts w:ascii="Book Antiqua" w:hAnsi="Book Antiqua"/>
                <w:color w:val="auto"/>
                <w:lang w:val="en-GB"/>
              </w:rPr>
              <w:t xml:space="preserve"> </w:t>
            </w:r>
            <w:r w:rsidR="00110C9A" w:rsidRPr="00411A55">
              <w:rPr>
                <w:rFonts w:ascii="Book Antiqua" w:hAnsi="Book Antiqua"/>
                <w:color w:val="auto"/>
                <w:lang w:val="en-GB"/>
              </w:rPr>
              <w:t>= 0.019</w:t>
            </w:r>
          </w:p>
        </w:tc>
      </w:tr>
      <w:tr w:rsidR="00411A55" w:rsidRPr="00411A55" w14:paraId="49B646E5" w14:textId="77777777" w:rsidTr="00310E45">
        <w:trPr>
          <w:cantSplit/>
          <w:trHeight w:val="700"/>
        </w:trPr>
        <w:tc>
          <w:tcPr>
            <w:tcW w:w="396" w:type="dxa"/>
            <w:vMerge/>
            <w:shd w:val="clear" w:color="auto" w:fill="auto"/>
            <w:tcMar>
              <w:top w:w="0" w:type="dxa"/>
              <w:left w:w="113" w:type="dxa"/>
              <w:bottom w:w="0" w:type="dxa"/>
              <w:right w:w="113" w:type="dxa"/>
            </w:tcMar>
            <w:vAlign w:val="center"/>
          </w:tcPr>
          <w:p w14:paraId="08D216DE" w14:textId="77777777" w:rsidR="00110C9A" w:rsidRPr="00411A55" w:rsidRDefault="00110C9A" w:rsidP="003B6EBC">
            <w:pPr>
              <w:snapToGrid w:val="0"/>
              <w:spacing w:line="360" w:lineRule="auto"/>
              <w:jc w:val="both"/>
              <w:rPr>
                <w:rFonts w:ascii="Book Antiqua" w:hAnsi="Book Antiqua"/>
                <w:color w:val="auto"/>
              </w:rPr>
            </w:pPr>
          </w:p>
        </w:tc>
        <w:tc>
          <w:tcPr>
            <w:tcW w:w="1451" w:type="dxa"/>
            <w:shd w:val="clear" w:color="auto" w:fill="auto"/>
            <w:tcMar>
              <w:top w:w="0" w:type="dxa"/>
              <w:left w:w="0" w:type="dxa"/>
              <w:bottom w:w="0" w:type="dxa"/>
              <w:right w:w="0" w:type="dxa"/>
            </w:tcMar>
            <w:vAlign w:val="center"/>
          </w:tcPr>
          <w:p w14:paraId="7EC3E9D5" w14:textId="120AF2B3"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B</w:t>
            </w:r>
            <w:r w:rsidR="00310E45" w:rsidRPr="00411A55">
              <w:rPr>
                <w:rFonts w:ascii="Book Antiqua" w:hAnsi="Book Antiqua"/>
                <w:color w:val="auto"/>
                <w:lang w:val="en-GB"/>
              </w:rPr>
              <w:t>elow</w:t>
            </w:r>
          </w:p>
          <w:p w14:paraId="3CEE9082" w14:textId="0A53B3C3" w:rsidR="00110C9A" w:rsidRPr="00411A55" w:rsidRDefault="00110C9A" w:rsidP="003B6EBC">
            <w:pPr>
              <w:snapToGrid w:val="0"/>
              <w:spacing w:line="360" w:lineRule="auto"/>
              <w:jc w:val="both"/>
              <w:rPr>
                <w:rFonts w:ascii="Book Antiqua" w:hAnsi="Book Antiqua"/>
                <w:color w:val="auto"/>
                <w:vertAlign w:val="superscript"/>
                <w:lang w:val="en-GB"/>
              </w:rPr>
            </w:pPr>
            <w:r w:rsidRPr="00411A55">
              <w:rPr>
                <w:rFonts w:ascii="Book Antiqua" w:hAnsi="Book Antiqua"/>
                <w:color w:val="auto"/>
                <w:lang w:val="en-GB"/>
              </w:rPr>
              <w:t>Tepe</w:t>
            </w:r>
            <w:r w:rsidR="000F08DA">
              <w:rPr>
                <w:rFonts w:ascii="Book Antiqua" w:hAnsi="Book Antiqua"/>
                <w:color w:val="auto"/>
                <w:lang w:val="en-GB"/>
              </w:rPr>
              <w:t xml:space="preserve"> </w:t>
            </w:r>
            <w:r w:rsidR="000F08DA" w:rsidRPr="00310E45">
              <w:rPr>
                <w:rFonts w:ascii="Book Antiqua" w:hAnsi="Book Antiqua"/>
                <w:i/>
                <w:color w:val="auto"/>
                <w:lang w:val="en-GB"/>
              </w:rPr>
              <w:t>et al</w:t>
            </w:r>
            <w:r w:rsidR="000F08DA" w:rsidRPr="00411A55">
              <w:rPr>
                <w:rFonts w:ascii="Book Antiqua" w:hAnsi="Book Antiqua"/>
                <w:color w:val="auto"/>
                <w:vertAlign w:val="superscript"/>
                <w:lang w:val="en-GB"/>
              </w:rPr>
              <w:t>[</w:t>
            </w:r>
            <w:r w:rsidR="000F08DA">
              <w:rPr>
                <w:rFonts w:ascii="Book Antiqua" w:eastAsia="宋体" w:hAnsi="Book Antiqua" w:hint="eastAsia"/>
                <w:color w:val="auto"/>
                <w:vertAlign w:val="superscript"/>
                <w:lang w:val="en-GB" w:eastAsia="zh-CN"/>
              </w:rPr>
              <w:t>39</w:t>
            </w:r>
            <w:r w:rsidR="000F08DA" w:rsidRPr="00411A55">
              <w:rPr>
                <w:rFonts w:ascii="Book Antiqua" w:hAnsi="Book Antiqua"/>
                <w:color w:val="auto"/>
                <w:vertAlign w:val="superscript"/>
                <w:lang w:val="en-GB"/>
              </w:rPr>
              <w:t>]</w:t>
            </w:r>
            <w:r w:rsidR="000F08DA">
              <w:rPr>
                <w:rFonts w:ascii="Book Antiqua" w:eastAsia="宋体" w:hAnsi="Book Antiqua" w:hint="eastAsia"/>
                <w:color w:val="auto"/>
                <w:lang w:val="en-GB" w:eastAsia="zh-CN"/>
              </w:rPr>
              <w:t>,</w:t>
            </w:r>
            <w:r w:rsidR="000F08DA">
              <w:rPr>
                <w:rFonts w:ascii="Book Antiqua" w:hAnsi="Book Antiqua"/>
                <w:color w:val="auto"/>
                <w:lang w:val="en-GB"/>
              </w:rPr>
              <w:t xml:space="preserve"> </w:t>
            </w:r>
            <w:r w:rsidRPr="00411A55">
              <w:rPr>
                <w:rFonts w:ascii="Book Antiqua" w:hAnsi="Book Antiqua"/>
                <w:color w:val="auto"/>
                <w:lang w:val="en-GB"/>
              </w:rPr>
              <w:t>2010</w:t>
            </w:r>
          </w:p>
        </w:tc>
        <w:tc>
          <w:tcPr>
            <w:tcW w:w="1296" w:type="dxa"/>
            <w:shd w:val="clear" w:color="auto" w:fill="auto"/>
            <w:tcMar>
              <w:top w:w="0" w:type="dxa"/>
              <w:left w:w="0" w:type="dxa"/>
              <w:bottom w:w="0" w:type="dxa"/>
              <w:right w:w="0" w:type="dxa"/>
            </w:tcMar>
            <w:vAlign w:val="center"/>
          </w:tcPr>
          <w:p w14:paraId="272A9615" w14:textId="55421EBD"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Single-</w:t>
            </w:r>
            <w:r w:rsidR="00673A80" w:rsidRPr="00411A55">
              <w:rPr>
                <w:rFonts w:ascii="Book Antiqua" w:hAnsi="Book Antiqua"/>
                <w:color w:val="auto"/>
                <w:lang w:val="en-GB"/>
              </w:rPr>
              <w:t>centre</w:t>
            </w:r>
          </w:p>
          <w:p w14:paraId="27CC68B7"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SES BMS </w:t>
            </w:r>
            <w:r w:rsidRPr="00310E45">
              <w:rPr>
                <w:rFonts w:ascii="Book Antiqua" w:hAnsi="Book Antiqua"/>
                <w:i/>
                <w:color w:val="auto"/>
                <w:lang w:val="en-GB"/>
              </w:rPr>
              <w:t>vs</w:t>
            </w:r>
            <w:r w:rsidRPr="00411A55">
              <w:rPr>
                <w:rFonts w:ascii="Book Antiqua" w:hAnsi="Book Antiqua"/>
                <w:color w:val="auto"/>
                <w:lang w:val="en-GB"/>
              </w:rPr>
              <w:t xml:space="preserve"> PTA</w:t>
            </w:r>
          </w:p>
        </w:tc>
        <w:tc>
          <w:tcPr>
            <w:tcW w:w="1077" w:type="dxa"/>
            <w:shd w:val="clear" w:color="auto" w:fill="auto"/>
            <w:tcMar>
              <w:top w:w="0" w:type="dxa"/>
              <w:left w:w="0" w:type="dxa"/>
              <w:bottom w:w="0" w:type="dxa"/>
              <w:right w:w="0" w:type="dxa"/>
            </w:tcMar>
            <w:vAlign w:val="center"/>
          </w:tcPr>
          <w:p w14:paraId="67D9FA16"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63 limbs</w:t>
            </w:r>
          </w:p>
          <w:p w14:paraId="305C1461"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(4-arm trial; PTA pooled)</w:t>
            </w:r>
          </w:p>
        </w:tc>
        <w:tc>
          <w:tcPr>
            <w:tcW w:w="1031" w:type="dxa"/>
            <w:shd w:val="clear" w:color="auto" w:fill="auto"/>
            <w:tcMar>
              <w:top w:w="0" w:type="dxa"/>
              <w:left w:w="0" w:type="dxa"/>
              <w:bottom w:w="0" w:type="dxa"/>
              <w:right w:w="0" w:type="dxa"/>
            </w:tcMar>
            <w:vAlign w:val="center"/>
          </w:tcPr>
          <w:p w14:paraId="5786A6C7" w14:textId="5C5D2DE8"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6 mo</w:t>
            </w:r>
          </w:p>
        </w:tc>
        <w:tc>
          <w:tcPr>
            <w:tcW w:w="816" w:type="dxa"/>
            <w:shd w:val="clear" w:color="auto" w:fill="auto"/>
            <w:tcMar>
              <w:top w:w="0" w:type="dxa"/>
              <w:left w:w="0" w:type="dxa"/>
              <w:bottom w:w="0" w:type="dxa"/>
              <w:right w:w="0" w:type="dxa"/>
            </w:tcMar>
            <w:vAlign w:val="center"/>
          </w:tcPr>
          <w:p w14:paraId="63B8FC74"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100% </w:t>
            </w:r>
          </w:p>
        </w:tc>
        <w:tc>
          <w:tcPr>
            <w:tcW w:w="1423" w:type="dxa"/>
            <w:shd w:val="clear" w:color="auto" w:fill="auto"/>
            <w:tcMar>
              <w:top w:w="0" w:type="dxa"/>
              <w:left w:w="0" w:type="dxa"/>
              <w:bottom w:w="0" w:type="dxa"/>
              <w:right w:w="0" w:type="dxa"/>
            </w:tcMar>
            <w:vAlign w:val="center"/>
          </w:tcPr>
          <w:p w14:paraId="4AB9D804" w14:textId="0CE5F7CE"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3.4</w:t>
            </w:r>
            <w:r w:rsidR="000F08DA">
              <w:rPr>
                <w:rFonts w:ascii="Book Antiqua" w:hAnsi="Book Antiqua"/>
                <w:color w:val="auto"/>
                <w:lang w:val="en-GB"/>
              </w:rPr>
              <w:t xml:space="preserve"> ± </w:t>
            </w:r>
            <w:r w:rsidRPr="00411A55">
              <w:rPr>
                <w:rFonts w:ascii="Book Antiqua" w:hAnsi="Book Antiqua"/>
                <w:color w:val="auto"/>
                <w:lang w:val="en-GB"/>
              </w:rPr>
              <w:t>0.3</w:t>
            </w:r>
          </w:p>
        </w:tc>
        <w:tc>
          <w:tcPr>
            <w:tcW w:w="2142" w:type="dxa"/>
            <w:shd w:val="clear" w:color="auto" w:fill="auto"/>
            <w:tcMar>
              <w:top w:w="0" w:type="dxa"/>
              <w:left w:w="0" w:type="dxa"/>
              <w:bottom w:w="0" w:type="dxa"/>
              <w:right w:w="0" w:type="dxa"/>
            </w:tcMar>
            <w:vAlign w:val="center"/>
          </w:tcPr>
          <w:p w14:paraId="56A0DE2E" w14:textId="452B9CA2"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6-mo</w:t>
            </w:r>
            <w:r w:rsidR="000F08DA">
              <w:rPr>
                <w:rFonts w:ascii="Book Antiqua" w:eastAsia="宋体" w:hAnsi="Book Antiqua" w:hint="eastAsia"/>
                <w:color w:val="auto"/>
                <w:lang w:val="en-GB" w:eastAsia="zh-CN"/>
              </w:rPr>
              <w:t xml:space="preserve"> </w:t>
            </w:r>
            <w:r w:rsidRPr="00411A55">
              <w:rPr>
                <w:rFonts w:ascii="Book Antiqua" w:hAnsi="Book Antiqua"/>
                <w:color w:val="auto"/>
                <w:lang w:val="en-GB"/>
              </w:rPr>
              <w:t>restenosis:</w:t>
            </w:r>
          </w:p>
          <w:p w14:paraId="7478648C"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SES 9%, BMS 67% and PTA 75% </w:t>
            </w:r>
          </w:p>
        </w:tc>
      </w:tr>
      <w:tr w:rsidR="00411A55" w:rsidRPr="00411A55" w14:paraId="0CE38B71" w14:textId="77777777" w:rsidTr="00310E45">
        <w:trPr>
          <w:cantSplit/>
          <w:trHeight w:val="980"/>
        </w:trPr>
        <w:tc>
          <w:tcPr>
            <w:tcW w:w="396" w:type="dxa"/>
            <w:vMerge/>
            <w:shd w:val="clear" w:color="auto" w:fill="auto"/>
            <w:tcMar>
              <w:top w:w="0" w:type="dxa"/>
              <w:left w:w="113" w:type="dxa"/>
              <w:bottom w:w="0" w:type="dxa"/>
              <w:right w:w="113" w:type="dxa"/>
            </w:tcMar>
            <w:vAlign w:val="center"/>
          </w:tcPr>
          <w:p w14:paraId="70CA98BA" w14:textId="77777777" w:rsidR="00110C9A" w:rsidRPr="00411A55" w:rsidRDefault="00110C9A" w:rsidP="003B6EBC">
            <w:pPr>
              <w:snapToGrid w:val="0"/>
              <w:spacing w:line="360" w:lineRule="auto"/>
              <w:jc w:val="both"/>
              <w:rPr>
                <w:rFonts w:ascii="Book Antiqua" w:hAnsi="Book Antiqua"/>
                <w:color w:val="auto"/>
              </w:rPr>
            </w:pPr>
          </w:p>
        </w:tc>
        <w:tc>
          <w:tcPr>
            <w:tcW w:w="1451" w:type="dxa"/>
            <w:shd w:val="clear" w:color="auto" w:fill="auto"/>
            <w:tcMar>
              <w:top w:w="0" w:type="dxa"/>
              <w:left w:w="0" w:type="dxa"/>
              <w:bottom w:w="0" w:type="dxa"/>
              <w:right w:w="0" w:type="dxa"/>
            </w:tcMar>
            <w:vAlign w:val="center"/>
          </w:tcPr>
          <w:p w14:paraId="27521A19" w14:textId="05ECAF25" w:rsidR="00110C9A" w:rsidRPr="00411A55" w:rsidRDefault="00110C9A" w:rsidP="003B6EBC">
            <w:pPr>
              <w:snapToGrid w:val="0"/>
              <w:spacing w:line="360" w:lineRule="auto"/>
              <w:jc w:val="both"/>
              <w:rPr>
                <w:rFonts w:ascii="Book Antiqua" w:hAnsi="Book Antiqua"/>
                <w:color w:val="auto"/>
                <w:vertAlign w:val="superscript"/>
                <w:lang w:val="en-GB"/>
              </w:rPr>
            </w:pPr>
            <w:r w:rsidRPr="00411A55">
              <w:rPr>
                <w:rFonts w:ascii="Book Antiqua" w:hAnsi="Book Antiqua"/>
                <w:color w:val="auto"/>
                <w:lang w:val="en-GB"/>
              </w:rPr>
              <w:t>Y</w:t>
            </w:r>
            <w:r w:rsidR="000F08DA" w:rsidRPr="00411A55">
              <w:rPr>
                <w:rFonts w:ascii="Book Antiqua" w:hAnsi="Book Antiqua"/>
                <w:color w:val="auto"/>
                <w:lang w:val="en-GB"/>
              </w:rPr>
              <w:t>UKON</w:t>
            </w:r>
            <w:r w:rsidRPr="00411A55">
              <w:rPr>
                <w:rFonts w:ascii="Book Antiqua" w:hAnsi="Book Antiqua"/>
                <w:color w:val="auto"/>
                <w:lang w:val="en-GB"/>
              </w:rPr>
              <w:t>-BTX Rastan</w:t>
            </w:r>
            <w:r w:rsidR="000F08DA">
              <w:rPr>
                <w:rFonts w:ascii="Book Antiqua" w:hAnsi="Book Antiqua"/>
                <w:color w:val="auto"/>
                <w:lang w:val="en-GB"/>
              </w:rPr>
              <w:t xml:space="preserve"> </w:t>
            </w:r>
            <w:r w:rsidR="000F08DA" w:rsidRPr="00310E45">
              <w:rPr>
                <w:rFonts w:ascii="Book Antiqua" w:hAnsi="Book Antiqua"/>
                <w:i/>
                <w:color w:val="auto"/>
                <w:lang w:val="en-GB"/>
              </w:rPr>
              <w:t>et al</w:t>
            </w:r>
            <w:r w:rsidR="000F08DA" w:rsidRPr="00411A55">
              <w:rPr>
                <w:rFonts w:ascii="Book Antiqua" w:hAnsi="Book Antiqua"/>
                <w:color w:val="auto"/>
                <w:vertAlign w:val="superscript"/>
                <w:lang w:val="en-GB"/>
              </w:rPr>
              <w:t>[2</w:t>
            </w:r>
            <w:r w:rsidR="000F08DA">
              <w:rPr>
                <w:rFonts w:ascii="Book Antiqua" w:eastAsia="宋体" w:hAnsi="Book Antiqua" w:hint="eastAsia"/>
                <w:color w:val="auto"/>
                <w:vertAlign w:val="superscript"/>
                <w:lang w:val="en-GB" w:eastAsia="zh-CN"/>
              </w:rPr>
              <w:t>6</w:t>
            </w:r>
            <w:r w:rsidR="000F08DA" w:rsidRPr="00411A55">
              <w:rPr>
                <w:rFonts w:ascii="Book Antiqua" w:hAnsi="Book Antiqua"/>
                <w:color w:val="auto"/>
                <w:vertAlign w:val="superscript"/>
                <w:lang w:val="en-GB"/>
              </w:rPr>
              <w:t>]</w:t>
            </w:r>
            <w:r w:rsidR="000F08DA">
              <w:rPr>
                <w:rFonts w:ascii="Book Antiqua" w:eastAsia="宋体" w:hAnsi="Book Antiqua" w:hint="eastAsia"/>
                <w:color w:val="auto"/>
                <w:lang w:val="en-GB" w:eastAsia="zh-CN"/>
              </w:rPr>
              <w:t>,</w:t>
            </w:r>
            <w:r w:rsidR="000F08DA" w:rsidRPr="00411A55">
              <w:rPr>
                <w:rFonts w:ascii="Book Antiqua" w:hAnsi="Book Antiqua"/>
                <w:color w:val="auto"/>
                <w:lang w:val="en-GB"/>
              </w:rPr>
              <w:t xml:space="preserve"> </w:t>
            </w:r>
            <w:r w:rsidRPr="00411A55">
              <w:rPr>
                <w:rFonts w:ascii="Book Antiqua" w:hAnsi="Book Antiqua"/>
                <w:color w:val="auto"/>
                <w:lang w:val="en-GB"/>
              </w:rPr>
              <w:t>2012</w:t>
            </w:r>
          </w:p>
        </w:tc>
        <w:tc>
          <w:tcPr>
            <w:tcW w:w="1296" w:type="dxa"/>
            <w:shd w:val="clear" w:color="auto" w:fill="auto"/>
            <w:tcMar>
              <w:top w:w="0" w:type="dxa"/>
              <w:left w:w="0" w:type="dxa"/>
              <w:bottom w:w="0" w:type="dxa"/>
              <w:right w:w="0" w:type="dxa"/>
            </w:tcMar>
            <w:vAlign w:val="center"/>
          </w:tcPr>
          <w:p w14:paraId="13BFF4BF" w14:textId="64A21F3C" w:rsidR="00110C9A" w:rsidRPr="00411A55" w:rsidRDefault="00673A80"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Multicentre</w:t>
            </w:r>
          </w:p>
          <w:p w14:paraId="461CF7B0"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BMS vs non-polymer</w:t>
            </w:r>
          </w:p>
          <w:p w14:paraId="6056EC88"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SES</w:t>
            </w:r>
          </w:p>
        </w:tc>
        <w:tc>
          <w:tcPr>
            <w:tcW w:w="1077" w:type="dxa"/>
            <w:shd w:val="clear" w:color="auto" w:fill="auto"/>
            <w:tcMar>
              <w:top w:w="0" w:type="dxa"/>
              <w:left w:w="0" w:type="dxa"/>
              <w:bottom w:w="0" w:type="dxa"/>
              <w:right w:w="0" w:type="dxa"/>
            </w:tcMar>
            <w:vAlign w:val="center"/>
          </w:tcPr>
          <w:p w14:paraId="01BD1632"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161 patients</w:t>
            </w:r>
          </w:p>
          <w:p w14:paraId="4E092825"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(79 </w:t>
            </w:r>
            <w:r w:rsidRPr="00310E45">
              <w:rPr>
                <w:rFonts w:ascii="Book Antiqua" w:hAnsi="Book Antiqua"/>
                <w:i/>
                <w:color w:val="auto"/>
                <w:lang w:val="en-GB"/>
              </w:rPr>
              <w:t>vs</w:t>
            </w:r>
            <w:r w:rsidRPr="00411A55">
              <w:rPr>
                <w:rFonts w:ascii="Book Antiqua" w:hAnsi="Book Antiqua"/>
                <w:color w:val="auto"/>
                <w:lang w:val="en-GB"/>
              </w:rPr>
              <w:t xml:space="preserve"> 82)</w:t>
            </w:r>
          </w:p>
        </w:tc>
        <w:tc>
          <w:tcPr>
            <w:tcW w:w="1031" w:type="dxa"/>
            <w:shd w:val="clear" w:color="auto" w:fill="auto"/>
            <w:tcMar>
              <w:top w:w="0" w:type="dxa"/>
              <w:left w:w="0" w:type="dxa"/>
              <w:bottom w:w="0" w:type="dxa"/>
              <w:right w:w="0" w:type="dxa"/>
            </w:tcMar>
            <w:vAlign w:val="center"/>
          </w:tcPr>
          <w:p w14:paraId="5056052F" w14:textId="3AB60CF5"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3</w:t>
            </w:r>
            <w:r w:rsidR="000F08DA">
              <w:rPr>
                <w:rFonts w:ascii="Book Antiqua" w:hAnsi="Book Antiqua"/>
                <w:color w:val="auto"/>
                <w:lang w:val="en-GB"/>
              </w:rPr>
              <w:t xml:space="preserve"> </w:t>
            </w:r>
            <w:r w:rsidR="00310E45">
              <w:rPr>
                <w:rFonts w:ascii="Book Antiqua" w:hAnsi="Book Antiqua"/>
                <w:color w:val="auto"/>
                <w:lang w:val="en-GB"/>
              </w:rPr>
              <w:t>y</w:t>
            </w:r>
            <w:r w:rsidR="00310E45" w:rsidRPr="00411A55">
              <w:rPr>
                <w:rFonts w:ascii="Book Antiqua" w:hAnsi="Book Antiqua"/>
                <w:color w:val="auto"/>
                <w:lang w:val="en-GB"/>
              </w:rPr>
              <w:t>r</w:t>
            </w:r>
          </w:p>
        </w:tc>
        <w:tc>
          <w:tcPr>
            <w:tcW w:w="816" w:type="dxa"/>
            <w:shd w:val="clear" w:color="auto" w:fill="auto"/>
            <w:tcMar>
              <w:top w:w="0" w:type="dxa"/>
              <w:left w:w="0" w:type="dxa"/>
              <w:bottom w:w="0" w:type="dxa"/>
              <w:right w:w="0" w:type="dxa"/>
            </w:tcMar>
            <w:vAlign w:val="center"/>
          </w:tcPr>
          <w:p w14:paraId="0F11C294"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46.6% </w:t>
            </w:r>
          </w:p>
        </w:tc>
        <w:tc>
          <w:tcPr>
            <w:tcW w:w="1423" w:type="dxa"/>
            <w:shd w:val="clear" w:color="auto" w:fill="auto"/>
            <w:tcMar>
              <w:top w:w="0" w:type="dxa"/>
              <w:left w:w="0" w:type="dxa"/>
              <w:bottom w:w="0" w:type="dxa"/>
              <w:right w:w="0" w:type="dxa"/>
            </w:tcMar>
            <w:vAlign w:val="center"/>
          </w:tcPr>
          <w:p w14:paraId="37626DD3" w14:textId="22AB05ED"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3.1</w:t>
            </w:r>
            <w:r w:rsidR="000F08DA">
              <w:rPr>
                <w:rFonts w:ascii="Book Antiqua" w:hAnsi="Book Antiqua"/>
                <w:color w:val="auto"/>
                <w:lang w:val="en-GB"/>
              </w:rPr>
              <w:t xml:space="preserve"> ± </w:t>
            </w:r>
            <w:r w:rsidRPr="00411A55">
              <w:rPr>
                <w:rFonts w:ascii="Book Antiqua" w:hAnsi="Book Antiqua"/>
                <w:color w:val="auto"/>
                <w:lang w:val="en-GB"/>
              </w:rPr>
              <w:t>0.9</w:t>
            </w:r>
          </w:p>
        </w:tc>
        <w:tc>
          <w:tcPr>
            <w:tcW w:w="2142" w:type="dxa"/>
            <w:shd w:val="clear" w:color="auto" w:fill="auto"/>
            <w:tcMar>
              <w:top w:w="0" w:type="dxa"/>
              <w:left w:w="0" w:type="dxa"/>
              <w:bottom w:w="0" w:type="dxa"/>
              <w:right w:w="0" w:type="dxa"/>
            </w:tcMar>
            <w:vAlign w:val="center"/>
          </w:tcPr>
          <w:p w14:paraId="561C0B1F" w14:textId="4CC13BF9"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Event-free survival:</w:t>
            </w:r>
            <w:r w:rsidR="00411A55">
              <w:rPr>
                <w:rFonts w:ascii="Book Antiqua" w:hAnsi="Book Antiqua"/>
                <w:color w:val="auto"/>
                <w:lang w:val="en-GB"/>
              </w:rPr>
              <w:t xml:space="preserve"> </w:t>
            </w:r>
            <w:r w:rsidRPr="00411A55">
              <w:rPr>
                <w:rFonts w:ascii="Book Antiqua" w:hAnsi="Book Antiqua"/>
                <w:color w:val="auto"/>
                <w:lang w:val="en-GB"/>
              </w:rPr>
              <w:t xml:space="preserve">65.8% SES </w:t>
            </w:r>
            <w:r w:rsidR="002B5C16" w:rsidRPr="002B5C16">
              <w:rPr>
                <w:rFonts w:ascii="Book Antiqua" w:hAnsi="Book Antiqua"/>
                <w:i/>
                <w:color w:val="auto"/>
                <w:lang w:val="en-GB"/>
              </w:rPr>
              <w:t>vs</w:t>
            </w:r>
            <w:r w:rsidR="000F08DA">
              <w:rPr>
                <w:rFonts w:ascii="Book Antiqua" w:eastAsia="宋体" w:hAnsi="Book Antiqua" w:hint="eastAsia"/>
                <w:i/>
                <w:color w:val="auto"/>
                <w:lang w:val="en-GB" w:eastAsia="zh-CN"/>
              </w:rPr>
              <w:t xml:space="preserve"> </w:t>
            </w:r>
            <w:r w:rsidRPr="00411A55">
              <w:rPr>
                <w:rFonts w:ascii="Book Antiqua" w:hAnsi="Book Antiqua"/>
                <w:color w:val="auto"/>
                <w:lang w:val="en-GB"/>
              </w:rPr>
              <w:t>44.6% BMS;</w:t>
            </w:r>
            <w:r w:rsidR="000F08DA">
              <w:rPr>
                <w:rFonts w:ascii="Book Antiqua" w:hAnsi="Book Antiqua"/>
                <w:color w:val="auto"/>
                <w:lang w:val="en-GB"/>
              </w:rPr>
              <w:t xml:space="preserve"> </w:t>
            </w:r>
            <w:r w:rsidR="000F08DA" w:rsidRPr="000F08DA">
              <w:rPr>
                <w:rFonts w:ascii="Book Antiqua" w:hAnsi="Book Antiqua"/>
                <w:i/>
                <w:color w:val="auto"/>
                <w:lang w:val="en-GB"/>
              </w:rPr>
              <w:t>P</w:t>
            </w:r>
            <w:r w:rsidR="000F08DA" w:rsidRPr="00411A55">
              <w:rPr>
                <w:rFonts w:ascii="Book Antiqua" w:hAnsi="Book Antiqua"/>
                <w:color w:val="auto"/>
                <w:lang w:val="en-GB"/>
              </w:rPr>
              <w:t xml:space="preserve"> </w:t>
            </w:r>
            <w:r w:rsidRPr="00411A55">
              <w:rPr>
                <w:rFonts w:ascii="Book Antiqua" w:hAnsi="Book Antiqua"/>
                <w:color w:val="auto"/>
                <w:lang w:val="en-GB"/>
              </w:rPr>
              <w:t>= 0.02</w:t>
            </w:r>
          </w:p>
        </w:tc>
      </w:tr>
      <w:tr w:rsidR="00411A55" w:rsidRPr="00411A55" w14:paraId="205EDDE3" w14:textId="77777777" w:rsidTr="00310E45">
        <w:trPr>
          <w:cantSplit/>
          <w:trHeight w:val="700"/>
        </w:trPr>
        <w:tc>
          <w:tcPr>
            <w:tcW w:w="396" w:type="dxa"/>
            <w:vMerge/>
            <w:shd w:val="clear" w:color="auto" w:fill="auto"/>
            <w:tcMar>
              <w:top w:w="0" w:type="dxa"/>
              <w:left w:w="113" w:type="dxa"/>
              <w:bottom w:w="0" w:type="dxa"/>
              <w:right w:w="113" w:type="dxa"/>
            </w:tcMar>
            <w:vAlign w:val="center"/>
          </w:tcPr>
          <w:p w14:paraId="1069261A" w14:textId="77777777" w:rsidR="00110C9A" w:rsidRPr="00411A55" w:rsidRDefault="00110C9A" w:rsidP="003B6EBC">
            <w:pPr>
              <w:snapToGrid w:val="0"/>
              <w:spacing w:line="360" w:lineRule="auto"/>
              <w:jc w:val="both"/>
              <w:rPr>
                <w:rFonts w:ascii="Book Antiqua" w:hAnsi="Book Antiqua"/>
                <w:color w:val="auto"/>
              </w:rPr>
            </w:pPr>
          </w:p>
        </w:tc>
        <w:tc>
          <w:tcPr>
            <w:tcW w:w="1451" w:type="dxa"/>
            <w:shd w:val="clear" w:color="auto" w:fill="auto"/>
            <w:tcMar>
              <w:top w:w="0" w:type="dxa"/>
              <w:left w:w="0" w:type="dxa"/>
              <w:bottom w:w="0" w:type="dxa"/>
              <w:right w:w="0" w:type="dxa"/>
            </w:tcMar>
            <w:vAlign w:val="center"/>
          </w:tcPr>
          <w:p w14:paraId="2CE761D4" w14:textId="1915ECAD" w:rsidR="00110C9A" w:rsidRPr="00411A55" w:rsidRDefault="00110C9A" w:rsidP="003B6EBC">
            <w:pPr>
              <w:snapToGrid w:val="0"/>
              <w:spacing w:line="360" w:lineRule="auto"/>
              <w:jc w:val="both"/>
              <w:rPr>
                <w:rFonts w:ascii="Book Antiqua" w:hAnsi="Book Antiqua"/>
                <w:color w:val="auto"/>
                <w:vertAlign w:val="superscript"/>
                <w:lang w:val="en-GB"/>
              </w:rPr>
            </w:pPr>
            <w:r w:rsidRPr="00411A55">
              <w:rPr>
                <w:rFonts w:ascii="Book Antiqua" w:hAnsi="Book Antiqua"/>
                <w:color w:val="auto"/>
                <w:lang w:val="en-GB"/>
              </w:rPr>
              <w:t>DESTINY Bosiers</w:t>
            </w:r>
            <w:r w:rsidR="000F08DA">
              <w:rPr>
                <w:rFonts w:ascii="Book Antiqua" w:hAnsi="Book Antiqua"/>
                <w:color w:val="auto"/>
                <w:lang w:val="en-GB"/>
              </w:rPr>
              <w:t xml:space="preserve"> </w:t>
            </w:r>
            <w:r w:rsidR="000F08DA" w:rsidRPr="00310E45">
              <w:rPr>
                <w:rFonts w:ascii="Book Antiqua" w:hAnsi="Book Antiqua"/>
                <w:i/>
                <w:color w:val="auto"/>
                <w:lang w:val="en-GB"/>
              </w:rPr>
              <w:t>et al</w:t>
            </w:r>
            <w:r w:rsidR="000F08DA" w:rsidRPr="00411A55">
              <w:rPr>
                <w:rFonts w:ascii="Book Antiqua" w:hAnsi="Book Antiqua"/>
                <w:color w:val="auto"/>
                <w:vertAlign w:val="superscript"/>
                <w:lang w:val="en-GB"/>
              </w:rPr>
              <w:t>[2</w:t>
            </w:r>
            <w:r w:rsidR="000F08DA">
              <w:rPr>
                <w:rFonts w:ascii="Book Antiqua" w:eastAsia="宋体" w:hAnsi="Book Antiqua" w:hint="eastAsia"/>
                <w:color w:val="auto"/>
                <w:vertAlign w:val="superscript"/>
                <w:lang w:val="en-GB" w:eastAsia="zh-CN"/>
              </w:rPr>
              <w:t>7</w:t>
            </w:r>
            <w:r w:rsidR="000F08DA" w:rsidRPr="00411A55">
              <w:rPr>
                <w:rFonts w:ascii="Book Antiqua" w:hAnsi="Book Antiqua"/>
                <w:color w:val="auto"/>
                <w:vertAlign w:val="superscript"/>
                <w:lang w:val="en-GB"/>
              </w:rPr>
              <w:t>]</w:t>
            </w:r>
            <w:r w:rsidR="000F08DA">
              <w:rPr>
                <w:rFonts w:ascii="Book Antiqua" w:eastAsia="宋体" w:hAnsi="Book Antiqua" w:hint="eastAsia"/>
                <w:color w:val="auto"/>
                <w:lang w:val="en-GB" w:eastAsia="zh-CN"/>
              </w:rPr>
              <w:t>,</w:t>
            </w:r>
            <w:r w:rsidR="000F08DA" w:rsidRPr="00411A55">
              <w:rPr>
                <w:rFonts w:ascii="Book Antiqua" w:hAnsi="Book Antiqua"/>
                <w:color w:val="auto"/>
                <w:lang w:val="en-GB"/>
              </w:rPr>
              <w:t xml:space="preserve"> </w:t>
            </w:r>
            <w:r w:rsidRPr="00411A55">
              <w:rPr>
                <w:rFonts w:ascii="Book Antiqua" w:hAnsi="Book Antiqua"/>
                <w:color w:val="auto"/>
                <w:lang w:val="en-GB"/>
              </w:rPr>
              <w:t>2012</w:t>
            </w:r>
            <w:r w:rsidRPr="00411A55">
              <w:rPr>
                <w:rFonts w:ascii="Book Antiqua" w:hAnsi="Book Antiqua"/>
                <w:color w:val="auto"/>
                <w:vertAlign w:val="superscript"/>
                <w:lang w:val="en-GB"/>
              </w:rPr>
              <w:t>[27]</w:t>
            </w:r>
          </w:p>
        </w:tc>
        <w:tc>
          <w:tcPr>
            <w:tcW w:w="1296" w:type="dxa"/>
            <w:shd w:val="clear" w:color="auto" w:fill="auto"/>
            <w:tcMar>
              <w:top w:w="0" w:type="dxa"/>
              <w:left w:w="0" w:type="dxa"/>
              <w:bottom w:w="0" w:type="dxa"/>
              <w:right w:w="0" w:type="dxa"/>
            </w:tcMar>
            <w:vAlign w:val="center"/>
          </w:tcPr>
          <w:p w14:paraId="43A0C633" w14:textId="3A953430" w:rsidR="00110C9A" w:rsidRPr="00411A55" w:rsidRDefault="00673A80"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Multicentre</w:t>
            </w:r>
          </w:p>
          <w:p w14:paraId="09E0779C"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BMS </w:t>
            </w:r>
            <w:r w:rsidRPr="00310E45">
              <w:rPr>
                <w:rFonts w:ascii="Book Antiqua" w:hAnsi="Book Antiqua"/>
                <w:i/>
                <w:color w:val="auto"/>
                <w:lang w:val="en-GB"/>
              </w:rPr>
              <w:t>vs</w:t>
            </w:r>
            <w:r w:rsidRPr="00411A55">
              <w:rPr>
                <w:rFonts w:ascii="Book Antiqua" w:hAnsi="Book Antiqua"/>
                <w:color w:val="auto"/>
                <w:lang w:val="en-GB"/>
              </w:rPr>
              <w:t xml:space="preserve"> Everolimus stent</w:t>
            </w:r>
          </w:p>
        </w:tc>
        <w:tc>
          <w:tcPr>
            <w:tcW w:w="1077" w:type="dxa"/>
            <w:shd w:val="clear" w:color="auto" w:fill="auto"/>
            <w:tcMar>
              <w:top w:w="0" w:type="dxa"/>
              <w:left w:w="0" w:type="dxa"/>
              <w:bottom w:w="0" w:type="dxa"/>
              <w:right w:w="0" w:type="dxa"/>
            </w:tcMar>
            <w:vAlign w:val="center"/>
          </w:tcPr>
          <w:p w14:paraId="0359506D"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140 patients</w:t>
            </w:r>
          </w:p>
          <w:p w14:paraId="146F1448"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(66 </w:t>
            </w:r>
            <w:r w:rsidRPr="00310E45">
              <w:rPr>
                <w:rFonts w:ascii="Book Antiqua" w:hAnsi="Book Antiqua"/>
                <w:i/>
                <w:color w:val="auto"/>
                <w:lang w:val="en-GB"/>
              </w:rPr>
              <w:t>vs</w:t>
            </w:r>
            <w:r w:rsidRPr="00411A55">
              <w:rPr>
                <w:rFonts w:ascii="Book Antiqua" w:hAnsi="Book Antiqua"/>
                <w:color w:val="auto"/>
                <w:lang w:val="en-GB"/>
              </w:rPr>
              <w:t xml:space="preserve"> 74)</w:t>
            </w:r>
          </w:p>
        </w:tc>
        <w:tc>
          <w:tcPr>
            <w:tcW w:w="1031" w:type="dxa"/>
            <w:shd w:val="clear" w:color="auto" w:fill="auto"/>
            <w:tcMar>
              <w:top w:w="0" w:type="dxa"/>
              <w:left w:w="0" w:type="dxa"/>
              <w:bottom w:w="0" w:type="dxa"/>
              <w:right w:w="0" w:type="dxa"/>
            </w:tcMar>
            <w:vAlign w:val="center"/>
          </w:tcPr>
          <w:p w14:paraId="0469C7DB" w14:textId="7A2FD47A"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1</w:t>
            </w:r>
            <w:r w:rsidR="000F08DA">
              <w:rPr>
                <w:rFonts w:ascii="Book Antiqua" w:hAnsi="Book Antiqua"/>
                <w:color w:val="auto"/>
                <w:lang w:val="en-GB"/>
              </w:rPr>
              <w:t xml:space="preserve"> </w:t>
            </w:r>
            <w:r w:rsidR="00310E45">
              <w:rPr>
                <w:rFonts w:ascii="Book Antiqua" w:hAnsi="Book Antiqua"/>
                <w:color w:val="auto"/>
                <w:lang w:val="en-GB"/>
              </w:rPr>
              <w:t>y</w:t>
            </w:r>
            <w:r w:rsidR="00310E45" w:rsidRPr="00411A55">
              <w:rPr>
                <w:rFonts w:ascii="Book Antiqua" w:hAnsi="Book Antiqua"/>
                <w:color w:val="auto"/>
                <w:lang w:val="en-GB"/>
              </w:rPr>
              <w:t>r</w:t>
            </w:r>
          </w:p>
          <w:p w14:paraId="6924CACA" w14:textId="77777777" w:rsidR="00110C9A" w:rsidRPr="00411A55" w:rsidRDefault="00110C9A" w:rsidP="003B6EBC">
            <w:pPr>
              <w:snapToGrid w:val="0"/>
              <w:spacing w:line="360" w:lineRule="auto"/>
              <w:jc w:val="both"/>
              <w:rPr>
                <w:rFonts w:ascii="Book Antiqua" w:hAnsi="Book Antiqua"/>
                <w:color w:val="auto"/>
              </w:rPr>
            </w:pPr>
          </w:p>
        </w:tc>
        <w:tc>
          <w:tcPr>
            <w:tcW w:w="816" w:type="dxa"/>
            <w:shd w:val="clear" w:color="auto" w:fill="auto"/>
            <w:tcMar>
              <w:top w:w="0" w:type="dxa"/>
              <w:left w:w="0" w:type="dxa"/>
              <w:bottom w:w="0" w:type="dxa"/>
              <w:right w:w="0" w:type="dxa"/>
            </w:tcMar>
            <w:vAlign w:val="center"/>
          </w:tcPr>
          <w:p w14:paraId="438483FF"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100% </w:t>
            </w:r>
          </w:p>
          <w:p w14:paraId="4DC89498" w14:textId="77777777" w:rsidR="00110C9A" w:rsidRPr="00411A55" w:rsidRDefault="00110C9A" w:rsidP="003B6EBC">
            <w:pPr>
              <w:snapToGrid w:val="0"/>
              <w:spacing w:line="360" w:lineRule="auto"/>
              <w:jc w:val="both"/>
              <w:rPr>
                <w:rFonts w:ascii="Book Antiqua" w:hAnsi="Book Antiqua"/>
                <w:color w:val="auto"/>
              </w:rPr>
            </w:pPr>
          </w:p>
        </w:tc>
        <w:tc>
          <w:tcPr>
            <w:tcW w:w="1423" w:type="dxa"/>
            <w:shd w:val="clear" w:color="auto" w:fill="auto"/>
            <w:tcMar>
              <w:top w:w="0" w:type="dxa"/>
              <w:left w:w="0" w:type="dxa"/>
              <w:bottom w:w="0" w:type="dxa"/>
              <w:right w:w="0" w:type="dxa"/>
            </w:tcMar>
            <w:vAlign w:val="center"/>
          </w:tcPr>
          <w:p w14:paraId="22F96596" w14:textId="5C91A100"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1.7</w:t>
            </w:r>
            <w:r w:rsidR="000F08DA">
              <w:rPr>
                <w:rFonts w:ascii="Book Antiqua" w:hAnsi="Book Antiqua"/>
                <w:color w:val="auto"/>
                <w:lang w:val="en-GB"/>
              </w:rPr>
              <w:t xml:space="preserve"> ± </w:t>
            </w:r>
            <w:r w:rsidRPr="00411A55">
              <w:rPr>
                <w:rFonts w:ascii="Book Antiqua" w:hAnsi="Book Antiqua"/>
                <w:color w:val="auto"/>
                <w:lang w:val="en-GB"/>
              </w:rPr>
              <w:t>1.0</w:t>
            </w:r>
          </w:p>
        </w:tc>
        <w:tc>
          <w:tcPr>
            <w:tcW w:w="2142" w:type="dxa"/>
            <w:shd w:val="clear" w:color="auto" w:fill="auto"/>
            <w:tcMar>
              <w:top w:w="0" w:type="dxa"/>
              <w:left w:w="0" w:type="dxa"/>
              <w:bottom w:w="0" w:type="dxa"/>
              <w:right w:w="0" w:type="dxa"/>
            </w:tcMar>
            <w:vAlign w:val="center"/>
          </w:tcPr>
          <w:p w14:paraId="54BAE137" w14:textId="065EF57F"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Angiographic primary patency: 85% DES </w:t>
            </w:r>
            <w:r w:rsidR="002B5C16" w:rsidRPr="002B5C16">
              <w:rPr>
                <w:rFonts w:ascii="Book Antiqua" w:hAnsi="Book Antiqua"/>
                <w:i/>
                <w:color w:val="auto"/>
                <w:lang w:val="en-GB"/>
              </w:rPr>
              <w:t>vs</w:t>
            </w:r>
            <w:r w:rsidR="000F08DA">
              <w:rPr>
                <w:rFonts w:ascii="Book Antiqua" w:eastAsia="宋体" w:hAnsi="Book Antiqua" w:hint="eastAsia"/>
                <w:i/>
                <w:color w:val="auto"/>
                <w:lang w:val="en-GB" w:eastAsia="zh-CN"/>
              </w:rPr>
              <w:t xml:space="preserve"> </w:t>
            </w:r>
            <w:r w:rsidRPr="00411A55">
              <w:rPr>
                <w:rFonts w:ascii="Book Antiqua" w:hAnsi="Book Antiqua"/>
                <w:color w:val="auto"/>
                <w:lang w:val="en-GB"/>
              </w:rPr>
              <w:t>54% BMS;</w:t>
            </w:r>
            <w:r w:rsidR="000F08DA">
              <w:rPr>
                <w:rFonts w:ascii="Book Antiqua" w:hAnsi="Book Antiqua"/>
                <w:color w:val="auto"/>
                <w:lang w:val="en-GB"/>
              </w:rPr>
              <w:t xml:space="preserve"> </w:t>
            </w:r>
            <w:r w:rsidR="000F08DA" w:rsidRPr="000F08DA">
              <w:rPr>
                <w:rFonts w:ascii="Book Antiqua" w:hAnsi="Book Antiqua"/>
                <w:i/>
                <w:color w:val="auto"/>
                <w:lang w:val="en-GB"/>
              </w:rPr>
              <w:t>P</w:t>
            </w:r>
            <w:r w:rsidR="000F08DA" w:rsidRPr="00411A55">
              <w:rPr>
                <w:rFonts w:ascii="Book Antiqua" w:hAnsi="Book Antiqua"/>
                <w:color w:val="auto"/>
                <w:lang w:val="en-GB"/>
              </w:rPr>
              <w:t xml:space="preserve"> </w:t>
            </w:r>
            <w:r w:rsidRPr="00411A55">
              <w:rPr>
                <w:rFonts w:ascii="Book Antiqua" w:hAnsi="Book Antiqua"/>
                <w:color w:val="auto"/>
                <w:lang w:val="en-GB"/>
              </w:rPr>
              <w:t>=</w:t>
            </w:r>
            <w:r w:rsidR="000F08DA">
              <w:rPr>
                <w:rFonts w:ascii="Book Antiqua" w:eastAsia="宋体" w:hAnsi="Book Antiqua" w:hint="eastAsia"/>
                <w:color w:val="auto"/>
                <w:lang w:val="en-GB" w:eastAsia="zh-CN"/>
              </w:rPr>
              <w:t xml:space="preserve"> 0</w:t>
            </w:r>
            <w:r w:rsidRPr="00411A55">
              <w:rPr>
                <w:rFonts w:ascii="Book Antiqua" w:hAnsi="Book Antiqua"/>
                <w:color w:val="auto"/>
                <w:lang w:val="en-GB"/>
              </w:rPr>
              <w:t>.0001</w:t>
            </w:r>
          </w:p>
        </w:tc>
      </w:tr>
      <w:tr w:rsidR="00411A55" w:rsidRPr="00411A55" w14:paraId="15A493F7" w14:textId="77777777" w:rsidTr="00310E45">
        <w:trPr>
          <w:cantSplit/>
          <w:trHeight w:val="2060"/>
        </w:trPr>
        <w:tc>
          <w:tcPr>
            <w:tcW w:w="396" w:type="dxa"/>
            <w:vMerge/>
            <w:shd w:val="clear" w:color="auto" w:fill="auto"/>
            <w:tcMar>
              <w:top w:w="0" w:type="dxa"/>
              <w:left w:w="113" w:type="dxa"/>
              <w:bottom w:w="0" w:type="dxa"/>
              <w:right w:w="113" w:type="dxa"/>
            </w:tcMar>
            <w:vAlign w:val="center"/>
          </w:tcPr>
          <w:p w14:paraId="72731E4F" w14:textId="77777777" w:rsidR="00110C9A" w:rsidRPr="00411A55" w:rsidRDefault="00110C9A" w:rsidP="003B6EBC">
            <w:pPr>
              <w:snapToGrid w:val="0"/>
              <w:spacing w:line="360" w:lineRule="auto"/>
              <w:jc w:val="both"/>
              <w:rPr>
                <w:rFonts w:ascii="Book Antiqua" w:hAnsi="Book Antiqua"/>
                <w:color w:val="auto"/>
              </w:rPr>
            </w:pPr>
          </w:p>
        </w:tc>
        <w:tc>
          <w:tcPr>
            <w:tcW w:w="1451" w:type="dxa"/>
            <w:shd w:val="clear" w:color="auto" w:fill="auto"/>
            <w:tcMar>
              <w:top w:w="0" w:type="dxa"/>
              <w:left w:w="0" w:type="dxa"/>
              <w:bottom w:w="0" w:type="dxa"/>
              <w:right w:w="0" w:type="dxa"/>
            </w:tcMar>
            <w:vAlign w:val="center"/>
          </w:tcPr>
          <w:p w14:paraId="455EBC87" w14:textId="2DDA19B5" w:rsidR="00110C9A" w:rsidRPr="00411A55" w:rsidRDefault="000F08DA" w:rsidP="003B6EBC">
            <w:pPr>
              <w:snapToGrid w:val="0"/>
              <w:spacing w:line="360" w:lineRule="auto"/>
              <w:jc w:val="both"/>
              <w:rPr>
                <w:rFonts w:ascii="Book Antiqua" w:hAnsi="Book Antiqua"/>
                <w:color w:val="auto"/>
                <w:vertAlign w:val="superscript"/>
                <w:lang w:val="en-GB"/>
              </w:rPr>
            </w:pPr>
            <w:r>
              <w:rPr>
                <w:rFonts w:ascii="Book Antiqua" w:hAnsi="Book Antiqua"/>
                <w:color w:val="auto"/>
                <w:lang w:val="en-GB"/>
              </w:rPr>
              <w:t xml:space="preserve">PADI van Overhagen </w:t>
            </w:r>
            <w:r w:rsidRPr="00310E45">
              <w:rPr>
                <w:rFonts w:ascii="Book Antiqua" w:hAnsi="Book Antiqua"/>
                <w:i/>
                <w:color w:val="auto"/>
                <w:lang w:val="en-GB"/>
              </w:rPr>
              <w:t>et al</w:t>
            </w:r>
            <w:r w:rsidRPr="00411A55">
              <w:rPr>
                <w:rFonts w:ascii="Book Antiqua" w:hAnsi="Book Antiqua"/>
                <w:color w:val="auto"/>
                <w:vertAlign w:val="superscript"/>
                <w:lang w:val="en-GB"/>
              </w:rPr>
              <w:t>[</w:t>
            </w:r>
            <w:r>
              <w:rPr>
                <w:rFonts w:ascii="Book Antiqua" w:eastAsia="宋体" w:hAnsi="Book Antiqua" w:hint="eastAsia"/>
                <w:color w:val="auto"/>
                <w:vertAlign w:val="superscript"/>
                <w:lang w:val="en-GB" w:eastAsia="zh-CN"/>
              </w:rPr>
              <w:t>31</w:t>
            </w:r>
            <w:r w:rsidRPr="00411A55">
              <w:rPr>
                <w:rFonts w:ascii="Book Antiqua" w:hAnsi="Book Antiqua"/>
                <w:color w:val="auto"/>
                <w:vertAlign w:val="superscript"/>
                <w:lang w:val="en-GB"/>
              </w:rPr>
              <w:t>]</w:t>
            </w:r>
            <w:r>
              <w:rPr>
                <w:rFonts w:ascii="Book Antiqua" w:eastAsia="宋体" w:hAnsi="Book Antiqua" w:hint="eastAsia"/>
                <w:color w:val="auto"/>
                <w:lang w:val="en-GB" w:eastAsia="zh-CN"/>
              </w:rPr>
              <w:t>,</w:t>
            </w:r>
            <w:r w:rsidRPr="00411A55">
              <w:rPr>
                <w:rFonts w:ascii="Book Antiqua" w:hAnsi="Book Antiqua"/>
                <w:color w:val="auto"/>
                <w:lang w:val="en-GB"/>
              </w:rPr>
              <w:t xml:space="preserve"> </w:t>
            </w:r>
            <w:r w:rsidR="00110C9A" w:rsidRPr="00411A55">
              <w:rPr>
                <w:rFonts w:ascii="Book Antiqua" w:hAnsi="Book Antiqua"/>
                <w:color w:val="auto"/>
                <w:lang w:val="en-GB"/>
              </w:rPr>
              <w:t>2017</w:t>
            </w:r>
          </w:p>
        </w:tc>
        <w:tc>
          <w:tcPr>
            <w:tcW w:w="1296" w:type="dxa"/>
            <w:shd w:val="clear" w:color="auto" w:fill="auto"/>
            <w:tcMar>
              <w:top w:w="0" w:type="dxa"/>
              <w:left w:w="0" w:type="dxa"/>
              <w:bottom w:w="0" w:type="dxa"/>
              <w:right w:w="0" w:type="dxa"/>
            </w:tcMar>
            <w:vAlign w:val="center"/>
          </w:tcPr>
          <w:p w14:paraId="5E735C62" w14:textId="08FFE4CA" w:rsidR="00110C9A" w:rsidRPr="00411A55" w:rsidRDefault="00673A80"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Multicentre</w:t>
            </w:r>
          </w:p>
          <w:p w14:paraId="0AAC1789"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PTA</w:t>
            </w:r>
            <w:r w:rsidRPr="00310E45">
              <w:rPr>
                <w:rFonts w:ascii="Book Antiqua" w:hAnsi="Book Antiqua"/>
                <w:i/>
                <w:color w:val="auto"/>
                <w:lang w:val="en-GB"/>
              </w:rPr>
              <w:t xml:space="preserve"> vs</w:t>
            </w:r>
            <w:r w:rsidRPr="00411A55">
              <w:rPr>
                <w:rFonts w:ascii="Book Antiqua" w:hAnsi="Book Antiqua"/>
                <w:color w:val="auto"/>
                <w:lang w:val="en-GB"/>
              </w:rPr>
              <w:t xml:space="preserve"> PES</w:t>
            </w:r>
          </w:p>
        </w:tc>
        <w:tc>
          <w:tcPr>
            <w:tcW w:w="1077" w:type="dxa"/>
            <w:shd w:val="clear" w:color="auto" w:fill="auto"/>
            <w:tcMar>
              <w:top w:w="0" w:type="dxa"/>
              <w:left w:w="0" w:type="dxa"/>
              <w:bottom w:w="0" w:type="dxa"/>
              <w:right w:w="0" w:type="dxa"/>
            </w:tcMar>
            <w:vAlign w:val="center"/>
          </w:tcPr>
          <w:p w14:paraId="070FA6E2"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137 patients</w:t>
            </w:r>
          </w:p>
          <w:p w14:paraId="7E81E3D8"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(64 </w:t>
            </w:r>
            <w:r w:rsidRPr="00310E45">
              <w:rPr>
                <w:rFonts w:ascii="Book Antiqua" w:hAnsi="Book Antiqua"/>
                <w:i/>
                <w:color w:val="auto"/>
                <w:lang w:val="en-GB"/>
              </w:rPr>
              <w:t>vs</w:t>
            </w:r>
            <w:r w:rsidRPr="00411A55">
              <w:rPr>
                <w:rFonts w:ascii="Book Antiqua" w:hAnsi="Book Antiqua"/>
                <w:color w:val="auto"/>
                <w:lang w:val="en-GB"/>
              </w:rPr>
              <w:t xml:space="preserve"> 73)</w:t>
            </w:r>
          </w:p>
        </w:tc>
        <w:tc>
          <w:tcPr>
            <w:tcW w:w="1031" w:type="dxa"/>
            <w:shd w:val="clear" w:color="auto" w:fill="auto"/>
            <w:tcMar>
              <w:top w:w="0" w:type="dxa"/>
              <w:left w:w="0" w:type="dxa"/>
              <w:bottom w:w="0" w:type="dxa"/>
              <w:right w:w="0" w:type="dxa"/>
            </w:tcMar>
            <w:vAlign w:val="center"/>
          </w:tcPr>
          <w:p w14:paraId="580EDB11" w14:textId="01272F14"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5</w:t>
            </w:r>
            <w:r w:rsidR="000F08DA">
              <w:rPr>
                <w:rFonts w:ascii="Book Antiqua" w:hAnsi="Book Antiqua"/>
                <w:color w:val="auto"/>
                <w:lang w:val="en-GB"/>
              </w:rPr>
              <w:t xml:space="preserve"> </w:t>
            </w:r>
            <w:r w:rsidR="00310E45">
              <w:rPr>
                <w:rFonts w:ascii="Book Antiqua" w:hAnsi="Book Antiqua"/>
                <w:color w:val="auto"/>
                <w:lang w:val="en-GB"/>
              </w:rPr>
              <w:t>y</w:t>
            </w:r>
            <w:r w:rsidR="00310E45" w:rsidRPr="00411A55">
              <w:rPr>
                <w:rFonts w:ascii="Book Antiqua" w:hAnsi="Book Antiqua"/>
                <w:color w:val="auto"/>
                <w:lang w:val="en-GB"/>
              </w:rPr>
              <w:t>r</w:t>
            </w:r>
          </w:p>
        </w:tc>
        <w:tc>
          <w:tcPr>
            <w:tcW w:w="816" w:type="dxa"/>
            <w:shd w:val="clear" w:color="auto" w:fill="auto"/>
            <w:tcMar>
              <w:top w:w="0" w:type="dxa"/>
              <w:left w:w="0" w:type="dxa"/>
              <w:bottom w:w="0" w:type="dxa"/>
              <w:right w:w="0" w:type="dxa"/>
            </w:tcMar>
            <w:vAlign w:val="center"/>
          </w:tcPr>
          <w:p w14:paraId="4CF6EFEB"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100% </w:t>
            </w:r>
          </w:p>
        </w:tc>
        <w:tc>
          <w:tcPr>
            <w:tcW w:w="1423" w:type="dxa"/>
            <w:shd w:val="clear" w:color="auto" w:fill="auto"/>
            <w:tcMar>
              <w:top w:w="0" w:type="dxa"/>
              <w:left w:w="0" w:type="dxa"/>
              <w:bottom w:w="0" w:type="dxa"/>
              <w:right w:w="0" w:type="dxa"/>
            </w:tcMar>
            <w:vAlign w:val="center"/>
          </w:tcPr>
          <w:p w14:paraId="385EF4EB" w14:textId="2A41F0C2"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2.2</w:t>
            </w:r>
            <w:r w:rsidR="000F08DA">
              <w:rPr>
                <w:rFonts w:ascii="Book Antiqua" w:hAnsi="Book Antiqua"/>
                <w:color w:val="auto"/>
                <w:lang w:val="en-GB"/>
              </w:rPr>
              <w:t xml:space="preserve"> ± </w:t>
            </w:r>
            <w:r w:rsidRPr="00411A55">
              <w:rPr>
                <w:rFonts w:ascii="Book Antiqua" w:hAnsi="Book Antiqua"/>
                <w:color w:val="auto"/>
                <w:lang w:val="en-GB"/>
              </w:rPr>
              <w:t>2.0</w:t>
            </w:r>
          </w:p>
        </w:tc>
        <w:tc>
          <w:tcPr>
            <w:tcW w:w="2142" w:type="dxa"/>
            <w:shd w:val="clear" w:color="auto" w:fill="auto"/>
            <w:tcMar>
              <w:top w:w="0" w:type="dxa"/>
              <w:left w:w="0" w:type="dxa"/>
              <w:bottom w:w="0" w:type="dxa"/>
              <w:right w:w="0" w:type="dxa"/>
            </w:tcMar>
            <w:vAlign w:val="center"/>
          </w:tcPr>
          <w:p w14:paraId="2DE6C073" w14:textId="32BBC04A"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Major amputation: DES 19.3% </w:t>
            </w:r>
            <w:r w:rsidR="002B5C16" w:rsidRPr="002B5C16">
              <w:rPr>
                <w:rFonts w:ascii="Book Antiqua" w:hAnsi="Book Antiqua"/>
                <w:i/>
                <w:color w:val="auto"/>
                <w:lang w:val="en-GB"/>
              </w:rPr>
              <w:t>vs</w:t>
            </w:r>
            <w:r w:rsidR="000F08DA">
              <w:rPr>
                <w:rFonts w:ascii="Book Antiqua" w:eastAsia="宋体" w:hAnsi="Book Antiqua" w:hint="eastAsia"/>
                <w:i/>
                <w:color w:val="auto"/>
                <w:lang w:val="en-GB" w:eastAsia="zh-CN"/>
              </w:rPr>
              <w:t xml:space="preserve"> </w:t>
            </w:r>
            <w:r w:rsidRPr="00411A55">
              <w:rPr>
                <w:rFonts w:ascii="Book Antiqua" w:hAnsi="Book Antiqua"/>
                <w:color w:val="auto"/>
                <w:lang w:val="en-GB"/>
              </w:rPr>
              <w:t>34.0%</w:t>
            </w:r>
          </w:p>
          <w:p w14:paraId="0871D6E5" w14:textId="280B1ADE"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PTA;</w:t>
            </w:r>
            <w:r w:rsidR="000F08DA">
              <w:rPr>
                <w:rFonts w:ascii="Book Antiqua" w:hAnsi="Book Antiqua"/>
                <w:color w:val="auto"/>
                <w:lang w:val="en-GB"/>
              </w:rPr>
              <w:t xml:space="preserve"> </w:t>
            </w:r>
            <w:r w:rsidR="000F08DA" w:rsidRPr="000F08DA">
              <w:rPr>
                <w:rFonts w:ascii="Book Antiqua" w:hAnsi="Book Antiqua"/>
                <w:i/>
                <w:color w:val="auto"/>
                <w:lang w:val="en-GB"/>
              </w:rPr>
              <w:t>P</w:t>
            </w:r>
            <w:r w:rsidR="000F08DA" w:rsidRPr="00411A55">
              <w:rPr>
                <w:rFonts w:ascii="Book Antiqua" w:hAnsi="Book Antiqua"/>
                <w:color w:val="auto"/>
                <w:lang w:val="en-GB"/>
              </w:rPr>
              <w:t xml:space="preserve"> </w:t>
            </w:r>
            <w:r w:rsidRPr="00411A55">
              <w:rPr>
                <w:rFonts w:ascii="Book Antiqua" w:hAnsi="Book Antiqua"/>
                <w:color w:val="auto"/>
                <w:lang w:val="en-GB"/>
              </w:rPr>
              <w:t>=</w:t>
            </w:r>
            <w:r w:rsidR="000F08DA">
              <w:rPr>
                <w:rFonts w:ascii="Book Antiqua" w:eastAsia="宋体" w:hAnsi="Book Antiqua" w:hint="eastAsia"/>
                <w:color w:val="auto"/>
                <w:lang w:val="en-GB" w:eastAsia="zh-CN"/>
              </w:rPr>
              <w:t xml:space="preserve"> </w:t>
            </w:r>
            <w:r w:rsidRPr="00411A55">
              <w:rPr>
                <w:rFonts w:ascii="Book Antiqua" w:hAnsi="Book Antiqua"/>
                <w:color w:val="auto"/>
                <w:lang w:val="en-GB"/>
              </w:rPr>
              <w:t>0.091</w:t>
            </w:r>
          </w:p>
          <w:p w14:paraId="124DBDE0" w14:textId="635B066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Amputation-free survival: DES 26.2% </w:t>
            </w:r>
            <w:r w:rsidR="002B5C16" w:rsidRPr="002B5C16">
              <w:rPr>
                <w:rFonts w:ascii="Book Antiqua" w:hAnsi="Book Antiqua"/>
                <w:i/>
                <w:color w:val="auto"/>
                <w:lang w:val="en-GB"/>
              </w:rPr>
              <w:t>vs</w:t>
            </w:r>
            <w:r w:rsidRPr="00411A55">
              <w:rPr>
                <w:rFonts w:ascii="Book Antiqua" w:hAnsi="Book Antiqua"/>
                <w:color w:val="auto"/>
                <w:lang w:val="en-GB"/>
              </w:rPr>
              <w:t xml:space="preserve"> PTA</w:t>
            </w:r>
          </w:p>
          <w:p w14:paraId="4B79F412" w14:textId="5780D3A8"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15.3%,</w:t>
            </w:r>
            <w:r w:rsidR="000F08DA">
              <w:rPr>
                <w:rFonts w:ascii="Book Antiqua" w:hAnsi="Book Antiqua"/>
                <w:color w:val="auto"/>
                <w:lang w:val="en-GB"/>
              </w:rPr>
              <w:t xml:space="preserve"> </w:t>
            </w:r>
            <w:r w:rsidR="000F08DA" w:rsidRPr="000F08DA">
              <w:rPr>
                <w:rFonts w:ascii="Book Antiqua" w:hAnsi="Book Antiqua"/>
                <w:i/>
                <w:color w:val="auto"/>
                <w:lang w:val="en-GB"/>
              </w:rPr>
              <w:t>P</w:t>
            </w:r>
            <w:r w:rsidR="000F08DA" w:rsidRPr="00411A55">
              <w:rPr>
                <w:rFonts w:ascii="Book Antiqua" w:hAnsi="Book Antiqua"/>
                <w:color w:val="auto"/>
                <w:lang w:val="en-GB"/>
              </w:rPr>
              <w:t xml:space="preserve"> </w:t>
            </w:r>
            <w:r w:rsidRPr="00411A55">
              <w:rPr>
                <w:rFonts w:ascii="Book Antiqua" w:hAnsi="Book Antiqua"/>
                <w:color w:val="auto"/>
                <w:lang w:val="en-GB"/>
              </w:rPr>
              <w:t>=</w:t>
            </w:r>
            <w:r w:rsidR="000F08DA">
              <w:rPr>
                <w:rFonts w:ascii="Book Antiqua" w:eastAsia="宋体" w:hAnsi="Book Antiqua" w:hint="eastAsia"/>
                <w:color w:val="auto"/>
                <w:lang w:val="en-GB" w:eastAsia="zh-CN"/>
              </w:rPr>
              <w:t xml:space="preserve"> </w:t>
            </w:r>
            <w:r w:rsidRPr="00411A55">
              <w:rPr>
                <w:rFonts w:ascii="Book Antiqua" w:hAnsi="Book Antiqua"/>
                <w:color w:val="auto"/>
                <w:lang w:val="en-GB"/>
              </w:rPr>
              <w:t>0.041</w:t>
            </w:r>
          </w:p>
          <w:p w14:paraId="20952B23" w14:textId="5BA68079"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Event-free survival: 31.8% DES </w:t>
            </w:r>
            <w:r w:rsidRPr="000F08DA">
              <w:rPr>
                <w:rFonts w:ascii="Book Antiqua" w:hAnsi="Book Antiqua"/>
                <w:i/>
                <w:color w:val="auto"/>
                <w:lang w:val="en-GB"/>
              </w:rPr>
              <w:t>vs</w:t>
            </w:r>
            <w:r w:rsidRPr="00411A55">
              <w:rPr>
                <w:rFonts w:ascii="Book Antiqua" w:hAnsi="Book Antiqua"/>
                <w:color w:val="auto"/>
                <w:lang w:val="en-GB"/>
              </w:rPr>
              <w:t xml:space="preserve"> 20.4% PTA,</w:t>
            </w:r>
            <w:r w:rsidR="000F08DA">
              <w:rPr>
                <w:rFonts w:ascii="Book Antiqua" w:hAnsi="Book Antiqua"/>
                <w:color w:val="auto"/>
                <w:lang w:val="en-GB"/>
              </w:rPr>
              <w:t xml:space="preserve"> </w:t>
            </w:r>
            <w:r w:rsidR="000F08DA" w:rsidRPr="000F08DA">
              <w:rPr>
                <w:rFonts w:ascii="Book Antiqua" w:hAnsi="Book Antiqua"/>
                <w:i/>
                <w:color w:val="auto"/>
                <w:lang w:val="en-GB"/>
              </w:rPr>
              <w:t>P</w:t>
            </w:r>
            <w:r w:rsidR="000F08DA" w:rsidRPr="00411A55">
              <w:rPr>
                <w:rFonts w:ascii="Book Antiqua" w:hAnsi="Book Antiqua"/>
                <w:color w:val="auto"/>
                <w:lang w:val="en-GB"/>
              </w:rPr>
              <w:t xml:space="preserve"> </w:t>
            </w:r>
            <w:r w:rsidRPr="00411A55">
              <w:rPr>
                <w:rFonts w:ascii="Book Antiqua" w:hAnsi="Book Antiqua"/>
                <w:color w:val="auto"/>
                <w:lang w:val="en-GB"/>
              </w:rPr>
              <w:t>=</w:t>
            </w:r>
            <w:r w:rsidR="000F08DA">
              <w:rPr>
                <w:rFonts w:ascii="Book Antiqua" w:eastAsia="宋体" w:hAnsi="Book Antiqua" w:hint="eastAsia"/>
                <w:color w:val="auto"/>
                <w:lang w:val="en-GB" w:eastAsia="zh-CN"/>
              </w:rPr>
              <w:t xml:space="preserve"> </w:t>
            </w:r>
            <w:r w:rsidRPr="00411A55">
              <w:rPr>
                <w:rFonts w:ascii="Book Antiqua" w:hAnsi="Book Antiqua"/>
                <w:color w:val="auto"/>
                <w:lang w:val="en-GB"/>
              </w:rPr>
              <w:t>0.043</w:t>
            </w:r>
          </w:p>
        </w:tc>
      </w:tr>
      <w:tr w:rsidR="00411A55" w:rsidRPr="00411A55" w14:paraId="740F632B" w14:textId="77777777" w:rsidTr="00310E45">
        <w:trPr>
          <w:cantSplit/>
          <w:trHeight w:val="1140"/>
        </w:trPr>
        <w:tc>
          <w:tcPr>
            <w:tcW w:w="396" w:type="dxa"/>
            <w:vMerge w:val="restart"/>
            <w:shd w:val="clear" w:color="auto" w:fill="auto"/>
            <w:tcMar>
              <w:top w:w="0" w:type="dxa"/>
              <w:left w:w="0" w:type="dxa"/>
              <w:bottom w:w="0" w:type="dxa"/>
              <w:right w:w="0" w:type="dxa"/>
            </w:tcMar>
          </w:tcPr>
          <w:p w14:paraId="65CD31B0"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PCB</w:t>
            </w:r>
          </w:p>
        </w:tc>
        <w:tc>
          <w:tcPr>
            <w:tcW w:w="1451" w:type="dxa"/>
            <w:shd w:val="clear" w:color="auto" w:fill="auto"/>
            <w:tcMar>
              <w:top w:w="0" w:type="dxa"/>
              <w:left w:w="0" w:type="dxa"/>
              <w:bottom w:w="0" w:type="dxa"/>
              <w:right w:w="0" w:type="dxa"/>
            </w:tcMar>
            <w:vAlign w:val="center"/>
          </w:tcPr>
          <w:p w14:paraId="0BF8074E" w14:textId="119702CF" w:rsidR="00110C9A" w:rsidRPr="00411A55" w:rsidRDefault="00110C9A" w:rsidP="003B6EBC">
            <w:pPr>
              <w:snapToGrid w:val="0"/>
              <w:spacing w:line="360" w:lineRule="auto"/>
              <w:jc w:val="both"/>
              <w:rPr>
                <w:rFonts w:ascii="Book Antiqua" w:hAnsi="Book Antiqua"/>
                <w:color w:val="auto"/>
                <w:vertAlign w:val="superscript"/>
                <w:lang w:val="en-GB"/>
              </w:rPr>
            </w:pPr>
            <w:r w:rsidRPr="00411A55">
              <w:rPr>
                <w:rFonts w:ascii="Book Antiqua" w:hAnsi="Book Antiqua"/>
                <w:color w:val="auto"/>
                <w:lang w:val="en-GB"/>
              </w:rPr>
              <w:t>DEBATE-BTK Liistro</w:t>
            </w:r>
            <w:r w:rsidR="000F08DA">
              <w:rPr>
                <w:rFonts w:ascii="Book Antiqua" w:hAnsi="Book Antiqua"/>
                <w:color w:val="auto"/>
                <w:lang w:val="en-GB"/>
              </w:rPr>
              <w:t xml:space="preserve"> </w:t>
            </w:r>
            <w:r w:rsidR="000F08DA" w:rsidRPr="00310E45">
              <w:rPr>
                <w:rFonts w:ascii="Book Antiqua" w:hAnsi="Book Antiqua"/>
                <w:i/>
                <w:color w:val="auto"/>
                <w:lang w:val="en-GB"/>
              </w:rPr>
              <w:t>et al</w:t>
            </w:r>
            <w:r w:rsidR="000F08DA" w:rsidRPr="00411A55">
              <w:rPr>
                <w:rFonts w:ascii="Book Antiqua" w:hAnsi="Book Antiqua"/>
                <w:color w:val="auto"/>
                <w:vertAlign w:val="superscript"/>
                <w:lang w:val="en-GB"/>
              </w:rPr>
              <w:t>[</w:t>
            </w:r>
            <w:r w:rsidR="000F08DA">
              <w:rPr>
                <w:rFonts w:ascii="Book Antiqua" w:eastAsia="宋体" w:hAnsi="Book Antiqua" w:hint="eastAsia"/>
                <w:color w:val="auto"/>
                <w:vertAlign w:val="superscript"/>
                <w:lang w:val="en-GB" w:eastAsia="zh-CN"/>
              </w:rPr>
              <w:t>45</w:t>
            </w:r>
            <w:r w:rsidR="000F08DA" w:rsidRPr="00411A55">
              <w:rPr>
                <w:rFonts w:ascii="Book Antiqua" w:hAnsi="Book Antiqua"/>
                <w:color w:val="auto"/>
                <w:vertAlign w:val="superscript"/>
                <w:lang w:val="en-GB"/>
              </w:rPr>
              <w:t>]</w:t>
            </w:r>
            <w:r w:rsidR="000F08DA">
              <w:rPr>
                <w:rFonts w:ascii="Book Antiqua" w:eastAsia="宋体" w:hAnsi="Book Antiqua" w:hint="eastAsia"/>
                <w:color w:val="auto"/>
                <w:lang w:val="en-GB" w:eastAsia="zh-CN"/>
              </w:rPr>
              <w:t>,</w:t>
            </w:r>
            <w:r w:rsidR="000F08DA">
              <w:rPr>
                <w:rFonts w:ascii="Book Antiqua" w:hAnsi="Book Antiqua"/>
                <w:color w:val="auto"/>
                <w:lang w:val="en-GB"/>
              </w:rPr>
              <w:t xml:space="preserve"> </w:t>
            </w:r>
            <w:r w:rsidRPr="00411A55">
              <w:rPr>
                <w:rFonts w:ascii="Book Antiqua" w:hAnsi="Book Antiqua"/>
                <w:color w:val="auto"/>
                <w:lang w:val="en-GB"/>
              </w:rPr>
              <w:t>2013</w:t>
            </w:r>
          </w:p>
        </w:tc>
        <w:tc>
          <w:tcPr>
            <w:tcW w:w="1296" w:type="dxa"/>
            <w:shd w:val="clear" w:color="auto" w:fill="auto"/>
            <w:tcMar>
              <w:top w:w="0" w:type="dxa"/>
              <w:left w:w="0" w:type="dxa"/>
              <w:bottom w:w="0" w:type="dxa"/>
              <w:right w:w="0" w:type="dxa"/>
            </w:tcMar>
            <w:vAlign w:val="center"/>
          </w:tcPr>
          <w:p w14:paraId="453CF10F" w14:textId="5BF8DA92"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Single-</w:t>
            </w:r>
            <w:r w:rsidR="00673A80" w:rsidRPr="00411A55">
              <w:rPr>
                <w:rFonts w:ascii="Book Antiqua" w:hAnsi="Book Antiqua"/>
                <w:color w:val="auto"/>
                <w:lang w:val="en-GB"/>
              </w:rPr>
              <w:t>centre</w:t>
            </w:r>
          </w:p>
          <w:p w14:paraId="4DF8AF5B"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PTA </w:t>
            </w:r>
            <w:r w:rsidRPr="00310E45">
              <w:rPr>
                <w:rFonts w:ascii="Book Antiqua" w:hAnsi="Book Antiqua"/>
                <w:i/>
                <w:color w:val="auto"/>
                <w:lang w:val="en-GB"/>
              </w:rPr>
              <w:t>vs</w:t>
            </w:r>
            <w:r w:rsidRPr="00411A55">
              <w:rPr>
                <w:rFonts w:ascii="Book Antiqua" w:hAnsi="Book Antiqua"/>
                <w:color w:val="auto"/>
                <w:lang w:val="en-GB"/>
              </w:rPr>
              <w:t xml:space="preserve"> PCB</w:t>
            </w:r>
          </w:p>
        </w:tc>
        <w:tc>
          <w:tcPr>
            <w:tcW w:w="1077" w:type="dxa"/>
            <w:shd w:val="clear" w:color="auto" w:fill="auto"/>
            <w:tcMar>
              <w:top w:w="0" w:type="dxa"/>
              <w:left w:w="0" w:type="dxa"/>
              <w:bottom w:w="0" w:type="dxa"/>
              <w:right w:w="0" w:type="dxa"/>
            </w:tcMar>
            <w:vAlign w:val="center"/>
          </w:tcPr>
          <w:p w14:paraId="586C06E8"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132 patients</w:t>
            </w:r>
          </w:p>
          <w:p w14:paraId="4351CBBF"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(67 </w:t>
            </w:r>
            <w:r w:rsidRPr="00310E45">
              <w:rPr>
                <w:rFonts w:ascii="Book Antiqua" w:hAnsi="Book Antiqua"/>
                <w:i/>
                <w:color w:val="auto"/>
                <w:lang w:val="en-GB"/>
              </w:rPr>
              <w:t>vs</w:t>
            </w:r>
            <w:r w:rsidRPr="00411A55">
              <w:rPr>
                <w:rFonts w:ascii="Book Antiqua" w:hAnsi="Book Antiqua"/>
                <w:color w:val="auto"/>
                <w:lang w:val="en-GB"/>
              </w:rPr>
              <w:t xml:space="preserve"> 65)</w:t>
            </w:r>
          </w:p>
        </w:tc>
        <w:tc>
          <w:tcPr>
            <w:tcW w:w="1031" w:type="dxa"/>
            <w:shd w:val="clear" w:color="auto" w:fill="auto"/>
            <w:tcMar>
              <w:top w:w="0" w:type="dxa"/>
              <w:left w:w="0" w:type="dxa"/>
              <w:bottom w:w="0" w:type="dxa"/>
              <w:right w:w="0" w:type="dxa"/>
            </w:tcMar>
            <w:vAlign w:val="center"/>
          </w:tcPr>
          <w:p w14:paraId="34023395" w14:textId="100B72FB"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1</w:t>
            </w:r>
            <w:r w:rsidR="000F08DA">
              <w:rPr>
                <w:rFonts w:ascii="Book Antiqua" w:hAnsi="Book Antiqua"/>
                <w:color w:val="auto"/>
                <w:lang w:val="en-GB"/>
              </w:rPr>
              <w:t xml:space="preserve"> </w:t>
            </w:r>
            <w:r w:rsidR="00310E45">
              <w:rPr>
                <w:rFonts w:ascii="Book Antiqua" w:hAnsi="Book Antiqua"/>
                <w:color w:val="auto"/>
                <w:lang w:val="en-GB"/>
              </w:rPr>
              <w:t>y</w:t>
            </w:r>
            <w:r w:rsidR="00310E45" w:rsidRPr="00411A55">
              <w:rPr>
                <w:rFonts w:ascii="Book Antiqua" w:hAnsi="Book Antiqua"/>
                <w:color w:val="auto"/>
                <w:lang w:val="en-GB"/>
              </w:rPr>
              <w:t>r</w:t>
            </w:r>
          </w:p>
        </w:tc>
        <w:tc>
          <w:tcPr>
            <w:tcW w:w="816" w:type="dxa"/>
            <w:shd w:val="clear" w:color="auto" w:fill="auto"/>
            <w:tcMar>
              <w:top w:w="0" w:type="dxa"/>
              <w:left w:w="0" w:type="dxa"/>
              <w:bottom w:w="0" w:type="dxa"/>
              <w:right w:w="0" w:type="dxa"/>
            </w:tcMar>
            <w:vAlign w:val="center"/>
          </w:tcPr>
          <w:p w14:paraId="5381A2C2"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100% </w:t>
            </w:r>
          </w:p>
        </w:tc>
        <w:tc>
          <w:tcPr>
            <w:tcW w:w="1423" w:type="dxa"/>
            <w:shd w:val="clear" w:color="auto" w:fill="auto"/>
            <w:tcMar>
              <w:top w:w="0" w:type="dxa"/>
              <w:left w:w="0" w:type="dxa"/>
              <w:bottom w:w="0" w:type="dxa"/>
              <w:right w:w="0" w:type="dxa"/>
            </w:tcMar>
            <w:vAlign w:val="center"/>
          </w:tcPr>
          <w:p w14:paraId="2F4DDF31" w14:textId="1D8DA9E5"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13.0</w:t>
            </w:r>
            <w:r w:rsidR="000F08DA">
              <w:rPr>
                <w:rFonts w:ascii="Book Antiqua" w:hAnsi="Book Antiqua"/>
                <w:color w:val="auto"/>
                <w:lang w:val="en-GB"/>
              </w:rPr>
              <w:t xml:space="preserve"> ± </w:t>
            </w:r>
            <w:r w:rsidRPr="00411A55">
              <w:rPr>
                <w:rFonts w:ascii="Book Antiqua" w:hAnsi="Book Antiqua"/>
                <w:color w:val="auto"/>
                <w:lang w:val="en-GB"/>
              </w:rPr>
              <w:t>8.0</w:t>
            </w:r>
          </w:p>
        </w:tc>
        <w:tc>
          <w:tcPr>
            <w:tcW w:w="2142" w:type="dxa"/>
            <w:shd w:val="clear" w:color="auto" w:fill="auto"/>
            <w:tcMar>
              <w:top w:w="0" w:type="dxa"/>
              <w:left w:w="0" w:type="dxa"/>
              <w:bottom w:w="0" w:type="dxa"/>
              <w:right w:w="0" w:type="dxa"/>
            </w:tcMar>
            <w:vAlign w:val="center"/>
          </w:tcPr>
          <w:p w14:paraId="59783829" w14:textId="77777777" w:rsidR="00110C9A" w:rsidRPr="00411A55" w:rsidRDefault="00110C9A" w:rsidP="003B6EBC">
            <w:pPr>
              <w:snapToGrid w:val="0"/>
              <w:spacing w:line="360" w:lineRule="auto"/>
              <w:jc w:val="both"/>
              <w:rPr>
                <w:rFonts w:ascii="Book Antiqua" w:hAnsi="Book Antiqua"/>
                <w:color w:val="auto"/>
              </w:rPr>
            </w:pPr>
          </w:p>
        </w:tc>
      </w:tr>
      <w:tr w:rsidR="00411A55" w:rsidRPr="00411A55" w14:paraId="51BEA6A9" w14:textId="77777777" w:rsidTr="00310E45">
        <w:trPr>
          <w:cantSplit/>
          <w:trHeight w:val="1240"/>
        </w:trPr>
        <w:tc>
          <w:tcPr>
            <w:tcW w:w="396" w:type="dxa"/>
            <w:vMerge/>
            <w:shd w:val="clear" w:color="auto" w:fill="auto"/>
            <w:tcMar>
              <w:top w:w="0" w:type="dxa"/>
              <w:left w:w="113" w:type="dxa"/>
              <w:bottom w:w="0" w:type="dxa"/>
              <w:right w:w="113" w:type="dxa"/>
            </w:tcMar>
            <w:vAlign w:val="center"/>
          </w:tcPr>
          <w:p w14:paraId="0D5C6681" w14:textId="77777777" w:rsidR="00110C9A" w:rsidRPr="00411A55" w:rsidRDefault="00110C9A" w:rsidP="003B6EBC">
            <w:pPr>
              <w:snapToGrid w:val="0"/>
              <w:spacing w:line="360" w:lineRule="auto"/>
              <w:jc w:val="both"/>
              <w:rPr>
                <w:rFonts w:ascii="Book Antiqua" w:hAnsi="Book Antiqua"/>
                <w:color w:val="auto"/>
              </w:rPr>
            </w:pPr>
          </w:p>
        </w:tc>
        <w:tc>
          <w:tcPr>
            <w:tcW w:w="1451" w:type="dxa"/>
            <w:shd w:val="clear" w:color="auto" w:fill="auto"/>
            <w:tcMar>
              <w:top w:w="0" w:type="dxa"/>
              <w:left w:w="0" w:type="dxa"/>
              <w:bottom w:w="0" w:type="dxa"/>
              <w:right w:w="0" w:type="dxa"/>
            </w:tcMar>
            <w:vAlign w:val="center"/>
          </w:tcPr>
          <w:p w14:paraId="2CD51C56"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IN.PACT DEEP</w:t>
            </w:r>
          </w:p>
          <w:p w14:paraId="06ACCEEF" w14:textId="44710558" w:rsidR="00110C9A" w:rsidRPr="00411A55" w:rsidRDefault="00110C9A" w:rsidP="003B6EBC">
            <w:pPr>
              <w:snapToGrid w:val="0"/>
              <w:spacing w:line="360" w:lineRule="auto"/>
              <w:jc w:val="both"/>
              <w:rPr>
                <w:rFonts w:ascii="Book Antiqua" w:hAnsi="Book Antiqua"/>
                <w:color w:val="auto"/>
                <w:vertAlign w:val="superscript"/>
                <w:lang w:val="en-GB"/>
              </w:rPr>
            </w:pPr>
            <w:r w:rsidRPr="00411A55">
              <w:rPr>
                <w:rFonts w:ascii="Book Antiqua" w:hAnsi="Book Antiqua"/>
                <w:color w:val="auto"/>
                <w:lang w:val="en-GB"/>
              </w:rPr>
              <w:t>Zeller</w:t>
            </w:r>
            <w:r w:rsidR="000F08DA">
              <w:rPr>
                <w:rFonts w:ascii="Book Antiqua" w:hAnsi="Book Antiqua"/>
                <w:color w:val="auto"/>
                <w:lang w:val="en-GB"/>
              </w:rPr>
              <w:t xml:space="preserve"> </w:t>
            </w:r>
            <w:r w:rsidR="000F08DA" w:rsidRPr="00310E45">
              <w:rPr>
                <w:rFonts w:ascii="Book Antiqua" w:hAnsi="Book Antiqua"/>
                <w:i/>
                <w:color w:val="auto"/>
                <w:lang w:val="en-GB"/>
              </w:rPr>
              <w:t>et al</w:t>
            </w:r>
            <w:r w:rsidR="000F08DA" w:rsidRPr="00411A55">
              <w:rPr>
                <w:rFonts w:ascii="Book Antiqua" w:hAnsi="Book Antiqua"/>
                <w:color w:val="auto"/>
                <w:vertAlign w:val="superscript"/>
                <w:lang w:val="en-GB"/>
              </w:rPr>
              <w:t>[</w:t>
            </w:r>
            <w:r w:rsidR="000F08DA">
              <w:rPr>
                <w:rFonts w:ascii="Book Antiqua" w:eastAsia="宋体" w:hAnsi="Book Antiqua" w:hint="eastAsia"/>
                <w:color w:val="auto"/>
                <w:vertAlign w:val="superscript"/>
                <w:lang w:val="en-GB" w:eastAsia="zh-CN"/>
              </w:rPr>
              <w:t>46</w:t>
            </w:r>
            <w:r w:rsidR="000F08DA" w:rsidRPr="00411A55">
              <w:rPr>
                <w:rFonts w:ascii="Book Antiqua" w:hAnsi="Book Antiqua"/>
                <w:color w:val="auto"/>
                <w:vertAlign w:val="superscript"/>
                <w:lang w:val="en-GB"/>
              </w:rPr>
              <w:t>]</w:t>
            </w:r>
            <w:r w:rsidR="000F08DA">
              <w:rPr>
                <w:rFonts w:ascii="Book Antiqua" w:eastAsia="宋体" w:hAnsi="Book Antiqua" w:hint="eastAsia"/>
                <w:color w:val="auto"/>
                <w:lang w:val="en-GB" w:eastAsia="zh-CN"/>
              </w:rPr>
              <w:t>,</w:t>
            </w:r>
            <w:r w:rsidR="000F08DA" w:rsidRPr="00411A55">
              <w:rPr>
                <w:rFonts w:ascii="Book Antiqua" w:hAnsi="Book Antiqua"/>
                <w:color w:val="auto"/>
                <w:lang w:val="en-GB"/>
              </w:rPr>
              <w:t xml:space="preserve"> </w:t>
            </w:r>
            <w:r w:rsidRPr="00411A55">
              <w:rPr>
                <w:rFonts w:ascii="Book Antiqua" w:hAnsi="Book Antiqua"/>
                <w:color w:val="auto"/>
                <w:lang w:val="en-GB"/>
              </w:rPr>
              <w:t>2014</w:t>
            </w:r>
          </w:p>
        </w:tc>
        <w:tc>
          <w:tcPr>
            <w:tcW w:w="1296" w:type="dxa"/>
            <w:shd w:val="clear" w:color="auto" w:fill="auto"/>
            <w:tcMar>
              <w:top w:w="0" w:type="dxa"/>
              <w:left w:w="0" w:type="dxa"/>
              <w:bottom w:w="0" w:type="dxa"/>
              <w:right w:w="0" w:type="dxa"/>
            </w:tcMar>
            <w:vAlign w:val="center"/>
          </w:tcPr>
          <w:p w14:paraId="2E8B6970" w14:textId="74E5EDED" w:rsidR="00110C9A" w:rsidRPr="00411A55" w:rsidRDefault="00673A80"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Multicentre</w:t>
            </w:r>
          </w:p>
          <w:p w14:paraId="3558B386"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PTA </w:t>
            </w:r>
            <w:r w:rsidRPr="00310E45">
              <w:rPr>
                <w:rFonts w:ascii="Book Antiqua" w:hAnsi="Book Antiqua"/>
                <w:i/>
                <w:color w:val="auto"/>
                <w:lang w:val="en-GB"/>
              </w:rPr>
              <w:t>vs</w:t>
            </w:r>
            <w:r w:rsidRPr="00411A55">
              <w:rPr>
                <w:rFonts w:ascii="Book Antiqua" w:hAnsi="Book Antiqua"/>
                <w:color w:val="auto"/>
                <w:lang w:val="en-GB"/>
              </w:rPr>
              <w:t xml:space="preserve"> PCB</w:t>
            </w:r>
          </w:p>
        </w:tc>
        <w:tc>
          <w:tcPr>
            <w:tcW w:w="1077" w:type="dxa"/>
            <w:shd w:val="clear" w:color="auto" w:fill="auto"/>
            <w:tcMar>
              <w:top w:w="0" w:type="dxa"/>
              <w:left w:w="0" w:type="dxa"/>
              <w:bottom w:w="0" w:type="dxa"/>
              <w:right w:w="0" w:type="dxa"/>
            </w:tcMar>
            <w:vAlign w:val="center"/>
          </w:tcPr>
          <w:p w14:paraId="26EBDA3F"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358 patients</w:t>
            </w:r>
          </w:p>
          <w:p w14:paraId="41207010"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(119 </w:t>
            </w:r>
            <w:r w:rsidRPr="00310E45">
              <w:rPr>
                <w:rFonts w:ascii="Book Antiqua" w:hAnsi="Book Antiqua"/>
                <w:i/>
                <w:color w:val="auto"/>
                <w:lang w:val="en-GB"/>
              </w:rPr>
              <w:t>vs</w:t>
            </w:r>
            <w:r w:rsidRPr="00411A55">
              <w:rPr>
                <w:rFonts w:ascii="Book Antiqua" w:hAnsi="Book Antiqua"/>
                <w:color w:val="auto"/>
                <w:lang w:val="en-GB"/>
              </w:rPr>
              <w:t xml:space="preserve"> 239)</w:t>
            </w:r>
          </w:p>
        </w:tc>
        <w:tc>
          <w:tcPr>
            <w:tcW w:w="1031" w:type="dxa"/>
            <w:shd w:val="clear" w:color="auto" w:fill="auto"/>
            <w:tcMar>
              <w:top w:w="0" w:type="dxa"/>
              <w:left w:w="0" w:type="dxa"/>
              <w:bottom w:w="0" w:type="dxa"/>
              <w:right w:w="0" w:type="dxa"/>
            </w:tcMar>
            <w:vAlign w:val="center"/>
          </w:tcPr>
          <w:p w14:paraId="1477F31A" w14:textId="238569C5"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1</w:t>
            </w:r>
            <w:r w:rsidR="000F08DA">
              <w:rPr>
                <w:rFonts w:ascii="Book Antiqua" w:hAnsi="Book Antiqua"/>
                <w:color w:val="auto"/>
                <w:lang w:val="en-GB"/>
              </w:rPr>
              <w:t xml:space="preserve"> </w:t>
            </w:r>
            <w:r w:rsidR="00310E45">
              <w:rPr>
                <w:rFonts w:ascii="Book Antiqua" w:hAnsi="Book Antiqua"/>
                <w:color w:val="auto"/>
                <w:lang w:val="en-GB"/>
              </w:rPr>
              <w:t>y</w:t>
            </w:r>
            <w:r w:rsidR="00310E45" w:rsidRPr="00411A55">
              <w:rPr>
                <w:rFonts w:ascii="Book Antiqua" w:hAnsi="Book Antiqua"/>
                <w:color w:val="auto"/>
                <w:lang w:val="en-GB"/>
              </w:rPr>
              <w:t>r</w:t>
            </w:r>
          </w:p>
        </w:tc>
        <w:tc>
          <w:tcPr>
            <w:tcW w:w="816" w:type="dxa"/>
            <w:shd w:val="clear" w:color="auto" w:fill="auto"/>
            <w:tcMar>
              <w:top w:w="0" w:type="dxa"/>
              <w:left w:w="0" w:type="dxa"/>
              <w:bottom w:w="0" w:type="dxa"/>
              <w:right w:w="0" w:type="dxa"/>
            </w:tcMar>
            <w:vAlign w:val="center"/>
          </w:tcPr>
          <w:p w14:paraId="58B5E564"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99.7%</w:t>
            </w:r>
          </w:p>
        </w:tc>
        <w:tc>
          <w:tcPr>
            <w:tcW w:w="1423" w:type="dxa"/>
            <w:shd w:val="clear" w:color="auto" w:fill="auto"/>
            <w:tcMar>
              <w:top w:w="0" w:type="dxa"/>
              <w:left w:w="0" w:type="dxa"/>
              <w:bottom w:w="0" w:type="dxa"/>
              <w:right w:w="0" w:type="dxa"/>
            </w:tcMar>
            <w:vAlign w:val="center"/>
          </w:tcPr>
          <w:p w14:paraId="552E08F7" w14:textId="5880C365"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11.1</w:t>
            </w:r>
            <w:r w:rsidR="000F08DA">
              <w:rPr>
                <w:rFonts w:ascii="Book Antiqua" w:hAnsi="Book Antiqua"/>
                <w:color w:val="auto"/>
                <w:lang w:val="en-GB"/>
              </w:rPr>
              <w:t xml:space="preserve"> ± </w:t>
            </w:r>
            <w:r w:rsidRPr="00411A55">
              <w:rPr>
                <w:rFonts w:ascii="Book Antiqua" w:hAnsi="Book Antiqua"/>
                <w:color w:val="auto"/>
                <w:lang w:val="en-GB"/>
              </w:rPr>
              <w:t>9.0</w:t>
            </w:r>
          </w:p>
        </w:tc>
        <w:tc>
          <w:tcPr>
            <w:tcW w:w="2142" w:type="dxa"/>
            <w:shd w:val="clear" w:color="auto" w:fill="auto"/>
            <w:tcMar>
              <w:top w:w="0" w:type="dxa"/>
              <w:left w:w="0" w:type="dxa"/>
              <w:bottom w:w="0" w:type="dxa"/>
              <w:right w:w="0" w:type="dxa"/>
            </w:tcMar>
            <w:vAlign w:val="center"/>
          </w:tcPr>
          <w:p w14:paraId="621ACB30" w14:textId="7A0DDBE9"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TLR:</w:t>
            </w:r>
            <w:r w:rsidR="00411A55">
              <w:rPr>
                <w:rFonts w:ascii="Book Antiqua" w:hAnsi="Book Antiqua"/>
                <w:color w:val="auto"/>
                <w:lang w:val="en-GB"/>
              </w:rPr>
              <w:t xml:space="preserve"> </w:t>
            </w:r>
            <w:r w:rsidRPr="00411A55">
              <w:rPr>
                <w:rFonts w:ascii="Book Antiqua" w:hAnsi="Book Antiqua"/>
                <w:color w:val="auto"/>
                <w:lang w:val="en-GB"/>
              </w:rPr>
              <w:t xml:space="preserve">9.2% PCB </w:t>
            </w:r>
            <w:r w:rsidR="002B5C16" w:rsidRPr="002B5C16">
              <w:rPr>
                <w:rFonts w:ascii="Book Antiqua" w:hAnsi="Book Antiqua"/>
                <w:i/>
                <w:color w:val="auto"/>
                <w:lang w:val="en-GB"/>
              </w:rPr>
              <w:t>vs</w:t>
            </w:r>
            <w:r w:rsidR="000F08DA">
              <w:rPr>
                <w:rFonts w:ascii="Book Antiqua" w:eastAsia="宋体" w:hAnsi="Book Antiqua" w:hint="eastAsia"/>
                <w:i/>
                <w:color w:val="auto"/>
                <w:lang w:val="en-GB" w:eastAsia="zh-CN"/>
              </w:rPr>
              <w:t xml:space="preserve"> </w:t>
            </w:r>
            <w:r w:rsidRPr="00411A55">
              <w:rPr>
                <w:rFonts w:ascii="Book Antiqua" w:hAnsi="Book Antiqua"/>
                <w:color w:val="auto"/>
                <w:lang w:val="en-GB"/>
              </w:rPr>
              <w:t>13.1% PTA;</w:t>
            </w:r>
            <w:r w:rsidR="000F08DA">
              <w:rPr>
                <w:rFonts w:ascii="Book Antiqua" w:hAnsi="Book Antiqua"/>
                <w:color w:val="auto"/>
                <w:lang w:val="en-GB"/>
              </w:rPr>
              <w:t xml:space="preserve"> </w:t>
            </w:r>
            <w:r w:rsidR="000F08DA" w:rsidRPr="000F08DA">
              <w:rPr>
                <w:rFonts w:ascii="Book Antiqua" w:hAnsi="Book Antiqua"/>
                <w:i/>
                <w:color w:val="auto"/>
                <w:lang w:val="en-GB"/>
              </w:rPr>
              <w:t>P</w:t>
            </w:r>
            <w:r w:rsidR="000F08DA" w:rsidRPr="00411A55">
              <w:rPr>
                <w:rFonts w:ascii="Book Antiqua" w:hAnsi="Book Antiqua"/>
                <w:color w:val="auto"/>
                <w:lang w:val="en-GB"/>
              </w:rPr>
              <w:t xml:space="preserve"> </w:t>
            </w:r>
            <w:r w:rsidRPr="00411A55">
              <w:rPr>
                <w:rFonts w:ascii="Book Antiqua" w:hAnsi="Book Antiqua"/>
                <w:color w:val="auto"/>
                <w:lang w:val="en-GB"/>
              </w:rPr>
              <w:t>=</w:t>
            </w:r>
            <w:r w:rsidR="000F08DA">
              <w:rPr>
                <w:rFonts w:ascii="Book Antiqua" w:eastAsia="宋体" w:hAnsi="Book Antiqua" w:hint="eastAsia"/>
                <w:color w:val="auto"/>
                <w:lang w:val="en-GB" w:eastAsia="zh-CN"/>
              </w:rPr>
              <w:t xml:space="preserve"> </w:t>
            </w:r>
            <w:r w:rsidRPr="00411A55">
              <w:rPr>
                <w:rFonts w:ascii="Book Antiqua" w:hAnsi="Book Antiqua"/>
                <w:color w:val="auto"/>
                <w:lang w:val="en-GB"/>
              </w:rPr>
              <w:t xml:space="preserve">0.291 </w:t>
            </w:r>
          </w:p>
          <w:p w14:paraId="38F1DA03" w14:textId="33E5839A"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LLL: 0.61</w:t>
            </w:r>
            <w:r w:rsidR="000F08DA">
              <w:rPr>
                <w:rFonts w:ascii="Book Antiqua" w:hAnsi="Book Antiqua"/>
                <w:color w:val="auto"/>
                <w:lang w:val="en-GB"/>
              </w:rPr>
              <w:t xml:space="preserve"> ± </w:t>
            </w:r>
            <w:r w:rsidRPr="00411A55">
              <w:rPr>
                <w:rFonts w:ascii="Book Antiqua" w:hAnsi="Book Antiqua"/>
                <w:color w:val="auto"/>
                <w:lang w:val="en-GB"/>
              </w:rPr>
              <w:t>0.78</w:t>
            </w:r>
            <w:r w:rsidR="000F08DA">
              <w:rPr>
                <w:rFonts w:ascii="Book Antiqua" w:eastAsia="宋体" w:hAnsi="Book Antiqua" w:hint="eastAsia"/>
                <w:color w:val="auto"/>
                <w:lang w:val="en-GB" w:eastAsia="zh-CN"/>
              </w:rPr>
              <w:t xml:space="preserve"> </w:t>
            </w:r>
            <w:r w:rsidRPr="00411A55">
              <w:rPr>
                <w:rFonts w:ascii="Book Antiqua" w:hAnsi="Book Antiqua"/>
                <w:color w:val="auto"/>
                <w:lang w:val="en-GB"/>
              </w:rPr>
              <w:t xml:space="preserve">mm DCB </w:t>
            </w:r>
            <w:r w:rsidR="002B5C16" w:rsidRPr="002B5C16">
              <w:rPr>
                <w:rFonts w:ascii="Book Antiqua" w:hAnsi="Book Antiqua"/>
                <w:i/>
                <w:color w:val="auto"/>
                <w:lang w:val="en-GB"/>
              </w:rPr>
              <w:t>vs</w:t>
            </w:r>
            <w:r w:rsidRPr="00411A55">
              <w:rPr>
                <w:rFonts w:ascii="Book Antiqua" w:hAnsi="Book Antiqua"/>
                <w:color w:val="auto"/>
                <w:lang w:val="en-GB"/>
              </w:rPr>
              <w:t xml:space="preserve"> 0.62</w:t>
            </w:r>
            <w:r w:rsidR="000F08DA">
              <w:rPr>
                <w:rFonts w:ascii="Book Antiqua" w:hAnsi="Book Antiqua"/>
                <w:color w:val="auto"/>
                <w:lang w:val="en-GB"/>
              </w:rPr>
              <w:t xml:space="preserve"> ± </w:t>
            </w:r>
            <w:r w:rsidRPr="00411A55">
              <w:rPr>
                <w:rFonts w:ascii="Book Antiqua" w:hAnsi="Book Antiqua"/>
                <w:color w:val="auto"/>
                <w:lang w:val="en-GB"/>
              </w:rPr>
              <w:t>0.78</w:t>
            </w:r>
            <w:r w:rsidR="000F08DA">
              <w:rPr>
                <w:rFonts w:ascii="Book Antiqua" w:eastAsia="宋体" w:hAnsi="Book Antiqua" w:hint="eastAsia"/>
                <w:color w:val="auto"/>
                <w:lang w:val="en-GB" w:eastAsia="zh-CN"/>
              </w:rPr>
              <w:t xml:space="preserve"> </w:t>
            </w:r>
            <w:r w:rsidRPr="00411A55">
              <w:rPr>
                <w:rFonts w:ascii="Book Antiqua" w:hAnsi="Book Antiqua"/>
                <w:color w:val="auto"/>
                <w:lang w:val="en-GB"/>
              </w:rPr>
              <w:t xml:space="preserve">mm PTA; </w:t>
            </w:r>
          </w:p>
          <w:p w14:paraId="31457C4F" w14:textId="0036E85D" w:rsidR="00110C9A" w:rsidRPr="00411A55" w:rsidRDefault="000F08DA" w:rsidP="003B6EBC">
            <w:pPr>
              <w:snapToGrid w:val="0"/>
              <w:spacing w:line="360" w:lineRule="auto"/>
              <w:jc w:val="both"/>
              <w:rPr>
                <w:rFonts w:ascii="Book Antiqua" w:hAnsi="Book Antiqua"/>
                <w:color w:val="auto"/>
                <w:lang w:val="en-GB"/>
              </w:rPr>
            </w:pPr>
            <w:r w:rsidRPr="000F08DA">
              <w:rPr>
                <w:rFonts w:ascii="Book Antiqua" w:hAnsi="Book Antiqua"/>
                <w:i/>
                <w:color w:val="auto"/>
                <w:lang w:val="en-GB"/>
              </w:rPr>
              <w:t>P</w:t>
            </w:r>
            <w:r w:rsidRPr="00411A55">
              <w:rPr>
                <w:rFonts w:ascii="Book Antiqua" w:hAnsi="Book Antiqua"/>
                <w:color w:val="auto"/>
                <w:lang w:val="en-GB"/>
              </w:rPr>
              <w:t xml:space="preserve"> </w:t>
            </w:r>
            <w:r w:rsidR="00110C9A" w:rsidRPr="00411A55">
              <w:rPr>
                <w:rFonts w:ascii="Book Antiqua" w:hAnsi="Book Antiqua"/>
                <w:color w:val="auto"/>
                <w:lang w:val="en-GB"/>
              </w:rPr>
              <w:t>= 0.950</w:t>
            </w:r>
          </w:p>
        </w:tc>
      </w:tr>
      <w:tr w:rsidR="00411A55" w:rsidRPr="00411A55" w14:paraId="337BF0A8" w14:textId="77777777" w:rsidTr="00310E45">
        <w:trPr>
          <w:cantSplit/>
          <w:trHeight w:val="700"/>
        </w:trPr>
        <w:tc>
          <w:tcPr>
            <w:tcW w:w="396" w:type="dxa"/>
            <w:vMerge/>
            <w:shd w:val="clear" w:color="auto" w:fill="auto"/>
            <w:tcMar>
              <w:top w:w="0" w:type="dxa"/>
              <w:left w:w="113" w:type="dxa"/>
              <w:bottom w:w="0" w:type="dxa"/>
              <w:right w:w="113" w:type="dxa"/>
            </w:tcMar>
            <w:vAlign w:val="center"/>
          </w:tcPr>
          <w:p w14:paraId="1A0C7192" w14:textId="77777777" w:rsidR="00110C9A" w:rsidRPr="00411A55" w:rsidRDefault="00110C9A" w:rsidP="003B6EBC">
            <w:pPr>
              <w:snapToGrid w:val="0"/>
              <w:spacing w:line="360" w:lineRule="auto"/>
              <w:jc w:val="both"/>
              <w:rPr>
                <w:rFonts w:ascii="Book Antiqua" w:hAnsi="Book Antiqua"/>
                <w:color w:val="auto"/>
              </w:rPr>
            </w:pPr>
          </w:p>
        </w:tc>
        <w:tc>
          <w:tcPr>
            <w:tcW w:w="1451" w:type="dxa"/>
            <w:shd w:val="clear" w:color="auto" w:fill="auto"/>
            <w:tcMar>
              <w:top w:w="0" w:type="dxa"/>
              <w:left w:w="0" w:type="dxa"/>
              <w:bottom w:w="0" w:type="dxa"/>
              <w:right w:w="0" w:type="dxa"/>
            </w:tcMar>
            <w:vAlign w:val="center"/>
          </w:tcPr>
          <w:p w14:paraId="6A6DAF26" w14:textId="3811D822" w:rsidR="00110C9A" w:rsidRPr="00411A55" w:rsidRDefault="00110C9A" w:rsidP="003B6EBC">
            <w:pPr>
              <w:snapToGrid w:val="0"/>
              <w:spacing w:line="360" w:lineRule="auto"/>
              <w:jc w:val="both"/>
              <w:rPr>
                <w:rFonts w:ascii="Book Antiqua" w:hAnsi="Book Antiqua"/>
                <w:color w:val="auto"/>
                <w:vertAlign w:val="superscript"/>
                <w:lang w:val="en-GB"/>
              </w:rPr>
            </w:pPr>
            <w:r w:rsidRPr="00411A55">
              <w:rPr>
                <w:rFonts w:ascii="Book Antiqua" w:hAnsi="Book Antiqua"/>
                <w:color w:val="auto"/>
                <w:lang w:val="en-GB"/>
              </w:rPr>
              <w:t>BIOLUX P-II Zeller</w:t>
            </w:r>
            <w:r w:rsidR="000F08DA">
              <w:rPr>
                <w:rFonts w:ascii="Book Antiqua" w:hAnsi="Book Antiqua"/>
                <w:color w:val="auto"/>
                <w:lang w:val="en-GB"/>
              </w:rPr>
              <w:t xml:space="preserve"> </w:t>
            </w:r>
            <w:r w:rsidR="000F08DA" w:rsidRPr="00310E45">
              <w:rPr>
                <w:rFonts w:ascii="Book Antiqua" w:hAnsi="Book Antiqua"/>
                <w:i/>
                <w:color w:val="auto"/>
                <w:lang w:val="en-GB"/>
              </w:rPr>
              <w:t>et al</w:t>
            </w:r>
            <w:r w:rsidR="000F08DA" w:rsidRPr="00411A55">
              <w:rPr>
                <w:rFonts w:ascii="Book Antiqua" w:hAnsi="Book Antiqua"/>
                <w:color w:val="auto"/>
                <w:vertAlign w:val="superscript"/>
                <w:lang w:val="en-GB"/>
              </w:rPr>
              <w:t>[</w:t>
            </w:r>
            <w:r w:rsidR="000F08DA">
              <w:rPr>
                <w:rFonts w:ascii="Book Antiqua" w:eastAsia="宋体" w:hAnsi="Book Antiqua" w:hint="eastAsia"/>
                <w:color w:val="auto"/>
                <w:vertAlign w:val="superscript"/>
                <w:lang w:val="en-GB" w:eastAsia="zh-CN"/>
              </w:rPr>
              <w:t>47</w:t>
            </w:r>
            <w:r w:rsidR="000F08DA" w:rsidRPr="00411A55">
              <w:rPr>
                <w:rFonts w:ascii="Book Antiqua" w:hAnsi="Book Antiqua"/>
                <w:color w:val="auto"/>
                <w:vertAlign w:val="superscript"/>
                <w:lang w:val="en-GB"/>
              </w:rPr>
              <w:t>]</w:t>
            </w:r>
            <w:r w:rsidR="000F08DA">
              <w:rPr>
                <w:rFonts w:ascii="Book Antiqua" w:eastAsia="宋体" w:hAnsi="Book Antiqua" w:hint="eastAsia"/>
                <w:color w:val="auto"/>
                <w:lang w:val="en-GB" w:eastAsia="zh-CN"/>
              </w:rPr>
              <w:t>,</w:t>
            </w:r>
            <w:r w:rsidR="000F08DA" w:rsidRPr="00411A55">
              <w:rPr>
                <w:rFonts w:ascii="Book Antiqua" w:hAnsi="Book Antiqua"/>
                <w:color w:val="auto"/>
                <w:lang w:val="en-GB"/>
              </w:rPr>
              <w:t xml:space="preserve"> </w:t>
            </w:r>
            <w:r w:rsidRPr="00411A55">
              <w:rPr>
                <w:rFonts w:ascii="Book Antiqua" w:hAnsi="Book Antiqua"/>
                <w:color w:val="auto"/>
                <w:lang w:val="en-GB"/>
              </w:rPr>
              <w:t>2015</w:t>
            </w:r>
          </w:p>
        </w:tc>
        <w:tc>
          <w:tcPr>
            <w:tcW w:w="1296" w:type="dxa"/>
            <w:shd w:val="clear" w:color="auto" w:fill="auto"/>
            <w:tcMar>
              <w:top w:w="0" w:type="dxa"/>
              <w:left w:w="0" w:type="dxa"/>
              <w:bottom w:w="0" w:type="dxa"/>
              <w:right w:w="0" w:type="dxa"/>
            </w:tcMar>
            <w:vAlign w:val="center"/>
          </w:tcPr>
          <w:p w14:paraId="0CE53F17" w14:textId="06F67102" w:rsidR="00110C9A" w:rsidRPr="00411A55" w:rsidRDefault="00673A80"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Multicentre</w:t>
            </w:r>
          </w:p>
          <w:p w14:paraId="51B2199D"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PTA </w:t>
            </w:r>
            <w:r w:rsidRPr="00310E45">
              <w:rPr>
                <w:rFonts w:ascii="Book Antiqua" w:hAnsi="Book Antiqua"/>
                <w:i/>
                <w:color w:val="auto"/>
                <w:lang w:val="en-GB"/>
              </w:rPr>
              <w:t>vs</w:t>
            </w:r>
            <w:r w:rsidRPr="00411A55">
              <w:rPr>
                <w:rFonts w:ascii="Book Antiqua" w:hAnsi="Book Antiqua"/>
                <w:color w:val="auto"/>
                <w:lang w:val="en-GB"/>
              </w:rPr>
              <w:t xml:space="preserve"> PCB</w:t>
            </w:r>
          </w:p>
        </w:tc>
        <w:tc>
          <w:tcPr>
            <w:tcW w:w="1077" w:type="dxa"/>
            <w:shd w:val="clear" w:color="auto" w:fill="auto"/>
            <w:tcMar>
              <w:top w:w="0" w:type="dxa"/>
              <w:left w:w="0" w:type="dxa"/>
              <w:bottom w:w="0" w:type="dxa"/>
              <w:right w:w="0" w:type="dxa"/>
            </w:tcMar>
            <w:vAlign w:val="center"/>
          </w:tcPr>
          <w:p w14:paraId="388D8815"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72 patients</w:t>
            </w:r>
          </w:p>
          <w:p w14:paraId="28AA649F"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(36 </w:t>
            </w:r>
            <w:r w:rsidRPr="00310E45">
              <w:rPr>
                <w:rFonts w:ascii="Book Antiqua" w:hAnsi="Book Antiqua"/>
                <w:i/>
                <w:color w:val="auto"/>
                <w:lang w:val="en-GB"/>
              </w:rPr>
              <w:t xml:space="preserve">vs </w:t>
            </w:r>
            <w:r w:rsidRPr="00411A55">
              <w:rPr>
                <w:rFonts w:ascii="Book Antiqua" w:hAnsi="Book Antiqua"/>
                <w:color w:val="auto"/>
                <w:lang w:val="en-GB"/>
              </w:rPr>
              <w:t>36)</w:t>
            </w:r>
          </w:p>
        </w:tc>
        <w:tc>
          <w:tcPr>
            <w:tcW w:w="1031" w:type="dxa"/>
            <w:shd w:val="clear" w:color="auto" w:fill="auto"/>
            <w:tcMar>
              <w:top w:w="0" w:type="dxa"/>
              <w:left w:w="0" w:type="dxa"/>
              <w:bottom w:w="0" w:type="dxa"/>
              <w:right w:w="0" w:type="dxa"/>
            </w:tcMar>
            <w:vAlign w:val="center"/>
          </w:tcPr>
          <w:p w14:paraId="2BE2FD2E" w14:textId="58B1C4DD" w:rsidR="00110C9A" w:rsidRPr="00411A55" w:rsidRDefault="00310E45" w:rsidP="003B6EBC">
            <w:pPr>
              <w:snapToGrid w:val="0"/>
              <w:spacing w:line="360" w:lineRule="auto"/>
              <w:jc w:val="both"/>
              <w:rPr>
                <w:rFonts w:ascii="Book Antiqua" w:hAnsi="Book Antiqua"/>
                <w:color w:val="auto"/>
                <w:lang w:val="en-GB"/>
              </w:rPr>
            </w:pPr>
            <w:r>
              <w:rPr>
                <w:rFonts w:ascii="Book Antiqua" w:hAnsi="Book Antiqua"/>
                <w:color w:val="auto"/>
                <w:lang w:val="en-GB"/>
              </w:rPr>
              <w:t>1 y</w:t>
            </w:r>
            <w:r w:rsidR="00110C9A" w:rsidRPr="00411A55">
              <w:rPr>
                <w:rFonts w:ascii="Book Antiqua" w:hAnsi="Book Antiqua"/>
                <w:color w:val="auto"/>
                <w:lang w:val="en-GB"/>
              </w:rPr>
              <w:t>r</w:t>
            </w:r>
          </w:p>
        </w:tc>
        <w:tc>
          <w:tcPr>
            <w:tcW w:w="816" w:type="dxa"/>
            <w:shd w:val="clear" w:color="auto" w:fill="auto"/>
            <w:tcMar>
              <w:top w:w="0" w:type="dxa"/>
              <w:left w:w="0" w:type="dxa"/>
              <w:bottom w:w="0" w:type="dxa"/>
              <w:right w:w="0" w:type="dxa"/>
            </w:tcMar>
            <w:vAlign w:val="center"/>
          </w:tcPr>
          <w:p w14:paraId="3E17AA3F"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77.8% </w:t>
            </w:r>
          </w:p>
        </w:tc>
        <w:tc>
          <w:tcPr>
            <w:tcW w:w="1423" w:type="dxa"/>
            <w:shd w:val="clear" w:color="auto" w:fill="auto"/>
            <w:tcMar>
              <w:top w:w="0" w:type="dxa"/>
              <w:left w:w="0" w:type="dxa"/>
              <w:bottom w:w="0" w:type="dxa"/>
              <w:right w:w="0" w:type="dxa"/>
            </w:tcMar>
            <w:vAlign w:val="center"/>
          </w:tcPr>
          <w:p w14:paraId="2CEB193E" w14:textId="289AEFE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11.4</w:t>
            </w:r>
            <w:r w:rsidR="000F08DA">
              <w:rPr>
                <w:rFonts w:ascii="Book Antiqua" w:hAnsi="Book Antiqua"/>
                <w:color w:val="auto"/>
                <w:lang w:val="en-GB"/>
              </w:rPr>
              <w:t xml:space="preserve"> ± </w:t>
            </w:r>
            <w:r w:rsidRPr="00411A55">
              <w:rPr>
                <w:rFonts w:ascii="Book Antiqua" w:hAnsi="Book Antiqua"/>
                <w:color w:val="auto"/>
                <w:lang w:val="en-GB"/>
              </w:rPr>
              <w:t>8.7</w:t>
            </w:r>
          </w:p>
        </w:tc>
        <w:tc>
          <w:tcPr>
            <w:tcW w:w="2142" w:type="dxa"/>
            <w:shd w:val="clear" w:color="auto" w:fill="auto"/>
            <w:tcMar>
              <w:top w:w="0" w:type="dxa"/>
              <w:left w:w="0" w:type="dxa"/>
              <w:bottom w:w="0" w:type="dxa"/>
              <w:right w:w="0" w:type="dxa"/>
            </w:tcMar>
            <w:vAlign w:val="center"/>
          </w:tcPr>
          <w:p w14:paraId="523417A5" w14:textId="7332A484"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6 mo patency loss: 17.1% PCB </w:t>
            </w:r>
            <w:r w:rsidR="002B5C16" w:rsidRPr="002B5C16">
              <w:rPr>
                <w:rFonts w:ascii="Book Antiqua" w:hAnsi="Book Antiqua"/>
                <w:i/>
                <w:color w:val="auto"/>
                <w:lang w:val="en-GB"/>
              </w:rPr>
              <w:t>vs</w:t>
            </w:r>
            <w:r w:rsidRPr="00411A55">
              <w:rPr>
                <w:rFonts w:ascii="Book Antiqua" w:hAnsi="Book Antiqua"/>
                <w:color w:val="auto"/>
                <w:lang w:val="en-GB"/>
              </w:rPr>
              <w:t xml:space="preserve"> 26.1% PTA;</w:t>
            </w:r>
            <w:r w:rsidR="000F08DA">
              <w:rPr>
                <w:rFonts w:ascii="Book Antiqua" w:hAnsi="Book Antiqua"/>
                <w:color w:val="auto"/>
                <w:lang w:val="en-GB"/>
              </w:rPr>
              <w:t xml:space="preserve"> </w:t>
            </w:r>
            <w:r w:rsidR="000F08DA" w:rsidRPr="000F08DA">
              <w:rPr>
                <w:rFonts w:ascii="Book Antiqua" w:hAnsi="Book Antiqua"/>
                <w:i/>
                <w:color w:val="auto"/>
                <w:lang w:val="en-GB"/>
              </w:rPr>
              <w:t>P</w:t>
            </w:r>
            <w:r w:rsidR="000F08DA">
              <w:rPr>
                <w:rFonts w:ascii="Book Antiqua" w:hAnsi="Book Antiqua"/>
                <w:color w:val="auto"/>
                <w:lang w:val="en-GB"/>
              </w:rPr>
              <w:t xml:space="preserve"> </w:t>
            </w:r>
            <w:r w:rsidRPr="00411A55">
              <w:rPr>
                <w:rFonts w:ascii="Book Antiqua" w:hAnsi="Book Antiqua"/>
                <w:color w:val="auto"/>
                <w:lang w:val="en-GB"/>
              </w:rPr>
              <w:t>= 0.298</w:t>
            </w:r>
          </w:p>
        </w:tc>
      </w:tr>
      <w:tr w:rsidR="00411A55" w:rsidRPr="00411A55" w14:paraId="1B25A6B3" w14:textId="77777777" w:rsidTr="00310E45">
        <w:trPr>
          <w:cantSplit/>
          <w:trHeight w:val="985"/>
        </w:trPr>
        <w:tc>
          <w:tcPr>
            <w:tcW w:w="396" w:type="dxa"/>
            <w:vMerge/>
            <w:shd w:val="clear" w:color="auto" w:fill="auto"/>
            <w:tcMar>
              <w:top w:w="0" w:type="dxa"/>
              <w:left w:w="113" w:type="dxa"/>
              <w:bottom w:w="0" w:type="dxa"/>
              <w:right w:w="113" w:type="dxa"/>
            </w:tcMar>
            <w:vAlign w:val="center"/>
          </w:tcPr>
          <w:p w14:paraId="34CC1D19" w14:textId="77777777" w:rsidR="00110C9A" w:rsidRPr="00411A55" w:rsidRDefault="00110C9A" w:rsidP="003B6EBC">
            <w:pPr>
              <w:snapToGrid w:val="0"/>
              <w:spacing w:line="360" w:lineRule="auto"/>
              <w:jc w:val="both"/>
              <w:rPr>
                <w:rFonts w:ascii="Book Antiqua" w:hAnsi="Book Antiqua"/>
                <w:color w:val="auto"/>
              </w:rPr>
            </w:pPr>
          </w:p>
        </w:tc>
        <w:tc>
          <w:tcPr>
            <w:tcW w:w="1451" w:type="dxa"/>
            <w:shd w:val="clear" w:color="auto" w:fill="auto"/>
            <w:tcMar>
              <w:top w:w="0" w:type="dxa"/>
              <w:left w:w="0" w:type="dxa"/>
              <w:bottom w:w="0" w:type="dxa"/>
              <w:right w:w="0" w:type="dxa"/>
            </w:tcMar>
            <w:vAlign w:val="center"/>
          </w:tcPr>
          <w:p w14:paraId="1585072D"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IDEAS</w:t>
            </w:r>
          </w:p>
          <w:p w14:paraId="2B70FA94" w14:textId="731141B7" w:rsidR="00110C9A" w:rsidRPr="00411A55" w:rsidRDefault="00110C9A" w:rsidP="003B6EBC">
            <w:pPr>
              <w:snapToGrid w:val="0"/>
              <w:spacing w:line="360" w:lineRule="auto"/>
              <w:jc w:val="both"/>
              <w:rPr>
                <w:rFonts w:ascii="Book Antiqua" w:hAnsi="Book Antiqua"/>
                <w:color w:val="auto"/>
                <w:vertAlign w:val="superscript"/>
                <w:lang w:val="en-GB"/>
              </w:rPr>
            </w:pPr>
            <w:r w:rsidRPr="00411A55">
              <w:rPr>
                <w:rFonts w:ascii="Book Antiqua" w:hAnsi="Book Antiqua"/>
                <w:color w:val="auto"/>
                <w:lang w:val="en-GB"/>
              </w:rPr>
              <w:t>Siablis</w:t>
            </w:r>
            <w:r w:rsidR="000F08DA">
              <w:rPr>
                <w:rFonts w:ascii="Book Antiqua" w:hAnsi="Book Antiqua"/>
                <w:color w:val="auto"/>
                <w:lang w:val="en-GB"/>
              </w:rPr>
              <w:t xml:space="preserve"> </w:t>
            </w:r>
            <w:r w:rsidR="000F08DA" w:rsidRPr="00310E45">
              <w:rPr>
                <w:rFonts w:ascii="Book Antiqua" w:hAnsi="Book Antiqua"/>
                <w:i/>
                <w:color w:val="auto"/>
                <w:lang w:val="en-GB"/>
              </w:rPr>
              <w:t>et al</w:t>
            </w:r>
            <w:r w:rsidR="000F08DA" w:rsidRPr="00411A55">
              <w:rPr>
                <w:rFonts w:ascii="Book Antiqua" w:hAnsi="Book Antiqua"/>
                <w:color w:val="auto"/>
                <w:vertAlign w:val="superscript"/>
                <w:lang w:val="en-GB"/>
              </w:rPr>
              <w:t>[</w:t>
            </w:r>
            <w:r w:rsidR="000F08DA">
              <w:rPr>
                <w:rFonts w:ascii="Book Antiqua" w:eastAsia="宋体" w:hAnsi="Book Antiqua" w:hint="eastAsia"/>
                <w:color w:val="auto"/>
                <w:vertAlign w:val="superscript"/>
                <w:lang w:val="en-GB" w:eastAsia="zh-CN"/>
              </w:rPr>
              <w:t>52</w:t>
            </w:r>
            <w:r w:rsidR="000F08DA" w:rsidRPr="00411A55">
              <w:rPr>
                <w:rFonts w:ascii="Book Antiqua" w:hAnsi="Book Antiqua"/>
                <w:color w:val="auto"/>
                <w:vertAlign w:val="superscript"/>
                <w:lang w:val="en-GB"/>
              </w:rPr>
              <w:t>]</w:t>
            </w:r>
            <w:r w:rsidR="000F08DA">
              <w:rPr>
                <w:rFonts w:ascii="Book Antiqua" w:eastAsia="宋体" w:hAnsi="Book Antiqua" w:hint="eastAsia"/>
                <w:color w:val="auto"/>
                <w:lang w:val="en-GB" w:eastAsia="zh-CN"/>
              </w:rPr>
              <w:t>,</w:t>
            </w:r>
            <w:r w:rsidR="000F08DA">
              <w:rPr>
                <w:rFonts w:ascii="Book Antiqua" w:hAnsi="Book Antiqua"/>
                <w:color w:val="auto"/>
                <w:lang w:val="en-GB"/>
              </w:rPr>
              <w:t xml:space="preserve"> </w:t>
            </w:r>
            <w:r w:rsidRPr="00411A55">
              <w:rPr>
                <w:rFonts w:ascii="Book Antiqua" w:hAnsi="Book Antiqua"/>
                <w:color w:val="auto"/>
                <w:lang w:val="en-GB"/>
              </w:rPr>
              <w:t>2014</w:t>
            </w:r>
          </w:p>
        </w:tc>
        <w:tc>
          <w:tcPr>
            <w:tcW w:w="1296" w:type="dxa"/>
            <w:shd w:val="clear" w:color="auto" w:fill="auto"/>
            <w:tcMar>
              <w:top w:w="0" w:type="dxa"/>
              <w:left w:w="0" w:type="dxa"/>
              <w:bottom w:w="0" w:type="dxa"/>
              <w:right w:w="0" w:type="dxa"/>
            </w:tcMar>
            <w:vAlign w:val="center"/>
          </w:tcPr>
          <w:p w14:paraId="2849C035" w14:textId="375A06D6"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Single-</w:t>
            </w:r>
            <w:r w:rsidR="00673A80" w:rsidRPr="00411A55">
              <w:rPr>
                <w:rFonts w:ascii="Book Antiqua" w:hAnsi="Book Antiqua"/>
                <w:color w:val="auto"/>
                <w:lang w:val="en-GB"/>
              </w:rPr>
              <w:t>centre</w:t>
            </w:r>
          </w:p>
          <w:p w14:paraId="305F6CD3"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PCB</w:t>
            </w:r>
            <w:r w:rsidRPr="00310E45">
              <w:rPr>
                <w:rFonts w:ascii="Book Antiqua" w:hAnsi="Book Antiqua"/>
                <w:i/>
                <w:color w:val="auto"/>
                <w:lang w:val="en-GB"/>
              </w:rPr>
              <w:t xml:space="preserve"> vs</w:t>
            </w:r>
            <w:r w:rsidRPr="00411A55">
              <w:rPr>
                <w:rFonts w:ascii="Book Antiqua" w:hAnsi="Book Antiqua"/>
                <w:color w:val="auto"/>
                <w:lang w:val="en-GB"/>
              </w:rPr>
              <w:t xml:space="preserve"> DES</w:t>
            </w:r>
          </w:p>
        </w:tc>
        <w:tc>
          <w:tcPr>
            <w:tcW w:w="1077" w:type="dxa"/>
            <w:shd w:val="clear" w:color="auto" w:fill="auto"/>
            <w:tcMar>
              <w:top w:w="0" w:type="dxa"/>
              <w:left w:w="0" w:type="dxa"/>
              <w:bottom w:w="0" w:type="dxa"/>
              <w:right w:w="0" w:type="dxa"/>
            </w:tcMar>
            <w:vAlign w:val="center"/>
          </w:tcPr>
          <w:p w14:paraId="57DE9DA3"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50 patients</w:t>
            </w:r>
          </w:p>
          <w:p w14:paraId="12525EE5" w14:textId="395BBF85"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(25 </w:t>
            </w:r>
            <w:r w:rsidR="002B5C16" w:rsidRPr="002B5C16">
              <w:rPr>
                <w:rFonts w:ascii="Book Antiqua" w:hAnsi="Book Antiqua"/>
                <w:i/>
                <w:color w:val="auto"/>
                <w:lang w:val="en-GB"/>
              </w:rPr>
              <w:t>vs</w:t>
            </w:r>
            <w:r w:rsidRPr="00411A55">
              <w:rPr>
                <w:rFonts w:ascii="Book Antiqua" w:hAnsi="Book Antiqua"/>
                <w:color w:val="auto"/>
                <w:lang w:val="en-GB"/>
              </w:rPr>
              <w:t xml:space="preserve"> 25)</w:t>
            </w:r>
          </w:p>
        </w:tc>
        <w:tc>
          <w:tcPr>
            <w:tcW w:w="1031" w:type="dxa"/>
            <w:shd w:val="clear" w:color="auto" w:fill="auto"/>
            <w:tcMar>
              <w:top w:w="0" w:type="dxa"/>
              <w:left w:w="0" w:type="dxa"/>
              <w:bottom w:w="0" w:type="dxa"/>
              <w:right w:w="0" w:type="dxa"/>
            </w:tcMar>
            <w:vAlign w:val="center"/>
          </w:tcPr>
          <w:p w14:paraId="7D0F2126" w14:textId="3ECDE122"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6 mo</w:t>
            </w:r>
          </w:p>
        </w:tc>
        <w:tc>
          <w:tcPr>
            <w:tcW w:w="816" w:type="dxa"/>
            <w:shd w:val="clear" w:color="auto" w:fill="auto"/>
            <w:tcMar>
              <w:top w:w="0" w:type="dxa"/>
              <w:left w:w="0" w:type="dxa"/>
              <w:bottom w:w="0" w:type="dxa"/>
              <w:right w:w="0" w:type="dxa"/>
            </w:tcMar>
            <w:vAlign w:val="center"/>
          </w:tcPr>
          <w:p w14:paraId="4877A438"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100% </w:t>
            </w:r>
          </w:p>
        </w:tc>
        <w:tc>
          <w:tcPr>
            <w:tcW w:w="1423" w:type="dxa"/>
            <w:shd w:val="clear" w:color="auto" w:fill="auto"/>
            <w:tcMar>
              <w:top w:w="0" w:type="dxa"/>
              <w:left w:w="0" w:type="dxa"/>
              <w:bottom w:w="0" w:type="dxa"/>
              <w:right w:w="0" w:type="dxa"/>
            </w:tcMar>
            <w:vAlign w:val="center"/>
          </w:tcPr>
          <w:p w14:paraId="30E3C419" w14:textId="2733E4DC"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DES 12.7</w:t>
            </w:r>
            <w:r w:rsidR="000F08DA">
              <w:rPr>
                <w:rFonts w:ascii="Book Antiqua" w:hAnsi="Book Antiqua"/>
                <w:color w:val="auto"/>
                <w:lang w:val="en-GB"/>
              </w:rPr>
              <w:t xml:space="preserve"> ± </w:t>
            </w:r>
            <w:r w:rsidRPr="00411A55">
              <w:rPr>
                <w:rFonts w:ascii="Book Antiqua" w:hAnsi="Book Antiqua"/>
                <w:color w:val="auto"/>
                <w:lang w:val="en-GB"/>
              </w:rPr>
              <w:t>4.6</w:t>
            </w:r>
          </w:p>
          <w:p w14:paraId="2CE6BF10" w14:textId="7A967F21"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PCB 14.8</w:t>
            </w:r>
            <w:r w:rsidR="000F08DA">
              <w:rPr>
                <w:rFonts w:ascii="Book Antiqua" w:hAnsi="Book Antiqua"/>
                <w:color w:val="auto"/>
                <w:lang w:val="en-GB"/>
              </w:rPr>
              <w:t xml:space="preserve"> ± </w:t>
            </w:r>
            <w:r w:rsidRPr="00411A55">
              <w:rPr>
                <w:rFonts w:ascii="Book Antiqua" w:hAnsi="Book Antiqua"/>
                <w:color w:val="auto"/>
                <w:lang w:val="en-GB"/>
              </w:rPr>
              <w:t>5.6</w:t>
            </w:r>
          </w:p>
        </w:tc>
        <w:tc>
          <w:tcPr>
            <w:tcW w:w="2142" w:type="dxa"/>
            <w:shd w:val="clear" w:color="auto" w:fill="auto"/>
            <w:tcMar>
              <w:top w:w="0" w:type="dxa"/>
              <w:left w:w="0" w:type="dxa"/>
              <w:bottom w:w="0" w:type="dxa"/>
              <w:right w:w="0" w:type="dxa"/>
            </w:tcMar>
            <w:vAlign w:val="center"/>
          </w:tcPr>
          <w:p w14:paraId="2B3C8355" w14:textId="77777777"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Angiographic binary restenosis</w:t>
            </w:r>
          </w:p>
          <w:p w14:paraId="4B872866" w14:textId="376C0ACF" w:rsidR="00110C9A" w:rsidRPr="00411A55" w:rsidRDefault="00110C9A" w:rsidP="003B6EBC">
            <w:pPr>
              <w:snapToGrid w:val="0"/>
              <w:spacing w:line="360" w:lineRule="auto"/>
              <w:jc w:val="both"/>
              <w:rPr>
                <w:rFonts w:ascii="Book Antiqua" w:hAnsi="Book Antiqua"/>
                <w:color w:val="auto"/>
                <w:lang w:val="en-GB"/>
              </w:rPr>
            </w:pPr>
            <w:r w:rsidRPr="00411A55">
              <w:rPr>
                <w:rFonts w:ascii="Book Antiqua" w:hAnsi="Book Antiqua"/>
                <w:color w:val="auto"/>
                <w:lang w:val="en-GB"/>
              </w:rPr>
              <w:t xml:space="preserve">DES 28% </w:t>
            </w:r>
            <w:r w:rsidR="002B5C16" w:rsidRPr="002B5C16">
              <w:rPr>
                <w:rFonts w:ascii="Book Antiqua" w:hAnsi="Book Antiqua"/>
                <w:i/>
                <w:color w:val="auto"/>
                <w:lang w:val="en-GB"/>
              </w:rPr>
              <w:t>vs</w:t>
            </w:r>
            <w:r w:rsidR="000F08DA">
              <w:rPr>
                <w:rFonts w:ascii="Book Antiqua" w:eastAsia="宋体" w:hAnsi="Book Antiqua" w:hint="eastAsia"/>
                <w:i/>
                <w:color w:val="auto"/>
                <w:lang w:val="en-GB" w:eastAsia="zh-CN"/>
              </w:rPr>
              <w:t xml:space="preserve"> </w:t>
            </w:r>
            <w:r w:rsidRPr="00411A55">
              <w:rPr>
                <w:rFonts w:ascii="Book Antiqua" w:hAnsi="Book Antiqua"/>
                <w:color w:val="auto"/>
                <w:lang w:val="en-GB"/>
              </w:rPr>
              <w:t>57.9% in PCB</w:t>
            </w:r>
            <w:r w:rsidR="000F08DA">
              <w:rPr>
                <w:rFonts w:ascii="Book Antiqua" w:eastAsia="宋体" w:hAnsi="Book Antiqua" w:hint="eastAsia"/>
                <w:color w:val="auto"/>
                <w:lang w:val="en-GB" w:eastAsia="zh-CN"/>
              </w:rPr>
              <w:t>;</w:t>
            </w:r>
            <w:r w:rsidR="000F08DA">
              <w:rPr>
                <w:rFonts w:ascii="Book Antiqua" w:hAnsi="Book Antiqua"/>
                <w:color w:val="auto"/>
                <w:lang w:val="en-GB"/>
              </w:rPr>
              <w:t xml:space="preserve"> </w:t>
            </w:r>
            <w:r w:rsidR="000F08DA" w:rsidRPr="000F08DA">
              <w:rPr>
                <w:rFonts w:ascii="Book Antiqua" w:hAnsi="Book Antiqua"/>
                <w:i/>
                <w:color w:val="auto"/>
                <w:lang w:val="en-GB"/>
              </w:rPr>
              <w:t>P</w:t>
            </w:r>
            <w:r w:rsidR="000F08DA" w:rsidRPr="00411A55">
              <w:rPr>
                <w:rFonts w:ascii="Book Antiqua" w:hAnsi="Book Antiqua"/>
                <w:color w:val="auto"/>
                <w:lang w:val="en-GB"/>
              </w:rPr>
              <w:t xml:space="preserve"> </w:t>
            </w:r>
            <w:r w:rsidRPr="00411A55">
              <w:rPr>
                <w:rFonts w:ascii="Book Antiqua" w:hAnsi="Book Antiqua"/>
                <w:color w:val="auto"/>
                <w:lang w:val="en-GB"/>
              </w:rPr>
              <w:t>= 0.0457</w:t>
            </w:r>
          </w:p>
        </w:tc>
      </w:tr>
    </w:tbl>
    <w:p w14:paraId="2979EEB8" w14:textId="77777777" w:rsidR="00110C9A" w:rsidRPr="00411A55" w:rsidRDefault="00110C9A" w:rsidP="003B6EBC">
      <w:pPr>
        <w:pStyle w:val="FreeForm"/>
        <w:snapToGrid w:val="0"/>
        <w:spacing w:line="360" w:lineRule="auto"/>
        <w:jc w:val="both"/>
        <w:rPr>
          <w:rFonts w:ascii="Book Antiqua" w:hAnsi="Book Antiqua"/>
          <w:color w:val="auto"/>
          <w:sz w:val="24"/>
          <w:szCs w:val="24"/>
          <w:lang w:val="en-US"/>
        </w:rPr>
      </w:pPr>
    </w:p>
    <w:p w14:paraId="45C9BFF6" w14:textId="79417FC8" w:rsidR="00110C9A" w:rsidRPr="00411A55" w:rsidRDefault="000F08DA" w:rsidP="003B6E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line="360" w:lineRule="auto"/>
        <w:jc w:val="both"/>
        <w:rPr>
          <w:rFonts w:ascii="Book Antiqua" w:eastAsia="Times New Roman" w:hAnsi="Book Antiqua"/>
          <w:color w:val="auto"/>
          <w:szCs w:val="24"/>
          <w:lang w:bidi="x-none"/>
        </w:rPr>
      </w:pPr>
      <w:r w:rsidRPr="000F08DA">
        <w:rPr>
          <w:rFonts w:ascii="Book Antiqua" w:hAnsi="Book Antiqua"/>
          <w:color w:val="auto"/>
          <w:szCs w:val="24"/>
          <w:lang w:val="en-GB"/>
        </w:rPr>
        <w:t xml:space="preserve">PTA: </w:t>
      </w:r>
      <w:r w:rsidRPr="000F08DA">
        <w:rPr>
          <w:rFonts w:ascii="Book Antiqua" w:hAnsi="Book Antiqua"/>
          <w:color w:val="auto"/>
          <w:lang w:val="en-GB"/>
        </w:rPr>
        <w:t xml:space="preserve">Percutaneous </w:t>
      </w:r>
      <w:r w:rsidRPr="000F08DA">
        <w:rPr>
          <w:rFonts w:ascii="Book Antiqua" w:hAnsi="Book Antiqua"/>
          <w:color w:val="auto"/>
          <w:szCs w:val="24"/>
          <w:lang w:val="en-GB"/>
        </w:rPr>
        <w:t xml:space="preserve">transluminal angioplasty; CLI: </w:t>
      </w:r>
      <w:r w:rsidRPr="000F08DA">
        <w:rPr>
          <w:rFonts w:ascii="Book Antiqua" w:hAnsi="Book Antiqua"/>
          <w:color w:val="auto"/>
          <w:lang w:val="en-GB"/>
        </w:rPr>
        <w:t xml:space="preserve">Critical </w:t>
      </w:r>
      <w:r w:rsidRPr="000F08DA">
        <w:rPr>
          <w:rFonts w:ascii="Book Antiqua" w:hAnsi="Book Antiqua"/>
          <w:color w:val="auto"/>
          <w:szCs w:val="24"/>
          <w:lang w:val="en-GB"/>
        </w:rPr>
        <w:t xml:space="preserve">limb ischemia; BMS: </w:t>
      </w:r>
      <w:r w:rsidRPr="000F08DA">
        <w:rPr>
          <w:rFonts w:ascii="Book Antiqua" w:hAnsi="Book Antiqua"/>
          <w:color w:val="auto"/>
          <w:lang w:val="en-GB"/>
        </w:rPr>
        <w:t xml:space="preserve">Bare </w:t>
      </w:r>
      <w:r w:rsidRPr="000F08DA">
        <w:rPr>
          <w:rFonts w:ascii="Book Antiqua" w:hAnsi="Book Antiqua"/>
          <w:color w:val="auto"/>
          <w:szCs w:val="24"/>
          <w:lang w:val="en-GB"/>
        </w:rPr>
        <w:t xml:space="preserve">metal stent; PCB: Paclitaxel-coated balloon; DES: </w:t>
      </w:r>
      <w:r w:rsidRPr="000F08DA">
        <w:rPr>
          <w:rFonts w:ascii="Book Antiqua" w:hAnsi="Book Antiqua"/>
          <w:color w:val="auto"/>
          <w:lang w:val="en-GB"/>
        </w:rPr>
        <w:t>Drug</w:t>
      </w:r>
      <w:r w:rsidRPr="000F08DA">
        <w:rPr>
          <w:rFonts w:ascii="Book Antiqua" w:hAnsi="Book Antiqua"/>
          <w:color w:val="auto"/>
          <w:szCs w:val="24"/>
          <w:lang w:val="en-GB"/>
        </w:rPr>
        <w:t xml:space="preserve">-eluting stent; PES: </w:t>
      </w:r>
      <w:r w:rsidRPr="000F08DA">
        <w:rPr>
          <w:rFonts w:ascii="Book Antiqua" w:hAnsi="Book Antiqua"/>
          <w:color w:val="auto"/>
          <w:lang w:val="en-GB"/>
        </w:rPr>
        <w:t>Paclitaxel</w:t>
      </w:r>
      <w:r w:rsidRPr="000F08DA">
        <w:rPr>
          <w:rFonts w:ascii="Book Antiqua" w:hAnsi="Book Antiqua"/>
          <w:color w:val="auto"/>
          <w:szCs w:val="24"/>
          <w:lang w:val="en-GB"/>
        </w:rPr>
        <w:t xml:space="preserve">-eluting stent; SES: </w:t>
      </w:r>
      <w:r w:rsidRPr="000F08DA">
        <w:rPr>
          <w:rFonts w:ascii="Book Antiqua" w:hAnsi="Book Antiqua"/>
          <w:color w:val="auto"/>
          <w:lang w:val="en-GB"/>
        </w:rPr>
        <w:t>Sirolimus</w:t>
      </w:r>
      <w:r w:rsidR="008F44AC">
        <w:rPr>
          <w:rFonts w:ascii="Book Antiqua" w:hAnsi="Book Antiqua"/>
          <w:color w:val="auto"/>
          <w:lang w:val="en-GB"/>
        </w:rPr>
        <w:t>-</w:t>
      </w:r>
      <w:r w:rsidRPr="000F08DA">
        <w:rPr>
          <w:rFonts w:ascii="Book Antiqua" w:hAnsi="Book Antiqua"/>
          <w:color w:val="auto"/>
          <w:szCs w:val="24"/>
          <w:lang w:val="en-GB"/>
        </w:rPr>
        <w:t xml:space="preserve">eluting stent; TLR: </w:t>
      </w:r>
      <w:r w:rsidRPr="000F08DA">
        <w:rPr>
          <w:rFonts w:ascii="Book Antiqua" w:hAnsi="Book Antiqua"/>
          <w:color w:val="auto"/>
          <w:lang w:val="en-GB"/>
        </w:rPr>
        <w:t xml:space="preserve">Target </w:t>
      </w:r>
      <w:r w:rsidRPr="000F08DA">
        <w:rPr>
          <w:rFonts w:ascii="Book Antiqua" w:hAnsi="Book Antiqua"/>
          <w:color w:val="auto"/>
          <w:szCs w:val="24"/>
          <w:lang w:val="en-GB"/>
        </w:rPr>
        <w:t xml:space="preserve">lesion revascularization; CLI: </w:t>
      </w:r>
      <w:r w:rsidRPr="000F08DA">
        <w:rPr>
          <w:rFonts w:ascii="Book Antiqua" w:hAnsi="Book Antiqua"/>
          <w:color w:val="auto"/>
          <w:lang w:val="en-GB"/>
        </w:rPr>
        <w:t xml:space="preserve">Critical </w:t>
      </w:r>
      <w:r w:rsidRPr="000F08DA">
        <w:rPr>
          <w:rFonts w:ascii="Book Antiqua" w:hAnsi="Book Antiqua"/>
          <w:color w:val="auto"/>
          <w:szCs w:val="24"/>
          <w:lang w:val="en-GB"/>
        </w:rPr>
        <w:t xml:space="preserve">leg ischemia; LLL: </w:t>
      </w:r>
      <w:r w:rsidRPr="000F08DA">
        <w:rPr>
          <w:rFonts w:ascii="Book Antiqua" w:hAnsi="Book Antiqua"/>
          <w:color w:val="auto"/>
          <w:lang w:val="en-GB"/>
        </w:rPr>
        <w:t xml:space="preserve">Late </w:t>
      </w:r>
      <w:r w:rsidRPr="000F08DA">
        <w:rPr>
          <w:rFonts w:ascii="Book Antiqua" w:hAnsi="Book Antiqua"/>
          <w:color w:val="auto"/>
          <w:szCs w:val="24"/>
          <w:lang w:val="en-GB"/>
        </w:rPr>
        <w:t>lumen loss</w:t>
      </w:r>
      <w:r w:rsidRPr="000F08DA">
        <w:rPr>
          <w:rFonts w:ascii="Book Antiqua" w:eastAsia="宋体" w:hAnsi="Book Antiqua" w:hint="eastAsia"/>
          <w:color w:val="auto"/>
          <w:lang w:val="en-GB" w:eastAsia="zh-CN"/>
        </w:rPr>
        <w:t>.</w:t>
      </w:r>
      <w:bookmarkEnd w:id="0"/>
    </w:p>
    <w:sectPr w:rsidR="00110C9A" w:rsidRPr="00411A55" w:rsidSect="003B6EBC">
      <w:headerReference w:type="even" r:id="rId8"/>
      <w:footerReference w:type="even" r:id="rId9"/>
      <w:footerReference w:type="default" r:id="rId10"/>
      <w:pgSz w:w="11900" w:h="16840"/>
      <w:pgMar w:top="1440" w:right="1440" w:bottom="1440" w:left="1440" w:header="706"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77D7A" w14:textId="77777777" w:rsidR="0042354C" w:rsidRDefault="0042354C">
      <w:r>
        <w:separator/>
      </w:r>
    </w:p>
  </w:endnote>
  <w:endnote w:type="continuationSeparator" w:id="0">
    <w:p w14:paraId="789824B2" w14:textId="77777777" w:rsidR="0042354C" w:rsidRDefault="0042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ヒラギノ角ゴ Pro W3">
    <w:altName w:val="MS Gothic"/>
    <w:charset w:val="80"/>
    <w:family w:val="swiss"/>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20000A87" w:usb1="00000000" w:usb2="00000000" w:usb3="00000000" w:csb0="000001B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8203B" w14:textId="77777777" w:rsidR="005B28DC" w:rsidRPr="00234DCA" w:rsidRDefault="005B28DC" w:rsidP="005B28DC">
    <w:pPr>
      <w:pStyle w:val="a6"/>
      <w:framePr w:wrap="none" w:vAnchor="text" w:hAnchor="margin" w:xAlign="center" w:y="1"/>
      <w:rPr>
        <w:rStyle w:val="a9"/>
        <w:rFonts w:ascii="Book Antiqua" w:hAnsi="Book Antiqua"/>
        <w:sz w:val="24"/>
        <w:szCs w:val="24"/>
      </w:rPr>
    </w:pPr>
    <w:r w:rsidRPr="00234DCA">
      <w:rPr>
        <w:rStyle w:val="a9"/>
        <w:rFonts w:ascii="Book Antiqua" w:hAnsi="Book Antiqua"/>
        <w:sz w:val="24"/>
        <w:szCs w:val="24"/>
      </w:rPr>
      <w:fldChar w:fldCharType="begin"/>
    </w:r>
    <w:r w:rsidRPr="00234DCA">
      <w:rPr>
        <w:rStyle w:val="a9"/>
        <w:rFonts w:ascii="Book Antiqua" w:hAnsi="Book Antiqua"/>
        <w:sz w:val="24"/>
        <w:szCs w:val="24"/>
      </w:rPr>
      <w:instrText xml:space="preserve">PAGE  </w:instrText>
    </w:r>
    <w:r w:rsidRPr="00234DCA">
      <w:rPr>
        <w:rStyle w:val="a9"/>
        <w:rFonts w:ascii="Book Antiqua" w:hAnsi="Book Antiqua"/>
        <w:sz w:val="24"/>
        <w:szCs w:val="24"/>
      </w:rPr>
      <w:fldChar w:fldCharType="separate"/>
    </w:r>
    <w:r w:rsidR="00132BC2">
      <w:rPr>
        <w:rStyle w:val="a9"/>
        <w:rFonts w:ascii="Book Antiqua" w:hAnsi="Book Antiqua"/>
        <w:noProof/>
        <w:sz w:val="24"/>
        <w:szCs w:val="24"/>
      </w:rPr>
      <w:t>2</w:t>
    </w:r>
    <w:r w:rsidRPr="00234DCA">
      <w:rPr>
        <w:rStyle w:val="a9"/>
        <w:rFonts w:ascii="Book Antiqua" w:hAnsi="Book Antiqua"/>
        <w:sz w:val="24"/>
        <w:szCs w:val="24"/>
      </w:rPr>
      <w:fldChar w:fldCharType="end"/>
    </w:r>
  </w:p>
  <w:p w14:paraId="1D2149F4" w14:textId="77777777" w:rsidR="005B28DC" w:rsidRDefault="005B28DC">
    <w:pPr>
      <w:pStyle w:val="FreeForm"/>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95F5D" w14:textId="77777777" w:rsidR="005B28DC" w:rsidRPr="00234DCA" w:rsidRDefault="005B28DC" w:rsidP="005B28DC">
    <w:pPr>
      <w:pStyle w:val="a6"/>
      <w:framePr w:wrap="none" w:vAnchor="text" w:hAnchor="margin" w:xAlign="center" w:y="1"/>
      <w:rPr>
        <w:rStyle w:val="a9"/>
        <w:rFonts w:ascii="Book Antiqua" w:hAnsi="Book Antiqua"/>
        <w:sz w:val="24"/>
        <w:szCs w:val="24"/>
      </w:rPr>
    </w:pPr>
    <w:r w:rsidRPr="00234DCA">
      <w:rPr>
        <w:rStyle w:val="a9"/>
        <w:rFonts w:ascii="Book Antiqua" w:hAnsi="Book Antiqua"/>
        <w:sz w:val="24"/>
        <w:szCs w:val="24"/>
      </w:rPr>
      <w:fldChar w:fldCharType="begin"/>
    </w:r>
    <w:r w:rsidRPr="00234DCA">
      <w:rPr>
        <w:rStyle w:val="a9"/>
        <w:rFonts w:ascii="Book Antiqua" w:hAnsi="Book Antiqua"/>
        <w:sz w:val="24"/>
        <w:szCs w:val="24"/>
      </w:rPr>
      <w:instrText xml:space="preserve">PAGE  </w:instrText>
    </w:r>
    <w:r w:rsidRPr="00234DCA">
      <w:rPr>
        <w:rStyle w:val="a9"/>
        <w:rFonts w:ascii="Book Antiqua" w:hAnsi="Book Antiqua"/>
        <w:sz w:val="24"/>
        <w:szCs w:val="24"/>
      </w:rPr>
      <w:fldChar w:fldCharType="separate"/>
    </w:r>
    <w:r w:rsidR="00132BC2">
      <w:rPr>
        <w:rStyle w:val="a9"/>
        <w:rFonts w:ascii="Book Antiqua" w:hAnsi="Book Antiqua"/>
        <w:noProof/>
        <w:sz w:val="24"/>
        <w:szCs w:val="24"/>
      </w:rPr>
      <w:t>9</w:t>
    </w:r>
    <w:r w:rsidRPr="00234DCA">
      <w:rPr>
        <w:rStyle w:val="a9"/>
        <w:rFonts w:ascii="Book Antiqua" w:hAnsi="Book Antiqua"/>
        <w:sz w:val="24"/>
        <w:szCs w:val="24"/>
      </w:rPr>
      <w:fldChar w:fldCharType="end"/>
    </w:r>
  </w:p>
  <w:p w14:paraId="354173A2" w14:textId="77777777" w:rsidR="005B28DC" w:rsidRDefault="005B28DC">
    <w:pPr>
      <w:pStyle w:val="FreeForm"/>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23AFD" w14:textId="77777777" w:rsidR="0042354C" w:rsidRDefault="0042354C">
      <w:r>
        <w:separator/>
      </w:r>
    </w:p>
  </w:footnote>
  <w:footnote w:type="continuationSeparator" w:id="0">
    <w:p w14:paraId="6D72BF67" w14:textId="77777777" w:rsidR="0042354C" w:rsidRDefault="00423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28215" w14:textId="3C67C749" w:rsidR="005B28DC" w:rsidRDefault="005B28DC">
    <w:pPr>
      <w:pStyle w:val="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suff w:val="nothing"/>
      <w:lvlText w:val="%1."/>
      <w:lvlJc w:val="left"/>
      <w:pPr>
        <w:ind w:left="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removePersonalInformation/>
  <w:removeDateAndTime/>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A2"/>
    <w:rsid w:val="0003549A"/>
    <w:rsid w:val="00063F10"/>
    <w:rsid w:val="000922DE"/>
    <w:rsid w:val="00094F61"/>
    <w:rsid w:val="000A02A2"/>
    <w:rsid w:val="000B2456"/>
    <w:rsid w:val="000B2840"/>
    <w:rsid w:val="000D7777"/>
    <w:rsid w:val="000F08DA"/>
    <w:rsid w:val="0010162F"/>
    <w:rsid w:val="00102E09"/>
    <w:rsid w:val="00104819"/>
    <w:rsid w:val="00110C9A"/>
    <w:rsid w:val="001148DB"/>
    <w:rsid w:val="00117487"/>
    <w:rsid w:val="00132BC2"/>
    <w:rsid w:val="00134C4A"/>
    <w:rsid w:val="0014407C"/>
    <w:rsid w:val="001554A1"/>
    <w:rsid w:val="00175B41"/>
    <w:rsid w:val="00176B9C"/>
    <w:rsid w:val="001847AB"/>
    <w:rsid w:val="001B4A3C"/>
    <w:rsid w:val="001D6E4A"/>
    <w:rsid w:val="00206596"/>
    <w:rsid w:val="002223E6"/>
    <w:rsid w:val="002227F1"/>
    <w:rsid w:val="00227B79"/>
    <w:rsid w:val="00232E91"/>
    <w:rsid w:val="00234DCA"/>
    <w:rsid w:val="00277ED4"/>
    <w:rsid w:val="002959B6"/>
    <w:rsid w:val="002B5C16"/>
    <w:rsid w:val="002B7883"/>
    <w:rsid w:val="002C61AD"/>
    <w:rsid w:val="002E3063"/>
    <w:rsid w:val="002F1FCB"/>
    <w:rsid w:val="00310E45"/>
    <w:rsid w:val="003316A7"/>
    <w:rsid w:val="00350710"/>
    <w:rsid w:val="0035300A"/>
    <w:rsid w:val="0035639C"/>
    <w:rsid w:val="00361100"/>
    <w:rsid w:val="003662DC"/>
    <w:rsid w:val="00377E9D"/>
    <w:rsid w:val="00385A36"/>
    <w:rsid w:val="003A79BC"/>
    <w:rsid w:val="003B6EBC"/>
    <w:rsid w:val="003C4957"/>
    <w:rsid w:val="0040518C"/>
    <w:rsid w:val="00406225"/>
    <w:rsid w:val="00411A55"/>
    <w:rsid w:val="00417EDC"/>
    <w:rsid w:val="0042354C"/>
    <w:rsid w:val="00437706"/>
    <w:rsid w:val="00450DE3"/>
    <w:rsid w:val="00460148"/>
    <w:rsid w:val="00486336"/>
    <w:rsid w:val="00507133"/>
    <w:rsid w:val="005149EB"/>
    <w:rsid w:val="00527067"/>
    <w:rsid w:val="00574C23"/>
    <w:rsid w:val="00575195"/>
    <w:rsid w:val="005A73DE"/>
    <w:rsid w:val="005B28DC"/>
    <w:rsid w:val="005F5479"/>
    <w:rsid w:val="00600481"/>
    <w:rsid w:val="00614878"/>
    <w:rsid w:val="00615731"/>
    <w:rsid w:val="00632052"/>
    <w:rsid w:val="0065646C"/>
    <w:rsid w:val="00667F53"/>
    <w:rsid w:val="00673A80"/>
    <w:rsid w:val="006E1A09"/>
    <w:rsid w:val="007211CA"/>
    <w:rsid w:val="0072555B"/>
    <w:rsid w:val="00752EE8"/>
    <w:rsid w:val="00755338"/>
    <w:rsid w:val="0077510B"/>
    <w:rsid w:val="00780AF4"/>
    <w:rsid w:val="00790E0B"/>
    <w:rsid w:val="007B57D9"/>
    <w:rsid w:val="00800D51"/>
    <w:rsid w:val="0081636D"/>
    <w:rsid w:val="008645C4"/>
    <w:rsid w:val="00874F83"/>
    <w:rsid w:val="0088005E"/>
    <w:rsid w:val="008A63EA"/>
    <w:rsid w:val="008B74B5"/>
    <w:rsid w:val="008C2446"/>
    <w:rsid w:val="008C26A0"/>
    <w:rsid w:val="008F44AC"/>
    <w:rsid w:val="0090263B"/>
    <w:rsid w:val="00902D3F"/>
    <w:rsid w:val="00923CBF"/>
    <w:rsid w:val="00925597"/>
    <w:rsid w:val="009362C9"/>
    <w:rsid w:val="0093790F"/>
    <w:rsid w:val="00952218"/>
    <w:rsid w:val="009608A4"/>
    <w:rsid w:val="009A3B0A"/>
    <w:rsid w:val="009A4F40"/>
    <w:rsid w:val="009B52F3"/>
    <w:rsid w:val="00A35948"/>
    <w:rsid w:val="00A61A66"/>
    <w:rsid w:val="00A717E7"/>
    <w:rsid w:val="00A75329"/>
    <w:rsid w:val="00A87F6E"/>
    <w:rsid w:val="00A93C53"/>
    <w:rsid w:val="00AC2501"/>
    <w:rsid w:val="00AC6113"/>
    <w:rsid w:val="00AD558E"/>
    <w:rsid w:val="00AF686F"/>
    <w:rsid w:val="00B03D09"/>
    <w:rsid w:val="00B36BE9"/>
    <w:rsid w:val="00B6026C"/>
    <w:rsid w:val="00B6750A"/>
    <w:rsid w:val="00B712F0"/>
    <w:rsid w:val="00BC542C"/>
    <w:rsid w:val="00BD755B"/>
    <w:rsid w:val="00BD78FA"/>
    <w:rsid w:val="00BE4B9D"/>
    <w:rsid w:val="00C413E8"/>
    <w:rsid w:val="00CD787F"/>
    <w:rsid w:val="00CF2478"/>
    <w:rsid w:val="00D15C76"/>
    <w:rsid w:val="00D82E19"/>
    <w:rsid w:val="00D954CE"/>
    <w:rsid w:val="00DA0838"/>
    <w:rsid w:val="00DC4615"/>
    <w:rsid w:val="00DF5328"/>
    <w:rsid w:val="00E25BD1"/>
    <w:rsid w:val="00E31E2E"/>
    <w:rsid w:val="00E370AF"/>
    <w:rsid w:val="00E37BBB"/>
    <w:rsid w:val="00E66230"/>
    <w:rsid w:val="00E72E12"/>
    <w:rsid w:val="00E73A17"/>
    <w:rsid w:val="00E751C5"/>
    <w:rsid w:val="00E76BA8"/>
    <w:rsid w:val="00E86B47"/>
    <w:rsid w:val="00EA3775"/>
    <w:rsid w:val="00EC1124"/>
    <w:rsid w:val="00EF2666"/>
    <w:rsid w:val="00F1601A"/>
    <w:rsid w:val="00F319DE"/>
    <w:rsid w:val="00F50A0D"/>
    <w:rsid w:val="00F6699B"/>
    <w:rsid w:val="00F706EC"/>
    <w:rsid w:val="00F70C55"/>
    <w:rsid w:val="00F723E0"/>
    <w:rsid w:val="00F76D21"/>
    <w:rsid w:val="00F807C7"/>
    <w:rsid w:val="00F8305A"/>
    <w:rsid w:val="00FA3372"/>
    <w:rsid w:val="00FB72E2"/>
    <w:rsid w:val="00FB7505"/>
    <w:rsid w:val="00FD4513"/>
    <w:rsid w:val="00FE0C11"/>
    <w:rsid w:val="00FE0D8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F0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l-GR" w:eastAsia="el-GR"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Pr>
      <w:rFonts w:eastAsia="ヒラギノ角ゴ Pro W3"/>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Επικεφαλίδα 21"/>
    <w:next w:val="Body"/>
    <w:autoRedefine/>
    <w:qFormat/>
    <w:pPr>
      <w:keepNext/>
      <w:outlineLvl w:val="1"/>
    </w:pPr>
    <w:rPr>
      <w:rFonts w:ascii="Helvetica" w:eastAsia="ヒラギノ角ゴ Pro W3" w:hAnsi="Helvetica"/>
      <w:b/>
      <w:color w:val="000000"/>
      <w:sz w:val="24"/>
      <w:lang w:val="en-US"/>
    </w:rPr>
  </w:style>
  <w:style w:type="paragraph" w:customStyle="1" w:styleId="1">
    <w:name w:val="Κεφαλίδα1"/>
    <w:pPr>
      <w:tabs>
        <w:tab w:val="center" w:pos="4513"/>
        <w:tab w:val="right" w:pos="9026"/>
      </w:tabs>
    </w:pPr>
    <w:rPr>
      <w:rFonts w:eastAsia="ヒラギノ角ゴ Pro W3"/>
      <w:color w:val="000000"/>
      <w:sz w:val="24"/>
      <w:lang w:val="en-US"/>
    </w:rPr>
  </w:style>
  <w:style w:type="paragraph" w:customStyle="1" w:styleId="FreeForm">
    <w:name w:val="Free Form"/>
    <w:rPr>
      <w:rFonts w:eastAsia="ヒラギノ角ゴ Pro W3"/>
      <w:color w:val="000000"/>
    </w:rPr>
  </w:style>
  <w:style w:type="paragraph" w:customStyle="1" w:styleId="BodyA">
    <w:name w:val="Body A"/>
    <w:rPr>
      <w:rFonts w:ascii="Helvetica" w:eastAsia="ヒラギノ角ゴ Pro W3" w:hAnsi="Helvetica"/>
      <w:color w:val="000000"/>
      <w:sz w:val="24"/>
      <w:lang w:val="en-US"/>
    </w:rPr>
  </w:style>
  <w:style w:type="paragraph" w:customStyle="1" w:styleId="Body">
    <w:name w:val="Body"/>
    <w:rPr>
      <w:rFonts w:ascii="Helvetica" w:eastAsia="ヒラギノ角ゴ Pro W3" w:hAnsi="Helvetica"/>
      <w:color w:val="000000"/>
      <w:sz w:val="24"/>
      <w:lang w:val="en-US"/>
    </w:rPr>
  </w:style>
  <w:style w:type="paragraph" w:styleId="a3">
    <w:name w:val="Balloon Text"/>
    <w:basedOn w:val="a"/>
    <w:link w:val="Char"/>
    <w:locked/>
    <w:rsid w:val="00417EDC"/>
    <w:rPr>
      <w:rFonts w:ascii="Segoe UI" w:hAnsi="Segoe UI" w:cs="Segoe UI"/>
      <w:sz w:val="18"/>
      <w:szCs w:val="18"/>
    </w:rPr>
  </w:style>
  <w:style w:type="character" w:customStyle="1" w:styleId="Char">
    <w:name w:val="批注框文本 Char"/>
    <w:basedOn w:val="a0"/>
    <w:link w:val="a3"/>
    <w:rsid w:val="00417EDC"/>
    <w:rPr>
      <w:rFonts w:ascii="Segoe UI" w:eastAsia="ヒラギノ角ゴ Pro W3" w:hAnsi="Segoe UI" w:cs="Segoe UI"/>
      <w:color w:val="000000"/>
      <w:sz w:val="18"/>
      <w:szCs w:val="18"/>
      <w:lang w:val="en-US" w:eastAsia="en-US"/>
    </w:rPr>
  </w:style>
  <w:style w:type="character" w:styleId="a4">
    <w:name w:val="line number"/>
    <w:basedOn w:val="a0"/>
    <w:locked/>
    <w:rsid w:val="00A61A66"/>
  </w:style>
  <w:style w:type="character" w:styleId="a5">
    <w:name w:val="Hyperlink"/>
    <w:basedOn w:val="a0"/>
    <w:uiPriority w:val="99"/>
    <w:unhideWhenUsed/>
    <w:locked/>
    <w:rsid w:val="00411A55"/>
    <w:rPr>
      <w:color w:val="0000FF"/>
      <w:u w:val="single"/>
    </w:rPr>
  </w:style>
  <w:style w:type="paragraph" w:styleId="a6">
    <w:name w:val="footer"/>
    <w:basedOn w:val="a"/>
    <w:link w:val="Char0"/>
    <w:uiPriority w:val="99"/>
    <w:unhideWhenUsed/>
    <w:locked/>
    <w:rsid w:val="00411A55"/>
    <w:pPr>
      <w:widowControl w:val="0"/>
      <w:tabs>
        <w:tab w:val="center" w:pos="4153"/>
        <w:tab w:val="right" w:pos="8306"/>
      </w:tabs>
      <w:snapToGrid w:val="0"/>
    </w:pPr>
    <w:rPr>
      <w:rFonts w:asciiTheme="minorHAnsi" w:eastAsiaTheme="minorEastAsia" w:hAnsiTheme="minorHAnsi" w:cstheme="minorBidi"/>
      <w:color w:val="auto"/>
      <w:kern w:val="2"/>
      <w:sz w:val="18"/>
      <w:szCs w:val="18"/>
      <w:lang w:eastAsia="zh-CN"/>
    </w:rPr>
  </w:style>
  <w:style w:type="character" w:customStyle="1" w:styleId="Char0">
    <w:name w:val="页脚 Char"/>
    <w:basedOn w:val="a0"/>
    <w:link w:val="a6"/>
    <w:uiPriority w:val="99"/>
    <w:rsid w:val="00411A55"/>
    <w:rPr>
      <w:rFonts w:asciiTheme="minorHAnsi" w:eastAsiaTheme="minorEastAsia" w:hAnsiTheme="minorHAnsi" w:cstheme="minorBidi"/>
      <w:kern w:val="2"/>
      <w:sz w:val="18"/>
      <w:szCs w:val="18"/>
      <w:lang w:val="en-US" w:eastAsia="zh-CN"/>
    </w:rPr>
  </w:style>
  <w:style w:type="paragraph" w:styleId="a7">
    <w:name w:val="Plain Text"/>
    <w:basedOn w:val="a"/>
    <w:link w:val="Char1"/>
    <w:locked/>
    <w:rsid w:val="00E86B47"/>
    <w:pPr>
      <w:widowControl w:val="0"/>
      <w:jc w:val="both"/>
    </w:pPr>
    <w:rPr>
      <w:rFonts w:ascii="宋体" w:eastAsia="宋体" w:hAnsi="Courier New" w:cs="Courier New"/>
      <w:color w:val="auto"/>
      <w:kern w:val="2"/>
      <w:sz w:val="21"/>
      <w:szCs w:val="21"/>
      <w:lang w:eastAsia="zh-CN"/>
    </w:rPr>
  </w:style>
  <w:style w:type="character" w:customStyle="1" w:styleId="Char1">
    <w:name w:val="纯文本 Char"/>
    <w:basedOn w:val="a0"/>
    <w:link w:val="a7"/>
    <w:rsid w:val="00E86B47"/>
    <w:rPr>
      <w:rFonts w:ascii="宋体" w:hAnsi="Courier New" w:cs="Courier New"/>
      <w:kern w:val="2"/>
      <w:sz w:val="21"/>
      <w:szCs w:val="21"/>
      <w:lang w:val="en-US" w:eastAsia="zh-CN"/>
    </w:rPr>
  </w:style>
  <w:style w:type="paragraph" w:styleId="a8">
    <w:name w:val="header"/>
    <w:basedOn w:val="a"/>
    <w:link w:val="Char2"/>
    <w:unhideWhenUsed/>
    <w:locked/>
    <w:rsid w:val="00FB7505"/>
    <w:pPr>
      <w:tabs>
        <w:tab w:val="center" w:pos="4680"/>
        <w:tab w:val="right" w:pos="9360"/>
      </w:tabs>
    </w:pPr>
  </w:style>
  <w:style w:type="character" w:customStyle="1" w:styleId="Char2">
    <w:name w:val="页眉 Char"/>
    <w:basedOn w:val="a0"/>
    <w:link w:val="a8"/>
    <w:rsid w:val="00FB7505"/>
    <w:rPr>
      <w:rFonts w:eastAsia="ヒラギノ角ゴ Pro W3"/>
      <w:color w:val="000000"/>
      <w:sz w:val="24"/>
      <w:szCs w:val="24"/>
      <w:lang w:val="en-US" w:eastAsia="en-US"/>
    </w:rPr>
  </w:style>
  <w:style w:type="character" w:styleId="a9">
    <w:name w:val="page number"/>
    <w:basedOn w:val="a0"/>
    <w:semiHidden/>
    <w:unhideWhenUsed/>
    <w:locked/>
    <w:rsid w:val="00FB7505"/>
  </w:style>
  <w:style w:type="paragraph" w:customStyle="1" w:styleId="aa">
    <w:name w:val="暥專"/>
    <w:basedOn w:val="a"/>
    <w:uiPriority w:val="99"/>
    <w:rsid w:val="00507133"/>
    <w:pPr>
      <w:widowControl w:val="0"/>
      <w:suppressAutoHyphens/>
      <w:autoSpaceDE w:val="0"/>
      <w:autoSpaceDN w:val="0"/>
      <w:adjustRightInd w:val="0"/>
      <w:spacing w:line="230" w:lineRule="atLeast"/>
      <w:jc w:val="both"/>
      <w:textAlignment w:val="center"/>
    </w:pPr>
    <w:rPr>
      <w:rFonts w:eastAsia="宋体"/>
      <w:spacing w:val="-2"/>
      <w:sz w:val="18"/>
      <w:szCs w:val="18"/>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l-GR" w:eastAsia="el-GR"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Pr>
      <w:rFonts w:eastAsia="ヒラギノ角ゴ Pro W3"/>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Επικεφαλίδα 21"/>
    <w:next w:val="Body"/>
    <w:autoRedefine/>
    <w:qFormat/>
    <w:pPr>
      <w:keepNext/>
      <w:outlineLvl w:val="1"/>
    </w:pPr>
    <w:rPr>
      <w:rFonts w:ascii="Helvetica" w:eastAsia="ヒラギノ角ゴ Pro W3" w:hAnsi="Helvetica"/>
      <w:b/>
      <w:color w:val="000000"/>
      <w:sz w:val="24"/>
      <w:lang w:val="en-US"/>
    </w:rPr>
  </w:style>
  <w:style w:type="paragraph" w:customStyle="1" w:styleId="1">
    <w:name w:val="Κεφαλίδα1"/>
    <w:pPr>
      <w:tabs>
        <w:tab w:val="center" w:pos="4513"/>
        <w:tab w:val="right" w:pos="9026"/>
      </w:tabs>
    </w:pPr>
    <w:rPr>
      <w:rFonts w:eastAsia="ヒラギノ角ゴ Pro W3"/>
      <w:color w:val="000000"/>
      <w:sz w:val="24"/>
      <w:lang w:val="en-US"/>
    </w:rPr>
  </w:style>
  <w:style w:type="paragraph" w:customStyle="1" w:styleId="FreeForm">
    <w:name w:val="Free Form"/>
    <w:rPr>
      <w:rFonts w:eastAsia="ヒラギノ角ゴ Pro W3"/>
      <w:color w:val="000000"/>
    </w:rPr>
  </w:style>
  <w:style w:type="paragraph" w:customStyle="1" w:styleId="BodyA">
    <w:name w:val="Body A"/>
    <w:rPr>
      <w:rFonts w:ascii="Helvetica" w:eastAsia="ヒラギノ角ゴ Pro W3" w:hAnsi="Helvetica"/>
      <w:color w:val="000000"/>
      <w:sz w:val="24"/>
      <w:lang w:val="en-US"/>
    </w:rPr>
  </w:style>
  <w:style w:type="paragraph" w:customStyle="1" w:styleId="Body">
    <w:name w:val="Body"/>
    <w:rPr>
      <w:rFonts w:ascii="Helvetica" w:eastAsia="ヒラギノ角ゴ Pro W3" w:hAnsi="Helvetica"/>
      <w:color w:val="000000"/>
      <w:sz w:val="24"/>
      <w:lang w:val="en-US"/>
    </w:rPr>
  </w:style>
  <w:style w:type="paragraph" w:styleId="a3">
    <w:name w:val="Balloon Text"/>
    <w:basedOn w:val="a"/>
    <w:link w:val="Char"/>
    <w:locked/>
    <w:rsid w:val="00417EDC"/>
    <w:rPr>
      <w:rFonts w:ascii="Segoe UI" w:hAnsi="Segoe UI" w:cs="Segoe UI"/>
      <w:sz w:val="18"/>
      <w:szCs w:val="18"/>
    </w:rPr>
  </w:style>
  <w:style w:type="character" w:customStyle="1" w:styleId="Char">
    <w:name w:val="批注框文本 Char"/>
    <w:basedOn w:val="a0"/>
    <w:link w:val="a3"/>
    <w:rsid w:val="00417EDC"/>
    <w:rPr>
      <w:rFonts w:ascii="Segoe UI" w:eastAsia="ヒラギノ角ゴ Pro W3" w:hAnsi="Segoe UI" w:cs="Segoe UI"/>
      <w:color w:val="000000"/>
      <w:sz w:val="18"/>
      <w:szCs w:val="18"/>
      <w:lang w:val="en-US" w:eastAsia="en-US"/>
    </w:rPr>
  </w:style>
  <w:style w:type="character" w:styleId="a4">
    <w:name w:val="line number"/>
    <w:basedOn w:val="a0"/>
    <w:locked/>
    <w:rsid w:val="00A61A66"/>
  </w:style>
  <w:style w:type="character" w:styleId="a5">
    <w:name w:val="Hyperlink"/>
    <w:basedOn w:val="a0"/>
    <w:uiPriority w:val="99"/>
    <w:unhideWhenUsed/>
    <w:locked/>
    <w:rsid w:val="00411A55"/>
    <w:rPr>
      <w:color w:val="0000FF"/>
      <w:u w:val="single"/>
    </w:rPr>
  </w:style>
  <w:style w:type="paragraph" w:styleId="a6">
    <w:name w:val="footer"/>
    <w:basedOn w:val="a"/>
    <w:link w:val="Char0"/>
    <w:uiPriority w:val="99"/>
    <w:unhideWhenUsed/>
    <w:locked/>
    <w:rsid w:val="00411A55"/>
    <w:pPr>
      <w:widowControl w:val="0"/>
      <w:tabs>
        <w:tab w:val="center" w:pos="4153"/>
        <w:tab w:val="right" w:pos="8306"/>
      </w:tabs>
      <w:snapToGrid w:val="0"/>
    </w:pPr>
    <w:rPr>
      <w:rFonts w:asciiTheme="minorHAnsi" w:eastAsiaTheme="minorEastAsia" w:hAnsiTheme="minorHAnsi" w:cstheme="minorBidi"/>
      <w:color w:val="auto"/>
      <w:kern w:val="2"/>
      <w:sz w:val="18"/>
      <w:szCs w:val="18"/>
      <w:lang w:eastAsia="zh-CN"/>
    </w:rPr>
  </w:style>
  <w:style w:type="character" w:customStyle="1" w:styleId="Char0">
    <w:name w:val="页脚 Char"/>
    <w:basedOn w:val="a0"/>
    <w:link w:val="a6"/>
    <w:uiPriority w:val="99"/>
    <w:rsid w:val="00411A55"/>
    <w:rPr>
      <w:rFonts w:asciiTheme="minorHAnsi" w:eastAsiaTheme="minorEastAsia" w:hAnsiTheme="minorHAnsi" w:cstheme="minorBidi"/>
      <w:kern w:val="2"/>
      <w:sz w:val="18"/>
      <w:szCs w:val="18"/>
      <w:lang w:val="en-US" w:eastAsia="zh-CN"/>
    </w:rPr>
  </w:style>
  <w:style w:type="paragraph" w:styleId="a7">
    <w:name w:val="Plain Text"/>
    <w:basedOn w:val="a"/>
    <w:link w:val="Char1"/>
    <w:locked/>
    <w:rsid w:val="00E86B47"/>
    <w:pPr>
      <w:widowControl w:val="0"/>
      <w:jc w:val="both"/>
    </w:pPr>
    <w:rPr>
      <w:rFonts w:ascii="宋体" w:eastAsia="宋体" w:hAnsi="Courier New" w:cs="Courier New"/>
      <w:color w:val="auto"/>
      <w:kern w:val="2"/>
      <w:sz w:val="21"/>
      <w:szCs w:val="21"/>
      <w:lang w:eastAsia="zh-CN"/>
    </w:rPr>
  </w:style>
  <w:style w:type="character" w:customStyle="1" w:styleId="Char1">
    <w:name w:val="纯文本 Char"/>
    <w:basedOn w:val="a0"/>
    <w:link w:val="a7"/>
    <w:rsid w:val="00E86B47"/>
    <w:rPr>
      <w:rFonts w:ascii="宋体" w:hAnsi="Courier New" w:cs="Courier New"/>
      <w:kern w:val="2"/>
      <w:sz w:val="21"/>
      <w:szCs w:val="21"/>
      <w:lang w:val="en-US" w:eastAsia="zh-CN"/>
    </w:rPr>
  </w:style>
  <w:style w:type="paragraph" w:styleId="a8">
    <w:name w:val="header"/>
    <w:basedOn w:val="a"/>
    <w:link w:val="Char2"/>
    <w:unhideWhenUsed/>
    <w:locked/>
    <w:rsid w:val="00FB7505"/>
    <w:pPr>
      <w:tabs>
        <w:tab w:val="center" w:pos="4680"/>
        <w:tab w:val="right" w:pos="9360"/>
      </w:tabs>
    </w:pPr>
  </w:style>
  <w:style w:type="character" w:customStyle="1" w:styleId="Char2">
    <w:name w:val="页眉 Char"/>
    <w:basedOn w:val="a0"/>
    <w:link w:val="a8"/>
    <w:rsid w:val="00FB7505"/>
    <w:rPr>
      <w:rFonts w:eastAsia="ヒラギノ角ゴ Pro W3"/>
      <w:color w:val="000000"/>
      <w:sz w:val="24"/>
      <w:szCs w:val="24"/>
      <w:lang w:val="en-US" w:eastAsia="en-US"/>
    </w:rPr>
  </w:style>
  <w:style w:type="character" w:styleId="a9">
    <w:name w:val="page number"/>
    <w:basedOn w:val="a0"/>
    <w:semiHidden/>
    <w:unhideWhenUsed/>
    <w:locked/>
    <w:rsid w:val="00FB7505"/>
  </w:style>
  <w:style w:type="paragraph" w:customStyle="1" w:styleId="aa">
    <w:name w:val="暥專"/>
    <w:basedOn w:val="a"/>
    <w:uiPriority w:val="99"/>
    <w:rsid w:val="00507133"/>
    <w:pPr>
      <w:widowControl w:val="0"/>
      <w:suppressAutoHyphens/>
      <w:autoSpaceDE w:val="0"/>
      <w:autoSpaceDN w:val="0"/>
      <w:adjustRightInd w:val="0"/>
      <w:spacing w:line="230" w:lineRule="atLeast"/>
      <w:jc w:val="both"/>
      <w:textAlignment w:val="center"/>
    </w:pPr>
    <w:rPr>
      <w:rFonts w:eastAsia="宋体"/>
      <w:spacing w:val="-2"/>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8264</Words>
  <Characters>47110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55264</CharactersWithSpaces>
  <SharedDoc>false</SharedDoc>
  <HLinks>
    <vt:vector size="252" baseType="variant">
      <vt:variant>
        <vt:i4>8257598</vt:i4>
      </vt:variant>
      <vt:variant>
        <vt:i4>123</vt:i4>
      </vt:variant>
      <vt:variant>
        <vt:i4>0</vt:i4>
      </vt:variant>
      <vt:variant>
        <vt:i4>5</vt:i4>
      </vt:variant>
      <vt:variant>
        <vt:lpwstr>https://clinicaltrials.gov/ct2/show/record/NCT02479555</vt:lpwstr>
      </vt:variant>
      <vt:variant>
        <vt:lpwstr/>
      </vt:variant>
      <vt:variant>
        <vt:i4>1638489</vt:i4>
      </vt:variant>
      <vt:variant>
        <vt:i4>120</vt:i4>
      </vt:variant>
      <vt:variant>
        <vt:i4>0</vt:i4>
      </vt:variant>
      <vt:variant>
        <vt:i4>5</vt:i4>
      </vt:variant>
      <vt:variant>
        <vt:lpwstr>https://doi.org/10.1177/1526602816671740</vt:lpwstr>
      </vt:variant>
      <vt:variant>
        <vt:lpwstr/>
      </vt:variant>
      <vt:variant>
        <vt:i4>2949168</vt:i4>
      </vt:variant>
      <vt:variant>
        <vt:i4>117</vt:i4>
      </vt:variant>
      <vt:variant>
        <vt:i4>0</vt:i4>
      </vt:variant>
      <vt:variant>
        <vt:i4>5</vt:i4>
      </vt:variant>
      <vt:variant>
        <vt:lpwstr>https://doi.org/10.1016/j.jcin.2014.04.015</vt:lpwstr>
      </vt:variant>
      <vt:variant>
        <vt:lpwstr/>
      </vt:variant>
      <vt:variant>
        <vt:i4>6422577</vt:i4>
      </vt:variant>
      <vt:variant>
        <vt:i4>114</vt:i4>
      </vt:variant>
      <vt:variant>
        <vt:i4>0</vt:i4>
      </vt:variant>
      <vt:variant>
        <vt:i4>5</vt:i4>
      </vt:variant>
      <vt:variant>
        <vt:lpwstr>https://clinicaltrials.gov/ct2/show/NCT02963649</vt:lpwstr>
      </vt:variant>
      <vt:variant>
        <vt:lpwstr/>
      </vt:variant>
      <vt:variant>
        <vt:i4>7012450</vt:i4>
      </vt:variant>
      <vt:variant>
        <vt:i4>111</vt:i4>
      </vt:variant>
      <vt:variant>
        <vt:i4>0</vt:i4>
      </vt:variant>
      <vt:variant>
        <vt:i4>5</vt:i4>
      </vt:variant>
      <vt:variant>
        <vt:lpwstr>https://doi.org/10.23736/S0021-9509.18.10269-2</vt:lpwstr>
      </vt:variant>
      <vt:variant>
        <vt:lpwstr/>
      </vt:variant>
      <vt:variant>
        <vt:i4>6422577</vt:i4>
      </vt:variant>
      <vt:variant>
        <vt:i4>108</vt:i4>
      </vt:variant>
      <vt:variant>
        <vt:i4>0</vt:i4>
      </vt:variant>
      <vt:variant>
        <vt:i4>5</vt:i4>
      </vt:variant>
      <vt:variant>
        <vt:lpwstr>https://clinicaltrials.gov/ct2/show/NCT02963649</vt:lpwstr>
      </vt:variant>
      <vt:variant>
        <vt:lpwstr/>
      </vt:variant>
      <vt:variant>
        <vt:i4>2752561</vt:i4>
      </vt:variant>
      <vt:variant>
        <vt:i4>105</vt:i4>
      </vt:variant>
      <vt:variant>
        <vt:i4>0</vt:i4>
      </vt:variant>
      <vt:variant>
        <vt:i4>5</vt:i4>
      </vt:variant>
      <vt:variant>
        <vt:lpwstr>https://doi.org/10.1016/j.jcin.2015.07.011</vt:lpwstr>
      </vt:variant>
      <vt:variant>
        <vt:lpwstr/>
      </vt:variant>
      <vt:variant>
        <vt:i4>2949178</vt:i4>
      </vt:variant>
      <vt:variant>
        <vt:i4>102</vt:i4>
      </vt:variant>
      <vt:variant>
        <vt:i4>0</vt:i4>
      </vt:variant>
      <vt:variant>
        <vt:i4>5</vt:i4>
      </vt:variant>
      <vt:variant>
        <vt:lpwstr>https://doi.org/10.1016/j.jacc.2014.06.1198</vt:lpwstr>
      </vt:variant>
      <vt:variant>
        <vt:lpwstr/>
      </vt:variant>
      <vt:variant>
        <vt:i4>5898249</vt:i4>
      </vt:variant>
      <vt:variant>
        <vt:i4>99</vt:i4>
      </vt:variant>
      <vt:variant>
        <vt:i4>0</vt:i4>
      </vt:variant>
      <vt:variant>
        <vt:i4>5</vt:i4>
      </vt:variant>
      <vt:variant>
        <vt:lpwstr>https://doi.org/10.1161/CIRCULATIONAHA.113.001811</vt:lpwstr>
      </vt:variant>
      <vt:variant>
        <vt:lpwstr/>
      </vt:variant>
      <vt:variant>
        <vt:i4>2228285</vt:i4>
      </vt:variant>
      <vt:variant>
        <vt:i4>96</vt:i4>
      </vt:variant>
      <vt:variant>
        <vt:i4>0</vt:i4>
      </vt:variant>
      <vt:variant>
        <vt:i4>5</vt:i4>
      </vt:variant>
      <vt:variant>
        <vt:lpwstr>https://doi.org/10.1016/j.jacc.2011.05.034</vt:lpwstr>
      </vt:variant>
      <vt:variant>
        <vt:lpwstr/>
      </vt:variant>
      <vt:variant>
        <vt:i4>1704031</vt:i4>
      </vt:variant>
      <vt:variant>
        <vt:i4>93</vt:i4>
      </vt:variant>
      <vt:variant>
        <vt:i4>0</vt:i4>
      </vt:variant>
      <vt:variant>
        <vt:i4>5</vt:i4>
      </vt:variant>
      <vt:variant>
        <vt:lpwstr>https://doi.org/10.1177/1526602815626557</vt:lpwstr>
      </vt:variant>
      <vt:variant>
        <vt:lpwstr/>
      </vt:variant>
      <vt:variant>
        <vt:i4>589851</vt:i4>
      </vt:variant>
      <vt:variant>
        <vt:i4>90</vt:i4>
      </vt:variant>
      <vt:variant>
        <vt:i4>0</vt:i4>
      </vt:variant>
      <vt:variant>
        <vt:i4>5</vt:i4>
      </vt:variant>
      <vt:variant>
        <vt:lpwstr>https://doi.org/10.1007/s00270-012-0370-8</vt:lpwstr>
      </vt:variant>
      <vt:variant>
        <vt:lpwstr/>
      </vt:variant>
      <vt:variant>
        <vt:i4>3080243</vt:i4>
      </vt:variant>
      <vt:variant>
        <vt:i4>87</vt:i4>
      </vt:variant>
      <vt:variant>
        <vt:i4>0</vt:i4>
      </vt:variant>
      <vt:variant>
        <vt:i4>5</vt:i4>
      </vt:variant>
      <vt:variant>
        <vt:lpwstr>https://doi.org/10.1016/j.jcin.2016.06.005</vt:lpwstr>
      </vt:variant>
      <vt:variant>
        <vt:lpwstr/>
      </vt:variant>
      <vt:variant>
        <vt:i4>655430</vt:i4>
      </vt:variant>
      <vt:variant>
        <vt:i4>84</vt:i4>
      </vt:variant>
      <vt:variant>
        <vt:i4>0</vt:i4>
      </vt:variant>
      <vt:variant>
        <vt:i4>5</vt:i4>
      </vt:variant>
      <vt:variant>
        <vt:lpwstr>https://doi.org/10.1586/14779072.2014.897226</vt:lpwstr>
      </vt:variant>
      <vt:variant>
        <vt:lpwstr/>
      </vt:variant>
      <vt:variant>
        <vt:i4>655425</vt:i4>
      </vt:variant>
      <vt:variant>
        <vt:i4>81</vt:i4>
      </vt:variant>
      <vt:variant>
        <vt:i4>0</vt:i4>
      </vt:variant>
      <vt:variant>
        <vt:i4>5</vt:i4>
      </vt:variant>
      <vt:variant>
        <vt:lpwstr>https://doi.org/10.1583/12-4091.1</vt:lpwstr>
      </vt:variant>
      <vt:variant>
        <vt:lpwstr/>
      </vt:variant>
      <vt:variant>
        <vt:i4>2293823</vt:i4>
      </vt:variant>
      <vt:variant>
        <vt:i4>78</vt:i4>
      </vt:variant>
      <vt:variant>
        <vt:i4>0</vt:i4>
      </vt:variant>
      <vt:variant>
        <vt:i4>5</vt:i4>
      </vt:variant>
      <vt:variant>
        <vt:lpwstr>https://doi.org/10.1016/j.jacc.2011.01.011</vt:lpwstr>
      </vt:variant>
      <vt:variant>
        <vt:lpwstr/>
      </vt:variant>
      <vt:variant>
        <vt:i4>1900608</vt:i4>
      </vt:variant>
      <vt:variant>
        <vt:i4>75</vt:i4>
      </vt:variant>
      <vt:variant>
        <vt:i4>0</vt:i4>
      </vt:variant>
      <vt:variant>
        <vt:i4>5</vt:i4>
      </vt:variant>
      <vt:variant>
        <vt:lpwstr>https://www.ncbi.nlm.nih.gov/pmc/articles/PMC3093310/</vt:lpwstr>
      </vt:variant>
      <vt:variant>
        <vt:lpwstr/>
      </vt:variant>
      <vt:variant>
        <vt:i4>6684724</vt:i4>
      </vt:variant>
      <vt:variant>
        <vt:i4>72</vt:i4>
      </vt:variant>
      <vt:variant>
        <vt:i4>0</vt:i4>
      </vt:variant>
      <vt:variant>
        <vt:i4>5</vt:i4>
      </vt:variant>
      <vt:variant>
        <vt:lpwstr>https://doi.org/10.1583/13-4593MR.1</vt:lpwstr>
      </vt:variant>
      <vt:variant>
        <vt:lpwstr/>
      </vt:variant>
      <vt:variant>
        <vt:i4>786500</vt:i4>
      </vt:variant>
      <vt:variant>
        <vt:i4>69</vt:i4>
      </vt:variant>
      <vt:variant>
        <vt:i4>0</vt:i4>
      </vt:variant>
      <vt:variant>
        <vt:i4>5</vt:i4>
      </vt:variant>
      <vt:variant>
        <vt:lpwstr>https://doi.org/10.1583/08-2530.1</vt:lpwstr>
      </vt:variant>
      <vt:variant>
        <vt:lpwstr/>
      </vt:variant>
      <vt:variant>
        <vt:i4>5767253</vt:i4>
      </vt:variant>
      <vt:variant>
        <vt:i4>66</vt:i4>
      </vt:variant>
      <vt:variant>
        <vt:i4>0</vt:i4>
      </vt:variant>
      <vt:variant>
        <vt:i4>5</vt:i4>
      </vt:variant>
      <vt:variant>
        <vt:lpwstr>https://doi.org/10.1002/ccd.24828</vt:lpwstr>
      </vt:variant>
      <vt:variant>
        <vt:lpwstr/>
      </vt:variant>
      <vt:variant>
        <vt:i4>3276839</vt:i4>
      </vt:variant>
      <vt:variant>
        <vt:i4>63</vt:i4>
      </vt:variant>
      <vt:variant>
        <vt:i4>0</vt:i4>
      </vt:variant>
      <vt:variant>
        <vt:i4>5</vt:i4>
      </vt:variant>
      <vt:variant>
        <vt:lpwstr>https://doi.org/10.1583/JEVT-12-3993R.1</vt:lpwstr>
      </vt:variant>
      <vt:variant>
        <vt:lpwstr/>
      </vt:variant>
      <vt:variant>
        <vt:i4>3997740</vt:i4>
      </vt:variant>
      <vt:variant>
        <vt:i4>60</vt:i4>
      </vt:variant>
      <vt:variant>
        <vt:i4>0</vt:i4>
      </vt:variant>
      <vt:variant>
        <vt:i4>5</vt:i4>
      </vt:variant>
      <vt:variant>
        <vt:lpwstr>https://doi.org/10.1016/j.ijsu.2017.06.075</vt:lpwstr>
      </vt:variant>
      <vt:variant>
        <vt:lpwstr/>
      </vt:variant>
      <vt:variant>
        <vt:i4>2162785</vt:i4>
      </vt:variant>
      <vt:variant>
        <vt:i4>57</vt:i4>
      </vt:variant>
      <vt:variant>
        <vt:i4>0</vt:i4>
      </vt:variant>
      <vt:variant>
        <vt:i4>5</vt:i4>
      </vt:variant>
      <vt:variant>
        <vt:lpwstr>https://doi.org/10.1161/JAHA.116.004877</vt:lpwstr>
      </vt:variant>
      <vt:variant>
        <vt:lpwstr/>
      </vt:variant>
      <vt:variant>
        <vt:i4>1441860</vt:i4>
      </vt:variant>
      <vt:variant>
        <vt:i4>54</vt:i4>
      </vt:variant>
      <vt:variant>
        <vt:i4>0</vt:i4>
      </vt:variant>
      <vt:variant>
        <vt:i4>5</vt:i4>
      </vt:variant>
      <vt:variant>
        <vt:lpwstr>https://www.ncbi.nlm.nih.gov/pmc/articles/PMC5533004/</vt:lpwstr>
      </vt:variant>
      <vt:variant>
        <vt:lpwstr/>
      </vt:variant>
      <vt:variant>
        <vt:i4>524309</vt:i4>
      </vt:variant>
      <vt:variant>
        <vt:i4>51</vt:i4>
      </vt:variant>
      <vt:variant>
        <vt:i4>0</vt:i4>
      </vt:variant>
      <vt:variant>
        <vt:i4>5</vt:i4>
      </vt:variant>
      <vt:variant>
        <vt:lpwstr>https://doi.org/10.1007/s00270-013-0578-2</vt:lpwstr>
      </vt:variant>
      <vt:variant>
        <vt:lpwstr/>
      </vt:variant>
      <vt:variant>
        <vt:i4>2359346</vt:i4>
      </vt:variant>
      <vt:variant>
        <vt:i4>48</vt:i4>
      </vt:variant>
      <vt:variant>
        <vt:i4>0</vt:i4>
      </vt:variant>
      <vt:variant>
        <vt:i4>5</vt:i4>
      </vt:variant>
      <vt:variant>
        <vt:lpwstr>https://doi.org/10.1016/j.jcin.2015.10.038</vt:lpwstr>
      </vt:variant>
      <vt:variant>
        <vt:lpwstr/>
      </vt:variant>
      <vt:variant>
        <vt:i4>2818101</vt:i4>
      </vt:variant>
      <vt:variant>
        <vt:i4>45</vt:i4>
      </vt:variant>
      <vt:variant>
        <vt:i4>0</vt:i4>
      </vt:variant>
      <vt:variant>
        <vt:i4>5</vt:i4>
      </vt:variant>
      <vt:variant>
        <vt:lpwstr>https://doi.org/10.1016/j.jacc.2012.08.989</vt:lpwstr>
      </vt:variant>
      <vt:variant>
        <vt:lpwstr/>
      </vt:variant>
      <vt:variant>
        <vt:i4>4325381</vt:i4>
      </vt:variant>
      <vt:variant>
        <vt:i4>42</vt:i4>
      </vt:variant>
      <vt:variant>
        <vt:i4>0</vt:i4>
      </vt:variant>
      <vt:variant>
        <vt:i4>5</vt:i4>
      </vt:variant>
      <vt:variant>
        <vt:lpwstr>https://doi.org/10.1016/j.jvs.2011.07.099</vt:lpwstr>
      </vt:variant>
      <vt:variant>
        <vt:lpwstr/>
      </vt:variant>
      <vt:variant>
        <vt:i4>5242896</vt:i4>
      </vt:variant>
      <vt:variant>
        <vt:i4>39</vt:i4>
      </vt:variant>
      <vt:variant>
        <vt:i4>0</vt:i4>
      </vt:variant>
      <vt:variant>
        <vt:i4>5</vt:i4>
      </vt:variant>
      <vt:variant>
        <vt:lpwstr>https://doi.org/10.1093/eurheartj/ehr144</vt:lpwstr>
      </vt:variant>
      <vt:variant>
        <vt:lpwstr/>
      </vt:variant>
      <vt:variant>
        <vt:i4>393242</vt:i4>
      </vt:variant>
      <vt:variant>
        <vt:i4>36</vt:i4>
      </vt:variant>
      <vt:variant>
        <vt:i4>0</vt:i4>
      </vt:variant>
      <vt:variant>
        <vt:i4>5</vt:i4>
      </vt:variant>
      <vt:variant>
        <vt:lpwstr>https://doi.org/10.1007/s00330-008-1225-1</vt:lpwstr>
      </vt:variant>
      <vt:variant>
        <vt:lpwstr/>
      </vt:variant>
      <vt:variant>
        <vt:i4>5701717</vt:i4>
      </vt:variant>
      <vt:variant>
        <vt:i4>33</vt:i4>
      </vt:variant>
      <vt:variant>
        <vt:i4>0</vt:i4>
      </vt:variant>
      <vt:variant>
        <vt:i4>5</vt:i4>
      </vt:variant>
      <vt:variant>
        <vt:lpwstr>https://doi.org/10.1002/ccd.20893</vt:lpwstr>
      </vt:variant>
      <vt:variant>
        <vt:lpwstr/>
      </vt:variant>
      <vt:variant>
        <vt:i4>131136</vt:i4>
      </vt:variant>
      <vt:variant>
        <vt:i4>30</vt:i4>
      </vt:variant>
      <vt:variant>
        <vt:i4>0</vt:i4>
      </vt:variant>
      <vt:variant>
        <vt:i4>5</vt:i4>
      </vt:variant>
      <vt:variant>
        <vt:lpwstr>https://doi.org/10.1583/10-3242.1</vt:lpwstr>
      </vt:variant>
      <vt:variant>
        <vt:lpwstr/>
      </vt:variant>
      <vt:variant>
        <vt:i4>2883694</vt:i4>
      </vt:variant>
      <vt:variant>
        <vt:i4>27</vt:i4>
      </vt:variant>
      <vt:variant>
        <vt:i4>0</vt:i4>
      </vt:variant>
      <vt:variant>
        <vt:i4>5</vt:i4>
      </vt:variant>
      <vt:variant>
        <vt:lpwstr>https://doi.org/10.1177/152660280701400217</vt:lpwstr>
      </vt:variant>
      <vt:variant>
        <vt:lpwstr/>
      </vt:variant>
      <vt:variant>
        <vt:i4>7209013</vt:i4>
      </vt:variant>
      <vt:variant>
        <vt:i4>24</vt:i4>
      </vt:variant>
      <vt:variant>
        <vt:i4>0</vt:i4>
      </vt:variant>
      <vt:variant>
        <vt:i4>5</vt:i4>
      </vt:variant>
      <vt:variant>
        <vt:lpwstr>https://doi.org/10.1583/05-1620MR.1</vt:lpwstr>
      </vt:variant>
      <vt:variant>
        <vt:lpwstr/>
      </vt:variant>
      <vt:variant>
        <vt:i4>3801200</vt:i4>
      </vt:variant>
      <vt:variant>
        <vt:i4>21</vt:i4>
      </vt:variant>
      <vt:variant>
        <vt:i4>0</vt:i4>
      </vt:variant>
      <vt:variant>
        <vt:i4>5</vt:i4>
      </vt:variant>
      <vt:variant>
        <vt:lpwstr>https://doi.org/10.2310/6670.2006.00014</vt:lpwstr>
      </vt:variant>
      <vt:variant>
        <vt:lpwstr/>
      </vt:variant>
      <vt:variant>
        <vt:i4>2097254</vt:i4>
      </vt:variant>
      <vt:variant>
        <vt:i4>18</vt:i4>
      </vt:variant>
      <vt:variant>
        <vt:i4>0</vt:i4>
      </vt:variant>
      <vt:variant>
        <vt:i4>5</vt:i4>
      </vt:variant>
      <vt:variant>
        <vt:lpwstr>https://doi.org/10.1053/ejvs.2002.1615</vt:lpwstr>
      </vt:variant>
      <vt:variant>
        <vt:lpwstr/>
      </vt:variant>
      <vt:variant>
        <vt:i4>2555955</vt:i4>
      </vt:variant>
      <vt:variant>
        <vt:i4>15</vt:i4>
      </vt:variant>
      <vt:variant>
        <vt:i4>0</vt:i4>
      </vt:variant>
      <vt:variant>
        <vt:i4>5</vt:i4>
      </vt:variant>
      <vt:variant>
        <vt:lpwstr>https://doi.org/10.1016/j.jvir.2015.06.034</vt:lpwstr>
      </vt:variant>
      <vt:variant>
        <vt:lpwstr/>
      </vt:variant>
      <vt:variant>
        <vt:i4>4194375</vt:i4>
      </vt:variant>
      <vt:variant>
        <vt:i4>12</vt:i4>
      </vt:variant>
      <vt:variant>
        <vt:i4>0</vt:i4>
      </vt:variant>
      <vt:variant>
        <vt:i4>5</vt:i4>
      </vt:variant>
      <vt:variant>
        <vt:lpwstr>https://doi.org/10.1586/erd.11.67</vt:lpwstr>
      </vt:variant>
      <vt:variant>
        <vt:lpwstr/>
      </vt:variant>
      <vt:variant>
        <vt:i4>2490428</vt:i4>
      </vt:variant>
      <vt:variant>
        <vt:i4>9</vt:i4>
      </vt:variant>
      <vt:variant>
        <vt:i4>0</vt:i4>
      </vt:variant>
      <vt:variant>
        <vt:i4>5</vt:i4>
      </vt:variant>
      <vt:variant>
        <vt:lpwstr>https://doi.org/10.1016/j.jacc.2013.01.004</vt:lpwstr>
      </vt:variant>
      <vt:variant>
        <vt:lpwstr/>
      </vt:variant>
      <vt:variant>
        <vt:i4>1966147</vt:i4>
      </vt:variant>
      <vt:variant>
        <vt:i4>6</vt:i4>
      </vt:variant>
      <vt:variant>
        <vt:i4>0</vt:i4>
      </vt:variant>
      <vt:variant>
        <vt:i4>5</vt:i4>
      </vt:variant>
      <vt:variant>
        <vt:lpwstr>https://www.ncbi.nlm.nih.gov/pmc/articles/PMC4492473/</vt:lpwstr>
      </vt:variant>
      <vt:variant>
        <vt:lpwstr/>
      </vt:variant>
      <vt:variant>
        <vt:i4>5111809</vt:i4>
      </vt:variant>
      <vt:variant>
        <vt:i4>3</vt:i4>
      </vt:variant>
      <vt:variant>
        <vt:i4>0</vt:i4>
      </vt:variant>
      <vt:variant>
        <vt:i4>5</vt:i4>
      </vt:variant>
      <vt:variant>
        <vt:lpwstr>https://doi.org/10.1016/j.jvs.2006.12.037</vt:lpwstr>
      </vt:variant>
      <vt:variant>
        <vt:lpwstr/>
      </vt:variant>
      <vt:variant>
        <vt:i4>3801120</vt:i4>
      </vt:variant>
      <vt:variant>
        <vt:i4>0</vt:i4>
      </vt:variant>
      <vt:variant>
        <vt:i4>0</vt:i4>
      </vt:variant>
      <vt:variant>
        <vt:i4>5</vt:i4>
      </vt:variant>
      <vt:variant>
        <vt:lpwstr>https://doi.org/10.1016/j.ejvs.2006.11.022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2019-01-06T05:25:00Z</dcterms:created>
  <dcterms:modified xsi:type="dcterms:W3CDTF">2019-01-26T02:29:00Z</dcterms:modified>
</cp:coreProperties>
</file>