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D0279" w14:textId="77777777" w:rsidR="00A77B3E" w:rsidRDefault="00927DC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1644C648" w14:textId="77777777" w:rsidR="00A77B3E" w:rsidRDefault="00927DC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59164</w:t>
      </w:r>
    </w:p>
    <w:p w14:paraId="67778854" w14:textId="77777777" w:rsidR="00A77B3E" w:rsidRDefault="00927DC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FB5E5FD" w14:textId="77777777" w:rsidR="00A77B3E" w:rsidRDefault="00A77B3E">
      <w:pPr>
        <w:spacing w:line="360" w:lineRule="auto"/>
        <w:jc w:val="both"/>
      </w:pPr>
    </w:p>
    <w:p w14:paraId="30451532" w14:textId="398FF51B" w:rsidR="00A77B3E" w:rsidRDefault="00927DCB">
      <w:pPr>
        <w:spacing w:line="360" w:lineRule="auto"/>
        <w:jc w:val="both"/>
      </w:pPr>
      <w:r>
        <w:rPr>
          <w:rFonts w:ascii="Book Antiqua" w:eastAsia="Book Antiqua" w:hAnsi="Book Antiqua" w:cs="Book Antiqua"/>
          <w:b/>
          <w:color w:val="000000"/>
        </w:rPr>
        <w:t>Hepa</w:t>
      </w:r>
      <w:r w:rsidR="00C95EDA">
        <w:rPr>
          <w:rFonts w:ascii="Book Antiqua" w:eastAsia="Book Antiqua" w:hAnsi="Book Antiqua" w:cs="Book Antiqua"/>
          <w:b/>
          <w:color w:val="000000"/>
        </w:rPr>
        <w:t xml:space="preserve">rin-induced thrombocytopenia in renal insufficiency undergoing dialysis and </w:t>
      </w:r>
      <w:r w:rsidR="00C95EDA" w:rsidRPr="00C95EDA">
        <w:rPr>
          <w:rFonts w:ascii="Book Antiqua" w:eastAsia="Book Antiqua" w:hAnsi="Book Antiqua" w:cs="Book Antiqua"/>
          <w:b/>
          <w:color w:val="000000"/>
        </w:rPr>
        <w:t>percutaneous coronary intervention</w:t>
      </w:r>
      <w:r w:rsidR="00C95EDA">
        <w:rPr>
          <w:rFonts w:ascii="Book Antiqua" w:eastAsia="Book Antiqua" w:hAnsi="Book Antiqua" w:cs="Book Antiqua"/>
          <w:b/>
          <w:color w:val="000000"/>
        </w:rPr>
        <w:t xml:space="preserve"> after acute myocardial infarct</w:t>
      </w:r>
      <w:r>
        <w:rPr>
          <w:rFonts w:ascii="Book Antiqua" w:eastAsia="Book Antiqua" w:hAnsi="Book Antiqua" w:cs="Book Antiqua"/>
          <w:b/>
          <w:color w:val="000000"/>
        </w:rPr>
        <w:t xml:space="preserve">ion: </w:t>
      </w:r>
      <w:r w:rsidR="00C95EDA">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654AE36C" w14:textId="77777777" w:rsidR="00A77B3E" w:rsidRDefault="00A77B3E">
      <w:pPr>
        <w:spacing w:line="360" w:lineRule="auto"/>
        <w:jc w:val="both"/>
      </w:pPr>
    </w:p>
    <w:p w14:paraId="05039249" w14:textId="79E4D2A8" w:rsidR="00A77B3E" w:rsidRDefault="00C95EDA">
      <w:pPr>
        <w:spacing w:line="360" w:lineRule="auto"/>
        <w:jc w:val="both"/>
      </w:pPr>
      <w:r>
        <w:rPr>
          <w:rFonts w:ascii="Book Antiqua" w:eastAsia="Book Antiqua" w:hAnsi="Book Antiqua" w:cs="Book Antiqua"/>
          <w:color w:val="000000"/>
        </w:rPr>
        <w:t xml:space="preserve">Wang J </w:t>
      </w:r>
      <w:r w:rsidRPr="00FA485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27DCB">
        <w:rPr>
          <w:rFonts w:ascii="Book Antiqua" w:eastAsia="Book Antiqua" w:hAnsi="Book Antiqua" w:cs="Book Antiqua"/>
          <w:color w:val="000000"/>
        </w:rPr>
        <w:t>HIT after PCI</w:t>
      </w:r>
    </w:p>
    <w:p w14:paraId="750FAB25" w14:textId="77777777" w:rsidR="00A77B3E" w:rsidRDefault="00A77B3E">
      <w:pPr>
        <w:spacing w:line="360" w:lineRule="auto"/>
        <w:jc w:val="both"/>
      </w:pPr>
    </w:p>
    <w:p w14:paraId="7525A638" w14:textId="77777777" w:rsidR="00A77B3E" w:rsidRDefault="00927DCB">
      <w:pPr>
        <w:spacing w:line="360" w:lineRule="auto"/>
        <w:jc w:val="both"/>
      </w:pPr>
      <w:r>
        <w:rPr>
          <w:rFonts w:ascii="Book Antiqua" w:eastAsia="Book Antiqua" w:hAnsi="Book Antiqua" w:cs="Book Antiqua"/>
          <w:color w:val="000000"/>
        </w:rPr>
        <w:t xml:space="preserve">Jing Wang, Song-Bai Deng,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She</w:t>
      </w:r>
    </w:p>
    <w:p w14:paraId="4066B53E" w14:textId="77777777" w:rsidR="00A77B3E" w:rsidRDefault="00A77B3E">
      <w:pPr>
        <w:spacing w:line="360" w:lineRule="auto"/>
        <w:jc w:val="both"/>
      </w:pPr>
    </w:p>
    <w:p w14:paraId="3F43F1F3" w14:textId="77777777" w:rsidR="00A77B3E" w:rsidRDefault="00927DCB">
      <w:pPr>
        <w:spacing w:line="360" w:lineRule="auto"/>
        <w:jc w:val="both"/>
      </w:pPr>
      <w:r>
        <w:rPr>
          <w:rFonts w:ascii="Book Antiqua" w:eastAsia="Book Antiqua" w:hAnsi="Book Antiqua" w:cs="Book Antiqua"/>
          <w:b/>
          <w:bCs/>
          <w:color w:val="000000"/>
        </w:rPr>
        <w:t xml:space="preserve">Jing Wang, Song-Bai Deng,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She, </w:t>
      </w:r>
      <w:r>
        <w:rPr>
          <w:rFonts w:ascii="Book Antiqua" w:eastAsia="Book Antiqua" w:hAnsi="Book Antiqua" w:cs="Book Antiqua"/>
          <w:color w:val="000000"/>
        </w:rPr>
        <w:t>Department of Cardiology, The Second Affiliated Hospital of Chongqing Medical University, Chongqing 400010, China</w:t>
      </w:r>
    </w:p>
    <w:p w14:paraId="2CA5DCBB" w14:textId="77777777" w:rsidR="00A77B3E" w:rsidRDefault="00A77B3E">
      <w:pPr>
        <w:spacing w:line="360" w:lineRule="auto"/>
        <w:jc w:val="both"/>
      </w:pPr>
    </w:p>
    <w:p w14:paraId="7211C986" w14:textId="5F1673FC" w:rsidR="00A77B3E" w:rsidRDefault="00927DCB">
      <w:pPr>
        <w:spacing w:line="360" w:lineRule="auto"/>
        <w:jc w:val="both"/>
      </w:pPr>
      <w:r>
        <w:rPr>
          <w:rFonts w:ascii="Book Antiqua" w:eastAsia="Book Antiqua" w:hAnsi="Book Antiqua" w:cs="Book Antiqua"/>
          <w:b/>
          <w:bCs/>
          <w:color w:val="000000"/>
        </w:rPr>
        <w:t xml:space="preserve">Author contributions: </w:t>
      </w:r>
      <w:r w:rsidR="00C95EDA">
        <w:rPr>
          <w:rFonts w:ascii="Book Antiqua" w:eastAsia="Book Antiqua" w:hAnsi="Book Antiqua" w:cs="Book Antiqua"/>
          <w:color w:val="000000"/>
        </w:rPr>
        <w:t xml:space="preserve">Wang J and Deng SB </w:t>
      </w:r>
      <w:r w:rsidR="00C95EDA" w:rsidRPr="00C95EDA">
        <w:rPr>
          <w:rFonts w:ascii="Book Antiqua" w:eastAsia="Book Antiqua" w:hAnsi="Book Antiqua" w:cs="Book Antiqua"/>
          <w:color w:val="000000"/>
        </w:rPr>
        <w:t>conceptualized and designed</w:t>
      </w:r>
      <w:r w:rsidR="00C95EDA">
        <w:rPr>
          <w:rFonts w:ascii="Book Antiqua" w:eastAsia="Book Antiqua" w:hAnsi="Book Antiqua" w:cs="Book Antiqua"/>
          <w:color w:val="000000"/>
        </w:rPr>
        <w:t xml:space="preserve"> the s</w:t>
      </w:r>
      <w:r>
        <w:rPr>
          <w:rFonts w:ascii="Book Antiqua" w:eastAsia="Book Antiqua" w:hAnsi="Book Antiqua" w:cs="Book Antiqua"/>
          <w:color w:val="000000"/>
        </w:rPr>
        <w:t xml:space="preserve">tudy </w:t>
      </w:r>
      <w:r w:rsidR="00C95EDA">
        <w:rPr>
          <w:rFonts w:ascii="Book Antiqua" w:eastAsia="Book Antiqua" w:hAnsi="Book Antiqua" w:cs="Book Antiqua"/>
          <w:color w:val="000000"/>
        </w:rPr>
        <w:t>and completed the acquisition of case</w:t>
      </w:r>
      <w:r>
        <w:rPr>
          <w:rFonts w:ascii="Book Antiqua" w:eastAsia="Book Antiqua" w:hAnsi="Book Antiqua" w:cs="Book Antiqua"/>
          <w:color w:val="000000"/>
        </w:rPr>
        <w:t xml:space="preserve">; </w:t>
      </w:r>
      <w:r w:rsidR="00C95EDA">
        <w:rPr>
          <w:rFonts w:ascii="Book Antiqua" w:eastAsia="Book Antiqua" w:hAnsi="Book Antiqua" w:cs="Book Antiqua"/>
          <w:color w:val="000000"/>
        </w:rPr>
        <w:t>Wang J, Deng SB</w:t>
      </w:r>
      <w:r w:rsidR="0060356C">
        <w:rPr>
          <w:rFonts w:ascii="Book Antiqua" w:eastAsia="Book Antiqua" w:hAnsi="Book Antiqua" w:cs="Book Antiqua"/>
          <w:color w:val="000000"/>
        </w:rPr>
        <w:t>,</w:t>
      </w:r>
      <w:r w:rsidR="00C95EDA">
        <w:rPr>
          <w:rFonts w:ascii="Book Antiqua" w:eastAsia="Book Antiqua" w:hAnsi="Book Antiqua" w:cs="Book Antiqua"/>
          <w:color w:val="000000"/>
        </w:rPr>
        <w:t xml:space="preserve"> and She Q </w:t>
      </w:r>
      <w:proofErr w:type="spellStart"/>
      <w:r w:rsidR="00C95EDA">
        <w:rPr>
          <w:rFonts w:ascii="Book Antiqua" w:eastAsia="Book Antiqua" w:hAnsi="Book Antiqua" w:cs="Book Antiqua"/>
          <w:color w:val="000000"/>
        </w:rPr>
        <w:t>a</w:t>
      </w:r>
      <w:r w:rsidR="00C95EDA" w:rsidRPr="00C95EDA">
        <w:rPr>
          <w:rFonts w:ascii="Book Antiqua" w:eastAsia="Book Antiqua" w:hAnsi="Book Antiqua" w:cs="Book Antiqua"/>
          <w:color w:val="000000"/>
        </w:rPr>
        <w:t>nalysed</w:t>
      </w:r>
      <w:proofErr w:type="spellEnd"/>
      <w:r w:rsidR="00C95EDA" w:rsidRPr="00C95EDA">
        <w:rPr>
          <w:rFonts w:ascii="Book Antiqua" w:eastAsia="Book Antiqua" w:hAnsi="Book Antiqua" w:cs="Book Antiqua"/>
          <w:color w:val="000000"/>
        </w:rPr>
        <w:t xml:space="preserve"> and interpreted this case</w:t>
      </w:r>
      <w:r>
        <w:rPr>
          <w:rFonts w:ascii="Book Antiqua" w:eastAsia="Book Antiqua" w:hAnsi="Book Antiqua" w:cs="Book Antiqua"/>
          <w:color w:val="000000"/>
        </w:rPr>
        <w:t>.</w:t>
      </w:r>
    </w:p>
    <w:p w14:paraId="2F6D007C" w14:textId="77777777" w:rsidR="00A77B3E" w:rsidRDefault="00A77B3E">
      <w:pPr>
        <w:spacing w:line="360" w:lineRule="auto"/>
        <w:jc w:val="both"/>
      </w:pPr>
    </w:p>
    <w:p w14:paraId="03B8509E" w14:textId="77777777" w:rsidR="00A77B3E" w:rsidRDefault="00927DCB">
      <w:pPr>
        <w:spacing w:line="360" w:lineRule="auto"/>
        <w:jc w:val="both"/>
      </w:pPr>
      <w:r>
        <w:rPr>
          <w:rFonts w:ascii="Book Antiqua" w:eastAsia="Book Antiqua" w:hAnsi="Book Antiqua" w:cs="Book Antiqua"/>
          <w:b/>
          <w:bCs/>
          <w:color w:val="000000"/>
        </w:rPr>
        <w:t xml:space="preserve">Corresponding author: Song-Bai Deng, PhD, Attending Doctor, </w:t>
      </w:r>
      <w:r>
        <w:rPr>
          <w:rFonts w:ascii="Book Antiqua" w:eastAsia="Book Antiqua" w:hAnsi="Book Antiqua" w:cs="Book Antiqua"/>
          <w:color w:val="000000"/>
        </w:rPr>
        <w:t xml:space="preserve">Department of Cardiology, The Second Affiliated Hospital of Chongqing Medical University, No. 74 </w:t>
      </w:r>
      <w:proofErr w:type="spellStart"/>
      <w:r>
        <w:rPr>
          <w:rFonts w:ascii="Book Antiqua" w:eastAsia="Book Antiqua" w:hAnsi="Book Antiqua" w:cs="Book Antiqua"/>
          <w:color w:val="000000"/>
        </w:rPr>
        <w:t>Linjiang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Yuzhong</w:t>
      </w:r>
      <w:proofErr w:type="spellEnd"/>
      <w:r>
        <w:rPr>
          <w:rFonts w:ascii="Book Antiqua" w:eastAsia="Book Antiqua" w:hAnsi="Book Antiqua" w:cs="Book Antiqua"/>
          <w:color w:val="000000"/>
        </w:rPr>
        <w:t xml:space="preserve"> District, Chongqing 400010, China. 673011271@qq.com</w:t>
      </w:r>
    </w:p>
    <w:p w14:paraId="50F98062" w14:textId="77777777" w:rsidR="00A77B3E" w:rsidRDefault="00A77B3E">
      <w:pPr>
        <w:spacing w:line="360" w:lineRule="auto"/>
        <w:jc w:val="both"/>
      </w:pPr>
    </w:p>
    <w:p w14:paraId="0EBF1848" w14:textId="28A574B4" w:rsidR="00A77B3E" w:rsidRDefault="00927DC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 xml:space="preserve">September </w:t>
      </w:r>
      <w:r w:rsidR="0015696D">
        <w:rPr>
          <w:rFonts w:ascii="Book Antiqua" w:hAnsi="Book Antiqua" w:cs="Book Antiqua" w:hint="eastAsia"/>
          <w:color w:val="000000"/>
          <w:lang w:eastAsia="zh-CN"/>
        </w:rPr>
        <w:t>9</w:t>
      </w:r>
      <w:bookmarkStart w:id="0" w:name="_GoBack"/>
      <w:bookmarkEnd w:id="0"/>
      <w:r>
        <w:rPr>
          <w:rFonts w:ascii="Book Antiqua" w:eastAsia="Book Antiqua" w:hAnsi="Book Antiqua" w:cs="Book Antiqua"/>
          <w:color w:val="000000"/>
        </w:rPr>
        <w:t>, 2020</w:t>
      </w:r>
    </w:p>
    <w:p w14:paraId="54132C1D" w14:textId="77777777" w:rsidR="00A77B3E" w:rsidRDefault="00927DC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10, 2020</w:t>
      </w:r>
    </w:p>
    <w:p w14:paraId="7E9049F2" w14:textId="64891670" w:rsidR="00A77B3E" w:rsidRDefault="00927DCB">
      <w:pPr>
        <w:spacing w:line="360" w:lineRule="auto"/>
        <w:jc w:val="both"/>
      </w:pPr>
      <w:r>
        <w:rPr>
          <w:rFonts w:ascii="Book Antiqua" w:eastAsia="Book Antiqua" w:hAnsi="Book Antiqua" w:cs="Book Antiqua"/>
          <w:b/>
          <w:bCs/>
          <w:color w:val="000000"/>
        </w:rPr>
        <w:t xml:space="preserve">Accepted: </w:t>
      </w:r>
      <w:r w:rsidR="00DE78A5" w:rsidRPr="00DE78A5">
        <w:rPr>
          <w:rFonts w:ascii="Book Antiqua" w:eastAsia="Book Antiqua" w:hAnsi="Book Antiqua" w:cs="Book Antiqua"/>
          <w:bCs/>
          <w:color w:val="000000"/>
        </w:rPr>
        <w:t>November 11, 2020</w:t>
      </w:r>
    </w:p>
    <w:p w14:paraId="0071BAF6" w14:textId="65878C92" w:rsidR="00A77B3E" w:rsidRPr="00CF6608" w:rsidRDefault="00927DCB">
      <w:pPr>
        <w:spacing w:line="360" w:lineRule="auto"/>
        <w:jc w:val="both"/>
        <w:rPr>
          <w:lang w:eastAsia="zh-CN"/>
        </w:rPr>
      </w:pPr>
      <w:r>
        <w:rPr>
          <w:rFonts w:ascii="Book Antiqua" w:eastAsia="Book Antiqua" w:hAnsi="Book Antiqua" w:cs="Book Antiqua"/>
          <w:b/>
          <w:bCs/>
          <w:color w:val="000000"/>
        </w:rPr>
        <w:t xml:space="preserve">Published online: </w:t>
      </w:r>
      <w:r w:rsidR="00CF6608" w:rsidRPr="00CF6608">
        <w:rPr>
          <w:rFonts w:ascii="Book Antiqua" w:hAnsi="Book Antiqua" w:cs="Book Antiqua" w:hint="eastAsia"/>
          <w:bCs/>
          <w:color w:val="000000"/>
          <w:lang w:eastAsia="zh-CN"/>
        </w:rPr>
        <w:t>December 26, 2020</w:t>
      </w:r>
    </w:p>
    <w:p w14:paraId="261E0E2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A122DD5" w14:textId="77777777" w:rsidR="00A77B3E" w:rsidRDefault="00927DCB">
      <w:pPr>
        <w:spacing w:line="360" w:lineRule="auto"/>
        <w:jc w:val="both"/>
      </w:pPr>
      <w:r>
        <w:rPr>
          <w:rFonts w:ascii="Book Antiqua" w:eastAsia="Book Antiqua" w:hAnsi="Book Antiqua" w:cs="Book Antiqua"/>
          <w:b/>
          <w:color w:val="000000"/>
        </w:rPr>
        <w:lastRenderedPageBreak/>
        <w:t>Abstract</w:t>
      </w:r>
    </w:p>
    <w:p w14:paraId="56754225" w14:textId="77777777" w:rsidR="00A77B3E" w:rsidRDefault="00927DCB">
      <w:pPr>
        <w:spacing w:line="360" w:lineRule="auto"/>
        <w:jc w:val="both"/>
      </w:pPr>
      <w:r>
        <w:rPr>
          <w:rFonts w:ascii="Book Antiqua" w:eastAsia="Book Antiqua" w:hAnsi="Book Antiqua" w:cs="Book Antiqua"/>
          <w:color w:val="000000"/>
        </w:rPr>
        <w:t>BACKGROUND</w:t>
      </w:r>
    </w:p>
    <w:p w14:paraId="6B776E0A" w14:textId="77777777" w:rsidR="00A77B3E" w:rsidRDefault="00927DCB">
      <w:pPr>
        <w:spacing w:line="360" w:lineRule="auto"/>
        <w:jc w:val="both"/>
      </w:pPr>
      <w:r>
        <w:rPr>
          <w:rFonts w:ascii="Book Antiqua" w:eastAsia="Book Antiqua" w:hAnsi="Book Antiqua" w:cs="Book Antiqua"/>
          <w:color w:val="000000"/>
        </w:rPr>
        <w:t xml:space="preserve">Heparin-induced thrombocytopenia (HIT) is a rare complication of heparin therapy, and is characterized by arteriovenous thrombosis and bleeding events. The incidence of HIT after </w:t>
      </w:r>
      <w:bookmarkStart w:id="1" w:name="_Hlk54630921"/>
      <w:r>
        <w:rPr>
          <w:rFonts w:ascii="Book Antiqua" w:eastAsia="Book Antiqua" w:hAnsi="Book Antiqua" w:cs="Book Antiqua"/>
          <w:color w:val="000000"/>
        </w:rPr>
        <w:t>percutaneous coronary intervention</w:t>
      </w:r>
      <w:bookmarkEnd w:id="1"/>
      <w:r>
        <w:rPr>
          <w:rFonts w:ascii="Book Antiqua" w:eastAsia="Book Antiqua" w:hAnsi="Book Antiqua" w:cs="Book Antiqua"/>
          <w:color w:val="000000"/>
        </w:rPr>
        <w:t xml:space="preserve"> (PCI) in patients with myocardial infarction complicated with renal failure is rarely reported.</w:t>
      </w:r>
    </w:p>
    <w:p w14:paraId="5FC56559" w14:textId="77777777" w:rsidR="00A77B3E" w:rsidRDefault="00A77B3E">
      <w:pPr>
        <w:spacing w:line="360" w:lineRule="auto"/>
        <w:jc w:val="both"/>
      </w:pPr>
    </w:p>
    <w:p w14:paraId="32CE00F1" w14:textId="77777777" w:rsidR="00A77B3E" w:rsidRDefault="00927DCB">
      <w:pPr>
        <w:spacing w:line="360" w:lineRule="auto"/>
        <w:jc w:val="both"/>
      </w:pPr>
      <w:r>
        <w:rPr>
          <w:rFonts w:ascii="Book Antiqua" w:eastAsia="Book Antiqua" w:hAnsi="Book Antiqua" w:cs="Book Antiqua"/>
          <w:color w:val="000000"/>
        </w:rPr>
        <w:t>CASE SUMMARY</w:t>
      </w:r>
    </w:p>
    <w:p w14:paraId="2406EFD3" w14:textId="35DF1932" w:rsidR="00A77B3E" w:rsidRDefault="00927DCB">
      <w:pPr>
        <w:spacing w:line="360" w:lineRule="auto"/>
        <w:jc w:val="both"/>
      </w:pPr>
      <w:r>
        <w:rPr>
          <w:rFonts w:ascii="Book Antiqua" w:eastAsia="Book Antiqua" w:hAnsi="Book Antiqua" w:cs="Book Antiqua"/>
          <w:color w:val="000000"/>
        </w:rPr>
        <w:t>We report a 73-year-old man with acute myocardial infarction and renal failure who underwent hemodialysis and PCI, and developed a progressive decline in platelets and subcutaneous hemorrhage of both upper limbs after heparin treatment. In addition to a gradual decrease in platelets, the patient’s 4T's score was 7, and HIT antibody was positive, confirming the diagnosis of HIT.</w:t>
      </w:r>
    </w:p>
    <w:p w14:paraId="392B3610" w14:textId="77777777" w:rsidR="00A77B3E" w:rsidRDefault="00A77B3E">
      <w:pPr>
        <w:spacing w:line="360" w:lineRule="auto"/>
        <w:jc w:val="both"/>
      </w:pPr>
    </w:p>
    <w:p w14:paraId="49C5D76F" w14:textId="77777777" w:rsidR="00A77B3E" w:rsidRDefault="00927DCB">
      <w:pPr>
        <w:spacing w:line="360" w:lineRule="auto"/>
        <w:jc w:val="both"/>
      </w:pPr>
      <w:r>
        <w:rPr>
          <w:rFonts w:ascii="Book Antiqua" w:eastAsia="Book Antiqua" w:hAnsi="Book Antiqua" w:cs="Book Antiqua"/>
          <w:color w:val="000000"/>
        </w:rPr>
        <w:t>CONCLUSION</w:t>
      </w:r>
    </w:p>
    <w:p w14:paraId="45E68C13" w14:textId="7C956536" w:rsidR="00A77B3E" w:rsidRDefault="00927DCB">
      <w:pPr>
        <w:spacing w:line="360" w:lineRule="auto"/>
        <w:jc w:val="both"/>
      </w:pPr>
      <w:r>
        <w:rPr>
          <w:rFonts w:ascii="Book Antiqua" w:eastAsia="Book Antiqua" w:hAnsi="Book Antiqua" w:cs="Book Antiqua"/>
          <w:color w:val="000000"/>
        </w:rPr>
        <w:t>Patients receiving heparin combined with antiplatelet therapy should be monitored closely, especially</w:t>
      </w:r>
      <w:r w:rsidR="0060356C">
        <w:rPr>
          <w:rFonts w:ascii="Book Antiqua" w:eastAsia="Book Antiqua" w:hAnsi="Book Antiqua" w:cs="Book Antiqua"/>
          <w:color w:val="000000"/>
        </w:rPr>
        <w:t xml:space="preserve"> for</w:t>
      </w:r>
      <w:r>
        <w:rPr>
          <w:rFonts w:ascii="Book Antiqua" w:eastAsia="Book Antiqua" w:hAnsi="Book Antiqua" w:cs="Book Antiqua"/>
          <w:color w:val="000000"/>
        </w:rPr>
        <w:t xml:space="preserve"> their platelet count. In the case of thrombocytopenia, HIT should be highly suspected. When the diagnosis of HIT is confirmed, timely individualized treatment should be delivered.</w:t>
      </w:r>
    </w:p>
    <w:p w14:paraId="38988B12" w14:textId="77777777" w:rsidR="00A77B3E" w:rsidRDefault="00A77B3E">
      <w:pPr>
        <w:spacing w:line="360" w:lineRule="auto"/>
        <w:jc w:val="both"/>
      </w:pPr>
    </w:p>
    <w:p w14:paraId="4F1C0708" w14:textId="77777777" w:rsidR="00A77B3E" w:rsidRDefault="00927DC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Thrombocytopenia; Heparin; Percutaneous coronary intervention; Myocardial infarction; Chronic renal insufficiency; Case report</w:t>
      </w:r>
    </w:p>
    <w:p w14:paraId="0146A16A" w14:textId="77777777" w:rsidR="00A77B3E" w:rsidRDefault="00A77B3E">
      <w:pPr>
        <w:spacing w:line="360" w:lineRule="auto"/>
        <w:jc w:val="both"/>
      </w:pPr>
    </w:p>
    <w:p w14:paraId="2E72412C" w14:textId="26BD858D" w:rsidR="0087478C" w:rsidRDefault="0087478C">
      <w:pPr>
        <w:spacing w:line="360" w:lineRule="auto"/>
        <w:jc w:val="both"/>
        <w:rPr>
          <w:rFonts w:ascii="Book Antiqua" w:hAnsi="Book Antiqua" w:cs="Book Antiqua"/>
          <w:color w:val="000000"/>
          <w:lang w:eastAsia="zh-CN"/>
        </w:rPr>
      </w:pPr>
      <w:r w:rsidRPr="0087478C">
        <w:rPr>
          <w:rFonts w:ascii="Book Antiqua" w:eastAsia="Book Antiqua" w:hAnsi="Book Antiqua" w:cs="Book Antiqua"/>
          <w:b/>
          <w:color w:val="000000"/>
        </w:rPr>
        <w:t xml:space="preserve">Citation: </w:t>
      </w:r>
      <w:r w:rsidR="00927DCB">
        <w:rPr>
          <w:rFonts w:ascii="Book Antiqua" w:eastAsia="Book Antiqua" w:hAnsi="Book Antiqua" w:cs="Book Antiqua"/>
          <w:color w:val="000000"/>
        </w:rPr>
        <w:t>Wang J, Deng SB, She Q. Hepari</w:t>
      </w:r>
      <w:r w:rsidR="00C95EDA">
        <w:rPr>
          <w:rFonts w:ascii="Book Antiqua" w:eastAsia="Book Antiqua" w:hAnsi="Book Antiqua" w:cs="Book Antiqua"/>
          <w:color w:val="000000"/>
        </w:rPr>
        <w:t>n-induced thrombocytopenia in renal insufficiency undergoing dialysis and percutaneous coronary intervention after acute myocardial i</w:t>
      </w:r>
      <w:r w:rsidR="00927DCB">
        <w:rPr>
          <w:rFonts w:ascii="Book Antiqua" w:eastAsia="Book Antiqua" w:hAnsi="Book Antiqua" w:cs="Book Antiqua"/>
          <w:color w:val="000000"/>
        </w:rPr>
        <w:t xml:space="preserve">nfarction: </w:t>
      </w:r>
      <w:r w:rsidR="00C95EDA">
        <w:rPr>
          <w:rFonts w:ascii="Book Antiqua" w:eastAsia="Book Antiqua" w:hAnsi="Book Antiqua" w:cs="Book Antiqua"/>
          <w:color w:val="000000"/>
        </w:rPr>
        <w:t>A</w:t>
      </w:r>
      <w:r w:rsidR="00927DCB">
        <w:rPr>
          <w:rFonts w:ascii="Book Antiqua" w:eastAsia="Book Antiqua" w:hAnsi="Book Antiqua" w:cs="Book Antiqua"/>
          <w:color w:val="000000"/>
        </w:rPr>
        <w:t xml:space="preserve"> case report. </w:t>
      </w:r>
      <w:r w:rsidR="00927DCB">
        <w:rPr>
          <w:rFonts w:ascii="Book Antiqua" w:eastAsia="Book Antiqua" w:hAnsi="Book Antiqua" w:cs="Book Antiqua"/>
          <w:i/>
          <w:iCs/>
          <w:color w:val="000000"/>
        </w:rPr>
        <w:t xml:space="preserve">World J </w:t>
      </w:r>
      <w:proofErr w:type="spellStart"/>
      <w:r w:rsidR="00927DCB">
        <w:rPr>
          <w:rFonts w:ascii="Book Antiqua" w:eastAsia="Book Antiqua" w:hAnsi="Book Antiqua" w:cs="Book Antiqua"/>
          <w:i/>
          <w:iCs/>
          <w:color w:val="000000"/>
        </w:rPr>
        <w:t>Cardiol</w:t>
      </w:r>
      <w:proofErr w:type="spellEnd"/>
      <w:r w:rsidR="00927DCB">
        <w:rPr>
          <w:rFonts w:ascii="Book Antiqua" w:eastAsia="Book Antiqua" w:hAnsi="Book Antiqua" w:cs="Book Antiqua"/>
          <w:color w:val="000000"/>
        </w:rPr>
        <w:t xml:space="preserve"> 2020; </w:t>
      </w:r>
      <w:r w:rsidR="00B24B9F" w:rsidRPr="00B24B9F">
        <w:rPr>
          <w:rFonts w:ascii="Book Antiqua" w:eastAsia="Book Antiqua" w:hAnsi="Book Antiqua" w:cs="Book Antiqua"/>
          <w:color w:val="000000"/>
        </w:rPr>
        <w:t xml:space="preserve">12(12): </w:t>
      </w:r>
      <w:r>
        <w:rPr>
          <w:rFonts w:ascii="Book Antiqua" w:hAnsi="Book Antiqua" w:cs="Book Antiqua" w:hint="eastAsia"/>
          <w:color w:val="000000"/>
          <w:lang w:eastAsia="zh-CN"/>
        </w:rPr>
        <w:t>634</w:t>
      </w:r>
      <w:r w:rsidR="00B24B9F" w:rsidRPr="00B24B9F">
        <w:rPr>
          <w:rFonts w:ascii="Book Antiqua" w:eastAsia="Book Antiqua" w:hAnsi="Book Antiqua" w:cs="Book Antiqua"/>
          <w:color w:val="000000"/>
        </w:rPr>
        <w:t>-</w:t>
      </w:r>
      <w:r>
        <w:rPr>
          <w:rFonts w:ascii="Book Antiqua" w:hAnsi="Book Antiqua" w:cs="Book Antiqua" w:hint="eastAsia"/>
          <w:color w:val="000000"/>
          <w:lang w:eastAsia="zh-CN"/>
        </w:rPr>
        <w:t>641</w:t>
      </w:r>
      <w:r w:rsidR="00B24B9F" w:rsidRPr="00B24B9F">
        <w:rPr>
          <w:rFonts w:ascii="Book Antiqua" w:eastAsia="Book Antiqua" w:hAnsi="Book Antiqua" w:cs="Book Antiqua"/>
          <w:color w:val="000000"/>
        </w:rPr>
        <w:t xml:space="preserve">  </w:t>
      </w:r>
    </w:p>
    <w:p w14:paraId="2313B914" w14:textId="17CDB868" w:rsidR="0087478C" w:rsidRDefault="00B24B9F">
      <w:pPr>
        <w:spacing w:line="360" w:lineRule="auto"/>
        <w:jc w:val="both"/>
        <w:rPr>
          <w:rFonts w:ascii="Book Antiqua" w:hAnsi="Book Antiqua" w:cs="Book Antiqua"/>
          <w:color w:val="000000"/>
          <w:lang w:eastAsia="zh-CN"/>
        </w:rPr>
      </w:pPr>
      <w:r w:rsidRPr="00B24B9F">
        <w:rPr>
          <w:rFonts w:ascii="Book Antiqua" w:eastAsia="Book Antiqua" w:hAnsi="Book Antiqua" w:cs="Book Antiqua"/>
          <w:color w:val="000000"/>
        </w:rPr>
        <w:t>URL: https://www.wjgnet.com/1949-8462/full/v12/i12/</w:t>
      </w:r>
      <w:r w:rsidR="00AB4FAA">
        <w:rPr>
          <w:rFonts w:ascii="Book Antiqua" w:hAnsi="Book Antiqua" w:cs="Book Antiqua" w:hint="eastAsia"/>
          <w:color w:val="000000"/>
          <w:lang w:eastAsia="zh-CN"/>
        </w:rPr>
        <w:t>634</w:t>
      </w:r>
      <w:r w:rsidRPr="00B24B9F">
        <w:rPr>
          <w:rFonts w:ascii="Book Antiqua" w:eastAsia="Book Antiqua" w:hAnsi="Book Antiqua" w:cs="Book Antiqua"/>
          <w:color w:val="000000"/>
        </w:rPr>
        <w:t xml:space="preserve">.htm  </w:t>
      </w:r>
    </w:p>
    <w:p w14:paraId="0DAB1B61" w14:textId="7D38AEB3" w:rsidR="00A77B3E" w:rsidRPr="00AB4FAA" w:rsidRDefault="00B24B9F">
      <w:pPr>
        <w:spacing w:line="360" w:lineRule="auto"/>
        <w:jc w:val="both"/>
        <w:rPr>
          <w:lang w:eastAsia="zh-CN"/>
        </w:rPr>
      </w:pPr>
      <w:r w:rsidRPr="00B24B9F">
        <w:rPr>
          <w:rFonts w:ascii="Book Antiqua" w:eastAsia="Book Antiqua" w:hAnsi="Book Antiqua" w:cs="Book Antiqua"/>
          <w:color w:val="000000"/>
        </w:rPr>
        <w:t>DOI: https://dx.doi.org/10.4330/wjc.v12.i12.</w:t>
      </w:r>
      <w:r w:rsidR="00AB4FAA">
        <w:rPr>
          <w:rFonts w:ascii="Book Antiqua" w:hAnsi="Book Antiqua" w:cs="Book Antiqua" w:hint="eastAsia"/>
          <w:color w:val="000000"/>
          <w:lang w:eastAsia="zh-CN"/>
        </w:rPr>
        <w:t>634</w:t>
      </w:r>
    </w:p>
    <w:p w14:paraId="784610BB" w14:textId="77777777" w:rsidR="00A77B3E" w:rsidRDefault="00A77B3E">
      <w:pPr>
        <w:spacing w:line="360" w:lineRule="auto"/>
        <w:jc w:val="both"/>
      </w:pPr>
    </w:p>
    <w:p w14:paraId="32FCDFFD" w14:textId="17C7F4A0" w:rsidR="00A77B3E" w:rsidRDefault="00927DCB">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Heparin-induced thrombocytopenia (HIT) is a rare complication of heparin therapy. Its pathogenesis includes thrombotic events that can rarely affect the coronary arteries. We report a 73-year-old man who presented with extensive lower extremities deep venous thrombosis. After being treated with heparin, he developed</w:t>
      </w:r>
      <w:r w:rsidR="0060356C">
        <w:rPr>
          <w:rFonts w:ascii="Book Antiqua" w:eastAsia="Book Antiqua" w:hAnsi="Book Antiqua" w:cs="Book Antiqua"/>
          <w:color w:val="000000"/>
        </w:rPr>
        <w:t xml:space="preserve"> </w:t>
      </w:r>
      <w:r>
        <w:rPr>
          <w:rFonts w:ascii="Book Antiqua" w:eastAsia="Book Antiqua" w:hAnsi="Book Antiqua" w:cs="Book Antiqua"/>
          <w:color w:val="000000"/>
        </w:rPr>
        <w:t>ST-elevation myocardial infarction secondary to acute thrombus formation. The patient’s platelets dropped within 6</w:t>
      </w:r>
      <w:r w:rsidR="00C86669">
        <w:rPr>
          <w:rFonts w:ascii="Book Antiqua" w:eastAsia="Book Antiqua" w:hAnsi="Book Antiqua" w:cs="Book Antiqua"/>
          <w:color w:val="000000"/>
        </w:rPr>
        <w:t xml:space="preserve"> </w:t>
      </w:r>
      <w:r>
        <w:rPr>
          <w:rFonts w:ascii="Book Antiqua" w:eastAsia="Book Antiqua" w:hAnsi="Book Antiqua" w:cs="Book Antiqua"/>
          <w:color w:val="000000"/>
        </w:rPr>
        <w:t xml:space="preserve">d, </w:t>
      </w:r>
      <w:r w:rsidR="0060356C">
        <w:rPr>
          <w:rFonts w:ascii="Book Antiqua" w:eastAsia="Book Antiqua" w:hAnsi="Book Antiqua" w:cs="Book Antiqua"/>
          <w:color w:val="000000"/>
        </w:rPr>
        <w:t xml:space="preserve">and </w:t>
      </w:r>
      <w:r>
        <w:rPr>
          <w:rFonts w:ascii="Book Antiqua" w:eastAsia="Book Antiqua" w:hAnsi="Book Antiqua" w:cs="Book Antiqua"/>
          <w:color w:val="000000"/>
        </w:rPr>
        <w:t>heparin-</w:t>
      </w:r>
      <w:r w:rsidR="00C86669">
        <w:rPr>
          <w:rFonts w:ascii="Book Antiqua" w:eastAsia="Book Antiqua" w:hAnsi="Book Antiqua" w:cs="Book Antiqua"/>
          <w:color w:val="000000"/>
        </w:rPr>
        <w:t>platelet factor 4</w:t>
      </w:r>
      <w:r>
        <w:rPr>
          <w:rFonts w:ascii="Book Antiqua" w:eastAsia="Book Antiqua" w:hAnsi="Book Antiqua" w:cs="Book Antiqua"/>
          <w:color w:val="000000"/>
        </w:rPr>
        <w:t xml:space="preserve"> </w:t>
      </w:r>
      <w:r w:rsidR="00C86669" w:rsidRPr="00346603">
        <w:rPr>
          <w:rFonts w:ascii="Book Antiqua" w:eastAsia="Book Antiqua" w:hAnsi="Book Antiqua" w:cs="Book Antiqua"/>
          <w:color w:val="000000"/>
        </w:rPr>
        <w:t>immunoglobulin</w:t>
      </w:r>
      <w:r w:rsidR="00C86669" w:rsidDel="00C86669">
        <w:rPr>
          <w:rFonts w:ascii="Book Antiqua" w:eastAsia="Book Antiqua" w:hAnsi="Book Antiqua" w:cs="Book Antiqua"/>
          <w:color w:val="000000"/>
        </w:rPr>
        <w:t xml:space="preserve"> </w:t>
      </w:r>
      <w:r>
        <w:rPr>
          <w:rFonts w:ascii="Book Antiqua" w:eastAsia="Book Antiqua" w:hAnsi="Book Antiqua" w:cs="Book Antiqua"/>
          <w:color w:val="000000"/>
        </w:rPr>
        <w:t>G antibody and serotonin release assay were positive</w:t>
      </w:r>
      <w:r w:rsidR="0060356C">
        <w:rPr>
          <w:rFonts w:ascii="Book Antiqua" w:eastAsia="Book Antiqua" w:hAnsi="Book Antiqua" w:cs="Book Antiqua"/>
          <w:color w:val="000000"/>
        </w:rPr>
        <w:t>,</w:t>
      </w:r>
      <w:r>
        <w:rPr>
          <w:rFonts w:ascii="Book Antiqua" w:eastAsia="Book Antiqua" w:hAnsi="Book Antiqua" w:cs="Book Antiqua"/>
          <w:color w:val="000000"/>
        </w:rPr>
        <w:t xml:space="preserve"> co</w:t>
      </w:r>
      <w:r w:rsidR="00C86669">
        <w:rPr>
          <w:rFonts w:ascii="Book Antiqua" w:eastAsia="Book Antiqua" w:hAnsi="Book Antiqua" w:cs="Book Antiqua"/>
          <w:color w:val="000000"/>
        </w:rPr>
        <w:t>n</w:t>
      </w:r>
      <w:r>
        <w:rPr>
          <w:rFonts w:ascii="Book Antiqua" w:eastAsia="Book Antiqua" w:hAnsi="Book Antiqua" w:cs="Book Antiqua"/>
          <w:color w:val="000000"/>
        </w:rPr>
        <w:t xml:space="preserve">firming the diagnosis of HIT. HIT is associated with </w:t>
      </w:r>
      <w:r w:rsidR="0060356C">
        <w:rPr>
          <w:rFonts w:ascii="Book Antiqua" w:eastAsia="Book Antiqua" w:hAnsi="Book Antiqua" w:cs="Book Antiqua"/>
          <w:color w:val="000000"/>
        </w:rPr>
        <w:t xml:space="preserve">an </w:t>
      </w:r>
      <w:r>
        <w:rPr>
          <w:rFonts w:ascii="Book Antiqua" w:eastAsia="Book Antiqua" w:hAnsi="Book Antiqua" w:cs="Book Antiqua"/>
          <w:color w:val="000000"/>
        </w:rPr>
        <w:t xml:space="preserve">increased risk for coronary thrombosis and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HIT can cause coronary complications usually in previously disrupted coronary vessels and bypass grafts.</w:t>
      </w:r>
    </w:p>
    <w:p w14:paraId="20BD39C9" w14:textId="6EA24E76" w:rsidR="00A77B3E" w:rsidRDefault="00C86669">
      <w:pPr>
        <w:spacing w:line="360" w:lineRule="auto"/>
        <w:jc w:val="both"/>
      </w:pPr>
      <w:r>
        <w:br w:type="page"/>
      </w:r>
      <w:r w:rsidR="00927DCB">
        <w:rPr>
          <w:rFonts w:ascii="Book Antiqua" w:eastAsia="Book Antiqua" w:hAnsi="Book Antiqua" w:cs="Book Antiqua"/>
          <w:b/>
          <w:caps/>
          <w:color w:val="000000"/>
          <w:u w:val="single"/>
        </w:rPr>
        <w:lastRenderedPageBreak/>
        <w:t>INTRODUCTION</w:t>
      </w:r>
    </w:p>
    <w:p w14:paraId="165E93C9" w14:textId="6D0065FB" w:rsidR="00A77B3E" w:rsidRDefault="00927DCB">
      <w:pPr>
        <w:spacing w:line="360" w:lineRule="auto"/>
        <w:jc w:val="both"/>
      </w:pPr>
      <w:r>
        <w:rPr>
          <w:rFonts w:ascii="Book Antiqua" w:eastAsia="Book Antiqua" w:hAnsi="Book Antiqua" w:cs="Book Antiqua"/>
          <w:color w:val="000000"/>
        </w:rPr>
        <w:t xml:space="preserve">Heparin-induced thrombocytopenia (HIT) refers to </w:t>
      </w:r>
      <w:r w:rsidR="0060356C">
        <w:rPr>
          <w:rFonts w:ascii="Book Antiqua" w:eastAsia="Book Antiqua" w:hAnsi="Book Antiqua" w:cs="Book Antiqua"/>
          <w:color w:val="000000"/>
        </w:rPr>
        <w:t xml:space="preserve">thrombocytopenia occurs following </w:t>
      </w:r>
      <w:r>
        <w:rPr>
          <w:rFonts w:ascii="Book Antiqua" w:eastAsia="Book Antiqua" w:hAnsi="Book Antiqua" w:cs="Book Antiqua"/>
          <w:color w:val="000000"/>
        </w:rPr>
        <w:t xml:space="preserve">therapy with heparins including unfractionated heparin (UFH) and heparin derivatives, such as low-molecular weight heparin (LMWH). During HIT, immune antibodies mediated by platelets play an important role, and cause a reduction in platelet count. This can lead to arteriovenous thrombosis and bleeding events, and may </w:t>
      </w:r>
      <w:r w:rsidR="0060356C">
        <w:rPr>
          <w:rFonts w:ascii="Book Antiqua" w:eastAsia="Book Antiqua" w:hAnsi="Book Antiqua" w:cs="Book Antiqua"/>
          <w:color w:val="000000"/>
        </w:rPr>
        <w:t xml:space="preserve">even </w:t>
      </w:r>
      <w:r>
        <w:rPr>
          <w:rFonts w:ascii="Book Antiqua" w:eastAsia="Book Antiqua" w:hAnsi="Book Antiqua" w:cs="Book Antiqua"/>
          <w:color w:val="000000"/>
        </w:rPr>
        <w:t xml:space="preserve">cause death in severe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With an increasing number of patients undergoing dialysis or coronary intervention treatment, HIT has gradually gained more and more attention. Timely detection and treatment significantly improve the prognosis of these patients. We report a case of HIT in a patient with chronic renal insufficiency and acute myocardial infarction (AMI) following percutaneous coronary intervention (PCI).</w:t>
      </w:r>
    </w:p>
    <w:p w14:paraId="45584F99" w14:textId="77777777" w:rsidR="00A77B3E" w:rsidRDefault="00A77B3E">
      <w:pPr>
        <w:spacing w:line="360" w:lineRule="auto"/>
        <w:jc w:val="both"/>
      </w:pPr>
    </w:p>
    <w:p w14:paraId="67F288A8" w14:textId="77777777" w:rsidR="00A77B3E" w:rsidRDefault="00927DCB">
      <w:pPr>
        <w:spacing w:line="360" w:lineRule="auto"/>
        <w:jc w:val="both"/>
      </w:pPr>
      <w:r>
        <w:rPr>
          <w:rFonts w:ascii="Book Antiqua" w:eastAsia="Book Antiqua" w:hAnsi="Book Antiqua" w:cs="Book Antiqua"/>
          <w:b/>
          <w:caps/>
          <w:color w:val="000000"/>
          <w:u w:val="single"/>
        </w:rPr>
        <w:t>CASE PRESENTATION</w:t>
      </w:r>
    </w:p>
    <w:p w14:paraId="5E717A55" w14:textId="77777777" w:rsidR="00A77B3E" w:rsidRDefault="00927DCB">
      <w:pPr>
        <w:spacing w:line="360" w:lineRule="auto"/>
        <w:jc w:val="both"/>
      </w:pPr>
      <w:r>
        <w:rPr>
          <w:rFonts w:ascii="Book Antiqua" w:eastAsia="Book Antiqua" w:hAnsi="Book Antiqua" w:cs="Book Antiqua"/>
          <w:b/>
          <w:i/>
          <w:color w:val="000000"/>
        </w:rPr>
        <w:t>Chief complaints</w:t>
      </w:r>
    </w:p>
    <w:p w14:paraId="426EFEE6" w14:textId="31F81A81" w:rsidR="00A77B3E" w:rsidRDefault="00927DCB">
      <w:pPr>
        <w:spacing w:line="360" w:lineRule="auto"/>
        <w:jc w:val="both"/>
      </w:pPr>
      <w:r>
        <w:rPr>
          <w:rFonts w:ascii="Book Antiqua" w:eastAsia="Book Antiqua" w:hAnsi="Book Antiqua" w:cs="Book Antiqua"/>
          <w:color w:val="000000"/>
        </w:rPr>
        <w:t xml:space="preserve">A 73-year-old </w:t>
      </w:r>
      <w:r w:rsidR="0060356C">
        <w:rPr>
          <w:rFonts w:ascii="Book Antiqua" w:eastAsia="Book Antiqua" w:hAnsi="Book Antiqua" w:cs="Book Antiqua"/>
          <w:color w:val="000000"/>
        </w:rPr>
        <w:t xml:space="preserve">man </w:t>
      </w:r>
      <w:r>
        <w:rPr>
          <w:rFonts w:ascii="Book Antiqua" w:eastAsia="Book Antiqua" w:hAnsi="Book Antiqua" w:cs="Book Antiqua"/>
          <w:color w:val="000000"/>
        </w:rPr>
        <w:t xml:space="preserve">was admitted to a regional hospital because of AMI </w:t>
      </w:r>
      <w:r w:rsidR="0060356C">
        <w:rPr>
          <w:rFonts w:ascii="Book Antiqua" w:eastAsia="Book Antiqua" w:hAnsi="Book Antiqua" w:cs="Book Antiqua"/>
          <w:color w:val="000000"/>
        </w:rPr>
        <w:t xml:space="preserve">occurring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admission to our hospital. </w:t>
      </w:r>
    </w:p>
    <w:p w14:paraId="3735863C" w14:textId="77777777" w:rsidR="00A77B3E" w:rsidRDefault="00A77B3E">
      <w:pPr>
        <w:spacing w:line="360" w:lineRule="auto"/>
        <w:jc w:val="both"/>
      </w:pPr>
    </w:p>
    <w:p w14:paraId="1B6B8CFB" w14:textId="77777777" w:rsidR="00A77B3E" w:rsidRDefault="00927DCB">
      <w:pPr>
        <w:spacing w:line="360" w:lineRule="auto"/>
        <w:jc w:val="both"/>
      </w:pPr>
      <w:r>
        <w:rPr>
          <w:rFonts w:ascii="Book Antiqua" w:eastAsia="Book Antiqua" w:hAnsi="Book Antiqua" w:cs="Book Antiqua"/>
          <w:b/>
          <w:i/>
          <w:color w:val="000000"/>
        </w:rPr>
        <w:t>History of present illness</w:t>
      </w:r>
    </w:p>
    <w:p w14:paraId="080C4337" w14:textId="06804F89" w:rsidR="00A77B3E" w:rsidRDefault="00927DCB">
      <w:pPr>
        <w:spacing w:line="360" w:lineRule="auto"/>
        <w:jc w:val="both"/>
      </w:pPr>
      <w:r>
        <w:rPr>
          <w:rFonts w:ascii="Book Antiqua" w:eastAsia="Book Antiqua" w:hAnsi="Book Antiqua" w:cs="Book Antiqua"/>
          <w:color w:val="000000"/>
        </w:rPr>
        <w:t xml:space="preserve">During his stay in the regional hospital, a coronary angiogram (CAG) was </w:t>
      </w:r>
      <w:r w:rsidR="0060356C">
        <w:rPr>
          <w:rFonts w:ascii="Book Antiqua" w:eastAsia="Book Antiqua" w:hAnsi="Book Antiqua" w:cs="Book Antiqua"/>
          <w:color w:val="000000"/>
        </w:rPr>
        <w:t>obtained</w:t>
      </w:r>
      <w:r>
        <w:rPr>
          <w:rFonts w:ascii="Book Antiqua" w:eastAsia="Book Antiqua" w:hAnsi="Book Antiqua" w:cs="Book Antiqua"/>
          <w:color w:val="000000"/>
        </w:rPr>
        <w:t xml:space="preserve">, in which 3000 units </w:t>
      </w:r>
      <w:r w:rsidR="0060356C">
        <w:rPr>
          <w:rFonts w:ascii="Book Antiqua" w:eastAsia="Book Antiqua" w:hAnsi="Book Antiqua" w:cs="Book Antiqua"/>
          <w:color w:val="000000"/>
        </w:rPr>
        <w:t xml:space="preserve">of </w:t>
      </w:r>
      <w:r>
        <w:rPr>
          <w:rFonts w:ascii="Book Antiqua" w:eastAsia="Book Antiqua" w:hAnsi="Book Antiqua" w:cs="Book Antiqua"/>
          <w:color w:val="000000"/>
        </w:rPr>
        <w:t xml:space="preserve">UFH </w:t>
      </w:r>
      <w:r w:rsidR="0060356C">
        <w:rPr>
          <w:rFonts w:ascii="Book Antiqua" w:eastAsia="Book Antiqua" w:hAnsi="Book Antiqua" w:cs="Book Antiqua"/>
          <w:color w:val="000000"/>
        </w:rPr>
        <w:t xml:space="preserve">was </w:t>
      </w:r>
      <w:r>
        <w:rPr>
          <w:rFonts w:ascii="Book Antiqua" w:eastAsia="Book Antiqua" w:hAnsi="Book Antiqua" w:cs="Book Antiqua"/>
          <w:color w:val="000000"/>
        </w:rPr>
        <w:t xml:space="preserve">administered, and CAG revealed </w:t>
      </w:r>
      <w:r w:rsidR="00A65C9D">
        <w:rPr>
          <w:rFonts w:ascii="Book Antiqua" w:eastAsia="Book Antiqua" w:hAnsi="Book Antiqua" w:cs="Book Antiqua"/>
          <w:color w:val="000000"/>
        </w:rPr>
        <w:t xml:space="preserve">the presence of </w:t>
      </w:r>
      <w:r>
        <w:rPr>
          <w:rFonts w:ascii="Book Antiqua" w:eastAsia="Book Antiqua" w:hAnsi="Book Antiqua" w:cs="Book Antiqua"/>
          <w:color w:val="000000"/>
        </w:rPr>
        <w:t>trunk and 3-vessel disease. The patient was transferred to our department (November 7, 2018) for further treatment.</w:t>
      </w:r>
    </w:p>
    <w:p w14:paraId="597B5A23" w14:textId="77777777" w:rsidR="00A77B3E" w:rsidRDefault="00A77B3E">
      <w:pPr>
        <w:spacing w:line="360" w:lineRule="auto"/>
        <w:jc w:val="both"/>
      </w:pPr>
    </w:p>
    <w:p w14:paraId="6C3DE3A7" w14:textId="77777777" w:rsidR="00A77B3E" w:rsidRDefault="00927DCB">
      <w:pPr>
        <w:spacing w:line="360" w:lineRule="auto"/>
        <w:jc w:val="both"/>
      </w:pPr>
      <w:r>
        <w:rPr>
          <w:rFonts w:ascii="Book Antiqua" w:eastAsia="Book Antiqua" w:hAnsi="Book Antiqua" w:cs="Book Antiqua"/>
          <w:b/>
          <w:i/>
          <w:color w:val="000000"/>
        </w:rPr>
        <w:t>History of past illness</w:t>
      </w:r>
    </w:p>
    <w:p w14:paraId="1D536FF0" w14:textId="77777777" w:rsidR="00A77B3E" w:rsidRDefault="00927DCB">
      <w:pPr>
        <w:spacing w:line="360" w:lineRule="auto"/>
        <w:jc w:val="both"/>
      </w:pPr>
      <w:r>
        <w:rPr>
          <w:rFonts w:ascii="Book Antiqua" w:eastAsia="Book Antiqua" w:hAnsi="Book Antiqua" w:cs="Book Antiqua"/>
          <w:color w:val="000000"/>
        </w:rPr>
        <w:t xml:space="preserve">The patient had a history of chronic kidney disease for 5 years and hypertension for 4 years. He received hemodialysis treatment four times before being transferring to our hospital. </w:t>
      </w:r>
    </w:p>
    <w:p w14:paraId="24F9FDD1" w14:textId="77777777" w:rsidR="00A77B3E" w:rsidRDefault="00A77B3E">
      <w:pPr>
        <w:spacing w:line="360" w:lineRule="auto"/>
        <w:jc w:val="both"/>
      </w:pPr>
    </w:p>
    <w:p w14:paraId="258AF42C" w14:textId="77777777" w:rsidR="00A77B3E" w:rsidRDefault="00927DCB">
      <w:pPr>
        <w:spacing w:line="360" w:lineRule="auto"/>
        <w:jc w:val="both"/>
      </w:pPr>
      <w:r>
        <w:rPr>
          <w:rFonts w:ascii="Book Antiqua" w:eastAsia="Book Antiqua" w:hAnsi="Book Antiqua" w:cs="Book Antiqua"/>
          <w:b/>
          <w:i/>
          <w:color w:val="000000"/>
        </w:rPr>
        <w:t>Personal and family history</w:t>
      </w:r>
    </w:p>
    <w:p w14:paraId="5EC60D21" w14:textId="2C99A5F0" w:rsidR="00A77B3E" w:rsidRDefault="00927DCB">
      <w:pPr>
        <w:spacing w:line="360" w:lineRule="auto"/>
        <w:jc w:val="both"/>
      </w:pPr>
      <w:r>
        <w:rPr>
          <w:rFonts w:ascii="Book Antiqua" w:eastAsia="Book Antiqua" w:hAnsi="Book Antiqua" w:cs="Book Antiqua"/>
          <w:color w:val="000000"/>
        </w:rPr>
        <w:lastRenderedPageBreak/>
        <w:t>This patient ha</w:t>
      </w:r>
      <w:r w:rsidR="00A65C9D">
        <w:rPr>
          <w:rFonts w:ascii="Book Antiqua" w:eastAsia="Book Antiqua" w:hAnsi="Book Antiqua" w:cs="Book Antiqua"/>
          <w:color w:val="000000"/>
        </w:rPr>
        <w:t>d no</w:t>
      </w:r>
      <w:r>
        <w:rPr>
          <w:rFonts w:ascii="Book Antiqua" w:eastAsia="Book Antiqua" w:hAnsi="Book Antiqua" w:cs="Book Antiqua"/>
          <w:color w:val="000000"/>
        </w:rPr>
        <w:t xml:space="preserve"> specific personal and family history.</w:t>
      </w:r>
    </w:p>
    <w:p w14:paraId="6EF2A053" w14:textId="77777777" w:rsidR="00A77B3E" w:rsidRDefault="00A77B3E">
      <w:pPr>
        <w:spacing w:line="360" w:lineRule="auto"/>
        <w:jc w:val="both"/>
      </w:pPr>
    </w:p>
    <w:p w14:paraId="6CFD7B39" w14:textId="77777777" w:rsidR="00A77B3E" w:rsidRDefault="00927DCB">
      <w:pPr>
        <w:spacing w:line="360" w:lineRule="auto"/>
        <w:jc w:val="both"/>
      </w:pPr>
      <w:r>
        <w:rPr>
          <w:rFonts w:ascii="Book Antiqua" w:eastAsia="Book Antiqua" w:hAnsi="Book Antiqua" w:cs="Book Antiqua"/>
          <w:b/>
          <w:i/>
          <w:color w:val="000000"/>
        </w:rPr>
        <w:t>Physical examination</w:t>
      </w:r>
    </w:p>
    <w:p w14:paraId="536D2946" w14:textId="1D7FAF99" w:rsidR="00A77B3E" w:rsidRDefault="00927DCB">
      <w:pPr>
        <w:spacing w:line="360" w:lineRule="auto"/>
        <w:jc w:val="both"/>
      </w:pPr>
      <w:r>
        <w:rPr>
          <w:rFonts w:ascii="Book Antiqua" w:eastAsia="Book Antiqua" w:hAnsi="Book Antiqua" w:cs="Book Antiqua"/>
          <w:color w:val="000000"/>
        </w:rPr>
        <w:t xml:space="preserve">On initial presentation to our hospital, he was hemodynamically stable with a heart rate of 76 bpm, and blood pressure of 156/74 mmHg. A small amount of moist rales </w:t>
      </w:r>
      <w:r w:rsidR="00A65C9D">
        <w:rPr>
          <w:rFonts w:ascii="Book Antiqua" w:eastAsia="Book Antiqua" w:hAnsi="Book Antiqua" w:cs="Book Antiqua"/>
          <w:color w:val="000000"/>
        </w:rPr>
        <w:t xml:space="preserve">was </w:t>
      </w:r>
      <w:r>
        <w:rPr>
          <w:rFonts w:ascii="Book Antiqua" w:eastAsia="Book Antiqua" w:hAnsi="Book Antiqua" w:cs="Book Antiqua"/>
          <w:color w:val="000000"/>
        </w:rPr>
        <w:t xml:space="preserve">heard at the bottom of both lungs on auscultation. His heart boundary size was critical on percussion and rhythm was regular on auscultation. A grade-III systolic murmur was heard in the aortic valve area. </w:t>
      </w:r>
    </w:p>
    <w:p w14:paraId="1DD54E1B" w14:textId="77777777" w:rsidR="00A77B3E" w:rsidRDefault="00A77B3E">
      <w:pPr>
        <w:spacing w:line="360" w:lineRule="auto"/>
        <w:jc w:val="both"/>
      </w:pPr>
    </w:p>
    <w:p w14:paraId="1B2215F6" w14:textId="77777777" w:rsidR="00A77B3E" w:rsidRDefault="00927DCB">
      <w:pPr>
        <w:spacing w:line="360" w:lineRule="auto"/>
        <w:jc w:val="both"/>
      </w:pPr>
      <w:r>
        <w:rPr>
          <w:rFonts w:ascii="Book Antiqua" w:eastAsia="Book Antiqua" w:hAnsi="Book Antiqua" w:cs="Book Antiqua"/>
          <w:b/>
          <w:i/>
          <w:color w:val="000000"/>
        </w:rPr>
        <w:t>Laboratory examinations</w:t>
      </w:r>
    </w:p>
    <w:p w14:paraId="05B14208" w14:textId="10DFEFE1" w:rsidR="00A77B3E" w:rsidRDefault="00927DCB">
      <w:pPr>
        <w:spacing w:line="360" w:lineRule="auto"/>
        <w:jc w:val="both"/>
      </w:pPr>
      <w:r>
        <w:rPr>
          <w:rFonts w:ascii="Book Antiqua" w:eastAsia="Book Antiqua" w:hAnsi="Book Antiqua" w:cs="Book Antiqua"/>
          <w:color w:val="000000"/>
        </w:rPr>
        <w:t xml:space="preserve">Laboratory studies were significant for a cardiac troponin T level of 7.670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/L (normal 0.000-0.100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/L), pro-brain natriuretic peptide of 46034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0.00-125.00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creatinine of 580.5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mmol</w:t>
      </w:r>
      <w:proofErr w:type="spellEnd"/>
      <w:r>
        <w:rPr>
          <w:rFonts w:ascii="Book Antiqua" w:eastAsia="Book Antiqua" w:hAnsi="Book Antiqua" w:cs="Book Antiqua"/>
          <w:color w:val="000000"/>
        </w:rPr>
        <w:t>/L, glomerular filtration rate (GFR) of 7.6 mL/L, hemoglobin of 90 g/L (normal 130-175 g/L), and platelet (PLT) count of 121</w:t>
      </w:r>
      <w:r w:rsidR="00C86669">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100-300</w:t>
      </w:r>
      <w:r w:rsidR="00C86669">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w:t>
      </w:r>
    </w:p>
    <w:p w14:paraId="7C3EE134" w14:textId="77777777" w:rsidR="00A77B3E" w:rsidRDefault="00A77B3E">
      <w:pPr>
        <w:spacing w:line="360" w:lineRule="auto"/>
        <w:jc w:val="both"/>
      </w:pPr>
    </w:p>
    <w:p w14:paraId="13527FDB" w14:textId="77777777" w:rsidR="00A77B3E" w:rsidRDefault="00927DCB">
      <w:pPr>
        <w:spacing w:line="360" w:lineRule="auto"/>
        <w:jc w:val="both"/>
      </w:pPr>
      <w:r>
        <w:rPr>
          <w:rFonts w:ascii="Book Antiqua" w:eastAsia="Book Antiqua" w:hAnsi="Book Antiqua" w:cs="Book Antiqua"/>
          <w:b/>
          <w:i/>
          <w:color w:val="000000"/>
        </w:rPr>
        <w:t>Imaging examinations</w:t>
      </w:r>
    </w:p>
    <w:p w14:paraId="5EFFA0B1" w14:textId="2A041627" w:rsidR="00A77B3E" w:rsidRDefault="00927DCB">
      <w:pPr>
        <w:spacing w:line="360" w:lineRule="auto"/>
        <w:jc w:val="both"/>
      </w:pPr>
      <w:r>
        <w:rPr>
          <w:rFonts w:ascii="Book Antiqua" w:eastAsia="Book Antiqua" w:hAnsi="Book Antiqua" w:cs="Book Antiqua"/>
          <w:color w:val="000000"/>
        </w:rPr>
        <w:t xml:space="preserve">Cardiac ultrasound showed that the left atrium and left ventricle were enlarged, and the aorta and pulmonary arteries were widened. Severe aortic insufficiency with moderate stenosis, and moderate mitral valve insufficiency were also found by ultrasound. Left ventricular systolic and diastolic function was reduced. The bedside electrocardiogram (Figure 1) after admission showed sinus rhythm, T wave inversion in leads I, </w:t>
      </w:r>
      <w:proofErr w:type="spellStart"/>
      <w:r>
        <w:rPr>
          <w:rFonts w:ascii="Book Antiqua" w:eastAsia="Book Antiqua" w:hAnsi="Book Antiqua" w:cs="Book Antiqua"/>
          <w:color w:val="000000"/>
        </w:rPr>
        <w:t>aVL</w:t>
      </w:r>
      <w:proofErr w:type="spellEnd"/>
      <w:r w:rsidR="00A65C9D">
        <w:rPr>
          <w:rFonts w:ascii="Book Antiqua" w:eastAsia="Book Antiqua" w:hAnsi="Book Antiqua" w:cs="Book Antiqua"/>
          <w:color w:val="000000"/>
        </w:rPr>
        <w:t>,</w:t>
      </w:r>
      <w:r>
        <w:rPr>
          <w:rFonts w:ascii="Book Antiqua" w:eastAsia="Book Antiqua" w:hAnsi="Book Antiqua" w:cs="Book Antiqua"/>
          <w:color w:val="000000"/>
        </w:rPr>
        <w:t xml:space="preserve"> and V3-V6, and the QRS wave in leads V1 and V2 was QS type.</w:t>
      </w:r>
    </w:p>
    <w:p w14:paraId="0FC47F9E" w14:textId="77777777" w:rsidR="00A77B3E" w:rsidRDefault="00A77B3E">
      <w:pPr>
        <w:spacing w:line="360" w:lineRule="auto"/>
        <w:jc w:val="both"/>
      </w:pPr>
    </w:p>
    <w:p w14:paraId="006097A9" w14:textId="77777777" w:rsidR="00A77B3E" w:rsidRDefault="00927DCB">
      <w:pPr>
        <w:spacing w:line="360" w:lineRule="auto"/>
        <w:jc w:val="both"/>
      </w:pPr>
      <w:r>
        <w:rPr>
          <w:rFonts w:ascii="Book Antiqua" w:eastAsia="Book Antiqua" w:hAnsi="Book Antiqua" w:cs="Book Antiqua"/>
          <w:b/>
          <w:caps/>
          <w:color w:val="000000"/>
          <w:u w:val="single"/>
        </w:rPr>
        <w:t>FINAL DIAGNOSIS</w:t>
      </w:r>
    </w:p>
    <w:p w14:paraId="14A6D7E8" w14:textId="2A8392A4" w:rsidR="00A77B3E" w:rsidRDefault="00927DCB">
      <w:pPr>
        <w:spacing w:line="360" w:lineRule="auto"/>
        <w:jc w:val="both"/>
      </w:pPr>
      <w:r>
        <w:rPr>
          <w:rFonts w:ascii="Book Antiqua" w:eastAsia="Book Antiqua" w:hAnsi="Book Antiqua" w:cs="Book Antiqua"/>
          <w:color w:val="000000"/>
        </w:rPr>
        <w:t xml:space="preserve">After admission, the patient was initially diagnosed with AMI, chronic renal failure, renal anemia, and hypertension. His GRACE score was 183, and CRUSADE score was 53. Thus, the ischemic risk and hemorrhagic risk were both high in this patient. He received standard treatment for secondary prevention of coronary heart disease, </w:t>
      </w:r>
      <w:r>
        <w:rPr>
          <w:rFonts w:ascii="Book Antiqua" w:eastAsia="Book Antiqua" w:hAnsi="Book Antiqua" w:cs="Book Antiqua"/>
          <w:color w:val="000000"/>
        </w:rPr>
        <w:lastRenderedPageBreak/>
        <w:t>including dual-antiplatelet (aspirin 100 mg/d and Plavix 75 mg/d</w:t>
      </w:r>
      <w:r w:rsidR="00A65C9D">
        <w:rPr>
          <w:rFonts w:ascii="Book Antiqua" w:eastAsia="Book Antiqua" w:hAnsi="Book Antiqua" w:cs="Book Antiqua"/>
          <w:color w:val="000000"/>
        </w:rPr>
        <w:t xml:space="preserve">) </w:t>
      </w:r>
      <w:r>
        <w:rPr>
          <w:rFonts w:ascii="Book Antiqua" w:eastAsia="Book Antiqua" w:hAnsi="Book Antiqua" w:cs="Book Antiqua"/>
          <w:color w:val="000000"/>
        </w:rPr>
        <w:t xml:space="preserve">and lipid-lowering (rosuvastatin 10 mg/d) </w:t>
      </w:r>
      <w:r w:rsidR="00A65C9D">
        <w:rPr>
          <w:rFonts w:ascii="Book Antiqua" w:eastAsia="Book Antiqua" w:hAnsi="Book Antiqua" w:cs="Book Antiqua"/>
          <w:color w:val="000000"/>
        </w:rPr>
        <w:t>therapies</w:t>
      </w:r>
      <w:r>
        <w:rPr>
          <w:rFonts w:ascii="Book Antiqua" w:eastAsia="Book Antiqua" w:hAnsi="Book Antiqua" w:cs="Book Antiqua"/>
          <w:color w:val="000000"/>
        </w:rPr>
        <w:t xml:space="preserve">. Simultaneously, intravascular ultrasound (IVUS) examination and CAG were performed (November 9, 2018), which revealed left main coronary artery (LMT) and 3-vessel disease. Following a team discussion, the patient underwent PCI, with </w:t>
      </w:r>
      <w:r w:rsidR="00A65C9D">
        <w:rPr>
          <w:rFonts w:ascii="Book Antiqua" w:eastAsia="Book Antiqua" w:hAnsi="Book Antiqua" w:cs="Book Antiqua"/>
          <w:color w:val="000000"/>
        </w:rPr>
        <w:t xml:space="preserve">one </w:t>
      </w:r>
      <w:r>
        <w:rPr>
          <w:rFonts w:ascii="Book Antiqua" w:eastAsia="Book Antiqua" w:hAnsi="Book Antiqua" w:cs="Book Antiqua"/>
          <w:color w:val="000000"/>
        </w:rPr>
        <w:t xml:space="preserve">stent </w:t>
      </w:r>
      <w:r w:rsidR="00A65C9D">
        <w:rPr>
          <w:rFonts w:ascii="Book Antiqua" w:eastAsia="Book Antiqua" w:hAnsi="Book Antiqua" w:cs="Book Antiqua"/>
          <w:color w:val="000000"/>
        </w:rPr>
        <w:t xml:space="preserve">placed </w:t>
      </w:r>
      <w:r>
        <w:rPr>
          <w:rFonts w:ascii="Book Antiqua" w:eastAsia="Book Antiqua" w:hAnsi="Book Antiqua" w:cs="Book Antiqua"/>
          <w:color w:val="000000"/>
        </w:rPr>
        <w:t>in the LMT-LAD (</w:t>
      </w:r>
      <w:proofErr w:type="spellStart"/>
      <w:r>
        <w:rPr>
          <w:rFonts w:ascii="Book Antiqua" w:eastAsia="Book Antiqua" w:hAnsi="Book Antiqua" w:cs="Book Antiqua"/>
          <w:color w:val="000000"/>
        </w:rPr>
        <w:t>Xience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Xpedition</w:t>
      </w:r>
      <w:proofErr w:type="spellEnd"/>
      <w:r>
        <w:rPr>
          <w:rFonts w:ascii="Book Antiqua" w:eastAsia="Book Antiqua" w:hAnsi="Book Antiqua" w:cs="Book Antiqua"/>
          <w:color w:val="000000"/>
        </w:rPr>
        <w:t xml:space="preserve"> 2.75</w:t>
      </w:r>
      <w:r w:rsidR="00C86669">
        <w:rPr>
          <w:rFonts w:ascii="Book Antiqua" w:eastAsia="Book Antiqua" w:hAnsi="Book Antiqua" w:cs="Book Antiqua"/>
          <w:color w:val="000000"/>
        </w:rPr>
        <w:t xml:space="preserve"> mm </w:t>
      </w:r>
      <w:r>
        <w:rPr>
          <w:rFonts w:ascii="Book Antiqua" w:eastAsia="Book Antiqua" w:hAnsi="Book Antiqua" w:cs="Book Antiqua"/>
          <w:color w:val="000000"/>
        </w:rPr>
        <w:t>×</w:t>
      </w:r>
      <w:r w:rsidR="00C86669">
        <w:rPr>
          <w:rFonts w:ascii="Book Antiqua" w:eastAsia="Book Antiqua" w:hAnsi="Book Antiqua" w:cs="Book Antiqua"/>
          <w:color w:val="000000"/>
        </w:rPr>
        <w:t xml:space="preserve"> </w:t>
      </w:r>
      <w:r>
        <w:rPr>
          <w:rFonts w:ascii="Book Antiqua" w:eastAsia="Book Antiqua" w:hAnsi="Book Antiqua" w:cs="Book Antiqua"/>
          <w:color w:val="000000"/>
        </w:rPr>
        <w:t xml:space="preserve">38 mm) and </w:t>
      </w:r>
      <w:r w:rsidR="00A65C9D">
        <w:rPr>
          <w:rFonts w:ascii="Book Antiqua" w:eastAsia="Book Antiqua" w:hAnsi="Book Antiqua" w:cs="Book Antiqua"/>
          <w:color w:val="000000"/>
        </w:rPr>
        <w:t xml:space="preserve">two </w:t>
      </w:r>
      <w:r>
        <w:rPr>
          <w:rFonts w:ascii="Book Antiqua" w:eastAsia="Book Antiqua" w:hAnsi="Book Antiqua" w:cs="Book Antiqua"/>
          <w:color w:val="000000"/>
        </w:rPr>
        <w:t xml:space="preserve">overlapping stents </w:t>
      </w:r>
      <w:r w:rsidR="00A65C9D">
        <w:rPr>
          <w:rFonts w:ascii="Book Antiqua" w:eastAsia="Book Antiqua" w:hAnsi="Book Antiqua" w:cs="Book Antiqua"/>
          <w:color w:val="000000"/>
        </w:rPr>
        <w:t xml:space="preserve">placed </w:t>
      </w:r>
      <w:r>
        <w:rPr>
          <w:rFonts w:ascii="Book Antiqua" w:eastAsia="Book Antiqua" w:hAnsi="Book Antiqua" w:cs="Book Antiqua"/>
          <w:color w:val="000000"/>
        </w:rPr>
        <w:t>in the mid-left circumflex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Firehawk</w:t>
      </w:r>
      <w:proofErr w:type="spellEnd"/>
      <w:r>
        <w:rPr>
          <w:rFonts w:ascii="Book Antiqua" w:eastAsia="Book Antiqua" w:hAnsi="Book Antiqua" w:cs="Book Antiqua"/>
          <w:color w:val="000000"/>
        </w:rPr>
        <w:t xml:space="preserve"> 2.5</w:t>
      </w:r>
      <w:r w:rsidR="00C70E94">
        <w:rPr>
          <w:rFonts w:ascii="Book Antiqua" w:eastAsia="Book Antiqua" w:hAnsi="Book Antiqua" w:cs="Book Antiqua"/>
          <w:color w:val="000000"/>
        </w:rPr>
        <w:t xml:space="preserve"> mm × </w:t>
      </w:r>
      <w:r>
        <w:rPr>
          <w:rFonts w:ascii="Book Antiqua" w:eastAsia="Book Antiqua" w:hAnsi="Book Antiqua" w:cs="Book Antiqua"/>
          <w:color w:val="000000"/>
        </w:rPr>
        <w:t xml:space="preserve">13 mm) and proximal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Xience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Xpedition</w:t>
      </w:r>
      <w:proofErr w:type="spellEnd"/>
      <w:r>
        <w:rPr>
          <w:rFonts w:ascii="Book Antiqua" w:eastAsia="Book Antiqua" w:hAnsi="Book Antiqua" w:cs="Book Antiqua"/>
          <w:color w:val="000000"/>
        </w:rPr>
        <w:t xml:space="preserve"> 3.5</w:t>
      </w:r>
      <w:r w:rsidR="00C70E94">
        <w:rPr>
          <w:rFonts w:ascii="Book Antiqua" w:eastAsia="Book Antiqua" w:hAnsi="Book Antiqua" w:cs="Book Antiqua"/>
          <w:color w:val="000000"/>
        </w:rPr>
        <w:t xml:space="preserve"> mm </w:t>
      </w:r>
      <w:r>
        <w:rPr>
          <w:rFonts w:ascii="Book Antiqua" w:eastAsia="Book Antiqua" w:hAnsi="Book Antiqua" w:cs="Book Antiqua"/>
          <w:color w:val="000000"/>
        </w:rPr>
        <w:t>×</w:t>
      </w:r>
      <w:r w:rsidR="00C70E94">
        <w:rPr>
          <w:rFonts w:ascii="Book Antiqua" w:eastAsia="Book Antiqua" w:hAnsi="Book Antiqua" w:cs="Book Antiqua"/>
          <w:color w:val="000000"/>
        </w:rPr>
        <w:t xml:space="preserve"> </w:t>
      </w:r>
      <w:r>
        <w:rPr>
          <w:rFonts w:ascii="Book Antiqua" w:eastAsia="Book Antiqua" w:hAnsi="Book Antiqua" w:cs="Book Antiqua"/>
          <w:color w:val="000000"/>
        </w:rPr>
        <w:t>33 mm) (Figure 2). During the operation, bivalirudin was administered for anticoagulation. The day before and after the angiogram, the patient was treated with hemodialysis, in which 8700 IU</w:t>
      </w:r>
      <w:r w:rsidR="00A65C9D">
        <w:rPr>
          <w:rFonts w:ascii="Book Antiqua" w:eastAsia="Book Antiqua" w:hAnsi="Book Antiqua" w:cs="Book Antiqua"/>
          <w:color w:val="000000"/>
        </w:rPr>
        <w:t xml:space="preserve"> of</w:t>
      </w:r>
      <w:r>
        <w:rPr>
          <w:rFonts w:ascii="Book Antiqua" w:eastAsia="Book Antiqua" w:hAnsi="Book Antiqua" w:cs="Book Antiqua"/>
          <w:color w:val="000000"/>
        </w:rPr>
        <w:t xml:space="preserve"> LMWH calcium was used in total. The second day after CAG, he developed a fever with a temperature of 37.8</w:t>
      </w:r>
      <w:r w:rsidR="00C70E94">
        <w:rPr>
          <w:rFonts w:ascii="Book Antiqua" w:eastAsia="Book Antiqua" w:hAnsi="Book Antiqua" w:cs="Book Antiqua"/>
          <w:color w:val="000000"/>
        </w:rPr>
        <w:t xml:space="preserve"> </w:t>
      </w:r>
      <w:r>
        <w:rPr>
          <w:rFonts w:ascii="Book Antiqua" w:eastAsia="Book Antiqua" w:hAnsi="Book Antiqua" w:cs="Book Antiqua"/>
          <w:color w:val="000000"/>
        </w:rPr>
        <w:t>°C after hemodialysis, without chills, chest pain</w:t>
      </w:r>
      <w:r w:rsidR="00A65C9D">
        <w:rPr>
          <w:rFonts w:ascii="Book Antiqua" w:eastAsia="Book Antiqua" w:hAnsi="Book Antiqua" w:cs="Book Antiqua"/>
          <w:color w:val="000000"/>
        </w:rPr>
        <w:t>,</w:t>
      </w:r>
      <w:r>
        <w:rPr>
          <w:rFonts w:ascii="Book Antiqua" w:eastAsia="Book Antiqua" w:hAnsi="Book Antiqua" w:cs="Book Antiqua"/>
          <w:color w:val="000000"/>
        </w:rPr>
        <w:t xml:space="preserve"> or other discomfort. Routine blood examination was performed, which showed a hemoglobin level of 77 g/L, and a PLT count of 45</w:t>
      </w:r>
      <w:r w:rsidR="00C70E94">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There was no clinical bleeding at that time. The patient’s fever resolved the following day, but both upper limbs showed signs of skin necrosis (Figure 3). His PLT count decreased to 23 </w:t>
      </w:r>
      <w:r w:rsidR="00C70E94">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HIT was then considered. Calculation of the 4T’s score revealed a count of 7, which indicated a high probability of HIT.</w:t>
      </w:r>
    </w:p>
    <w:p w14:paraId="5FB5AAE2" w14:textId="77777777" w:rsidR="00A77B3E" w:rsidRDefault="00A77B3E">
      <w:pPr>
        <w:spacing w:line="360" w:lineRule="auto"/>
        <w:jc w:val="both"/>
      </w:pPr>
    </w:p>
    <w:p w14:paraId="576992DF" w14:textId="77777777" w:rsidR="00A77B3E" w:rsidRDefault="00927DCB">
      <w:pPr>
        <w:spacing w:line="360" w:lineRule="auto"/>
        <w:jc w:val="both"/>
      </w:pPr>
      <w:r>
        <w:rPr>
          <w:rFonts w:ascii="Book Antiqua" w:eastAsia="Book Antiqua" w:hAnsi="Book Antiqua" w:cs="Book Antiqua"/>
          <w:b/>
          <w:caps/>
          <w:color w:val="000000"/>
          <w:u w:val="single"/>
        </w:rPr>
        <w:t>TREATMENT</w:t>
      </w:r>
    </w:p>
    <w:p w14:paraId="08346136" w14:textId="76A504EE" w:rsidR="00A77B3E" w:rsidRDefault="00927DCB">
      <w:pPr>
        <w:spacing w:line="360" w:lineRule="auto"/>
        <w:jc w:val="both"/>
      </w:pPr>
      <w:r>
        <w:rPr>
          <w:rFonts w:ascii="Book Antiqua" w:eastAsia="Book Antiqua" w:hAnsi="Book Antiqua" w:cs="Book Antiqua"/>
          <w:color w:val="000000"/>
        </w:rPr>
        <w:t>Hence, all heparin agents were stopped. At the same time, platelet factor 4 (PF4) antibody was determined. In order to prevent stent thrombosis, bivalirudin was administered (0.20 mg/kg</w:t>
      </w:r>
      <w:r w:rsidR="00C70E94">
        <w:rPr>
          <w:rFonts w:ascii="Book Antiqua" w:eastAsia="Book Antiqua" w:hAnsi="Book Antiqua" w:cs="Book Antiqua"/>
          <w:color w:val="000000"/>
        </w:rPr>
        <w:t xml:space="preserve"> per </w:t>
      </w:r>
      <w:r>
        <w:rPr>
          <w:rFonts w:ascii="Book Antiqua" w:eastAsia="Book Antiqua" w:hAnsi="Book Antiqua" w:cs="Book Antiqua"/>
          <w:color w:val="000000"/>
        </w:rPr>
        <w:t>h</w:t>
      </w:r>
      <w:r w:rsidR="00C70E94">
        <w:rPr>
          <w:rFonts w:ascii="Book Antiqua" w:eastAsia="Book Antiqua" w:hAnsi="Book Antiqua" w:cs="Book Antiqua"/>
          <w:color w:val="000000"/>
        </w:rPr>
        <w:t>our</w:t>
      </w:r>
      <w:r>
        <w:rPr>
          <w:rFonts w:ascii="Book Antiqua" w:eastAsia="Book Antiqua" w:hAnsi="Book Antiqua" w:cs="Book Antiqua"/>
          <w:color w:val="000000"/>
        </w:rPr>
        <w:t xml:space="preserve">, activated clotting time approximately 200 s). Due to a high risk of bleeding, aspirin was stopped, and antiplatelet therapy with clopidogrel was continued. After 4 d, the PLT count rose to </w:t>
      </w:r>
      <w:r w:rsidR="00C70E94">
        <w:rPr>
          <w:rFonts w:ascii="Book Antiqua" w:eastAsia="Book Antiqua" w:hAnsi="Book Antiqua" w:cs="Book Antiqua"/>
          <w:color w:val="000000"/>
        </w:rPr>
        <w:t>70 × 10</w:t>
      </w:r>
      <w:r w:rsidR="00C70E94">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the PF4 antibody result</w:t>
      </w:r>
      <w:r w:rsidR="00A65C9D">
        <w:rPr>
          <w:rFonts w:ascii="Book Antiqua" w:eastAsia="Book Antiqua" w:hAnsi="Book Antiqua" w:cs="Book Antiqua"/>
          <w:color w:val="000000"/>
        </w:rPr>
        <w:t xml:space="preserve"> was</w:t>
      </w:r>
      <w:r>
        <w:rPr>
          <w:rFonts w:ascii="Book Antiqua" w:eastAsia="Book Antiqua" w:hAnsi="Book Antiqua" w:cs="Book Antiqua"/>
          <w:color w:val="000000"/>
        </w:rPr>
        <w:t xml:space="preserve"> reported as 7.1 U/mL (normal 0-0.1 U/mL), which confirmed the diagnosis of HIT. Due to renal insufficiency, the use of a new oral anticoagulant and fondaparinux was limited. In addition, as the PLT count did not reach 300</w:t>
      </w:r>
      <w:r w:rsidR="00C70E94">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the patient did not receive warfarin. Following treatment, the patient's condition was stable, and there were no more embolism events. Bivalirudin was discontinued on November </w:t>
      </w:r>
      <w:r>
        <w:rPr>
          <w:rFonts w:ascii="Book Antiqua" w:eastAsia="Book Antiqua" w:hAnsi="Book Antiqua" w:cs="Book Antiqua"/>
          <w:color w:val="000000"/>
        </w:rPr>
        <w:lastRenderedPageBreak/>
        <w:t>16, 2018, and dual-antiplatelet therapy with aspirin</w:t>
      </w:r>
      <w:r w:rsidR="00A65C9D">
        <w:rPr>
          <w:rFonts w:ascii="Book Antiqua" w:eastAsia="Book Antiqua" w:hAnsi="Book Antiqua" w:cs="Book Antiqua"/>
          <w:color w:val="000000"/>
        </w:rPr>
        <w:t xml:space="preserve"> </w:t>
      </w:r>
      <w:r>
        <w:rPr>
          <w:rFonts w:ascii="Book Antiqua" w:eastAsia="Book Antiqua" w:hAnsi="Book Antiqua" w:cs="Book Antiqua"/>
          <w:color w:val="000000"/>
        </w:rPr>
        <w:t xml:space="preserve">and clopidogrel was resumed. The next day, a sudden deviation of the patient’s mouth was observed. Brain </w:t>
      </w:r>
      <w:bookmarkStart w:id="2" w:name="_Hlk52615821"/>
      <w:r w:rsidR="00C70E94" w:rsidRPr="00FC58BB">
        <w:rPr>
          <w:rFonts w:ascii="Book Antiqua" w:eastAsia="Book Antiqua" w:hAnsi="Book Antiqua" w:cs="Book Antiqua"/>
          <w:color w:val="000000"/>
        </w:rPr>
        <w:t>magnetic resonance imaging</w:t>
      </w:r>
      <w:bookmarkEnd w:id="2"/>
      <w:r w:rsidR="00C70E94">
        <w:rPr>
          <w:rFonts w:ascii="Book Antiqua" w:eastAsia="Book Antiqua" w:hAnsi="Book Antiqua" w:cs="Book Antiqua"/>
          <w:color w:val="000000"/>
        </w:rPr>
        <w:t xml:space="preserve"> </w:t>
      </w:r>
      <w:r>
        <w:rPr>
          <w:rFonts w:ascii="Book Antiqua" w:eastAsia="Book Antiqua" w:hAnsi="Book Antiqua" w:cs="Book Antiqua"/>
          <w:color w:val="000000"/>
        </w:rPr>
        <w:t xml:space="preserve">confirmed acute cerebral infarction at the right ventricle and upper insular lobe (Figure 4). No special adjustments were made to the treatment regimen. His symptoms improved gradually. The PLT count recovered to </w:t>
      </w:r>
      <w:r w:rsidR="00C70E94">
        <w:rPr>
          <w:rFonts w:ascii="Book Antiqua" w:eastAsia="Book Antiqua" w:hAnsi="Book Antiqua" w:cs="Book Antiqua"/>
          <w:color w:val="000000"/>
        </w:rPr>
        <w:t>110 × 10</w:t>
      </w:r>
      <w:r w:rsidR="00C70E94">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on November 19, 2018. </w:t>
      </w:r>
    </w:p>
    <w:p w14:paraId="5C82132E" w14:textId="77777777" w:rsidR="00A77B3E" w:rsidRDefault="00A77B3E">
      <w:pPr>
        <w:spacing w:line="360" w:lineRule="auto"/>
        <w:jc w:val="both"/>
      </w:pPr>
    </w:p>
    <w:p w14:paraId="0526BF41" w14:textId="77777777" w:rsidR="00A77B3E" w:rsidRDefault="00927DCB">
      <w:pPr>
        <w:spacing w:line="360" w:lineRule="auto"/>
        <w:jc w:val="both"/>
      </w:pPr>
      <w:r>
        <w:rPr>
          <w:rFonts w:ascii="Book Antiqua" w:eastAsia="Book Antiqua" w:hAnsi="Book Antiqua" w:cs="Book Antiqua"/>
          <w:b/>
          <w:caps/>
          <w:color w:val="000000"/>
          <w:u w:val="single"/>
        </w:rPr>
        <w:t>OUTCOME AND FOLLOW-UP</w:t>
      </w:r>
    </w:p>
    <w:p w14:paraId="3A83D789" w14:textId="23FA190A" w:rsidR="00A77B3E" w:rsidRDefault="00927DCB">
      <w:pPr>
        <w:spacing w:line="360" w:lineRule="auto"/>
        <w:jc w:val="both"/>
      </w:pPr>
      <w:r>
        <w:rPr>
          <w:rFonts w:ascii="Book Antiqua" w:eastAsia="Book Antiqua" w:hAnsi="Book Antiqua" w:cs="Book Antiqua"/>
          <w:color w:val="000000"/>
        </w:rPr>
        <w:t>No emboli or bleeding events occurred during the 18-mo follow-up period.</w:t>
      </w:r>
    </w:p>
    <w:p w14:paraId="6EF08213" w14:textId="77777777" w:rsidR="00A77B3E" w:rsidRDefault="00A77B3E">
      <w:pPr>
        <w:spacing w:line="360" w:lineRule="auto"/>
        <w:jc w:val="both"/>
      </w:pPr>
    </w:p>
    <w:p w14:paraId="1BBB14E8" w14:textId="77777777" w:rsidR="00A77B3E" w:rsidRDefault="00927DCB">
      <w:pPr>
        <w:spacing w:line="360" w:lineRule="auto"/>
        <w:jc w:val="both"/>
      </w:pPr>
      <w:r>
        <w:rPr>
          <w:rFonts w:ascii="Book Antiqua" w:eastAsia="Book Antiqua" w:hAnsi="Book Antiqua" w:cs="Book Antiqua"/>
          <w:b/>
          <w:caps/>
          <w:color w:val="000000"/>
          <w:u w:val="single"/>
        </w:rPr>
        <w:t>DISCUSSION</w:t>
      </w:r>
    </w:p>
    <w:p w14:paraId="731DC173" w14:textId="66107CE2" w:rsidR="00A77B3E" w:rsidRDefault="00927DCB">
      <w:pPr>
        <w:spacing w:line="360" w:lineRule="auto"/>
        <w:jc w:val="both"/>
      </w:pPr>
      <w:r>
        <w:rPr>
          <w:rFonts w:ascii="Book Antiqua" w:eastAsia="Book Antiqua" w:hAnsi="Book Antiqua" w:cs="Book Antiqua"/>
          <w:color w:val="000000"/>
        </w:rPr>
        <w:t>Reports of HIT in patients with renal failure undergoing dialysis and PCI after AMI are rare. According to statistics, the risk of HIT after exposure to UFH is 2.6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In addition to clinical manifestations and dynamic monitoring of the PLT count, the diagnosis of HIT is mainly based on the 4T's scoring system combined with HIT antibody detection and PLT function </w:t>
      </w:r>
      <w:proofErr w:type="gramStart"/>
      <w:r>
        <w:rPr>
          <w:rFonts w:ascii="Book Antiqua" w:eastAsia="Book Antiqua" w:hAnsi="Book Antiqua" w:cs="Book Antiqua"/>
          <w:color w:val="000000"/>
        </w:rPr>
        <w:t>examination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HIT is divided into type I and type </w:t>
      </w:r>
      <w:proofErr w:type="gramStart"/>
      <w:r>
        <w:rPr>
          <w:rFonts w:ascii="Book Antiqua" w:eastAsia="Book Antiqua" w:hAnsi="Book Antiqua" w:cs="Book Antiqua"/>
          <w:color w:val="000000"/>
        </w:rPr>
        <w:t>II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Our patient’s PLT count decreased significantly after </w:t>
      </w:r>
      <w:r w:rsidR="00A65C9D">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heparin therapy, to 23</w:t>
      </w:r>
      <w:r w:rsidR="00C70E94">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at the lowest value. He presented additional symptoms of a general reaction and skin necrosis. His 4T's score was 7 points, which showed a high clinical probability of HIT. The HIT antibody test was positive, and his PLT count recovered gradually following heparin discontinuation. This patient was diagnosed with type II </w:t>
      </w:r>
      <w:proofErr w:type="gramStart"/>
      <w:r>
        <w:rPr>
          <w:rFonts w:ascii="Book Antiqua" w:eastAsia="Book Antiqua" w:hAnsi="Book Antiqua" w:cs="Book Antiqua"/>
          <w:color w:val="000000"/>
        </w:rPr>
        <w:t>HIT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57934952" w14:textId="78A5DA96" w:rsidR="00A77B3E" w:rsidRDefault="00927DCB" w:rsidP="00C70E94">
      <w:pPr>
        <w:spacing w:line="360" w:lineRule="auto"/>
        <w:ind w:firstLineChars="100" w:firstLine="240"/>
        <w:jc w:val="both"/>
      </w:pPr>
      <w:r>
        <w:rPr>
          <w:rFonts w:ascii="Book Antiqua" w:eastAsia="Book Antiqua" w:hAnsi="Book Antiqua" w:cs="Book Antiqua"/>
          <w:color w:val="000000"/>
        </w:rPr>
        <w:t xml:space="preserve">When the patient’s history was traced back, his PLT count showed a progressive decline after heparin administration during the initial dialysis and CAG (Figure 5). HIT was diagnosed when the patient developed general reactions and skin necrosis with an obvious decrease in PLT count after heparin therapy </w:t>
      </w:r>
      <w:r w:rsidR="00153C19">
        <w:rPr>
          <w:rFonts w:ascii="Book Antiqua" w:eastAsia="Book Antiqua" w:hAnsi="Book Antiqua" w:cs="Book Antiqua"/>
          <w:color w:val="000000"/>
        </w:rPr>
        <w:t xml:space="preserve">after </w:t>
      </w:r>
      <w:r>
        <w:rPr>
          <w:rFonts w:ascii="Book Antiqua" w:eastAsia="Book Antiqua" w:hAnsi="Book Antiqua" w:cs="Book Antiqua"/>
          <w:color w:val="000000"/>
        </w:rPr>
        <w:t>the patient received dialysis again. During diagnosis and treatment, the drugs administered and the autoimmune factor may be responsible for thrombocytopenia. In this patient, indicators of autoimmune diseases were negative, such as immunoglobulin and complement, β2 glycoprotein I antibody, platelet antibody</w:t>
      </w:r>
      <w:r w:rsidR="00153C19">
        <w:rPr>
          <w:rFonts w:ascii="Book Antiqua" w:eastAsia="Book Antiqua" w:hAnsi="Book Antiqua" w:cs="Book Antiqua"/>
          <w:color w:val="000000"/>
        </w:rPr>
        <w:t>,</w:t>
      </w:r>
      <w:r>
        <w:rPr>
          <w:rFonts w:ascii="Book Antiqua" w:eastAsia="Book Antiqua" w:hAnsi="Book Antiqua" w:cs="Book Antiqua"/>
          <w:color w:val="000000"/>
        </w:rPr>
        <w:t xml:space="preserve"> and other tests. Therefore, we were able to </w:t>
      </w:r>
      <w:r>
        <w:rPr>
          <w:rFonts w:ascii="Book Antiqua" w:eastAsia="Book Antiqua" w:hAnsi="Book Antiqua" w:cs="Book Antiqua"/>
          <w:color w:val="000000"/>
        </w:rPr>
        <w:lastRenderedPageBreak/>
        <w:t xml:space="preserve">exclude thrombocytopenia caused by autoimmune factors. Medications </w:t>
      </w:r>
      <w:r w:rsidR="00153C19">
        <w:rPr>
          <w:rFonts w:ascii="Book Antiqua" w:eastAsia="Book Antiqua" w:hAnsi="Book Antiqua" w:cs="Book Antiqua"/>
          <w:color w:val="000000"/>
        </w:rPr>
        <w:t xml:space="preserve">that </w:t>
      </w:r>
      <w:r>
        <w:rPr>
          <w:rFonts w:ascii="Book Antiqua" w:eastAsia="Book Antiqua" w:hAnsi="Book Antiqua" w:cs="Book Antiqua"/>
          <w:color w:val="000000"/>
        </w:rPr>
        <w:t>could have led to a decrease in PLT count in this patient included aspirin, clopidogrel</w:t>
      </w:r>
      <w:r w:rsidR="00153C19">
        <w:rPr>
          <w:rFonts w:ascii="Book Antiqua" w:eastAsia="Book Antiqua" w:hAnsi="Book Antiqua" w:cs="Book Antiqua"/>
          <w:color w:val="000000"/>
        </w:rPr>
        <w:t>,</w:t>
      </w:r>
      <w:r>
        <w:rPr>
          <w:rFonts w:ascii="Book Antiqua" w:eastAsia="Book Antiqua" w:hAnsi="Book Antiqua" w:cs="Book Antiqua"/>
          <w:color w:val="000000"/>
        </w:rPr>
        <w:t xml:space="preserve"> and heparins. Low-dose aspirin can reduce the production of thromboxane A2 (TXA2), thus inhibiting platelet aggregation induced by TXA2. The incidence of thrombocytopenia caused by aspirin is 0.1%. In addition, the incidence of thrombocytopenia caused by clopidogrel is approximately 0.2%, which mostly occurs within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taking medication, and thrombotic thrombocytopenia purpura is more common with clopidogrel. The patient had been taking clopidogrel since the onset of his disease, and the PLT count gradually rebounded after discontinuation of heparin. Thus, decreased PLT count caused by clopidogrel was excluded. In addition, his PLT count did not decrease again when aspirin was taken orally but increased to more than 60 </w:t>
      </w:r>
      <w:r w:rsidR="00C70E94">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thus, thrombocytopenia caused by aspirin was also excluded.</w:t>
      </w:r>
    </w:p>
    <w:p w14:paraId="4870A209" w14:textId="02C77588" w:rsidR="00A77B3E" w:rsidRDefault="00927DCB" w:rsidP="00C70E94">
      <w:pPr>
        <w:spacing w:line="360" w:lineRule="auto"/>
        <w:ind w:firstLineChars="100" w:firstLine="240"/>
        <w:jc w:val="both"/>
      </w:pPr>
      <w:r>
        <w:rPr>
          <w:rFonts w:ascii="Book Antiqua" w:eastAsia="Book Antiqua" w:hAnsi="Book Antiqua" w:cs="Book Antiqua"/>
          <w:color w:val="000000"/>
        </w:rPr>
        <w:t xml:space="preserve">When HIT is diagnosed or highly suspected, heparin should be discontinued immediately and an alternative anticoagulant should be given. </w:t>
      </w:r>
      <w:proofErr w:type="spellStart"/>
      <w:r>
        <w:rPr>
          <w:rFonts w:ascii="Book Antiqua" w:eastAsia="Book Antiqua" w:hAnsi="Book Antiqua" w:cs="Book Antiqua"/>
          <w:color w:val="000000"/>
        </w:rPr>
        <w:t>Argatroban</w:t>
      </w:r>
      <w:proofErr w:type="spellEnd"/>
      <w:r>
        <w:rPr>
          <w:rFonts w:ascii="Book Antiqua" w:eastAsia="Book Antiqua" w:hAnsi="Book Antiqua" w:cs="Book Antiqua"/>
          <w:color w:val="000000"/>
        </w:rPr>
        <w:t xml:space="preserve">, a recombinant </w:t>
      </w:r>
      <w:proofErr w:type="spellStart"/>
      <w:r>
        <w:rPr>
          <w:rFonts w:ascii="Book Antiqua" w:eastAsia="Book Antiqua" w:hAnsi="Book Antiqua" w:cs="Book Antiqua"/>
          <w:color w:val="000000"/>
        </w:rPr>
        <w:t>hirudin</w:t>
      </w:r>
      <w:proofErr w:type="spellEnd"/>
      <w:r w:rsidR="00153C19">
        <w:rPr>
          <w:rFonts w:ascii="Book Antiqua" w:eastAsia="Book Antiqua" w:hAnsi="Book Antiqua" w:cs="Book Antiqua"/>
          <w:color w:val="000000"/>
        </w:rPr>
        <w:t>,</w:t>
      </w:r>
      <w:r>
        <w:rPr>
          <w:rFonts w:ascii="Book Antiqua" w:eastAsia="Book Antiqua" w:hAnsi="Book Antiqua" w:cs="Book Antiqua"/>
          <w:color w:val="000000"/>
        </w:rPr>
        <w:t xml:space="preserve"> and bivalirudin have been approved by the FDA as anticoagulants in patients with HIT who require PCI, and both </w:t>
      </w:r>
      <w:proofErr w:type="spellStart"/>
      <w:r>
        <w:rPr>
          <w:rFonts w:ascii="Book Antiqua" w:eastAsia="Book Antiqua" w:hAnsi="Book Antiqua" w:cs="Book Antiqua"/>
          <w:color w:val="000000"/>
        </w:rPr>
        <w:t>bivalirudin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argatroban</w:t>
      </w:r>
      <w:proofErr w:type="spellEnd"/>
      <w:r>
        <w:rPr>
          <w:rFonts w:ascii="Book Antiqua" w:eastAsia="Book Antiqua" w:hAnsi="Book Antiqua" w:cs="Book Antiqua"/>
          <w:color w:val="000000"/>
        </w:rPr>
        <w:t xml:space="preserve"> have been recommended by the American College of Chest Physicians (ACCP</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This was based on multiple randomized trials (&gt; 19000 patients without HIT) </w:t>
      </w:r>
      <w:r w:rsidR="00153C19">
        <w:rPr>
          <w:rFonts w:ascii="Book Antiqua" w:eastAsia="Book Antiqua" w:hAnsi="Book Antiqua" w:cs="Book Antiqua"/>
          <w:color w:val="000000"/>
        </w:rPr>
        <w:t xml:space="preserve">that </w:t>
      </w:r>
      <w:r>
        <w:rPr>
          <w:rFonts w:ascii="Book Antiqua" w:eastAsia="Book Antiqua" w:hAnsi="Book Antiqua" w:cs="Book Antiqua"/>
          <w:color w:val="000000"/>
        </w:rPr>
        <w:t xml:space="preserve">proved the efficacy and safety of anticoagulant therapy using bivalirudin in patients undergoing PCI. Compared with UFH, bivalirudin showed a similar incidence of ischemic complications and was able to reduce the rate of bleeding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9-14]</w:t>
      </w:r>
      <w:r>
        <w:rPr>
          <w:rFonts w:ascii="Book Antiqua" w:eastAsia="Book Antiqua" w:hAnsi="Book Antiqua" w:cs="Book Antiqua"/>
          <w:color w:val="000000"/>
        </w:rPr>
        <w:t xml:space="preserve">. Although recent clinical trials have also shown that the risk of bleeding was similar to or lower than UFH, the stent thrombosis rate increased. In view of these new data, the clinical efficacy and cost-effectiveness of bivalirudin in patients not undergoing PCI have been </w:t>
      </w:r>
      <w:proofErr w:type="gramStart"/>
      <w:r>
        <w:rPr>
          <w:rFonts w:ascii="Book Antiqua" w:eastAsia="Book Antiqua" w:hAnsi="Book Antiqua" w:cs="Book Antiqua"/>
          <w:color w:val="000000"/>
        </w:rPr>
        <w:t>questioned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However, in patients with HIT, bivalirudin was still the best </w:t>
      </w:r>
      <w:proofErr w:type="gramStart"/>
      <w:r>
        <w:rPr>
          <w:rFonts w:ascii="Book Antiqua" w:eastAsia="Book Antiqua" w:hAnsi="Book Antiqua" w:cs="Book Antiqua"/>
          <w:color w:val="000000"/>
        </w:rPr>
        <w:t>choice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Fondaparinux, a new oral anticoagulant</w:t>
      </w:r>
      <w:r w:rsidR="00153C19">
        <w:rPr>
          <w:rFonts w:ascii="Book Antiqua" w:eastAsia="Book Antiqua" w:hAnsi="Book Antiqua" w:cs="Book Antiqua"/>
          <w:color w:val="000000"/>
        </w:rPr>
        <w:t>,</w:t>
      </w:r>
      <w:r>
        <w:rPr>
          <w:rFonts w:ascii="Book Antiqua" w:eastAsia="Book Antiqua" w:hAnsi="Book Antiqua" w:cs="Book Antiqua"/>
          <w:color w:val="000000"/>
        </w:rPr>
        <w:t xml:space="preserve"> and warfarin could also be used as alternative therapies, but the evidence for these agents is relatively weak. Our patient with AMI and chronic renal insufficiency developed HIT after PCI with a CRUSADE score of 53 points. Thus, the bleeding risk was high. However, considering the risk of </w:t>
      </w:r>
      <w:r>
        <w:rPr>
          <w:rFonts w:ascii="Book Antiqua" w:eastAsia="Book Antiqua" w:hAnsi="Book Antiqua" w:cs="Book Antiqua"/>
          <w:color w:val="000000"/>
        </w:rPr>
        <w:lastRenderedPageBreak/>
        <w:t>coronary stent thrombosis and other emboli, stopping one type of antiplatelet and adding another anticoagulant at the same time was necessary. Bivalirudin was the preferred alternative anticoagulant in this patient because of his renal function. After 5 d of bivalirudin treatment, no new bleeding or thromboembolic events occurred. Bivalirudin was suspended in view of the financial situation of the patient's family. Considering the patient’s renal function, new oral anticoagulants and fondaparinux could not be used to replace bivalirudin. Warfarin was not added as the PLT count was below 300</w:t>
      </w:r>
      <w:r w:rsidR="00C70E94">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After the recovery of the PLT count, dual-antiplatelet therapy was resumed, but acute cerebral infarction occurred after the withdrawal of bivalirudin. At present, there is no consensus on the course of anticoagulant therapy for HIT patients. The 2012 ACCP guidelines for HIT diagnosis and treatment do not clearly indicate the best alternative anticoagulant therapy. In 2018, the HIT treatment guideline</w:t>
      </w:r>
      <w:r w:rsidR="00153C19">
        <w:rPr>
          <w:rFonts w:ascii="Book Antiqua" w:eastAsia="Book Antiqua" w:hAnsi="Book Antiqua" w:cs="Book Antiqua"/>
          <w:color w:val="000000"/>
        </w:rPr>
        <w:t>s</w:t>
      </w:r>
      <w:r>
        <w:rPr>
          <w:rFonts w:ascii="Book Antiqua" w:eastAsia="Book Antiqua" w:hAnsi="Book Antiqua" w:cs="Book Antiqua"/>
          <w:color w:val="000000"/>
        </w:rPr>
        <w:t xml:space="preserve"> of the American Society of </w:t>
      </w:r>
      <w:proofErr w:type="gramStart"/>
      <w:r>
        <w:rPr>
          <w:rFonts w:ascii="Book Antiqua" w:eastAsia="Book Antiqua" w:hAnsi="Book Antiqua" w:cs="Book Antiqua"/>
          <w:color w:val="000000"/>
        </w:rPr>
        <w:t>Hematology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proposed that alternative anticoagulation could be sustained until the PLT count returned to normal. According to the 2017 Chinese expert consensus on </w:t>
      </w:r>
      <w:proofErr w:type="gramStart"/>
      <w:r>
        <w:rPr>
          <w:rFonts w:ascii="Book Antiqua" w:eastAsia="Book Antiqua" w:hAnsi="Book Antiqua" w:cs="Book Antiqua"/>
          <w:color w:val="000000"/>
        </w:rPr>
        <w:t>HIT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alternative anticoagulants should be used for at least </w:t>
      </w:r>
      <w:r w:rsidR="00153C19">
        <w:rPr>
          <w:rFonts w:ascii="Book Antiqua" w:eastAsia="Book Antiqua" w:hAnsi="Book Antiqua" w:cs="Book Antiqua"/>
          <w:color w:val="000000"/>
        </w:rPr>
        <w:t xml:space="preserve">1 </w:t>
      </w:r>
      <w:proofErr w:type="spellStart"/>
      <w:r w:rsidR="00153C19">
        <w:rPr>
          <w:rFonts w:ascii="Book Antiqua" w:eastAsia="Book Antiqua" w:hAnsi="Book Antiqua" w:cs="Book Antiqua"/>
          <w:color w:val="000000"/>
        </w:rPr>
        <w:t>mo</w:t>
      </w:r>
      <w:proofErr w:type="spellEnd"/>
      <w:r w:rsidR="00153C19">
        <w:rPr>
          <w:rFonts w:ascii="Book Antiqua" w:eastAsia="Book Antiqua" w:hAnsi="Book Antiqua" w:cs="Book Antiqua"/>
          <w:color w:val="000000"/>
        </w:rPr>
        <w:t xml:space="preserve"> </w:t>
      </w:r>
      <w:r>
        <w:rPr>
          <w:rFonts w:ascii="Book Antiqua" w:eastAsia="Book Antiqua" w:hAnsi="Book Antiqua" w:cs="Book Antiqua"/>
          <w:color w:val="000000"/>
        </w:rPr>
        <w:t>in patients with simple thrombocytopenia. For HIT patients with thrombus formation, anticoagulation therapy should continue for no less than 3 mo. The optimal course of alternative anticoagulation therapy still requires further research. Our patient was elderly and receiving dialysis for renal failure, which had an effect on the treatment process for HIT. Individualized treatment plans should be developed for special populations, in order to achieve satisfactory treatment effects.</w:t>
      </w:r>
    </w:p>
    <w:p w14:paraId="2405058B" w14:textId="77777777" w:rsidR="00A77B3E" w:rsidRDefault="00A77B3E" w:rsidP="00C70E94">
      <w:pPr>
        <w:spacing w:line="360" w:lineRule="auto"/>
        <w:jc w:val="both"/>
      </w:pPr>
    </w:p>
    <w:p w14:paraId="6FB269E7" w14:textId="77777777" w:rsidR="00A77B3E" w:rsidRDefault="00927DCB">
      <w:pPr>
        <w:spacing w:line="360" w:lineRule="auto"/>
        <w:jc w:val="both"/>
      </w:pPr>
      <w:r>
        <w:rPr>
          <w:rFonts w:ascii="Book Antiqua" w:eastAsia="Book Antiqua" w:hAnsi="Book Antiqua" w:cs="Book Antiqua"/>
          <w:b/>
          <w:caps/>
          <w:color w:val="000000"/>
          <w:u w:val="single"/>
        </w:rPr>
        <w:t>CONCLUSION</w:t>
      </w:r>
    </w:p>
    <w:p w14:paraId="2A95BCE7" w14:textId="77777777" w:rsidR="00A77B3E" w:rsidRDefault="00927DCB">
      <w:pPr>
        <w:spacing w:line="360" w:lineRule="auto"/>
        <w:jc w:val="both"/>
      </w:pPr>
      <w:r>
        <w:rPr>
          <w:rFonts w:ascii="Book Antiqua" w:eastAsia="Book Antiqua" w:hAnsi="Book Antiqua" w:cs="Book Antiqua"/>
          <w:color w:val="000000"/>
        </w:rPr>
        <w:t xml:space="preserve">HIT is a rare complication of heparin therapy. Due to its high mortality, it is important to diagnose this disease in a timely manner. Thrombocytopenia can be considered an early warning sign. When a patient is assessed as having a high clinical likelihood of HIT, the use of heparin should be discontinued as soon as possible and further tests should be carried out to identify or exclude HIT. With vigilance and suspicion, HIT can </w:t>
      </w:r>
      <w:r>
        <w:rPr>
          <w:rFonts w:ascii="Book Antiqua" w:eastAsia="Book Antiqua" w:hAnsi="Book Antiqua" w:cs="Book Antiqua"/>
          <w:color w:val="000000"/>
        </w:rPr>
        <w:lastRenderedPageBreak/>
        <w:t>be diagnosed in the early stage, and individualized alternative anticoagulant therapy can reduce the mortality rate.</w:t>
      </w:r>
    </w:p>
    <w:p w14:paraId="4D7CB8AB" w14:textId="77777777" w:rsidR="00A77B3E" w:rsidRDefault="00A77B3E">
      <w:pPr>
        <w:spacing w:line="360" w:lineRule="auto"/>
        <w:jc w:val="both"/>
      </w:pPr>
    </w:p>
    <w:p w14:paraId="44C54E4A" w14:textId="77777777" w:rsidR="00A77B3E" w:rsidRDefault="00927DCB">
      <w:pPr>
        <w:spacing w:line="360" w:lineRule="auto"/>
        <w:jc w:val="both"/>
      </w:pPr>
      <w:r>
        <w:rPr>
          <w:rFonts w:ascii="Book Antiqua" w:eastAsia="Book Antiqua" w:hAnsi="Book Antiqua" w:cs="Book Antiqua"/>
          <w:b/>
          <w:caps/>
          <w:color w:val="000000"/>
          <w:u w:val="single"/>
        </w:rPr>
        <w:t>ACKNOWLEDGEMENTS</w:t>
      </w:r>
    </w:p>
    <w:p w14:paraId="60594260" w14:textId="2F0F72F3" w:rsidR="00A77B3E" w:rsidRDefault="00927DCB">
      <w:pPr>
        <w:spacing w:line="360" w:lineRule="auto"/>
        <w:jc w:val="both"/>
      </w:pPr>
      <w:r>
        <w:rPr>
          <w:rFonts w:ascii="Book Antiqua" w:eastAsia="Book Antiqua" w:hAnsi="Book Antiqua" w:cs="Book Antiqua"/>
          <w:color w:val="000000"/>
        </w:rPr>
        <w:t xml:space="preserve">I would like to thank Dr. Deng </w:t>
      </w:r>
      <w:r w:rsidR="00C70E94">
        <w:rPr>
          <w:rFonts w:ascii="Book Antiqua" w:eastAsia="Book Antiqua" w:hAnsi="Book Antiqua" w:cs="Book Antiqua"/>
          <w:color w:val="000000"/>
        </w:rPr>
        <w:t xml:space="preserve">SB </w:t>
      </w:r>
      <w:r>
        <w:rPr>
          <w:rFonts w:ascii="Book Antiqua" w:eastAsia="Book Antiqua" w:hAnsi="Book Antiqua" w:cs="Book Antiqua"/>
          <w:color w:val="000000"/>
        </w:rPr>
        <w:t>for providing materials, advice</w:t>
      </w:r>
      <w:r w:rsidR="00153C19">
        <w:rPr>
          <w:rFonts w:ascii="Book Antiqua" w:eastAsia="Book Antiqua" w:hAnsi="Book Antiqua" w:cs="Book Antiqua"/>
          <w:color w:val="000000"/>
        </w:rPr>
        <w:t>,</w:t>
      </w:r>
      <w:r>
        <w:rPr>
          <w:rFonts w:ascii="Book Antiqua" w:eastAsia="Book Antiqua" w:hAnsi="Book Antiqua" w:cs="Book Antiqua"/>
          <w:color w:val="000000"/>
        </w:rPr>
        <w:t xml:space="preserve"> and inspiration. I would also like to thank </w:t>
      </w:r>
      <w:r w:rsidR="00C70E94">
        <w:rPr>
          <w:rFonts w:ascii="Book Antiqua" w:eastAsia="Book Antiqua" w:hAnsi="Book Antiqua" w:cs="Book Antiqua"/>
          <w:color w:val="000000"/>
        </w:rPr>
        <w:t>T</w:t>
      </w:r>
      <w:r>
        <w:rPr>
          <w:rFonts w:ascii="Book Antiqua" w:eastAsia="Book Antiqua" w:hAnsi="Book Antiqua" w:cs="Book Antiqua"/>
          <w:color w:val="000000"/>
        </w:rPr>
        <w:t>he Second Affiliated Hospital of Chongqing Medical University, for providing the conditions to complete this paper, and to all those who helped me during the writing of this paper.</w:t>
      </w:r>
    </w:p>
    <w:p w14:paraId="5B544061" w14:textId="77777777" w:rsidR="00A77B3E" w:rsidRDefault="00A77B3E">
      <w:pPr>
        <w:spacing w:line="360" w:lineRule="auto"/>
        <w:jc w:val="both"/>
      </w:pPr>
    </w:p>
    <w:p w14:paraId="4A36AB78" w14:textId="77777777" w:rsidR="00A77B3E" w:rsidRDefault="00927DCB">
      <w:pPr>
        <w:spacing w:line="360" w:lineRule="auto"/>
        <w:jc w:val="both"/>
      </w:pPr>
      <w:r>
        <w:rPr>
          <w:rFonts w:ascii="Book Antiqua" w:eastAsia="Book Antiqua" w:hAnsi="Book Antiqua" w:cs="Book Antiqua"/>
          <w:b/>
          <w:color w:val="000000"/>
        </w:rPr>
        <w:t>REFERENCES</w:t>
      </w:r>
    </w:p>
    <w:p w14:paraId="2E5CF974" w14:textId="77777777" w:rsidR="00A77B3E" w:rsidRDefault="00927DC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Linkins</w:t>
      </w:r>
      <w:proofErr w:type="spellEnd"/>
      <w:r>
        <w:rPr>
          <w:rFonts w:ascii="Book Antiqua" w:eastAsia="Book Antiqua" w:hAnsi="Book Antiqua" w:cs="Book Antiqua"/>
          <w:b/>
          <w:bCs/>
          <w:color w:val="000000"/>
        </w:rPr>
        <w:t xml:space="preserve">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Dans</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Moores</w:t>
      </w:r>
      <w:proofErr w:type="spellEnd"/>
      <w:r>
        <w:rPr>
          <w:rFonts w:ascii="Book Antiqua" w:eastAsia="Book Antiqua" w:hAnsi="Book Antiqua" w:cs="Book Antiqua"/>
          <w:color w:val="000000"/>
        </w:rPr>
        <w:t xml:space="preserve"> LK, Bona R, Davidson BL, Schulman S, Crowther M. Treatment and prevention of heparin-induced thrombocytopenia: Antithrombotic Therapy and Prevention of Thrombosis, 9th ed: American College of Chest Physicians Evidence-Based Clinical Practice Guidelines.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141</w:t>
      </w:r>
      <w:r>
        <w:rPr>
          <w:rFonts w:ascii="Book Antiqua" w:eastAsia="Book Antiqua" w:hAnsi="Book Antiqua" w:cs="Book Antiqua"/>
          <w:color w:val="000000"/>
        </w:rPr>
        <w:t>: e495S-e530S [PMID: 22315270 DOI: 10.1378/chest.11-2303]</w:t>
      </w:r>
    </w:p>
    <w:p w14:paraId="3FDAAF55" w14:textId="77777777" w:rsidR="00A77B3E" w:rsidRDefault="00927DC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Arepally</w:t>
      </w:r>
      <w:proofErr w:type="spellEnd"/>
      <w:r>
        <w:rPr>
          <w:rFonts w:ascii="Book Antiqua" w:eastAsia="Book Antiqua" w:hAnsi="Book Antiqua" w:cs="Book Antiqua"/>
          <w:b/>
          <w:bCs/>
          <w:color w:val="000000"/>
        </w:rPr>
        <w:t xml:space="preserve"> GM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Ortel</w:t>
      </w:r>
      <w:proofErr w:type="spellEnd"/>
      <w:r>
        <w:rPr>
          <w:rFonts w:ascii="Book Antiqua" w:eastAsia="Book Antiqua" w:hAnsi="Book Antiqua" w:cs="Book Antiqua"/>
          <w:color w:val="000000"/>
        </w:rPr>
        <w:t xml:space="preserve"> TL. Clinical practice. Heparin-induced thrombocytopenia.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355</w:t>
      </w:r>
      <w:r>
        <w:rPr>
          <w:rFonts w:ascii="Book Antiqua" w:eastAsia="Book Antiqua" w:hAnsi="Book Antiqua" w:cs="Book Antiqua"/>
          <w:color w:val="000000"/>
        </w:rPr>
        <w:t>: 809-817 [PMID: 16928996 DOI: 10.1056/NEJMcp052967]</w:t>
      </w:r>
    </w:p>
    <w:p w14:paraId="438521B3" w14:textId="77777777" w:rsidR="00A77B3E" w:rsidRDefault="00927DC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Martel N</w:t>
      </w:r>
      <w:r>
        <w:rPr>
          <w:rFonts w:ascii="Book Antiqua" w:eastAsia="Book Antiqua" w:hAnsi="Book Antiqua" w:cs="Book Antiqua"/>
          <w:color w:val="000000"/>
        </w:rPr>
        <w:t xml:space="preserve">, Lee J, Wells PS. Risk for heparin-induced thrombocytopenia with unfractionated and low-molecular-weight heparin thromboprophylaxis: a meta-analysis.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2005; </w:t>
      </w:r>
      <w:r>
        <w:rPr>
          <w:rFonts w:ascii="Book Antiqua" w:eastAsia="Book Antiqua" w:hAnsi="Book Antiqua" w:cs="Book Antiqua"/>
          <w:b/>
          <w:bCs/>
          <w:color w:val="000000"/>
        </w:rPr>
        <w:t>106</w:t>
      </w:r>
      <w:r>
        <w:rPr>
          <w:rFonts w:ascii="Book Antiqua" w:eastAsia="Book Antiqua" w:hAnsi="Book Antiqua" w:cs="Book Antiqua"/>
          <w:color w:val="000000"/>
        </w:rPr>
        <w:t>: 2710-2715 [PMID: 15985543 DOI: 10.1182/blood-2005-04-1546]</w:t>
      </w:r>
    </w:p>
    <w:p w14:paraId="656AB75A" w14:textId="77777777" w:rsidR="00A77B3E" w:rsidRDefault="00927DC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Girolami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Prandoni</w:t>
      </w:r>
      <w:proofErr w:type="spellEnd"/>
      <w:r>
        <w:rPr>
          <w:rFonts w:ascii="Book Antiqua" w:eastAsia="Book Antiqua" w:hAnsi="Book Antiqua" w:cs="Book Antiqua"/>
          <w:color w:val="000000"/>
        </w:rPr>
        <w:t xml:space="preserve"> P, Stefani PM, </w:t>
      </w:r>
      <w:proofErr w:type="spellStart"/>
      <w:r>
        <w:rPr>
          <w:rFonts w:ascii="Book Antiqua" w:eastAsia="Book Antiqua" w:hAnsi="Book Antiqua" w:cs="Book Antiqua"/>
          <w:color w:val="000000"/>
        </w:rPr>
        <w:t>Tanduo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Sabbion</w:t>
      </w:r>
      <w:proofErr w:type="spellEnd"/>
      <w:r>
        <w:rPr>
          <w:rFonts w:ascii="Book Antiqua" w:eastAsia="Book Antiqua" w:hAnsi="Book Antiqua" w:cs="Book Antiqua"/>
          <w:color w:val="000000"/>
        </w:rPr>
        <w:t xml:space="preserve"> P, Eichler P, Ramon R, Baggio G, </w:t>
      </w:r>
      <w:proofErr w:type="spellStart"/>
      <w:r>
        <w:rPr>
          <w:rFonts w:ascii="Book Antiqua" w:eastAsia="Book Antiqua" w:hAnsi="Book Antiqua" w:cs="Book Antiqua"/>
          <w:color w:val="000000"/>
        </w:rPr>
        <w:t>Fabris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Girolami</w:t>
      </w:r>
      <w:proofErr w:type="spellEnd"/>
      <w:r>
        <w:rPr>
          <w:rFonts w:ascii="Book Antiqua" w:eastAsia="Book Antiqua" w:hAnsi="Book Antiqua" w:cs="Book Antiqua"/>
          <w:color w:val="000000"/>
        </w:rPr>
        <w:t xml:space="preserve"> A. The incidence of heparin-induced thrombocytopenia in hospitalized medical patients treated with subcutaneous unfractionated heparin: a prospective cohort study.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2003; </w:t>
      </w:r>
      <w:r>
        <w:rPr>
          <w:rFonts w:ascii="Book Antiqua" w:eastAsia="Book Antiqua" w:hAnsi="Book Antiqua" w:cs="Book Antiqua"/>
          <w:b/>
          <w:bCs/>
          <w:color w:val="000000"/>
        </w:rPr>
        <w:t>101</w:t>
      </w:r>
      <w:r>
        <w:rPr>
          <w:rFonts w:ascii="Book Antiqua" w:eastAsia="Book Antiqua" w:hAnsi="Book Antiqua" w:cs="Book Antiqua"/>
          <w:color w:val="000000"/>
        </w:rPr>
        <w:t>: 2955-2959 [PMID: 12480713 DOI: 10.1182/blood-2002-07-2201]</w:t>
      </w:r>
    </w:p>
    <w:p w14:paraId="4A08E40B" w14:textId="77777777" w:rsidR="00A77B3E" w:rsidRDefault="00927DC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Almeqdadi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Aoun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Carrozza</w:t>
      </w:r>
      <w:proofErr w:type="spellEnd"/>
      <w:r>
        <w:rPr>
          <w:rFonts w:ascii="Book Antiqua" w:eastAsia="Book Antiqua" w:hAnsi="Book Antiqua" w:cs="Book Antiqua"/>
          <w:color w:val="000000"/>
        </w:rPr>
        <w:t xml:space="preserve"> J. Native coronary artery thrombosis in the setting of heparin-induced thrombocytopenia: a case report. </w:t>
      </w:r>
      <w:r>
        <w:rPr>
          <w:rFonts w:ascii="Book Antiqua" w:eastAsia="Book Antiqua" w:hAnsi="Book Antiqua" w:cs="Book Antiqua"/>
          <w:i/>
          <w:iCs/>
          <w:color w:val="000000"/>
        </w:rPr>
        <w:t>Eur Heart 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yty138 [PMID: 31020214 DOI: 10.1093/</w:t>
      </w:r>
      <w:proofErr w:type="spellStart"/>
      <w:r>
        <w:rPr>
          <w:rFonts w:ascii="Book Antiqua" w:eastAsia="Book Antiqua" w:hAnsi="Book Antiqua" w:cs="Book Antiqua"/>
          <w:color w:val="000000"/>
        </w:rPr>
        <w:t>ehjcr</w:t>
      </w:r>
      <w:proofErr w:type="spellEnd"/>
      <w:r>
        <w:rPr>
          <w:rFonts w:ascii="Book Antiqua" w:eastAsia="Book Antiqua" w:hAnsi="Book Antiqua" w:cs="Book Antiqua"/>
          <w:color w:val="000000"/>
        </w:rPr>
        <w:t>/yty138]</w:t>
      </w:r>
    </w:p>
    <w:p w14:paraId="5221467F" w14:textId="77777777" w:rsidR="00A77B3E" w:rsidRDefault="00927DCB">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Cuker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Arepally</w:t>
      </w:r>
      <w:proofErr w:type="spellEnd"/>
      <w:r>
        <w:rPr>
          <w:rFonts w:ascii="Book Antiqua" w:eastAsia="Book Antiqua" w:hAnsi="Book Antiqua" w:cs="Book Antiqua"/>
          <w:color w:val="000000"/>
        </w:rPr>
        <w:t xml:space="preserve"> GM, Chong BH, Cines DB, </w:t>
      </w:r>
      <w:proofErr w:type="spellStart"/>
      <w:r>
        <w:rPr>
          <w:rFonts w:ascii="Book Antiqua" w:eastAsia="Book Antiqua" w:hAnsi="Book Antiqua" w:cs="Book Antiqua"/>
          <w:color w:val="000000"/>
        </w:rPr>
        <w:t>Greinacher</w:t>
      </w:r>
      <w:proofErr w:type="spellEnd"/>
      <w:r>
        <w:rPr>
          <w:rFonts w:ascii="Book Antiqua" w:eastAsia="Book Antiqua" w:hAnsi="Book Antiqua" w:cs="Book Antiqua"/>
          <w:color w:val="000000"/>
        </w:rPr>
        <w:t xml:space="preserve"> A, Gruel Y, </w:t>
      </w:r>
      <w:proofErr w:type="spellStart"/>
      <w:r>
        <w:rPr>
          <w:rFonts w:ascii="Book Antiqua" w:eastAsia="Book Antiqua" w:hAnsi="Book Antiqua" w:cs="Book Antiqua"/>
          <w:color w:val="000000"/>
        </w:rPr>
        <w:t>Linkins</w:t>
      </w:r>
      <w:proofErr w:type="spellEnd"/>
      <w:r>
        <w:rPr>
          <w:rFonts w:ascii="Book Antiqua" w:eastAsia="Book Antiqua" w:hAnsi="Book Antiqua" w:cs="Book Antiqua"/>
          <w:color w:val="000000"/>
        </w:rPr>
        <w:t xml:space="preserve"> LA, Rodner SB, </w:t>
      </w:r>
      <w:proofErr w:type="spellStart"/>
      <w:r>
        <w:rPr>
          <w:rFonts w:ascii="Book Antiqua" w:eastAsia="Book Antiqua" w:hAnsi="Book Antiqua" w:cs="Book Antiqua"/>
          <w:color w:val="000000"/>
        </w:rPr>
        <w:t>Selleng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Warkentin</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Wex</w:t>
      </w:r>
      <w:proofErr w:type="spellEnd"/>
      <w:r>
        <w:rPr>
          <w:rFonts w:ascii="Book Antiqua" w:eastAsia="Book Antiqua" w:hAnsi="Book Antiqua" w:cs="Book Antiqua"/>
          <w:color w:val="000000"/>
        </w:rPr>
        <w:t xml:space="preserve"> A, Mustafa RA, Morgan RL, </w:t>
      </w:r>
      <w:proofErr w:type="spellStart"/>
      <w:r>
        <w:rPr>
          <w:rFonts w:ascii="Book Antiqua" w:eastAsia="Book Antiqua" w:hAnsi="Book Antiqua" w:cs="Book Antiqua"/>
          <w:color w:val="000000"/>
        </w:rPr>
        <w:t>Santesso</w:t>
      </w:r>
      <w:proofErr w:type="spellEnd"/>
      <w:r>
        <w:rPr>
          <w:rFonts w:ascii="Book Antiqua" w:eastAsia="Book Antiqua" w:hAnsi="Book Antiqua" w:cs="Book Antiqua"/>
          <w:color w:val="000000"/>
        </w:rPr>
        <w:t xml:space="preserve"> N. American Society of Hematology 2018 guidelines for management of venous thromboembolism: heparin-induced thrombocytopenia. </w:t>
      </w:r>
      <w:r>
        <w:rPr>
          <w:rFonts w:ascii="Book Antiqua" w:eastAsia="Book Antiqua" w:hAnsi="Book Antiqua" w:cs="Book Antiqua"/>
          <w:i/>
          <w:iCs/>
          <w:color w:val="000000"/>
        </w:rPr>
        <w:t>Blood Adv</w:t>
      </w:r>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3360-3392 [PMID: 30482768 DOI: 10.1182/bloodadvances.2018024489]</w:t>
      </w:r>
    </w:p>
    <w:p w14:paraId="619A616F" w14:textId="77777777" w:rsidR="00A77B3E" w:rsidRDefault="00927DC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Lovecchio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Heparin-induced thrombocytopenia.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Phila</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2014; </w:t>
      </w:r>
      <w:r>
        <w:rPr>
          <w:rFonts w:ascii="Book Antiqua" w:eastAsia="Book Antiqua" w:hAnsi="Book Antiqua" w:cs="Book Antiqua"/>
          <w:b/>
          <w:bCs/>
          <w:color w:val="000000"/>
        </w:rPr>
        <w:t>52</w:t>
      </w:r>
      <w:r>
        <w:rPr>
          <w:rFonts w:ascii="Book Antiqua" w:eastAsia="Book Antiqua" w:hAnsi="Book Antiqua" w:cs="Book Antiqua"/>
          <w:color w:val="000000"/>
        </w:rPr>
        <w:t>: 579-583 [PMID: 24844576 DOI: 10.3109/15563650.2014.917181]</w:t>
      </w:r>
    </w:p>
    <w:p w14:paraId="7A98BD5B" w14:textId="77777777" w:rsidR="00A77B3E" w:rsidRDefault="00927DCB">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Lanzarotti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Weigelt</w:t>
      </w:r>
      <w:proofErr w:type="spellEnd"/>
      <w:r>
        <w:rPr>
          <w:rFonts w:ascii="Book Antiqua" w:eastAsia="Book Antiqua" w:hAnsi="Book Antiqua" w:cs="Book Antiqua"/>
          <w:color w:val="000000"/>
        </w:rPr>
        <w:t xml:space="preserve"> JA. Heparin-induced thrombocytopenia.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2012; </w:t>
      </w:r>
      <w:r>
        <w:rPr>
          <w:rFonts w:ascii="Book Antiqua" w:eastAsia="Book Antiqua" w:hAnsi="Book Antiqua" w:cs="Book Antiqua"/>
          <w:b/>
          <w:bCs/>
          <w:color w:val="000000"/>
        </w:rPr>
        <w:t>92</w:t>
      </w:r>
      <w:r>
        <w:rPr>
          <w:rFonts w:ascii="Book Antiqua" w:eastAsia="Book Antiqua" w:hAnsi="Book Antiqua" w:cs="Book Antiqua"/>
          <w:color w:val="000000"/>
        </w:rPr>
        <w:t>: 1559-1572 [PMID: 23153884 DOI: 10.1016/j.suc.2012.08.015]</w:t>
      </w:r>
    </w:p>
    <w:p w14:paraId="50A54AB0" w14:textId="77777777" w:rsidR="00A77B3E" w:rsidRDefault="00927DC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Bittl</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Strony</w:t>
      </w:r>
      <w:proofErr w:type="spellEnd"/>
      <w:r>
        <w:rPr>
          <w:rFonts w:ascii="Book Antiqua" w:eastAsia="Book Antiqua" w:hAnsi="Book Antiqua" w:cs="Book Antiqua"/>
          <w:color w:val="000000"/>
        </w:rPr>
        <w:t xml:space="preserve"> J, Brinker JA, Ahmed WH, Meckel CR, </w:t>
      </w:r>
      <w:proofErr w:type="spellStart"/>
      <w:r>
        <w:rPr>
          <w:rFonts w:ascii="Book Antiqua" w:eastAsia="Book Antiqua" w:hAnsi="Book Antiqua" w:cs="Book Antiqua"/>
          <w:color w:val="000000"/>
        </w:rPr>
        <w:t>Chaitman</w:t>
      </w:r>
      <w:proofErr w:type="spellEnd"/>
      <w:r>
        <w:rPr>
          <w:rFonts w:ascii="Book Antiqua" w:eastAsia="Book Antiqua" w:hAnsi="Book Antiqua" w:cs="Book Antiqua"/>
          <w:color w:val="000000"/>
        </w:rPr>
        <w:t xml:space="preserve"> BR, </w:t>
      </w:r>
      <w:proofErr w:type="spellStart"/>
      <w:r>
        <w:rPr>
          <w:rFonts w:ascii="Book Antiqua" w:eastAsia="Book Antiqua" w:hAnsi="Book Antiqua" w:cs="Book Antiqua"/>
          <w:color w:val="000000"/>
        </w:rPr>
        <w:t>Maraganore</w:t>
      </w:r>
      <w:proofErr w:type="spellEnd"/>
      <w:r>
        <w:rPr>
          <w:rFonts w:ascii="Book Antiqua" w:eastAsia="Book Antiqua" w:hAnsi="Book Antiqua" w:cs="Book Antiqua"/>
          <w:color w:val="000000"/>
        </w:rPr>
        <w:t xml:space="preserve"> J, Deutsch E, Adelman B. Treatment with bivalirudin (Hirulog) as compared with heparin during coronary angioplasty for unstable or postinfarction angina. Hirulog Angioplasty Study Investigators.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1995; </w:t>
      </w:r>
      <w:r>
        <w:rPr>
          <w:rFonts w:ascii="Book Antiqua" w:eastAsia="Book Antiqua" w:hAnsi="Book Antiqua" w:cs="Book Antiqua"/>
          <w:b/>
          <w:bCs/>
          <w:color w:val="000000"/>
        </w:rPr>
        <w:t>333</w:t>
      </w:r>
      <w:r>
        <w:rPr>
          <w:rFonts w:ascii="Book Antiqua" w:eastAsia="Book Antiqua" w:hAnsi="Book Antiqua" w:cs="Book Antiqua"/>
          <w:color w:val="000000"/>
        </w:rPr>
        <w:t>: 764-769 [PMID: 7643883 DOI: 10.1056/NEJM199509213331204]</w:t>
      </w:r>
    </w:p>
    <w:p w14:paraId="702F1AE0" w14:textId="77777777" w:rsidR="00A77B3E" w:rsidRDefault="00927DC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Bittl</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Feit</w:t>
      </w:r>
      <w:proofErr w:type="spellEnd"/>
      <w:r>
        <w:rPr>
          <w:rFonts w:ascii="Book Antiqua" w:eastAsia="Book Antiqua" w:hAnsi="Book Antiqua" w:cs="Book Antiqua"/>
          <w:color w:val="000000"/>
        </w:rPr>
        <w:t xml:space="preserve"> F. A randomized comparison of bivalirudin and heparin in patients undergoing coronary angioplasty for postinfarction angina. Hirulog Angioplasty Study Investigators.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82</w:t>
      </w:r>
      <w:r>
        <w:rPr>
          <w:rFonts w:ascii="Book Antiqua" w:eastAsia="Book Antiqua" w:hAnsi="Book Antiqua" w:cs="Book Antiqua"/>
          <w:color w:val="000000"/>
        </w:rPr>
        <w:t>: 43P-49P [PMID: 9809891 DOI: 10.1016/s0002-9149(98)00766-8]</w:t>
      </w:r>
    </w:p>
    <w:p w14:paraId="5A26F484" w14:textId="77777777" w:rsidR="00A77B3E" w:rsidRDefault="00927DC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Lincoff</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Bittl</w:t>
      </w:r>
      <w:proofErr w:type="spellEnd"/>
      <w:r>
        <w:rPr>
          <w:rFonts w:ascii="Book Antiqua" w:eastAsia="Book Antiqua" w:hAnsi="Book Antiqua" w:cs="Book Antiqua"/>
          <w:color w:val="000000"/>
        </w:rPr>
        <w:t xml:space="preserve"> JA, Harrington RA, </w:t>
      </w:r>
      <w:proofErr w:type="spellStart"/>
      <w:r>
        <w:rPr>
          <w:rFonts w:ascii="Book Antiqua" w:eastAsia="Book Antiqua" w:hAnsi="Book Antiqua" w:cs="Book Antiqua"/>
          <w:color w:val="000000"/>
        </w:rPr>
        <w:t>Feit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Kleiman</w:t>
      </w:r>
      <w:proofErr w:type="spellEnd"/>
      <w:r>
        <w:rPr>
          <w:rFonts w:ascii="Book Antiqua" w:eastAsia="Book Antiqua" w:hAnsi="Book Antiqua" w:cs="Book Antiqua"/>
          <w:color w:val="000000"/>
        </w:rPr>
        <w:t xml:space="preserve"> NS, Jackman JD, </w:t>
      </w:r>
      <w:proofErr w:type="spellStart"/>
      <w:r>
        <w:rPr>
          <w:rFonts w:ascii="Book Antiqua" w:eastAsia="Book Antiqua" w:hAnsi="Book Antiqua" w:cs="Book Antiqua"/>
          <w:color w:val="000000"/>
        </w:rPr>
        <w:t>Sarembock</w:t>
      </w:r>
      <w:proofErr w:type="spellEnd"/>
      <w:r>
        <w:rPr>
          <w:rFonts w:ascii="Book Antiqua" w:eastAsia="Book Antiqua" w:hAnsi="Book Antiqua" w:cs="Book Antiqua"/>
          <w:color w:val="000000"/>
        </w:rPr>
        <w:t xml:space="preserve"> IJ, Cohen DJ, Spriggs D, Ebrahimi R, Keren G,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J, Cohen EA, </w:t>
      </w:r>
      <w:proofErr w:type="spellStart"/>
      <w:r>
        <w:rPr>
          <w:rFonts w:ascii="Book Antiqua" w:eastAsia="Book Antiqua" w:hAnsi="Book Antiqua" w:cs="Book Antiqua"/>
          <w:color w:val="000000"/>
        </w:rPr>
        <w:t>Betriu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Desmet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Kereiakes</w:t>
      </w:r>
      <w:proofErr w:type="spellEnd"/>
      <w:r>
        <w:rPr>
          <w:rFonts w:ascii="Book Antiqua" w:eastAsia="Book Antiqua" w:hAnsi="Book Antiqua" w:cs="Book Antiqua"/>
          <w:color w:val="000000"/>
        </w:rPr>
        <w:t xml:space="preserve"> DJ, Rutsch W, Wilcox RG, de </w:t>
      </w:r>
      <w:proofErr w:type="spellStart"/>
      <w:r>
        <w:rPr>
          <w:rFonts w:ascii="Book Antiqua" w:eastAsia="Book Antiqua" w:hAnsi="Book Antiqua" w:cs="Book Antiqua"/>
          <w:color w:val="000000"/>
        </w:rPr>
        <w:t>Feyter</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Vahanian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Topol</w:t>
      </w:r>
      <w:proofErr w:type="spellEnd"/>
      <w:r>
        <w:rPr>
          <w:rFonts w:ascii="Book Antiqua" w:eastAsia="Book Antiqua" w:hAnsi="Book Antiqua" w:cs="Book Antiqua"/>
          <w:color w:val="000000"/>
        </w:rPr>
        <w:t xml:space="preserve"> EJ; REPLACE-2 Investigators. Bivalirudin and provisional glycoprotein IIb/IIIa blockade compared with heparin and planned glycoprotein IIb/IIIa blockade during percutaneous coronary intervention: REPLACE-2 randomized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2003; </w:t>
      </w:r>
      <w:r>
        <w:rPr>
          <w:rFonts w:ascii="Book Antiqua" w:eastAsia="Book Antiqua" w:hAnsi="Book Antiqua" w:cs="Book Antiqua"/>
          <w:b/>
          <w:bCs/>
          <w:color w:val="000000"/>
        </w:rPr>
        <w:t>289</w:t>
      </w:r>
      <w:r>
        <w:rPr>
          <w:rFonts w:ascii="Book Antiqua" w:eastAsia="Book Antiqua" w:hAnsi="Book Antiqua" w:cs="Book Antiqua"/>
          <w:color w:val="000000"/>
        </w:rPr>
        <w:t>: 853-863 [PMID: 12588269 DOI: 10.1001/jama.289.7.853]</w:t>
      </w:r>
    </w:p>
    <w:p w14:paraId="237F5095" w14:textId="77777777" w:rsidR="00A77B3E" w:rsidRDefault="00927DCB">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Lincoff</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Bittl</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Kleiman</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Sarembock</w:t>
      </w:r>
      <w:proofErr w:type="spellEnd"/>
      <w:r>
        <w:rPr>
          <w:rFonts w:ascii="Book Antiqua" w:eastAsia="Book Antiqua" w:hAnsi="Book Antiqua" w:cs="Book Antiqua"/>
          <w:color w:val="000000"/>
        </w:rPr>
        <w:t xml:space="preserve"> IJ, Jackman JD, Mehta S, Tannenbaum MA, Niederman AL, Bachinsky WB, Tift-Mann J 3rd, Parker HG, </w:t>
      </w:r>
      <w:proofErr w:type="spellStart"/>
      <w:r>
        <w:rPr>
          <w:rFonts w:ascii="Book Antiqua" w:eastAsia="Book Antiqua" w:hAnsi="Book Antiqua" w:cs="Book Antiqua"/>
          <w:color w:val="000000"/>
        </w:rPr>
        <w:t>Kereiakes</w:t>
      </w:r>
      <w:proofErr w:type="spellEnd"/>
      <w:r>
        <w:rPr>
          <w:rFonts w:ascii="Book Antiqua" w:eastAsia="Book Antiqua" w:hAnsi="Book Antiqua" w:cs="Book Antiqua"/>
          <w:color w:val="000000"/>
        </w:rPr>
        <w:t xml:space="preserve"> DJ, Harrington RA, </w:t>
      </w:r>
      <w:proofErr w:type="spellStart"/>
      <w:r>
        <w:rPr>
          <w:rFonts w:ascii="Book Antiqua" w:eastAsia="Book Antiqua" w:hAnsi="Book Antiqua" w:cs="Book Antiqua"/>
          <w:color w:val="000000"/>
        </w:rPr>
        <w:t>Feit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Maierson</w:t>
      </w:r>
      <w:proofErr w:type="spellEnd"/>
      <w:r>
        <w:rPr>
          <w:rFonts w:ascii="Book Antiqua" w:eastAsia="Book Antiqua" w:hAnsi="Book Antiqua" w:cs="Book Antiqua"/>
          <w:color w:val="000000"/>
        </w:rPr>
        <w:t xml:space="preserve"> ES, Chew DP, </w:t>
      </w:r>
      <w:proofErr w:type="spellStart"/>
      <w:r>
        <w:rPr>
          <w:rFonts w:ascii="Book Antiqua" w:eastAsia="Book Antiqua" w:hAnsi="Book Antiqua" w:cs="Book Antiqua"/>
          <w:color w:val="000000"/>
        </w:rPr>
        <w:t>Topol</w:t>
      </w:r>
      <w:proofErr w:type="spellEnd"/>
      <w:r>
        <w:rPr>
          <w:rFonts w:ascii="Book Antiqua" w:eastAsia="Book Antiqua" w:hAnsi="Book Antiqua" w:cs="Book Antiqua"/>
          <w:color w:val="000000"/>
        </w:rPr>
        <w:t xml:space="preserve"> EJ; REPLACE-1 Investigators. Comparison of bivalirudin </w:t>
      </w:r>
      <w:r>
        <w:rPr>
          <w:rFonts w:ascii="Book Antiqua" w:eastAsia="Book Antiqua" w:hAnsi="Book Antiqua" w:cs="Book Antiqua"/>
          <w:i/>
          <w:iCs/>
          <w:color w:val="000000"/>
        </w:rPr>
        <w:t>vs</w:t>
      </w:r>
      <w:r>
        <w:rPr>
          <w:rFonts w:ascii="Book Antiqua" w:eastAsia="Book Antiqua" w:hAnsi="Book Antiqua" w:cs="Book Antiqua"/>
          <w:color w:val="000000"/>
        </w:rPr>
        <w:t xml:space="preserve"> heparin during percutaneous coronary intervention (the </w:t>
      </w:r>
      <w:r>
        <w:rPr>
          <w:rFonts w:ascii="Book Antiqua" w:eastAsia="Book Antiqua" w:hAnsi="Book Antiqua" w:cs="Book Antiqua"/>
          <w:color w:val="000000"/>
        </w:rPr>
        <w:lastRenderedPageBreak/>
        <w:t xml:space="preserve">Randomized Evaluation of PCI Linking </w:t>
      </w:r>
      <w:proofErr w:type="spellStart"/>
      <w:r>
        <w:rPr>
          <w:rFonts w:ascii="Book Antiqua" w:eastAsia="Book Antiqua" w:hAnsi="Book Antiqua" w:cs="Book Antiqua"/>
          <w:color w:val="000000"/>
        </w:rPr>
        <w:t>Angiomax</w:t>
      </w:r>
      <w:proofErr w:type="spellEnd"/>
      <w:r>
        <w:rPr>
          <w:rFonts w:ascii="Book Antiqua" w:eastAsia="Book Antiqua" w:hAnsi="Book Antiqua" w:cs="Book Antiqua"/>
          <w:color w:val="000000"/>
        </w:rPr>
        <w:t xml:space="preserve"> to Reduced Clinical Events [REPLACE]-1 trial).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93</w:t>
      </w:r>
      <w:r>
        <w:rPr>
          <w:rFonts w:ascii="Book Antiqua" w:eastAsia="Book Antiqua" w:hAnsi="Book Antiqua" w:cs="Book Antiqua"/>
          <w:color w:val="000000"/>
        </w:rPr>
        <w:t>: 1092-1096 [PMID: 15110198 DOI: 10.1016/j.amjcard.2004.01.033]</w:t>
      </w:r>
    </w:p>
    <w:p w14:paraId="66433BCB" w14:textId="77777777" w:rsidR="00A77B3E" w:rsidRDefault="00927DC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Gurm</w:t>
      </w:r>
      <w:proofErr w:type="spellEnd"/>
      <w:r>
        <w:rPr>
          <w:rFonts w:ascii="Book Antiqua" w:eastAsia="Book Antiqua" w:hAnsi="Book Antiqua" w:cs="Book Antiqua"/>
          <w:b/>
          <w:bCs/>
          <w:color w:val="000000"/>
        </w:rPr>
        <w:t xml:space="preserve"> HS</w:t>
      </w:r>
      <w:r>
        <w:rPr>
          <w:rFonts w:ascii="Book Antiqua" w:eastAsia="Book Antiqua" w:hAnsi="Book Antiqua" w:cs="Book Antiqua"/>
          <w:color w:val="000000"/>
        </w:rPr>
        <w:t xml:space="preserve">, Bhatt DL. Thrombin, an ideal target for pharmacological inhibition: a review of direct thrombin inhibitors.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2005; </w:t>
      </w:r>
      <w:r>
        <w:rPr>
          <w:rFonts w:ascii="Book Antiqua" w:eastAsia="Book Antiqua" w:hAnsi="Book Antiqua" w:cs="Book Antiqua"/>
          <w:b/>
          <w:bCs/>
          <w:color w:val="000000"/>
        </w:rPr>
        <w:t>149</w:t>
      </w:r>
      <w:r>
        <w:rPr>
          <w:rFonts w:ascii="Book Antiqua" w:eastAsia="Book Antiqua" w:hAnsi="Book Antiqua" w:cs="Book Antiqua"/>
          <w:color w:val="000000"/>
        </w:rPr>
        <w:t>: S43-S53 [PMID: 15644793 DOI: 10.1016/j.ahj.2004.10.022]</w:t>
      </w:r>
    </w:p>
    <w:p w14:paraId="3C59C884" w14:textId="77777777" w:rsidR="00A77B3E" w:rsidRDefault="00927DC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Lee MS</w:t>
      </w:r>
      <w:r>
        <w:rPr>
          <w:rFonts w:ascii="Book Antiqua" w:eastAsia="Book Antiqua" w:hAnsi="Book Antiqua" w:cs="Book Antiqua"/>
          <w:color w:val="000000"/>
        </w:rPr>
        <w:t xml:space="preserve">, Liao H, Yang T, Dhoot J, </w:t>
      </w:r>
      <w:proofErr w:type="spellStart"/>
      <w:r>
        <w:rPr>
          <w:rFonts w:ascii="Book Antiqua" w:eastAsia="Book Antiqua" w:hAnsi="Book Antiqua" w:cs="Book Antiqua"/>
          <w:color w:val="000000"/>
        </w:rPr>
        <w:t>Tobis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Fonarow</w:t>
      </w:r>
      <w:proofErr w:type="spellEnd"/>
      <w:r>
        <w:rPr>
          <w:rFonts w:ascii="Book Antiqua" w:eastAsia="Book Antiqua" w:hAnsi="Book Antiqua" w:cs="Book Antiqua"/>
          <w:color w:val="000000"/>
        </w:rPr>
        <w:t xml:space="preserve"> G, Mahmud E. Comparison of bivalirudin </w:t>
      </w:r>
      <w:r>
        <w:rPr>
          <w:rFonts w:ascii="Book Antiqua" w:eastAsia="Book Antiqua" w:hAnsi="Book Antiqua" w:cs="Book Antiqua"/>
          <w:i/>
          <w:iCs/>
          <w:color w:val="000000"/>
        </w:rPr>
        <w:t>vs</w:t>
      </w:r>
      <w:r>
        <w:rPr>
          <w:rFonts w:ascii="Book Antiqua" w:eastAsia="Book Antiqua" w:hAnsi="Book Antiqua" w:cs="Book Antiqua"/>
          <w:color w:val="000000"/>
        </w:rPr>
        <w:t xml:space="preserve"> heparin plus glycoprotein IIb/IIIa inhibitors in patients undergoing an invasive strategy: a meta-analysis of randomized clinical trials.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152</w:t>
      </w:r>
      <w:r>
        <w:rPr>
          <w:rFonts w:ascii="Book Antiqua" w:eastAsia="Book Antiqua" w:hAnsi="Book Antiqua" w:cs="Book Antiqua"/>
          <w:color w:val="000000"/>
        </w:rPr>
        <w:t>: 369-374 [PMID: 20843568 DOI: 10.1016/j.ijcard.2010.08.007]</w:t>
      </w:r>
    </w:p>
    <w:p w14:paraId="5B6E4DC3" w14:textId="77777777" w:rsidR="00A77B3E" w:rsidRDefault="00927DC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Stone GW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Witzenbichler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Guagliumi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Peruga</w:t>
      </w:r>
      <w:proofErr w:type="spellEnd"/>
      <w:r>
        <w:rPr>
          <w:rFonts w:ascii="Book Antiqua" w:eastAsia="Book Antiqua" w:hAnsi="Book Antiqua" w:cs="Book Antiqua"/>
          <w:color w:val="000000"/>
        </w:rPr>
        <w:t xml:space="preserve"> JZ, Brodie BR, </w:t>
      </w:r>
      <w:proofErr w:type="spellStart"/>
      <w:r>
        <w:rPr>
          <w:rFonts w:ascii="Book Antiqua" w:eastAsia="Book Antiqua" w:hAnsi="Book Antiqua" w:cs="Book Antiqua"/>
          <w:color w:val="000000"/>
        </w:rPr>
        <w:t>Dudek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Kornowski</w:t>
      </w:r>
      <w:proofErr w:type="spellEnd"/>
      <w:r>
        <w:rPr>
          <w:rFonts w:ascii="Book Antiqua" w:eastAsia="Book Antiqua" w:hAnsi="Book Antiqua" w:cs="Book Antiqua"/>
          <w:color w:val="000000"/>
        </w:rPr>
        <w:t xml:space="preserve"> R, Hartmann F, </w:t>
      </w:r>
      <w:proofErr w:type="spellStart"/>
      <w:r>
        <w:rPr>
          <w:rFonts w:ascii="Book Antiqua" w:eastAsia="Book Antiqua" w:hAnsi="Book Antiqua" w:cs="Book Antiqua"/>
          <w:color w:val="000000"/>
        </w:rPr>
        <w:t>Gersh</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Pocock</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Dangas</w:t>
      </w:r>
      <w:proofErr w:type="spellEnd"/>
      <w:r>
        <w:rPr>
          <w:rFonts w:ascii="Book Antiqua" w:eastAsia="Book Antiqua" w:hAnsi="Book Antiqua" w:cs="Book Antiqua"/>
          <w:color w:val="000000"/>
        </w:rPr>
        <w:t xml:space="preserve"> G, Wong SC, </w:t>
      </w:r>
      <w:proofErr w:type="spellStart"/>
      <w:r>
        <w:rPr>
          <w:rFonts w:ascii="Book Antiqua" w:eastAsia="Book Antiqua" w:hAnsi="Book Antiqua" w:cs="Book Antiqua"/>
          <w:color w:val="000000"/>
        </w:rPr>
        <w:t>Kirtane</w:t>
      </w:r>
      <w:proofErr w:type="spellEnd"/>
      <w:r>
        <w:rPr>
          <w:rFonts w:ascii="Book Antiqua" w:eastAsia="Book Antiqua" w:hAnsi="Book Antiqua" w:cs="Book Antiqua"/>
          <w:color w:val="000000"/>
        </w:rPr>
        <w:t xml:space="preserve"> AJ, Parise H, Mehran R; HORIZONS-AMI Trial Investigators. Bivalirudin during primary PCI in acute myocardial infarction.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358</w:t>
      </w:r>
      <w:r>
        <w:rPr>
          <w:rFonts w:ascii="Book Antiqua" w:eastAsia="Book Antiqua" w:hAnsi="Book Antiqua" w:cs="Book Antiqua"/>
          <w:color w:val="000000"/>
        </w:rPr>
        <w:t>: 2218-2230 [PMID: 18499566 DOI: 10.1056/NEJMoa0708191]</w:t>
      </w:r>
    </w:p>
    <w:p w14:paraId="31AA1B91" w14:textId="77777777" w:rsidR="00A77B3E" w:rsidRDefault="00927DC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Steg PG</w:t>
      </w:r>
      <w:r>
        <w:rPr>
          <w:rFonts w:ascii="Book Antiqua" w:eastAsia="Book Antiqua" w:hAnsi="Book Antiqua" w:cs="Book Antiqua"/>
          <w:color w:val="000000"/>
        </w:rPr>
        <w:t xml:space="preserve">, van 't Hof A, Hamm CW, </w:t>
      </w:r>
      <w:proofErr w:type="spellStart"/>
      <w:r>
        <w:rPr>
          <w:rFonts w:ascii="Book Antiqua" w:eastAsia="Book Antiqua" w:hAnsi="Book Antiqua" w:cs="Book Antiqua"/>
          <w:color w:val="000000"/>
        </w:rPr>
        <w:t>Clemmensen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Lapostolle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Coste</w:t>
      </w:r>
      <w:proofErr w:type="spellEnd"/>
      <w:r>
        <w:rPr>
          <w:rFonts w:ascii="Book Antiqua" w:eastAsia="Book Antiqua" w:hAnsi="Book Antiqua" w:cs="Book Antiqua"/>
          <w:color w:val="000000"/>
        </w:rPr>
        <w:t xml:space="preserve"> P, Ten Berg J, Van </w:t>
      </w:r>
      <w:proofErr w:type="spellStart"/>
      <w:r>
        <w:rPr>
          <w:rFonts w:ascii="Book Antiqua" w:eastAsia="Book Antiqua" w:hAnsi="Book Antiqua" w:cs="Book Antiqua"/>
          <w:color w:val="000000"/>
        </w:rPr>
        <w:t>Grunsven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Eggink</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Nibbe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Zeymer</w:t>
      </w:r>
      <w:proofErr w:type="spellEnd"/>
      <w:r>
        <w:rPr>
          <w:rFonts w:ascii="Book Antiqua" w:eastAsia="Book Antiqua" w:hAnsi="Book Antiqua" w:cs="Book Antiqua"/>
          <w:color w:val="000000"/>
        </w:rPr>
        <w:t xml:space="preserve"> U, Campo dell' Orto M, </w:t>
      </w:r>
      <w:proofErr w:type="spellStart"/>
      <w:r>
        <w:rPr>
          <w:rFonts w:ascii="Book Antiqua" w:eastAsia="Book Antiqua" w:hAnsi="Book Antiqua" w:cs="Book Antiqua"/>
          <w:color w:val="000000"/>
        </w:rPr>
        <w:t>Nef</w:t>
      </w:r>
      <w:proofErr w:type="spellEnd"/>
      <w:r>
        <w:rPr>
          <w:rFonts w:ascii="Book Antiqua" w:eastAsia="Book Antiqua" w:hAnsi="Book Antiqua" w:cs="Book Antiqua"/>
          <w:color w:val="000000"/>
        </w:rPr>
        <w:t xml:space="preserve"> H, Steinmetz J, </w:t>
      </w:r>
      <w:proofErr w:type="spellStart"/>
      <w:r>
        <w:rPr>
          <w:rFonts w:ascii="Book Antiqua" w:eastAsia="Book Antiqua" w:hAnsi="Book Antiqua" w:cs="Book Antiqua"/>
          <w:color w:val="000000"/>
        </w:rPr>
        <w:t>Soulat</w:t>
      </w:r>
      <w:proofErr w:type="spellEnd"/>
      <w:r>
        <w:rPr>
          <w:rFonts w:ascii="Book Antiqua" w:eastAsia="Book Antiqua" w:hAnsi="Book Antiqua" w:cs="Book Antiqua"/>
          <w:color w:val="000000"/>
        </w:rPr>
        <w:t xml:space="preserve"> L, Huber K, </w:t>
      </w:r>
      <w:proofErr w:type="spellStart"/>
      <w:r>
        <w:rPr>
          <w:rFonts w:ascii="Book Antiqua" w:eastAsia="Book Antiqua" w:hAnsi="Book Antiqua" w:cs="Book Antiqua"/>
          <w:color w:val="000000"/>
        </w:rPr>
        <w:t>Deliargyris</w:t>
      </w:r>
      <w:proofErr w:type="spellEnd"/>
      <w:r>
        <w:rPr>
          <w:rFonts w:ascii="Book Antiqua" w:eastAsia="Book Antiqua" w:hAnsi="Book Antiqua" w:cs="Book Antiqua"/>
          <w:color w:val="000000"/>
        </w:rPr>
        <w:t xml:space="preserve"> EN, Bernstein D, Schuette D, Prats J, Clayton T, Pocock S, Hamon M, Goldstein P; EUROMAX Investigators. Bivalirudin started during emergency transport for primary PCI.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2207-2217 [PMID: 24171490 DOI: 10.1056/NEJMoa1311096]</w:t>
      </w:r>
    </w:p>
    <w:p w14:paraId="65F04877" w14:textId="77777777" w:rsidR="00A77B3E" w:rsidRDefault="00927DC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Shahzad A</w:t>
      </w:r>
      <w:r>
        <w:rPr>
          <w:rFonts w:ascii="Book Antiqua" w:eastAsia="Book Antiqua" w:hAnsi="Book Antiqua" w:cs="Book Antiqua"/>
          <w:color w:val="000000"/>
        </w:rPr>
        <w:t xml:space="preserve">, Kemp I, Mars C, Wilson K, </w:t>
      </w:r>
      <w:proofErr w:type="spellStart"/>
      <w:r>
        <w:rPr>
          <w:rFonts w:ascii="Book Antiqua" w:eastAsia="Book Antiqua" w:hAnsi="Book Antiqua" w:cs="Book Antiqua"/>
          <w:color w:val="000000"/>
        </w:rPr>
        <w:t>Roome</w:t>
      </w:r>
      <w:proofErr w:type="spellEnd"/>
      <w:r>
        <w:rPr>
          <w:rFonts w:ascii="Book Antiqua" w:eastAsia="Book Antiqua" w:hAnsi="Book Antiqua" w:cs="Book Antiqua"/>
          <w:color w:val="000000"/>
        </w:rPr>
        <w:t xml:space="preserve"> C, Cooper R, </w:t>
      </w:r>
      <w:proofErr w:type="spellStart"/>
      <w:r>
        <w:rPr>
          <w:rFonts w:ascii="Book Antiqua" w:eastAsia="Book Antiqua" w:hAnsi="Book Antiqua" w:cs="Book Antiqua"/>
          <w:color w:val="000000"/>
        </w:rPr>
        <w:t>Andron</w:t>
      </w:r>
      <w:proofErr w:type="spellEnd"/>
      <w:r>
        <w:rPr>
          <w:rFonts w:ascii="Book Antiqua" w:eastAsia="Book Antiqua" w:hAnsi="Book Antiqua" w:cs="Book Antiqua"/>
          <w:color w:val="000000"/>
        </w:rPr>
        <w:t xml:space="preserve"> M, Appleby C, Fisher M, </w:t>
      </w:r>
      <w:proofErr w:type="spellStart"/>
      <w:r>
        <w:rPr>
          <w:rFonts w:ascii="Book Antiqua" w:eastAsia="Book Antiqua" w:hAnsi="Book Antiqua" w:cs="Book Antiqua"/>
          <w:color w:val="000000"/>
        </w:rPr>
        <w:t>Khand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Kunadian</w:t>
      </w:r>
      <w:proofErr w:type="spellEnd"/>
      <w:r>
        <w:rPr>
          <w:rFonts w:ascii="Book Antiqua" w:eastAsia="Book Antiqua" w:hAnsi="Book Antiqua" w:cs="Book Antiqua"/>
          <w:color w:val="000000"/>
        </w:rPr>
        <w:t xml:space="preserve"> B, Mills JD, Morris JL, Morrison WL, Munir S, Palmer ND, Perry RA, </w:t>
      </w:r>
      <w:proofErr w:type="spellStart"/>
      <w:r>
        <w:rPr>
          <w:rFonts w:ascii="Book Antiqua" w:eastAsia="Book Antiqua" w:hAnsi="Book Antiqua" w:cs="Book Antiqua"/>
          <w:color w:val="000000"/>
        </w:rPr>
        <w:t>Ramsdale</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Velavan</w:t>
      </w:r>
      <w:proofErr w:type="spellEnd"/>
      <w:r>
        <w:rPr>
          <w:rFonts w:ascii="Book Antiqua" w:eastAsia="Book Antiqua" w:hAnsi="Book Antiqua" w:cs="Book Antiqua"/>
          <w:color w:val="000000"/>
        </w:rPr>
        <w:t xml:space="preserve"> P, Stables RH; HEAT-PPCI trial investigators. Unfractionated heparin </w:t>
      </w:r>
      <w:r>
        <w:rPr>
          <w:rFonts w:ascii="Book Antiqua" w:eastAsia="Book Antiqua" w:hAnsi="Book Antiqua" w:cs="Book Antiqua"/>
          <w:i/>
          <w:iCs/>
          <w:color w:val="000000"/>
        </w:rPr>
        <w:t>vs</w:t>
      </w:r>
      <w:r>
        <w:rPr>
          <w:rFonts w:ascii="Book Antiqua" w:eastAsia="Book Antiqua" w:hAnsi="Book Antiqua" w:cs="Book Antiqua"/>
          <w:color w:val="000000"/>
        </w:rPr>
        <w:t xml:space="preserve"> bivalirudin in primary percutaneous coronary intervention (HEAT-PPCI): an open-label,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384</w:t>
      </w:r>
      <w:r>
        <w:rPr>
          <w:rFonts w:ascii="Book Antiqua" w:eastAsia="Book Antiqua" w:hAnsi="Book Antiqua" w:cs="Book Antiqua"/>
          <w:color w:val="000000"/>
        </w:rPr>
        <w:t>: 1849-1858 [PMID: 25002178 DOI: 10.1016/S0140-6736(14)60924-7]</w:t>
      </w:r>
    </w:p>
    <w:p w14:paraId="4E18DF50" w14:textId="20CA19FC" w:rsidR="00A77B3E" w:rsidRDefault="00927DC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Committee on thrombosis prevention and treatment</w:t>
      </w:r>
      <w:r w:rsidRPr="00FA4858">
        <w:rPr>
          <w:rFonts w:ascii="Book Antiqua" w:eastAsia="Book Antiqua" w:hAnsi="Book Antiqua" w:cs="Book Antiqua"/>
          <w:color w:val="000000"/>
        </w:rPr>
        <w:t>,</w:t>
      </w:r>
      <w:r>
        <w:rPr>
          <w:rFonts w:ascii="Book Antiqua" w:eastAsia="Book Antiqua" w:hAnsi="Book Antiqua" w:cs="Book Antiqua"/>
          <w:color w:val="000000"/>
        </w:rPr>
        <w:t xml:space="preserve"> Internal Medicine Branch of Cardiovascular Diseases, Chinese Physicians’ Association</w:t>
      </w:r>
      <w:r w:rsidR="002E1EA7">
        <w:rPr>
          <w:rFonts w:ascii="Book Antiqua" w:eastAsia="Book Antiqua" w:hAnsi="Book Antiqua" w:cs="Book Antiqua"/>
          <w:color w:val="000000"/>
        </w:rPr>
        <w:t xml:space="preserve">, Xu JT, Li WM, Men JL, Zhao </w:t>
      </w:r>
      <w:r w:rsidR="002E1EA7">
        <w:rPr>
          <w:rFonts w:ascii="Book Antiqua" w:eastAsia="Book Antiqua" w:hAnsi="Book Antiqua" w:cs="Book Antiqua"/>
          <w:color w:val="000000"/>
        </w:rPr>
        <w:lastRenderedPageBreak/>
        <w:t>X, Li Y</w:t>
      </w:r>
      <w:r>
        <w:rPr>
          <w:rFonts w:ascii="Book Antiqua" w:eastAsia="Book Antiqua" w:hAnsi="Book Antiqua" w:cs="Book Antiqua"/>
          <w:color w:val="000000"/>
        </w:rPr>
        <w:t xml:space="preserve">. Chinese expert consensus on heparin-induced thrombocytopenia. </w:t>
      </w:r>
      <w:proofErr w:type="spellStart"/>
      <w:r w:rsidR="002E1EA7" w:rsidRPr="00FA4858">
        <w:rPr>
          <w:rFonts w:ascii="Book Antiqua" w:eastAsia="Book Antiqua" w:hAnsi="Book Antiqua" w:cs="Book Antiqua"/>
          <w:i/>
          <w:iCs/>
          <w:color w:val="000000"/>
        </w:rPr>
        <w:t>Zhonghua</w:t>
      </w:r>
      <w:proofErr w:type="spellEnd"/>
      <w:r w:rsidR="002E1EA7" w:rsidRPr="00FA4858">
        <w:rPr>
          <w:rFonts w:ascii="Book Antiqua" w:eastAsia="Book Antiqua" w:hAnsi="Book Antiqua" w:cs="Book Antiqua"/>
          <w:i/>
          <w:iCs/>
          <w:color w:val="000000"/>
        </w:rPr>
        <w:t xml:space="preserve"> </w:t>
      </w:r>
      <w:proofErr w:type="spellStart"/>
      <w:r w:rsidR="002E1EA7" w:rsidRPr="00FA4858">
        <w:rPr>
          <w:rFonts w:ascii="Book Antiqua" w:eastAsia="Book Antiqua" w:hAnsi="Book Antiqua" w:cs="Book Antiqua"/>
          <w:i/>
          <w:iCs/>
          <w:color w:val="000000"/>
        </w:rPr>
        <w:t>Yixue</w:t>
      </w:r>
      <w:proofErr w:type="spellEnd"/>
      <w:r w:rsidR="002E1EA7" w:rsidRPr="00FA4858">
        <w:rPr>
          <w:rFonts w:ascii="Book Antiqua" w:eastAsia="Book Antiqua" w:hAnsi="Book Antiqua" w:cs="Book Antiqua"/>
          <w:i/>
          <w:iCs/>
          <w:color w:val="000000"/>
        </w:rPr>
        <w:t xml:space="preserve"> </w:t>
      </w:r>
      <w:proofErr w:type="spellStart"/>
      <w:r w:rsidR="002E1EA7" w:rsidRPr="00FA4858">
        <w:rPr>
          <w:rFonts w:ascii="Book Antiqua" w:eastAsia="Book Antiqua" w:hAnsi="Book Antiqua" w:cs="Book Antiqua"/>
          <w:i/>
          <w:iCs/>
          <w:color w:val="000000"/>
        </w:rPr>
        <w:t>Zazhi</w:t>
      </w:r>
      <w:proofErr w:type="spellEnd"/>
      <w:r w:rsidRPr="00FA4858">
        <w:rPr>
          <w:rFonts w:ascii="Book Antiqua" w:eastAsia="Book Antiqua" w:hAnsi="Book Antiqua" w:cs="Book Antiqua"/>
          <w:i/>
          <w:iCs/>
          <w:color w:val="000000"/>
        </w:rPr>
        <w:t xml:space="preserve"> </w:t>
      </w:r>
      <w:r>
        <w:rPr>
          <w:rFonts w:ascii="Book Antiqua" w:eastAsia="Book Antiqua" w:hAnsi="Book Antiqua" w:cs="Book Antiqua"/>
          <w:color w:val="000000"/>
        </w:rPr>
        <w:t>2018;</w:t>
      </w:r>
      <w:r w:rsidR="002E1EA7">
        <w:rPr>
          <w:rFonts w:ascii="Book Antiqua" w:eastAsia="Book Antiqua" w:hAnsi="Book Antiqua" w:cs="Book Antiqua"/>
          <w:color w:val="000000"/>
        </w:rPr>
        <w:t xml:space="preserve"> </w:t>
      </w:r>
      <w:r w:rsidRPr="00FA4858">
        <w:rPr>
          <w:rFonts w:ascii="Book Antiqua" w:eastAsia="Book Antiqua" w:hAnsi="Book Antiqua" w:cs="Book Antiqua"/>
          <w:b/>
          <w:bCs/>
          <w:color w:val="000000"/>
        </w:rPr>
        <w:t>98</w:t>
      </w:r>
      <w:r>
        <w:rPr>
          <w:rFonts w:ascii="Book Antiqua" w:eastAsia="Book Antiqua" w:hAnsi="Book Antiqua" w:cs="Book Antiqua"/>
          <w:color w:val="000000"/>
        </w:rPr>
        <w:t>:</w:t>
      </w:r>
      <w:r w:rsidR="002E1EA7">
        <w:rPr>
          <w:rFonts w:ascii="Book Antiqua" w:eastAsia="Book Antiqua" w:hAnsi="Book Antiqua" w:cs="Book Antiqua"/>
          <w:color w:val="000000"/>
        </w:rPr>
        <w:t xml:space="preserve"> </w:t>
      </w:r>
      <w:r>
        <w:rPr>
          <w:rFonts w:ascii="Book Antiqua" w:eastAsia="Book Antiqua" w:hAnsi="Book Antiqua" w:cs="Book Antiqua"/>
          <w:color w:val="000000"/>
        </w:rPr>
        <w:t>408-417 [DOI: 10.3760/cma.j.issn.0376-2491.2018.06.003]</w:t>
      </w:r>
    </w:p>
    <w:p w14:paraId="2B3BD0F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0CD33FB" w14:textId="77777777" w:rsidR="00A77B3E" w:rsidRDefault="00927DCB">
      <w:pPr>
        <w:spacing w:line="360" w:lineRule="auto"/>
        <w:jc w:val="both"/>
      </w:pPr>
      <w:r>
        <w:rPr>
          <w:rFonts w:ascii="Book Antiqua" w:eastAsia="Book Antiqua" w:hAnsi="Book Antiqua" w:cs="Book Antiqua"/>
          <w:b/>
          <w:color w:val="000000"/>
        </w:rPr>
        <w:lastRenderedPageBreak/>
        <w:t>Footnotes</w:t>
      </w:r>
    </w:p>
    <w:p w14:paraId="4B4FF541" w14:textId="7EB99709" w:rsidR="00A77B3E" w:rsidRDefault="00927DCB">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described in this study gave written informed consent for the publication of this case</w:t>
      </w:r>
      <w:r w:rsidR="00153C19">
        <w:rPr>
          <w:rFonts w:ascii="Book Antiqua" w:eastAsia="Book Antiqua" w:hAnsi="Book Antiqua" w:cs="Book Antiqua"/>
          <w:color w:val="000000"/>
        </w:rPr>
        <w:t xml:space="preserve"> report</w:t>
      </w:r>
      <w:r>
        <w:rPr>
          <w:rFonts w:ascii="Book Antiqua" w:eastAsia="Book Antiqua" w:hAnsi="Book Antiqua" w:cs="Book Antiqua"/>
          <w:color w:val="000000"/>
        </w:rPr>
        <w:t xml:space="preserve"> (including the images). Information revealing this patient’s identity has been avoided. </w:t>
      </w:r>
    </w:p>
    <w:p w14:paraId="5580ACFB" w14:textId="77777777" w:rsidR="00A77B3E" w:rsidRDefault="00A77B3E">
      <w:pPr>
        <w:spacing w:line="360" w:lineRule="auto"/>
        <w:jc w:val="both"/>
      </w:pPr>
    </w:p>
    <w:p w14:paraId="44790861" w14:textId="77777777" w:rsidR="00A77B3E" w:rsidRDefault="00927DC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to declare.</w:t>
      </w:r>
    </w:p>
    <w:p w14:paraId="724339FE" w14:textId="77777777" w:rsidR="00A77B3E" w:rsidRDefault="00A77B3E">
      <w:pPr>
        <w:spacing w:line="360" w:lineRule="auto"/>
        <w:jc w:val="both"/>
      </w:pPr>
    </w:p>
    <w:p w14:paraId="1814AD6D" w14:textId="77777777" w:rsidR="00A77B3E" w:rsidRDefault="00927DC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C4DF4A7" w14:textId="77777777" w:rsidR="00A77B3E" w:rsidRDefault="00A77B3E">
      <w:pPr>
        <w:spacing w:line="360" w:lineRule="auto"/>
        <w:jc w:val="both"/>
      </w:pPr>
    </w:p>
    <w:p w14:paraId="05AFA481" w14:textId="77777777" w:rsidR="00A77B3E" w:rsidRDefault="00927DC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46A9D4" w14:textId="77777777" w:rsidR="00A77B3E" w:rsidRDefault="00A77B3E">
      <w:pPr>
        <w:spacing w:line="360" w:lineRule="auto"/>
        <w:jc w:val="both"/>
      </w:pPr>
    </w:p>
    <w:p w14:paraId="37EDF000" w14:textId="38B77CA0" w:rsidR="00A77B3E" w:rsidRDefault="00927DC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E1CFC81" w14:textId="77777777" w:rsidR="00A77B3E" w:rsidRDefault="00A77B3E">
      <w:pPr>
        <w:spacing w:line="360" w:lineRule="auto"/>
        <w:jc w:val="both"/>
      </w:pPr>
    </w:p>
    <w:p w14:paraId="790FA5CB" w14:textId="77777777" w:rsidR="00A77B3E" w:rsidRDefault="00927DC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9, 2020</w:t>
      </w:r>
    </w:p>
    <w:p w14:paraId="68586124" w14:textId="77777777" w:rsidR="00A77B3E" w:rsidRDefault="00927DC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5, 2020</w:t>
      </w:r>
    </w:p>
    <w:p w14:paraId="2193A0C9" w14:textId="26730FF3" w:rsidR="00A77B3E" w:rsidRDefault="00927DCB">
      <w:pPr>
        <w:spacing w:line="360" w:lineRule="auto"/>
        <w:jc w:val="both"/>
      </w:pPr>
      <w:r>
        <w:rPr>
          <w:rFonts w:ascii="Book Antiqua" w:eastAsia="Book Antiqua" w:hAnsi="Book Antiqua" w:cs="Book Antiqua"/>
          <w:b/>
          <w:color w:val="000000"/>
        </w:rPr>
        <w:t xml:space="preserve">Article in press: </w:t>
      </w:r>
      <w:r w:rsidR="00CF6608" w:rsidRPr="00DE78A5">
        <w:rPr>
          <w:rFonts w:ascii="Book Antiqua" w:eastAsia="Book Antiqua" w:hAnsi="Book Antiqua" w:cs="Book Antiqua"/>
          <w:bCs/>
          <w:color w:val="000000"/>
        </w:rPr>
        <w:t>November 11, 2020</w:t>
      </w:r>
    </w:p>
    <w:p w14:paraId="378BF86A" w14:textId="77777777" w:rsidR="00A77B3E" w:rsidRDefault="00A77B3E">
      <w:pPr>
        <w:spacing w:line="360" w:lineRule="auto"/>
        <w:jc w:val="both"/>
      </w:pPr>
    </w:p>
    <w:p w14:paraId="0FC5D998" w14:textId="04538CED" w:rsidR="00A77B3E" w:rsidRDefault="00927DCB">
      <w:pPr>
        <w:spacing w:line="360" w:lineRule="auto"/>
        <w:jc w:val="both"/>
      </w:pPr>
      <w:r>
        <w:rPr>
          <w:rFonts w:ascii="Book Antiqua" w:eastAsia="Book Antiqua" w:hAnsi="Book Antiqua" w:cs="Book Antiqua"/>
          <w:b/>
          <w:color w:val="000000"/>
        </w:rPr>
        <w:t xml:space="preserve">Specialty type: </w:t>
      </w:r>
      <w:r w:rsidRPr="00E700C2">
        <w:rPr>
          <w:rFonts w:ascii="Book Antiqua" w:eastAsia="微软雅黑" w:hAnsi="Book Antiqua" w:cs="宋体"/>
        </w:rPr>
        <w:t>Cardiac and cardiovascular systems</w:t>
      </w:r>
    </w:p>
    <w:p w14:paraId="343962F4" w14:textId="77777777" w:rsidR="00A77B3E" w:rsidRDefault="00927DC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895F01A" w14:textId="77777777" w:rsidR="00A77B3E" w:rsidRDefault="00927DCB">
      <w:pPr>
        <w:spacing w:line="360" w:lineRule="auto"/>
        <w:jc w:val="both"/>
      </w:pPr>
      <w:r>
        <w:rPr>
          <w:rFonts w:ascii="Book Antiqua" w:eastAsia="Book Antiqua" w:hAnsi="Book Antiqua" w:cs="Book Antiqua"/>
          <w:b/>
          <w:color w:val="000000"/>
        </w:rPr>
        <w:t>Peer-review report’s scientific quality classification</w:t>
      </w:r>
    </w:p>
    <w:p w14:paraId="4B28D788" w14:textId="77777777" w:rsidR="00A77B3E" w:rsidRDefault="00927DCB">
      <w:pPr>
        <w:spacing w:line="360" w:lineRule="auto"/>
        <w:jc w:val="both"/>
      </w:pPr>
      <w:r>
        <w:rPr>
          <w:rFonts w:ascii="Book Antiqua" w:eastAsia="Book Antiqua" w:hAnsi="Book Antiqua" w:cs="Book Antiqua"/>
          <w:color w:val="000000"/>
        </w:rPr>
        <w:t>Grade A (Excellent): 0</w:t>
      </w:r>
    </w:p>
    <w:p w14:paraId="78E15E2F" w14:textId="77777777" w:rsidR="00A77B3E" w:rsidRDefault="00927DCB">
      <w:pPr>
        <w:spacing w:line="360" w:lineRule="auto"/>
        <w:jc w:val="both"/>
      </w:pPr>
      <w:r>
        <w:rPr>
          <w:rFonts w:ascii="Book Antiqua" w:eastAsia="Book Antiqua" w:hAnsi="Book Antiqua" w:cs="Book Antiqua"/>
          <w:color w:val="000000"/>
        </w:rPr>
        <w:t>Grade B (Very good): B</w:t>
      </w:r>
    </w:p>
    <w:p w14:paraId="78E732D9" w14:textId="77777777" w:rsidR="00A77B3E" w:rsidRDefault="00927DCB">
      <w:pPr>
        <w:spacing w:line="360" w:lineRule="auto"/>
        <w:jc w:val="both"/>
      </w:pPr>
      <w:r>
        <w:rPr>
          <w:rFonts w:ascii="Book Antiqua" w:eastAsia="Book Antiqua" w:hAnsi="Book Antiqua" w:cs="Book Antiqua"/>
          <w:color w:val="000000"/>
        </w:rPr>
        <w:lastRenderedPageBreak/>
        <w:t>Grade C (Good): 0</w:t>
      </w:r>
    </w:p>
    <w:p w14:paraId="58969FBF" w14:textId="77777777" w:rsidR="00A77B3E" w:rsidRDefault="00927DCB">
      <w:pPr>
        <w:spacing w:line="360" w:lineRule="auto"/>
        <w:jc w:val="both"/>
      </w:pPr>
      <w:r>
        <w:rPr>
          <w:rFonts w:ascii="Book Antiqua" w:eastAsia="Book Antiqua" w:hAnsi="Book Antiqua" w:cs="Book Antiqua"/>
          <w:color w:val="000000"/>
        </w:rPr>
        <w:t>Grade D (Fair): 0</w:t>
      </w:r>
    </w:p>
    <w:p w14:paraId="257B5867" w14:textId="77777777" w:rsidR="00A77B3E" w:rsidRDefault="00927DCB">
      <w:pPr>
        <w:spacing w:line="360" w:lineRule="auto"/>
        <w:jc w:val="both"/>
      </w:pPr>
      <w:r>
        <w:rPr>
          <w:rFonts w:ascii="Book Antiqua" w:eastAsia="Book Antiqua" w:hAnsi="Book Antiqua" w:cs="Book Antiqua"/>
          <w:color w:val="000000"/>
        </w:rPr>
        <w:t>Grade E (Poor): 0</w:t>
      </w:r>
    </w:p>
    <w:p w14:paraId="07FB1E1F" w14:textId="77777777" w:rsidR="00A77B3E" w:rsidRDefault="00A77B3E">
      <w:pPr>
        <w:spacing w:line="360" w:lineRule="auto"/>
        <w:jc w:val="both"/>
      </w:pPr>
    </w:p>
    <w:p w14:paraId="47BF2F4D" w14:textId="390F944D" w:rsidR="00A77B3E" w:rsidRPr="00CF6608" w:rsidRDefault="00927DC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MD AS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153C19" w:rsidRPr="00827DB3">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CF6608" w:rsidRPr="00CF6608">
        <w:rPr>
          <w:rFonts w:ascii="Book Antiqua" w:hAnsi="Book Antiqua" w:cs="Book Antiqua" w:hint="eastAsia"/>
          <w:color w:val="000000"/>
          <w:lang w:eastAsia="zh-CN"/>
        </w:rPr>
        <w:t>Li JH</w:t>
      </w:r>
    </w:p>
    <w:p w14:paraId="15977EC7" w14:textId="77777777" w:rsidR="00EE5A40" w:rsidRDefault="00EE5A40">
      <w:pPr>
        <w:spacing w:line="360" w:lineRule="auto"/>
        <w:jc w:val="both"/>
        <w:sectPr w:rsidR="00EE5A40">
          <w:pgSz w:w="12240" w:h="15840"/>
          <w:pgMar w:top="1440" w:right="1440" w:bottom="1440" w:left="1440" w:header="720" w:footer="720" w:gutter="0"/>
          <w:cols w:space="720"/>
          <w:docGrid w:linePitch="360"/>
        </w:sectPr>
      </w:pPr>
    </w:p>
    <w:p w14:paraId="6586AA2A" w14:textId="77777777" w:rsidR="008C5076" w:rsidRDefault="00927DCB">
      <w:pPr>
        <w:spacing w:line="360" w:lineRule="auto"/>
        <w:jc w:val="both"/>
      </w:pPr>
      <w:r>
        <w:rPr>
          <w:rFonts w:ascii="Book Antiqua" w:eastAsia="Book Antiqua" w:hAnsi="Book Antiqua" w:cs="Book Antiqua"/>
          <w:b/>
          <w:color w:val="000000"/>
        </w:rPr>
        <w:lastRenderedPageBreak/>
        <w:t>Figure Legends</w:t>
      </w:r>
    </w:p>
    <w:p w14:paraId="46049F1A" w14:textId="1A14A825" w:rsidR="008C5076" w:rsidRDefault="008C5076">
      <w:pPr>
        <w:spacing w:line="360" w:lineRule="auto"/>
        <w:jc w:val="both"/>
      </w:pPr>
      <w:r>
        <w:rPr>
          <w:noProof/>
          <w:lang w:eastAsia="zh-CN"/>
        </w:rPr>
        <w:drawing>
          <wp:inline distT="0" distB="0" distL="0" distR="0" wp14:anchorId="6B0F2B8B" wp14:editId="59E35308">
            <wp:extent cx="4240523" cy="29364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7876" cy="2941591"/>
                    </a:xfrm>
                    <a:prstGeom prst="rect">
                      <a:avLst/>
                    </a:prstGeom>
                    <a:noFill/>
                  </pic:spPr>
                </pic:pic>
              </a:graphicData>
            </a:graphic>
          </wp:inline>
        </w:drawing>
      </w:r>
    </w:p>
    <w:p w14:paraId="1AA7FF41" w14:textId="1F1DED51" w:rsidR="008C5076" w:rsidRDefault="00927DC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Bedside electrocardiogram after admission</w:t>
      </w:r>
      <w:r w:rsidRPr="000151EE">
        <w:rPr>
          <w:rFonts w:ascii="Book Antiqua" w:eastAsia="Book Antiqua" w:hAnsi="Book Antiqua" w:cs="Book Antiqua"/>
          <w:b/>
          <w:bCs/>
          <w:color w:val="000000"/>
        </w:rPr>
        <w:t>.</w:t>
      </w:r>
    </w:p>
    <w:p w14:paraId="7DDF7FBF" w14:textId="07B2B63A" w:rsidR="00A77B3E" w:rsidRDefault="008C5076">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3782136" wp14:editId="6D4B359D">
            <wp:extent cx="4913748" cy="2787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6409" cy="2795159"/>
                    </a:xfrm>
                    <a:prstGeom prst="rect">
                      <a:avLst/>
                    </a:prstGeom>
                    <a:noFill/>
                  </pic:spPr>
                </pic:pic>
              </a:graphicData>
            </a:graphic>
          </wp:inline>
        </w:drawing>
      </w:r>
    </w:p>
    <w:p w14:paraId="0234C6F0" w14:textId="60407042" w:rsidR="00A77B3E" w:rsidRPr="008C5076" w:rsidRDefault="00927DCB">
      <w:pPr>
        <w:spacing w:line="360" w:lineRule="auto"/>
        <w:jc w:val="both"/>
      </w:pPr>
      <w:r>
        <w:rPr>
          <w:rFonts w:ascii="Book Antiqua" w:eastAsia="Book Antiqua" w:hAnsi="Book Antiqua" w:cs="Book Antiqua"/>
          <w:b/>
          <w:bCs/>
          <w:color w:val="000000"/>
        </w:rPr>
        <w:t>Figure 2 Angiogram showing pre</w:t>
      </w:r>
      <w:r w:rsidR="008C5076">
        <w:rPr>
          <w:rFonts w:ascii="Book Antiqua" w:eastAsia="Book Antiqua" w:hAnsi="Book Antiqua" w:cs="Book Antiqua"/>
          <w:b/>
          <w:bCs/>
          <w:color w:val="000000"/>
        </w:rPr>
        <w:t>-</w:t>
      </w:r>
      <w:r>
        <w:rPr>
          <w:rFonts w:ascii="Book Antiqua" w:eastAsia="Book Antiqua" w:hAnsi="Book Antiqua" w:cs="Book Antiqua"/>
          <w:b/>
          <w:bCs/>
          <w:color w:val="000000"/>
        </w:rPr>
        <w:t xml:space="preserve"> and post-</w:t>
      </w:r>
      <w:r w:rsidR="008C5076" w:rsidRPr="008C5076">
        <w:rPr>
          <w:rFonts w:ascii="Book Antiqua" w:eastAsia="Book Antiqua" w:hAnsi="Book Antiqua" w:cs="Book Antiqua"/>
          <w:b/>
          <w:bCs/>
          <w:color w:val="000000"/>
        </w:rPr>
        <w:t>percutaneous coronary intervention</w:t>
      </w:r>
      <w:r>
        <w:rPr>
          <w:rFonts w:ascii="Book Antiqua" w:eastAsia="Book Antiqua" w:hAnsi="Book Antiqua" w:cs="Book Antiqua"/>
          <w:b/>
          <w:bCs/>
          <w:color w:val="000000"/>
        </w:rPr>
        <w:t xml:space="preserve"> of the </w:t>
      </w:r>
      <w:r w:rsidR="008C5076">
        <w:rPr>
          <w:rFonts w:ascii="Book Antiqua" w:eastAsia="Book Antiqua" w:hAnsi="Book Antiqua" w:cs="Book Antiqua"/>
          <w:b/>
          <w:bCs/>
          <w:color w:val="000000"/>
        </w:rPr>
        <w:t>l</w:t>
      </w:r>
      <w:r w:rsidR="008C5076" w:rsidRPr="008C5076">
        <w:rPr>
          <w:rFonts w:ascii="Book Antiqua" w:eastAsia="Book Antiqua" w:hAnsi="Book Antiqua" w:cs="Book Antiqua"/>
          <w:b/>
          <w:bCs/>
          <w:color w:val="000000"/>
        </w:rPr>
        <w:t>eft main coronary artery</w:t>
      </w:r>
      <w:r>
        <w:rPr>
          <w:rFonts w:ascii="Book Antiqua" w:eastAsia="Book Antiqua" w:hAnsi="Book Antiqua" w:cs="Book Antiqua"/>
          <w:b/>
          <w:bCs/>
          <w:color w:val="000000"/>
        </w:rPr>
        <w:t xml:space="preserve">-LAD and </w:t>
      </w:r>
      <w:r w:rsidR="00B72817" w:rsidRPr="00B72817">
        <w:rPr>
          <w:rFonts w:ascii="Book Antiqua" w:eastAsia="Book Antiqua" w:hAnsi="Book Antiqua" w:cs="Book Antiqua"/>
          <w:b/>
          <w:bCs/>
          <w:color w:val="000000"/>
        </w:rPr>
        <w:t>left circumflex</w:t>
      </w:r>
      <w:r>
        <w:rPr>
          <w:rFonts w:ascii="Book Antiqua" w:eastAsia="Book Antiqua" w:hAnsi="Book Antiqua" w:cs="Book Antiqua"/>
          <w:b/>
          <w:bCs/>
          <w:color w:val="000000"/>
        </w:rPr>
        <w:t>.</w:t>
      </w:r>
      <w:r w:rsidR="008C5076" w:rsidRPr="008C5076">
        <w:rPr>
          <w:rFonts w:ascii="Book Antiqua" w:eastAsia="Book Antiqua" w:hAnsi="Book Antiqua" w:cs="Book Antiqua"/>
          <w:color w:val="000000"/>
        </w:rPr>
        <w:t xml:space="preserve"> PCI:</w:t>
      </w:r>
      <w:r w:rsidR="008C5076">
        <w:rPr>
          <w:rFonts w:ascii="Book Antiqua" w:eastAsia="Book Antiqua" w:hAnsi="Book Antiqua" w:cs="Book Antiqua"/>
          <w:color w:val="000000"/>
        </w:rPr>
        <w:t xml:space="preserve"> Percutaneous coronary intervention.</w:t>
      </w:r>
    </w:p>
    <w:p w14:paraId="228AADF7" w14:textId="12C8B3A4" w:rsidR="00A77B3E" w:rsidRDefault="00B72817">
      <w:pPr>
        <w:spacing w:line="360" w:lineRule="auto"/>
        <w:jc w:val="both"/>
      </w:pPr>
      <w:r>
        <w:br w:type="page"/>
      </w:r>
      <w:r>
        <w:rPr>
          <w:noProof/>
          <w:lang w:eastAsia="zh-CN"/>
        </w:rPr>
        <w:lastRenderedPageBreak/>
        <w:drawing>
          <wp:inline distT="0" distB="0" distL="0" distR="0" wp14:anchorId="6F752F25" wp14:editId="62AC5DA4">
            <wp:extent cx="2124289" cy="29539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6826" cy="2957482"/>
                    </a:xfrm>
                    <a:prstGeom prst="rect">
                      <a:avLst/>
                    </a:prstGeom>
                    <a:noFill/>
                  </pic:spPr>
                </pic:pic>
              </a:graphicData>
            </a:graphic>
          </wp:inline>
        </w:drawing>
      </w:r>
    </w:p>
    <w:p w14:paraId="3D40AD34" w14:textId="77777777" w:rsidR="00A77B3E" w:rsidRDefault="00927DCB">
      <w:pPr>
        <w:spacing w:line="360" w:lineRule="auto"/>
        <w:jc w:val="both"/>
      </w:pPr>
      <w:r>
        <w:rPr>
          <w:rFonts w:ascii="Book Antiqua" w:eastAsia="Book Antiqua" w:hAnsi="Book Antiqua" w:cs="Book Antiqua"/>
          <w:b/>
          <w:bCs/>
          <w:color w:val="000000"/>
        </w:rPr>
        <w:t>Figure 3 Photograph showing skin necrosis of the right and left upper extremities</w:t>
      </w:r>
      <w:r w:rsidRPr="00B72817">
        <w:rPr>
          <w:rFonts w:ascii="Book Antiqua" w:eastAsia="Book Antiqua" w:hAnsi="Book Antiqua" w:cs="Book Antiqua"/>
          <w:b/>
          <w:bCs/>
          <w:color w:val="000000"/>
          <w:szCs w:val="21"/>
        </w:rPr>
        <w:t>.</w:t>
      </w:r>
    </w:p>
    <w:p w14:paraId="6CF9FB2C" w14:textId="07B638AB" w:rsidR="00A77B3E" w:rsidRDefault="00B72817">
      <w:pPr>
        <w:spacing w:line="360" w:lineRule="auto"/>
        <w:jc w:val="both"/>
      </w:pPr>
      <w:r>
        <w:br w:type="page"/>
      </w:r>
      <w:r>
        <w:rPr>
          <w:noProof/>
          <w:lang w:eastAsia="zh-CN"/>
        </w:rPr>
        <w:lastRenderedPageBreak/>
        <w:drawing>
          <wp:inline distT="0" distB="0" distL="0" distR="0" wp14:anchorId="49AFE740" wp14:editId="14F2D84D">
            <wp:extent cx="4044957" cy="26151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2117" cy="2619800"/>
                    </a:xfrm>
                    <a:prstGeom prst="rect">
                      <a:avLst/>
                    </a:prstGeom>
                    <a:noFill/>
                  </pic:spPr>
                </pic:pic>
              </a:graphicData>
            </a:graphic>
          </wp:inline>
        </w:drawing>
      </w:r>
    </w:p>
    <w:p w14:paraId="4D25B31B" w14:textId="38F491B0" w:rsidR="00A77B3E" w:rsidRDefault="00927DCB">
      <w:pPr>
        <w:spacing w:line="360" w:lineRule="auto"/>
        <w:jc w:val="both"/>
      </w:pPr>
      <w:r>
        <w:rPr>
          <w:rFonts w:ascii="Book Antiqua" w:eastAsia="Book Antiqua" w:hAnsi="Book Antiqua" w:cs="Book Antiqua"/>
          <w:b/>
          <w:bCs/>
          <w:color w:val="000000"/>
        </w:rPr>
        <w:t>Figure 4 Magnetic resonance imaging showing cerebral infarction.</w:t>
      </w:r>
    </w:p>
    <w:p w14:paraId="427A1316" w14:textId="78BAF2A5" w:rsidR="00A77B3E" w:rsidRDefault="00B72817">
      <w:pPr>
        <w:spacing w:line="360" w:lineRule="auto"/>
        <w:jc w:val="both"/>
      </w:pPr>
      <w:r>
        <w:br w:type="page"/>
      </w:r>
      <w:r>
        <w:rPr>
          <w:noProof/>
          <w:lang w:eastAsia="zh-CN"/>
        </w:rPr>
        <w:lastRenderedPageBreak/>
        <w:drawing>
          <wp:inline distT="0" distB="0" distL="0" distR="0" wp14:anchorId="45ECAA3C" wp14:editId="00511C54">
            <wp:extent cx="4094599" cy="33260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0487" cy="3330852"/>
                    </a:xfrm>
                    <a:prstGeom prst="rect">
                      <a:avLst/>
                    </a:prstGeom>
                    <a:noFill/>
                  </pic:spPr>
                </pic:pic>
              </a:graphicData>
            </a:graphic>
          </wp:inline>
        </w:drawing>
      </w:r>
    </w:p>
    <w:p w14:paraId="603B1632" w14:textId="3CD50241" w:rsidR="00A77B3E" w:rsidRPr="00B72817" w:rsidRDefault="00927DCB">
      <w:pPr>
        <w:spacing w:line="360" w:lineRule="auto"/>
        <w:jc w:val="both"/>
      </w:pPr>
      <w:r>
        <w:rPr>
          <w:rFonts w:ascii="Book Antiqua" w:eastAsia="Book Antiqua" w:hAnsi="Book Antiqua" w:cs="Book Antiqua"/>
          <w:b/>
          <w:bCs/>
          <w:color w:val="000000"/>
        </w:rPr>
        <w:t xml:space="preserve">Figure 5 Trends in </w:t>
      </w:r>
      <w:bookmarkStart w:id="3" w:name="_Hlk54631155"/>
      <w:r>
        <w:rPr>
          <w:rFonts w:ascii="Book Antiqua" w:eastAsia="Book Antiqua" w:hAnsi="Book Antiqua" w:cs="Book Antiqua"/>
          <w:b/>
          <w:bCs/>
          <w:color w:val="000000"/>
        </w:rPr>
        <w:t>hemoglobin</w:t>
      </w:r>
      <w:bookmarkEnd w:id="3"/>
      <w:r>
        <w:rPr>
          <w:rFonts w:ascii="Book Antiqua" w:eastAsia="Book Antiqua" w:hAnsi="Book Antiqua" w:cs="Book Antiqua"/>
          <w:b/>
          <w:bCs/>
          <w:color w:val="000000"/>
        </w:rPr>
        <w:t>, white blood cells</w:t>
      </w:r>
      <w:r w:rsidR="00153C19">
        <w:rPr>
          <w:rFonts w:ascii="Book Antiqua" w:eastAsia="Book Antiqua" w:hAnsi="Book Antiqua" w:cs="Book Antiqua"/>
          <w:b/>
          <w:bCs/>
          <w:color w:val="000000"/>
        </w:rPr>
        <w:t>,</w:t>
      </w:r>
      <w:r>
        <w:rPr>
          <w:rFonts w:ascii="Book Antiqua" w:eastAsia="Book Antiqua" w:hAnsi="Book Antiqua" w:cs="Book Antiqua"/>
          <w:b/>
          <w:bCs/>
          <w:color w:val="000000"/>
        </w:rPr>
        <w:t xml:space="preserve"> and </w:t>
      </w:r>
      <w:bookmarkStart w:id="4" w:name="_Hlk54631191"/>
      <w:r>
        <w:rPr>
          <w:rFonts w:ascii="Book Antiqua" w:eastAsia="Book Antiqua" w:hAnsi="Book Antiqua" w:cs="Book Antiqua"/>
          <w:b/>
          <w:bCs/>
          <w:color w:val="000000"/>
        </w:rPr>
        <w:t>platelets</w:t>
      </w:r>
      <w:bookmarkEnd w:id="4"/>
      <w:r>
        <w:rPr>
          <w:rFonts w:ascii="Book Antiqua" w:eastAsia="Book Antiqua" w:hAnsi="Book Antiqua" w:cs="Book Antiqua"/>
          <w:b/>
          <w:bCs/>
          <w:color w:val="000000"/>
        </w:rPr>
        <w:t xml:space="preserve"> during the patient’s disease course</w:t>
      </w:r>
      <w:r>
        <w:rPr>
          <w:rFonts w:ascii="Book Antiqua" w:eastAsia="Book Antiqua" w:hAnsi="Book Antiqua" w:cs="Book Antiqua"/>
          <w:b/>
          <w:bCs/>
          <w:color w:val="000000"/>
          <w:szCs w:val="21"/>
        </w:rPr>
        <w:t>.</w:t>
      </w:r>
      <w:r w:rsidR="00B72817">
        <w:rPr>
          <w:rFonts w:ascii="Book Antiqua" w:eastAsia="Book Antiqua" w:hAnsi="Book Antiqua" w:cs="Book Antiqua"/>
          <w:b/>
          <w:bCs/>
          <w:color w:val="000000"/>
          <w:szCs w:val="21"/>
        </w:rPr>
        <w:t xml:space="preserve"> </w:t>
      </w:r>
      <w:r w:rsidR="00B72817">
        <w:rPr>
          <w:rFonts w:ascii="Book Antiqua" w:eastAsia="Book Antiqua" w:hAnsi="Book Antiqua" w:cs="Book Antiqua"/>
          <w:color w:val="000000"/>
          <w:szCs w:val="21"/>
        </w:rPr>
        <w:t>Hb: H</w:t>
      </w:r>
      <w:r w:rsidR="00B72817" w:rsidRPr="00B72817">
        <w:rPr>
          <w:rFonts w:ascii="Book Antiqua" w:eastAsia="Book Antiqua" w:hAnsi="Book Antiqua" w:cs="Book Antiqua"/>
          <w:color w:val="000000"/>
          <w:szCs w:val="21"/>
        </w:rPr>
        <w:t>emoglobin</w:t>
      </w:r>
      <w:r w:rsidR="00B72817">
        <w:rPr>
          <w:rFonts w:ascii="Book Antiqua" w:eastAsia="Book Antiqua" w:hAnsi="Book Antiqua" w:cs="Book Antiqua"/>
          <w:color w:val="000000"/>
          <w:szCs w:val="21"/>
        </w:rPr>
        <w:t>; WBC: W</w:t>
      </w:r>
      <w:r w:rsidR="00B72817" w:rsidRPr="00B72817">
        <w:rPr>
          <w:rFonts w:ascii="Book Antiqua" w:eastAsia="Book Antiqua" w:hAnsi="Book Antiqua" w:cs="Book Antiqua"/>
          <w:color w:val="000000"/>
          <w:szCs w:val="21"/>
        </w:rPr>
        <w:t>hite blood cell</w:t>
      </w:r>
      <w:r w:rsidR="00B72817">
        <w:rPr>
          <w:rFonts w:ascii="Book Antiqua" w:eastAsia="Book Antiqua" w:hAnsi="Book Antiqua" w:cs="Book Antiqua"/>
          <w:color w:val="000000"/>
          <w:szCs w:val="21"/>
        </w:rPr>
        <w:t>; PLT: P</w:t>
      </w:r>
      <w:r w:rsidR="00B72817" w:rsidRPr="00B72817">
        <w:rPr>
          <w:rFonts w:ascii="Book Antiqua" w:eastAsia="Book Antiqua" w:hAnsi="Book Antiqua" w:cs="Book Antiqua"/>
          <w:color w:val="000000"/>
          <w:szCs w:val="21"/>
        </w:rPr>
        <w:t>latelet</w:t>
      </w:r>
      <w:r w:rsidR="00B72817">
        <w:rPr>
          <w:rFonts w:ascii="Book Antiqua" w:eastAsia="Book Antiqua" w:hAnsi="Book Antiqua" w:cs="Book Antiqua"/>
          <w:color w:val="000000"/>
          <w:szCs w:val="21"/>
        </w:rPr>
        <w:t xml:space="preserve">; CAG: </w:t>
      </w:r>
      <w:r w:rsidR="00B72817">
        <w:rPr>
          <w:rFonts w:ascii="Book Antiqua" w:eastAsia="Book Antiqua" w:hAnsi="Book Antiqua" w:cs="Book Antiqua"/>
          <w:color w:val="000000"/>
        </w:rPr>
        <w:t>Coronary angiogram.</w:t>
      </w:r>
    </w:p>
    <w:sectPr w:rsidR="00A77B3E" w:rsidRPr="00B728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8E662" w14:textId="77777777" w:rsidR="000B13CA" w:rsidRDefault="000B13CA" w:rsidP="00C95EDA">
      <w:r>
        <w:separator/>
      </w:r>
    </w:p>
  </w:endnote>
  <w:endnote w:type="continuationSeparator" w:id="0">
    <w:p w14:paraId="7231C5AE" w14:textId="77777777" w:rsidR="000B13CA" w:rsidRDefault="000B13CA" w:rsidP="00C95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510569"/>
      <w:docPartObj>
        <w:docPartGallery w:val="Page Numbers (Bottom of Page)"/>
        <w:docPartUnique/>
      </w:docPartObj>
    </w:sdtPr>
    <w:sdtEndPr/>
    <w:sdtContent>
      <w:sdt>
        <w:sdtPr>
          <w:id w:val="-1705238520"/>
          <w:docPartObj>
            <w:docPartGallery w:val="Page Numbers (Top of Page)"/>
            <w:docPartUnique/>
          </w:docPartObj>
        </w:sdtPr>
        <w:sdtEndPr/>
        <w:sdtContent>
          <w:p w14:paraId="264E5F17" w14:textId="2687214D" w:rsidR="00390571" w:rsidRDefault="00390571" w:rsidP="00390571">
            <w:pPr>
              <w:pStyle w:val="a5"/>
              <w:jc w:val="right"/>
            </w:pPr>
            <w:r w:rsidRPr="00390571">
              <w:rPr>
                <w:rFonts w:ascii="Book Antiqua" w:hAnsi="Book Antiqua"/>
                <w:sz w:val="24"/>
                <w:szCs w:val="24"/>
                <w:lang w:val="zh-CN" w:eastAsia="zh-CN"/>
              </w:rPr>
              <w:t xml:space="preserve"> </w:t>
            </w:r>
            <w:r w:rsidRPr="00390571">
              <w:rPr>
                <w:rFonts w:ascii="Book Antiqua" w:hAnsi="Book Antiqua"/>
                <w:sz w:val="24"/>
                <w:szCs w:val="24"/>
              </w:rPr>
              <w:fldChar w:fldCharType="begin"/>
            </w:r>
            <w:r w:rsidRPr="00390571">
              <w:rPr>
                <w:rFonts w:ascii="Book Antiqua" w:hAnsi="Book Antiqua"/>
                <w:sz w:val="24"/>
                <w:szCs w:val="24"/>
              </w:rPr>
              <w:instrText>PAGE</w:instrText>
            </w:r>
            <w:r w:rsidRPr="00390571">
              <w:rPr>
                <w:rFonts w:ascii="Book Antiqua" w:hAnsi="Book Antiqua"/>
                <w:sz w:val="24"/>
                <w:szCs w:val="24"/>
              </w:rPr>
              <w:fldChar w:fldCharType="separate"/>
            </w:r>
            <w:r w:rsidR="0015696D">
              <w:rPr>
                <w:rFonts w:ascii="Book Antiqua" w:hAnsi="Book Antiqua"/>
                <w:noProof/>
                <w:sz w:val="24"/>
                <w:szCs w:val="24"/>
              </w:rPr>
              <w:t>1</w:t>
            </w:r>
            <w:r w:rsidRPr="00390571">
              <w:rPr>
                <w:rFonts w:ascii="Book Antiqua" w:hAnsi="Book Antiqua"/>
                <w:sz w:val="24"/>
                <w:szCs w:val="24"/>
              </w:rPr>
              <w:fldChar w:fldCharType="end"/>
            </w:r>
            <w:r w:rsidRPr="00390571">
              <w:rPr>
                <w:rFonts w:ascii="Book Antiqua" w:hAnsi="Book Antiqua"/>
                <w:sz w:val="24"/>
                <w:szCs w:val="24"/>
                <w:lang w:val="zh-CN" w:eastAsia="zh-CN"/>
              </w:rPr>
              <w:t xml:space="preserve"> / </w:t>
            </w:r>
            <w:r w:rsidRPr="00390571">
              <w:rPr>
                <w:rFonts w:ascii="Book Antiqua" w:hAnsi="Book Antiqua"/>
                <w:sz w:val="24"/>
                <w:szCs w:val="24"/>
              </w:rPr>
              <w:fldChar w:fldCharType="begin"/>
            </w:r>
            <w:r w:rsidRPr="00390571">
              <w:rPr>
                <w:rFonts w:ascii="Book Antiqua" w:hAnsi="Book Antiqua"/>
                <w:sz w:val="24"/>
                <w:szCs w:val="24"/>
              </w:rPr>
              <w:instrText>NUMPAGES</w:instrText>
            </w:r>
            <w:r w:rsidRPr="00390571">
              <w:rPr>
                <w:rFonts w:ascii="Book Antiqua" w:hAnsi="Book Antiqua"/>
                <w:sz w:val="24"/>
                <w:szCs w:val="24"/>
              </w:rPr>
              <w:fldChar w:fldCharType="separate"/>
            </w:r>
            <w:r w:rsidR="0015696D">
              <w:rPr>
                <w:rFonts w:ascii="Book Antiqua" w:hAnsi="Book Antiqua"/>
                <w:noProof/>
                <w:sz w:val="24"/>
                <w:szCs w:val="24"/>
              </w:rPr>
              <w:t>20</w:t>
            </w:r>
            <w:r w:rsidRPr="00390571">
              <w:rPr>
                <w:rFonts w:ascii="Book Antiqua" w:hAnsi="Book Antiqua"/>
                <w:sz w:val="24"/>
                <w:szCs w:val="24"/>
              </w:rPr>
              <w:fldChar w:fldCharType="end"/>
            </w:r>
          </w:p>
        </w:sdtContent>
      </w:sdt>
    </w:sdtContent>
  </w:sdt>
  <w:p w14:paraId="2270F16E" w14:textId="77777777" w:rsidR="00390571" w:rsidRDefault="0039057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929B0" w14:textId="77777777" w:rsidR="000B13CA" w:rsidRDefault="000B13CA" w:rsidP="00C95EDA">
      <w:r>
        <w:separator/>
      </w:r>
    </w:p>
  </w:footnote>
  <w:footnote w:type="continuationSeparator" w:id="0">
    <w:p w14:paraId="659B4078" w14:textId="77777777" w:rsidR="000B13CA" w:rsidRDefault="000B13CA" w:rsidP="00C95E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A81"/>
    <w:rsid w:val="000151EE"/>
    <w:rsid w:val="00056DE7"/>
    <w:rsid w:val="000B13CA"/>
    <w:rsid w:val="00153C19"/>
    <w:rsid w:val="0015696D"/>
    <w:rsid w:val="001B553E"/>
    <w:rsid w:val="002E1EA7"/>
    <w:rsid w:val="002E77D3"/>
    <w:rsid w:val="00390571"/>
    <w:rsid w:val="003B082E"/>
    <w:rsid w:val="004925F4"/>
    <w:rsid w:val="005031FF"/>
    <w:rsid w:val="0060356C"/>
    <w:rsid w:val="00603A10"/>
    <w:rsid w:val="006313D1"/>
    <w:rsid w:val="00636E56"/>
    <w:rsid w:val="006936BD"/>
    <w:rsid w:val="0079777B"/>
    <w:rsid w:val="007B488D"/>
    <w:rsid w:val="00804C66"/>
    <w:rsid w:val="00827DB3"/>
    <w:rsid w:val="008421BB"/>
    <w:rsid w:val="0087478C"/>
    <w:rsid w:val="008C5076"/>
    <w:rsid w:val="00927DCB"/>
    <w:rsid w:val="009E6C46"/>
    <w:rsid w:val="00A65C9D"/>
    <w:rsid w:val="00A77B3E"/>
    <w:rsid w:val="00AB4FAA"/>
    <w:rsid w:val="00AE3D0F"/>
    <w:rsid w:val="00B24B9F"/>
    <w:rsid w:val="00B72817"/>
    <w:rsid w:val="00B95858"/>
    <w:rsid w:val="00C70E94"/>
    <w:rsid w:val="00C86669"/>
    <w:rsid w:val="00C95EDA"/>
    <w:rsid w:val="00CA2197"/>
    <w:rsid w:val="00CA2A55"/>
    <w:rsid w:val="00CF6608"/>
    <w:rsid w:val="00D1755A"/>
    <w:rsid w:val="00D61C90"/>
    <w:rsid w:val="00DE78A5"/>
    <w:rsid w:val="00E02CDC"/>
    <w:rsid w:val="00EE5A40"/>
    <w:rsid w:val="00EF2EC0"/>
    <w:rsid w:val="00FA4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44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27DCB"/>
    <w:rPr>
      <w:sz w:val="18"/>
      <w:szCs w:val="18"/>
    </w:rPr>
  </w:style>
  <w:style w:type="character" w:customStyle="1" w:styleId="Char">
    <w:name w:val="批注框文本 Char"/>
    <w:basedOn w:val="a0"/>
    <w:link w:val="a3"/>
    <w:rsid w:val="00927DCB"/>
    <w:rPr>
      <w:sz w:val="18"/>
      <w:szCs w:val="18"/>
    </w:rPr>
  </w:style>
  <w:style w:type="paragraph" w:styleId="a4">
    <w:name w:val="header"/>
    <w:basedOn w:val="a"/>
    <w:link w:val="Char0"/>
    <w:unhideWhenUsed/>
    <w:rsid w:val="00C95ED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95EDA"/>
    <w:rPr>
      <w:sz w:val="18"/>
      <w:szCs w:val="18"/>
    </w:rPr>
  </w:style>
  <w:style w:type="paragraph" w:styleId="a5">
    <w:name w:val="footer"/>
    <w:basedOn w:val="a"/>
    <w:link w:val="Char1"/>
    <w:uiPriority w:val="99"/>
    <w:unhideWhenUsed/>
    <w:rsid w:val="00C95EDA"/>
    <w:pPr>
      <w:tabs>
        <w:tab w:val="center" w:pos="4153"/>
        <w:tab w:val="right" w:pos="8306"/>
      </w:tabs>
      <w:snapToGrid w:val="0"/>
    </w:pPr>
    <w:rPr>
      <w:sz w:val="18"/>
      <w:szCs w:val="18"/>
    </w:rPr>
  </w:style>
  <w:style w:type="character" w:customStyle="1" w:styleId="Char1">
    <w:name w:val="页脚 Char"/>
    <w:basedOn w:val="a0"/>
    <w:link w:val="a5"/>
    <w:uiPriority w:val="99"/>
    <w:rsid w:val="00C95EDA"/>
    <w:rPr>
      <w:sz w:val="18"/>
      <w:szCs w:val="18"/>
    </w:rPr>
  </w:style>
  <w:style w:type="character" w:styleId="a6">
    <w:name w:val="annotation reference"/>
    <w:basedOn w:val="a0"/>
    <w:semiHidden/>
    <w:unhideWhenUsed/>
    <w:rsid w:val="00C95EDA"/>
    <w:rPr>
      <w:sz w:val="21"/>
      <w:szCs w:val="21"/>
    </w:rPr>
  </w:style>
  <w:style w:type="paragraph" w:styleId="a7">
    <w:name w:val="annotation text"/>
    <w:basedOn w:val="a"/>
    <w:link w:val="Char2"/>
    <w:semiHidden/>
    <w:unhideWhenUsed/>
    <w:rsid w:val="00C95EDA"/>
  </w:style>
  <w:style w:type="character" w:customStyle="1" w:styleId="Char2">
    <w:name w:val="批注文字 Char"/>
    <w:basedOn w:val="a0"/>
    <w:link w:val="a7"/>
    <w:semiHidden/>
    <w:rsid w:val="00C95EDA"/>
    <w:rPr>
      <w:sz w:val="24"/>
      <w:szCs w:val="24"/>
    </w:rPr>
  </w:style>
  <w:style w:type="paragraph" w:styleId="a8">
    <w:name w:val="annotation subject"/>
    <w:basedOn w:val="a7"/>
    <w:next w:val="a7"/>
    <w:link w:val="Char3"/>
    <w:semiHidden/>
    <w:unhideWhenUsed/>
    <w:rsid w:val="00C95EDA"/>
    <w:rPr>
      <w:b/>
      <w:bCs/>
    </w:rPr>
  </w:style>
  <w:style w:type="character" w:customStyle="1" w:styleId="Char3">
    <w:name w:val="批注主题 Char"/>
    <w:basedOn w:val="Char2"/>
    <w:link w:val="a8"/>
    <w:semiHidden/>
    <w:rsid w:val="00C95EDA"/>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27DCB"/>
    <w:rPr>
      <w:sz w:val="18"/>
      <w:szCs w:val="18"/>
    </w:rPr>
  </w:style>
  <w:style w:type="character" w:customStyle="1" w:styleId="Char">
    <w:name w:val="批注框文本 Char"/>
    <w:basedOn w:val="a0"/>
    <w:link w:val="a3"/>
    <w:rsid w:val="00927DCB"/>
    <w:rPr>
      <w:sz w:val="18"/>
      <w:szCs w:val="18"/>
    </w:rPr>
  </w:style>
  <w:style w:type="paragraph" w:styleId="a4">
    <w:name w:val="header"/>
    <w:basedOn w:val="a"/>
    <w:link w:val="Char0"/>
    <w:unhideWhenUsed/>
    <w:rsid w:val="00C95ED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95EDA"/>
    <w:rPr>
      <w:sz w:val="18"/>
      <w:szCs w:val="18"/>
    </w:rPr>
  </w:style>
  <w:style w:type="paragraph" w:styleId="a5">
    <w:name w:val="footer"/>
    <w:basedOn w:val="a"/>
    <w:link w:val="Char1"/>
    <w:uiPriority w:val="99"/>
    <w:unhideWhenUsed/>
    <w:rsid w:val="00C95EDA"/>
    <w:pPr>
      <w:tabs>
        <w:tab w:val="center" w:pos="4153"/>
        <w:tab w:val="right" w:pos="8306"/>
      </w:tabs>
      <w:snapToGrid w:val="0"/>
    </w:pPr>
    <w:rPr>
      <w:sz w:val="18"/>
      <w:szCs w:val="18"/>
    </w:rPr>
  </w:style>
  <w:style w:type="character" w:customStyle="1" w:styleId="Char1">
    <w:name w:val="页脚 Char"/>
    <w:basedOn w:val="a0"/>
    <w:link w:val="a5"/>
    <w:uiPriority w:val="99"/>
    <w:rsid w:val="00C95EDA"/>
    <w:rPr>
      <w:sz w:val="18"/>
      <w:szCs w:val="18"/>
    </w:rPr>
  </w:style>
  <w:style w:type="character" w:styleId="a6">
    <w:name w:val="annotation reference"/>
    <w:basedOn w:val="a0"/>
    <w:semiHidden/>
    <w:unhideWhenUsed/>
    <w:rsid w:val="00C95EDA"/>
    <w:rPr>
      <w:sz w:val="21"/>
      <w:szCs w:val="21"/>
    </w:rPr>
  </w:style>
  <w:style w:type="paragraph" w:styleId="a7">
    <w:name w:val="annotation text"/>
    <w:basedOn w:val="a"/>
    <w:link w:val="Char2"/>
    <w:semiHidden/>
    <w:unhideWhenUsed/>
    <w:rsid w:val="00C95EDA"/>
  </w:style>
  <w:style w:type="character" w:customStyle="1" w:styleId="Char2">
    <w:name w:val="批注文字 Char"/>
    <w:basedOn w:val="a0"/>
    <w:link w:val="a7"/>
    <w:semiHidden/>
    <w:rsid w:val="00C95EDA"/>
    <w:rPr>
      <w:sz w:val="24"/>
      <w:szCs w:val="24"/>
    </w:rPr>
  </w:style>
  <w:style w:type="paragraph" w:styleId="a8">
    <w:name w:val="annotation subject"/>
    <w:basedOn w:val="a7"/>
    <w:next w:val="a7"/>
    <w:link w:val="Char3"/>
    <w:semiHidden/>
    <w:unhideWhenUsed/>
    <w:rsid w:val="00C95EDA"/>
    <w:rPr>
      <w:b/>
      <w:bCs/>
    </w:rPr>
  </w:style>
  <w:style w:type="character" w:customStyle="1" w:styleId="Char3">
    <w:name w:val="批注主题 Char"/>
    <w:basedOn w:val="Char2"/>
    <w:link w:val="a8"/>
    <w:semiHidden/>
    <w:rsid w:val="00C95ED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3522</Words>
  <Characters>20078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12</cp:revision>
  <dcterms:created xsi:type="dcterms:W3CDTF">2020-11-26T03:21:00Z</dcterms:created>
  <dcterms:modified xsi:type="dcterms:W3CDTF">2020-12-17T08:31:00Z</dcterms:modified>
</cp:coreProperties>
</file>