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79E9D" w14:textId="1685A5A6" w:rsidR="00F8766E" w:rsidRPr="0057248A" w:rsidRDefault="00F8766E" w:rsidP="00685FD1">
      <w:pPr>
        <w:spacing w:line="360" w:lineRule="auto"/>
        <w:jc w:val="both"/>
        <w:rPr>
          <w:rFonts w:ascii="Book Antiqua" w:hAnsi="Book Antiqua"/>
          <w:i/>
          <w:lang w:val="en-US"/>
        </w:rPr>
      </w:pPr>
      <w:r w:rsidRPr="0057248A">
        <w:rPr>
          <w:rFonts w:ascii="Book Antiqua" w:hAnsi="Book Antiqua"/>
          <w:b/>
          <w:lang w:val="en-US"/>
        </w:rPr>
        <w:t>Name of Journal:</w:t>
      </w:r>
      <w:r w:rsidRPr="0057248A">
        <w:rPr>
          <w:rFonts w:ascii="Book Antiqua" w:hAnsi="Book Antiqua"/>
          <w:lang w:val="en-US"/>
        </w:rPr>
        <w:t xml:space="preserve"> </w:t>
      </w:r>
      <w:r w:rsidRPr="0057248A">
        <w:rPr>
          <w:rFonts w:ascii="Book Antiqua" w:hAnsi="Book Antiqua"/>
          <w:i/>
          <w:lang w:val="en-US"/>
        </w:rPr>
        <w:t>World Journal of Clinical Oncology</w:t>
      </w:r>
    </w:p>
    <w:p w14:paraId="25774F39" w14:textId="61349D66" w:rsidR="00F8766E" w:rsidRPr="0057248A" w:rsidRDefault="00F8766E" w:rsidP="00685FD1">
      <w:pPr>
        <w:spacing w:line="360" w:lineRule="auto"/>
        <w:jc w:val="both"/>
        <w:rPr>
          <w:rFonts w:ascii="Book Antiqua" w:hAnsi="Book Antiqua"/>
          <w:lang w:val="en-US"/>
        </w:rPr>
      </w:pPr>
      <w:r w:rsidRPr="0057248A">
        <w:rPr>
          <w:rFonts w:ascii="Book Antiqua" w:hAnsi="Book Antiqua"/>
          <w:b/>
          <w:lang w:val="en-US"/>
        </w:rPr>
        <w:t>Manuscript NO:</w:t>
      </w:r>
      <w:r w:rsidRPr="0057248A">
        <w:rPr>
          <w:rFonts w:ascii="Book Antiqua" w:hAnsi="Book Antiqua"/>
          <w:lang w:val="en-US"/>
        </w:rPr>
        <w:t xml:space="preserve"> 45554</w:t>
      </w:r>
    </w:p>
    <w:p w14:paraId="17CBFFDE" w14:textId="0D30D566" w:rsidR="00F8766E" w:rsidRPr="0057248A" w:rsidRDefault="00F8766E" w:rsidP="00685FD1">
      <w:pPr>
        <w:spacing w:line="360" w:lineRule="auto"/>
        <w:jc w:val="both"/>
        <w:rPr>
          <w:rFonts w:ascii="Book Antiqua" w:hAnsi="Book Antiqua"/>
          <w:b/>
          <w:lang w:val="en-GB"/>
        </w:rPr>
      </w:pPr>
      <w:r w:rsidRPr="0057248A">
        <w:rPr>
          <w:rFonts w:ascii="Book Antiqua" w:hAnsi="Book Antiqua"/>
          <w:b/>
          <w:lang w:val="en-US"/>
        </w:rPr>
        <w:t>Manuscript Type:</w:t>
      </w:r>
      <w:r w:rsidRPr="0057248A">
        <w:rPr>
          <w:rFonts w:ascii="Book Antiqua" w:hAnsi="Book Antiqua"/>
          <w:lang w:val="en-US"/>
        </w:rPr>
        <w:t xml:space="preserve"> CASE REPORT</w:t>
      </w:r>
    </w:p>
    <w:p w14:paraId="594DA8EF" w14:textId="77777777" w:rsidR="00F8766E" w:rsidRPr="0057248A" w:rsidRDefault="00F8766E" w:rsidP="00685FD1">
      <w:pPr>
        <w:spacing w:line="360" w:lineRule="auto"/>
        <w:jc w:val="both"/>
        <w:rPr>
          <w:rFonts w:ascii="Book Antiqua" w:hAnsi="Book Antiqua"/>
          <w:b/>
          <w:lang w:val="en-GB"/>
        </w:rPr>
      </w:pPr>
    </w:p>
    <w:p w14:paraId="197F2299" w14:textId="7B796913" w:rsidR="006048D3" w:rsidRPr="0057248A" w:rsidRDefault="006048D3" w:rsidP="00685FD1">
      <w:pPr>
        <w:spacing w:line="360" w:lineRule="auto"/>
        <w:jc w:val="both"/>
        <w:rPr>
          <w:rFonts w:ascii="Book Antiqua" w:hAnsi="Book Antiqua"/>
          <w:lang w:val="en-GB"/>
        </w:rPr>
      </w:pPr>
      <w:bookmarkStart w:id="0" w:name="OLE_LINK10"/>
      <w:r w:rsidRPr="0057248A">
        <w:rPr>
          <w:rFonts w:ascii="Book Antiqua" w:hAnsi="Book Antiqua"/>
          <w:b/>
          <w:lang w:val="en-GB"/>
        </w:rPr>
        <w:t>Pseudo</w:t>
      </w:r>
      <w:r w:rsidR="004E6499" w:rsidRPr="0057248A">
        <w:rPr>
          <w:rFonts w:ascii="Book Antiqua" w:hAnsi="Book Antiqua"/>
          <w:b/>
          <w:lang w:val="en-GB"/>
        </w:rPr>
        <w:t>- or</w:t>
      </w:r>
      <w:r w:rsidRPr="0057248A">
        <w:rPr>
          <w:rFonts w:ascii="Book Antiqua" w:hAnsi="Book Antiqua"/>
          <w:b/>
          <w:lang w:val="en-GB"/>
        </w:rPr>
        <w:t xml:space="preserve"> real progression</w:t>
      </w:r>
      <w:r w:rsidR="004E6499" w:rsidRPr="0057248A">
        <w:rPr>
          <w:rFonts w:ascii="Book Antiqua" w:hAnsi="Book Antiqua"/>
          <w:b/>
          <w:lang w:val="en-GB"/>
        </w:rPr>
        <w:t>?</w:t>
      </w:r>
      <w:r w:rsidR="00E86A1F" w:rsidRPr="0057248A">
        <w:rPr>
          <w:rFonts w:ascii="Book Antiqua" w:hAnsi="Book Antiqua"/>
          <w:b/>
          <w:lang w:val="en-GB"/>
        </w:rPr>
        <w:t xml:space="preserve"> </w:t>
      </w:r>
      <w:r w:rsidR="00AD582B" w:rsidRPr="0057248A">
        <w:rPr>
          <w:rFonts w:ascii="Book Antiqua" w:hAnsi="Book Antiqua"/>
          <w:b/>
          <w:lang w:val="en-GB"/>
        </w:rPr>
        <w:t xml:space="preserve">An </w:t>
      </w:r>
      <w:r w:rsidRPr="0057248A">
        <w:rPr>
          <w:rFonts w:ascii="Book Antiqua" w:hAnsi="Book Antiqua"/>
          <w:b/>
          <w:lang w:val="en-GB"/>
        </w:rPr>
        <w:t>ovarian cancer</w:t>
      </w:r>
      <w:r w:rsidR="00E86A1F" w:rsidRPr="0057248A">
        <w:rPr>
          <w:rFonts w:ascii="Book Antiqua" w:hAnsi="Book Antiqua"/>
          <w:b/>
          <w:lang w:val="en-GB"/>
        </w:rPr>
        <w:t xml:space="preserve"> patient under nivolumab</w:t>
      </w:r>
      <w:r w:rsidR="00AD582B" w:rsidRPr="0057248A">
        <w:rPr>
          <w:rFonts w:ascii="Book Antiqua" w:hAnsi="Book Antiqua"/>
          <w:b/>
          <w:lang w:val="en-GB"/>
        </w:rPr>
        <w:t>: A case report</w:t>
      </w:r>
    </w:p>
    <w:bookmarkEnd w:id="0"/>
    <w:p w14:paraId="34AAD8E4" w14:textId="77777777" w:rsidR="008868BE" w:rsidRPr="0057248A" w:rsidRDefault="008868BE" w:rsidP="00685FD1">
      <w:pPr>
        <w:spacing w:line="360" w:lineRule="auto"/>
        <w:jc w:val="both"/>
        <w:rPr>
          <w:rFonts w:ascii="Book Antiqua" w:hAnsi="Book Antiqua"/>
          <w:b/>
          <w:lang w:val="en-GB"/>
        </w:rPr>
      </w:pPr>
    </w:p>
    <w:p w14:paraId="7F9C673F" w14:textId="4C96FC90" w:rsidR="00F8766E" w:rsidRPr="0057248A" w:rsidRDefault="00F8766E" w:rsidP="00685FD1">
      <w:pPr>
        <w:spacing w:line="360" w:lineRule="auto"/>
        <w:jc w:val="both"/>
        <w:rPr>
          <w:rFonts w:ascii="Book Antiqua" w:hAnsi="Book Antiqua"/>
          <w:lang w:val="en-GB"/>
        </w:rPr>
      </w:pPr>
      <w:proofErr w:type="spellStart"/>
      <w:r w:rsidRPr="0057248A">
        <w:rPr>
          <w:rFonts w:ascii="Book Antiqua" w:hAnsi="Book Antiqua"/>
          <w:lang w:val="en-US"/>
        </w:rPr>
        <w:t>Passler</w:t>
      </w:r>
      <w:proofErr w:type="spellEnd"/>
      <w:r w:rsidRPr="0057248A">
        <w:rPr>
          <w:rFonts w:ascii="Book Antiqua" w:hAnsi="Book Antiqua"/>
          <w:lang w:val="en-US"/>
        </w:rPr>
        <w:t xml:space="preserve"> M </w:t>
      </w:r>
      <w:r w:rsidRPr="0057248A">
        <w:rPr>
          <w:rFonts w:ascii="Book Antiqua" w:hAnsi="Book Antiqua"/>
          <w:i/>
          <w:lang w:val="en-US"/>
        </w:rPr>
        <w:t>et al</w:t>
      </w:r>
      <w:r w:rsidRPr="0057248A">
        <w:rPr>
          <w:rFonts w:ascii="Book Antiqua" w:hAnsi="Book Antiqua"/>
          <w:lang w:val="en-US"/>
        </w:rPr>
        <w:t xml:space="preserve">. </w:t>
      </w:r>
      <w:bookmarkStart w:id="1" w:name="OLE_LINK11"/>
      <w:r w:rsidR="00802E4E" w:rsidRPr="0057248A">
        <w:rPr>
          <w:rFonts w:ascii="Book Antiqua" w:hAnsi="Book Antiqua"/>
          <w:lang w:val="en-GB"/>
        </w:rPr>
        <w:t>Pseudo- and real progression under nivolumab in ovarian cancer</w:t>
      </w:r>
    </w:p>
    <w:bookmarkEnd w:id="1"/>
    <w:p w14:paraId="5763F6DB" w14:textId="77777777" w:rsidR="00A308E6" w:rsidRPr="0057248A" w:rsidRDefault="00A308E6" w:rsidP="00685FD1">
      <w:pPr>
        <w:spacing w:line="360" w:lineRule="auto"/>
        <w:jc w:val="both"/>
        <w:rPr>
          <w:rFonts w:ascii="Book Antiqua" w:hAnsi="Book Antiqua"/>
          <w:lang w:val="en-US"/>
        </w:rPr>
      </w:pPr>
    </w:p>
    <w:p w14:paraId="194F7421" w14:textId="4ED5832E" w:rsidR="008868BE" w:rsidRPr="0057248A" w:rsidRDefault="00B352B9" w:rsidP="00685FD1">
      <w:pPr>
        <w:spacing w:line="360" w:lineRule="auto"/>
        <w:jc w:val="both"/>
        <w:rPr>
          <w:rFonts w:ascii="Book Antiqua" w:hAnsi="Book Antiqua"/>
        </w:rPr>
      </w:pPr>
      <w:bookmarkStart w:id="2" w:name="_Hlk2107066"/>
      <w:r w:rsidRPr="0057248A">
        <w:rPr>
          <w:rFonts w:ascii="Book Antiqua" w:hAnsi="Book Antiqua"/>
        </w:rPr>
        <w:t>Mona Pass</w:t>
      </w:r>
      <w:r w:rsidR="0033406C" w:rsidRPr="0057248A">
        <w:rPr>
          <w:rFonts w:ascii="Book Antiqua" w:hAnsi="Book Antiqua"/>
        </w:rPr>
        <w:t>ler</w:t>
      </w:r>
      <w:r w:rsidR="008868BE" w:rsidRPr="0057248A">
        <w:rPr>
          <w:rFonts w:ascii="Book Antiqua" w:hAnsi="Book Antiqua"/>
        </w:rPr>
        <w:t xml:space="preserve">, </w:t>
      </w:r>
      <w:r w:rsidR="003F5FB3" w:rsidRPr="0057248A">
        <w:rPr>
          <w:rFonts w:ascii="Book Antiqua" w:hAnsi="Book Antiqua"/>
        </w:rPr>
        <w:t xml:space="preserve">Eliane </w:t>
      </w:r>
      <w:r w:rsidR="000C42FD" w:rsidRPr="0057248A">
        <w:rPr>
          <w:rFonts w:ascii="Book Antiqua" w:hAnsi="Book Antiqua"/>
        </w:rPr>
        <w:t xml:space="preserve">T </w:t>
      </w:r>
      <w:r w:rsidR="003F5FB3" w:rsidRPr="0057248A">
        <w:rPr>
          <w:rFonts w:ascii="Book Antiqua" w:hAnsi="Book Antiqua"/>
        </w:rPr>
        <w:t>Taube</w:t>
      </w:r>
      <w:r w:rsidR="00C76E10" w:rsidRPr="0057248A">
        <w:rPr>
          <w:rFonts w:ascii="Book Antiqua" w:hAnsi="Book Antiqua"/>
        </w:rPr>
        <w:t xml:space="preserve">, </w:t>
      </w:r>
      <w:r w:rsidR="006048D3" w:rsidRPr="0057248A">
        <w:rPr>
          <w:rFonts w:ascii="Book Antiqua" w:hAnsi="Book Antiqua"/>
        </w:rPr>
        <w:t>Jalid Sehouli</w:t>
      </w:r>
      <w:r w:rsidR="0033406C" w:rsidRPr="0057248A">
        <w:rPr>
          <w:rFonts w:ascii="Book Antiqua" w:hAnsi="Book Antiqua"/>
        </w:rPr>
        <w:t>, Klaus Pietzner</w:t>
      </w:r>
      <w:bookmarkEnd w:id="2"/>
    </w:p>
    <w:p w14:paraId="73422BCB" w14:textId="77777777" w:rsidR="00A308E6" w:rsidRPr="0057248A" w:rsidRDefault="00A308E6" w:rsidP="00685FD1">
      <w:pPr>
        <w:spacing w:line="360" w:lineRule="auto"/>
        <w:jc w:val="both"/>
        <w:rPr>
          <w:rFonts w:ascii="Book Antiqua" w:hAnsi="Book Antiqua"/>
        </w:rPr>
      </w:pPr>
    </w:p>
    <w:p w14:paraId="63FF4A21" w14:textId="7BC1097E" w:rsidR="008868BE" w:rsidRPr="0057248A" w:rsidRDefault="00802E4E" w:rsidP="00685FD1">
      <w:pPr>
        <w:spacing w:line="360" w:lineRule="auto"/>
        <w:jc w:val="both"/>
        <w:rPr>
          <w:rFonts w:ascii="Book Antiqua" w:hAnsi="Book Antiqua" w:cs="Arial"/>
          <w:color w:val="000000"/>
          <w:lang w:val="en"/>
        </w:rPr>
      </w:pPr>
      <w:r w:rsidRPr="0057248A">
        <w:rPr>
          <w:rFonts w:ascii="Book Antiqua" w:hAnsi="Book Antiqua"/>
          <w:b/>
          <w:lang w:val="en-US"/>
        </w:rPr>
        <w:t xml:space="preserve">Mona </w:t>
      </w:r>
      <w:proofErr w:type="spellStart"/>
      <w:r w:rsidRPr="0057248A">
        <w:rPr>
          <w:rFonts w:ascii="Book Antiqua" w:hAnsi="Book Antiqua"/>
          <w:b/>
          <w:lang w:val="en-US"/>
        </w:rPr>
        <w:t>Passler</w:t>
      </w:r>
      <w:proofErr w:type="spellEnd"/>
      <w:r w:rsidRPr="0057248A">
        <w:rPr>
          <w:rFonts w:ascii="Book Antiqua" w:hAnsi="Book Antiqua"/>
          <w:b/>
          <w:lang w:val="en-US"/>
        </w:rPr>
        <w:t xml:space="preserve">, </w:t>
      </w:r>
      <w:proofErr w:type="spellStart"/>
      <w:r w:rsidRPr="0057248A">
        <w:rPr>
          <w:rFonts w:ascii="Book Antiqua" w:hAnsi="Book Antiqua"/>
          <w:b/>
          <w:lang w:val="en-US"/>
        </w:rPr>
        <w:t>Jalid</w:t>
      </w:r>
      <w:proofErr w:type="spellEnd"/>
      <w:r w:rsidRPr="0057248A">
        <w:rPr>
          <w:rFonts w:ascii="Book Antiqua" w:hAnsi="Book Antiqua"/>
          <w:b/>
          <w:lang w:val="en-US"/>
        </w:rPr>
        <w:t xml:space="preserve"> </w:t>
      </w:r>
      <w:proofErr w:type="spellStart"/>
      <w:r w:rsidRPr="0057248A">
        <w:rPr>
          <w:rFonts w:ascii="Book Antiqua" w:hAnsi="Book Antiqua"/>
          <w:b/>
          <w:lang w:val="en-US"/>
        </w:rPr>
        <w:t>Sehouli</w:t>
      </w:r>
      <w:proofErr w:type="spellEnd"/>
      <w:r w:rsidRPr="0057248A">
        <w:rPr>
          <w:rFonts w:ascii="Book Antiqua" w:hAnsi="Book Antiqua"/>
          <w:b/>
          <w:lang w:val="en-US"/>
        </w:rPr>
        <w:t xml:space="preserve">, Klaus </w:t>
      </w:r>
      <w:proofErr w:type="spellStart"/>
      <w:r w:rsidRPr="0057248A">
        <w:rPr>
          <w:rFonts w:ascii="Book Antiqua" w:hAnsi="Book Antiqua"/>
          <w:b/>
          <w:lang w:val="en-US"/>
        </w:rPr>
        <w:t>Pietzner</w:t>
      </w:r>
      <w:proofErr w:type="spellEnd"/>
      <w:r w:rsidRPr="0057248A">
        <w:rPr>
          <w:rFonts w:ascii="Book Antiqua" w:hAnsi="Book Antiqua"/>
          <w:lang w:val="en-US"/>
        </w:rPr>
        <w:t xml:space="preserve">, </w:t>
      </w:r>
      <w:bookmarkStart w:id="3" w:name="_Hlk2108539"/>
      <w:r w:rsidR="006048D3" w:rsidRPr="0057248A">
        <w:rPr>
          <w:rFonts w:ascii="Book Antiqua" w:hAnsi="Book Antiqua" w:cs="Arial"/>
          <w:color w:val="000000"/>
          <w:lang w:val="en"/>
        </w:rPr>
        <w:t xml:space="preserve">Department of Gynecology, </w:t>
      </w:r>
      <w:bookmarkStart w:id="4" w:name="OLE_LINK12"/>
      <w:bookmarkStart w:id="5" w:name="OLE_LINK13"/>
      <w:r w:rsidR="006048D3" w:rsidRPr="0057248A">
        <w:rPr>
          <w:rFonts w:ascii="Book Antiqua" w:hAnsi="Book Antiqua" w:cs="Arial"/>
          <w:color w:val="000000"/>
          <w:lang w:val="en"/>
        </w:rPr>
        <w:t>Competence Center for Ovarian Cancer (EKZE)</w:t>
      </w:r>
      <w:bookmarkEnd w:id="4"/>
      <w:bookmarkEnd w:id="5"/>
      <w:r w:rsidR="006048D3" w:rsidRPr="0057248A">
        <w:rPr>
          <w:rFonts w:ascii="Book Antiqua" w:hAnsi="Book Antiqua" w:cs="Arial"/>
          <w:color w:val="000000"/>
          <w:lang w:val="en"/>
        </w:rPr>
        <w:t xml:space="preserve">, </w:t>
      </w:r>
      <w:bookmarkStart w:id="6" w:name="OLE_LINK14"/>
      <w:bookmarkStart w:id="7" w:name="OLE_LINK15"/>
      <w:proofErr w:type="spellStart"/>
      <w:r w:rsidR="006048D3" w:rsidRPr="0057248A">
        <w:rPr>
          <w:rFonts w:ascii="Book Antiqua" w:hAnsi="Book Antiqua" w:cs="Arial"/>
          <w:color w:val="000000"/>
          <w:lang w:val="en"/>
        </w:rPr>
        <w:t>Charit</w:t>
      </w:r>
      <w:r w:rsidRPr="0057248A">
        <w:rPr>
          <w:rFonts w:ascii="Book Antiqua" w:hAnsi="Book Antiqua" w:cs="Arial"/>
          <w:color w:val="000000"/>
          <w:lang w:val="en"/>
        </w:rPr>
        <w:t>é</w:t>
      </w:r>
      <w:proofErr w:type="spellEnd"/>
      <w:r w:rsidRPr="0057248A">
        <w:rPr>
          <w:rFonts w:ascii="Book Antiqua" w:hAnsi="Book Antiqua" w:cs="Arial"/>
          <w:color w:val="000000"/>
          <w:lang w:val="en"/>
        </w:rPr>
        <w:t xml:space="preserve"> </w:t>
      </w:r>
      <w:r w:rsidR="006048D3" w:rsidRPr="0057248A">
        <w:rPr>
          <w:rFonts w:ascii="Book Antiqua" w:hAnsi="Book Antiqua" w:cs="Arial"/>
          <w:color w:val="000000"/>
          <w:lang w:val="en"/>
        </w:rPr>
        <w:t>- University Medicine</w:t>
      </w:r>
      <w:bookmarkEnd w:id="6"/>
      <w:bookmarkEnd w:id="7"/>
      <w:r w:rsidRPr="0057248A">
        <w:rPr>
          <w:rFonts w:ascii="Book Antiqua" w:hAnsi="Book Antiqua" w:cs="Arial"/>
          <w:color w:val="000000"/>
          <w:lang w:val="en"/>
        </w:rPr>
        <w:t xml:space="preserve">, </w:t>
      </w:r>
      <w:r w:rsidR="006048D3" w:rsidRPr="0057248A">
        <w:rPr>
          <w:rStyle w:val="addr-line"/>
          <w:rFonts w:ascii="Book Antiqua" w:hAnsi="Book Antiqua" w:cs="Arial"/>
          <w:color w:val="000000"/>
          <w:lang w:val="en"/>
        </w:rPr>
        <w:t>Berlin</w:t>
      </w:r>
      <w:r w:rsidRPr="0057248A">
        <w:rPr>
          <w:rStyle w:val="addr-line"/>
          <w:rFonts w:ascii="Book Antiqua" w:hAnsi="Book Antiqua" w:cs="Arial"/>
          <w:color w:val="000000"/>
          <w:lang w:val="en"/>
        </w:rPr>
        <w:t xml:space="preserve"> 13353</w:t>
      </w:r>
      <w:r w:rsidR="006048D3" w:rsidRPr="0057248A">
        <w:rPr>
          <w:rFonts w:ascii="Book Antiqua" w:hAnsi="Book Antiqua" w:cs="Arial"/>
          <w:color w:val="000000"/>
          <w:lang w:val="en"/>
        </w:rPr>
        <w:t>, Germany</w:t>
      </w:r>
    </w:p>
    <w:p w14:paraId="37960FE6" w14:textId="77777777" w:rsidR="00AD582B" w:rsidRPr="0057248A" w:rsidRDefault="00AD582B" w:rsidP="00685FD1">
      <w:pPr>
        <w:spacing w:line="360" w:lineRule="auto"/>
        <w:jc w:val="both"/>
        <w:rPr>
          <w:rFonts w:ascii="Book Antiqua" w:hAnsi="Book Antiqua"/>
          <w:lang w:val="en-GB"/>
        </w:rPr>
      </w:pPr>
    </w:p>
    <w:bookmarkEnd w:id="3"/>
    <w:p w14:paraId="53CBCE45" w14:textId="23051F56" w:rsidR="008868BE" w:rsidRPr="0057248A" w:rsidRDefault="00802E4E" w:rsidP="00685FD1">
      <w:pPr>
        <w:spacing w:line="360" w:lineRule="auto"/>
        <w:jc w:val="both"/>
        <w:rPr>
          <w:rFonts w:ascii="Book Antiqua" w:hAnsi="Book Antiqua"/>
          <w:lang w:val="en-US"/>
        </w:rPr>
      </w:pPr>
      <w:proofErr w:type="spellStart"/>
      <w:r w:rsidRPr="0057248A">
        <w:rPr>
          <w:rFonts w:ascii="Book Antiqua" w:eastAsia="MS PGothic" w:hAnsi="Book Antiqua" w:cs="MS PGothic"/>
          <w:b/>
          <w:color w:val="000000" w:themeColor="text1"/>
          <w:lang w:val="en-US"/>
        </w:rPr>
        <w:t>Eliane</w:t>
      </w:r>
      <w:proofErr w:type="spellEnd"/>
      <w:r w:rsidRPr="0057248A">
        <w:rPr>
          <w:rFonts w:ascii="Book Antiqua" w:eastAsia="MS PGothic" w:hAnsi="Book Antiqua" w:cs="MS PGothic"/>
          <w:b/>
          <w:color w:val="000000" w:themeColor="text1"/>
          <w:lang w:val="en-US"/>
        </w:rPr>
        <w:t xml:space="preserve"> T Taube,</w:t>
      </w:r>
      <w:r w:rsidRPr="0057248A" w:rsidDel="00802E4E">
        <w:rPr>
          <w:rFonts w:ascii="Book Antiqua" w:eastAsia="MS PGothic" w:hAnsi="Book Antiqua" w:cs="MS PGothic"/>
          <w:color w:val="000000" w:themeColor="text1"/>
          <w:lang w:val="en-GB"/>
        </w:rPr>
        <w:t xml:space="preserve"> </w:t>
      </w:r>
      <w:r w:rsidR="006048D3" w:rsidRPr="0057248A">
        <w:rPr>
          <w:rFonts w:ascii="Book Antiqua" w:hAnsi="Book Antiqua" w:cs="Arial"/>
          <w:lang w:val="en-US"/>
        </w:rPr>
        <w:t xml:space="preserve">Institute of Pathology, </w:t>
      </w:r>
      <w:proofErr w:type="spellStart"/>
      <w:r w:rsidR="006048D3" w:rsidRPr="0057248A">
        <w:rPr>
          <w:rFonts w:ascii="Book Antiqua" w:hAnsi="Book Antiqua" w:cs="Arial"/>
          <w:lang w:val="en-US"/>
        </w:rPr>
        <w:t>Charit</w:t>
      </w:r>
      <w:r w:rsidRPr="0057248A">
        <w:rPr>
          <w:rFonts w:ascii="Book Antiqua" w:hAnsi="Book Antiqua" w:cs="Arial"/>
          <w:lang w:val="en-US"/>
        </w:rPr>
        <w:t>é</w:t>
      </w:r>
      <w:proofErr w:type="spellEnd"/>
      <w:r w:rsidR="006048D3" w:rsidRPr="0057248A">
        <w:rPr>
          <w:rFonts w:ascii="Book Antiqua" w:hAnsi="Book Antiqua" w:cs="Arial"/>
          <w:lang w:val="en-US"/>
        </w:rPr>
        <w:t xml:space="preserve"> University Hospital, Berlin</w:t>
      </w:r>
      <w:r w:rsidRPr="0057248A">
        <w:rPr>
          <w:rFonts w:ascii="Book Antiqua" w:hAnsi="Book Antiqua" w:cs="Arial"/>
          <w:lang w:val="en-US"/>
        </w:rPr>
        <w:t xml:space="preserve"> 10117</w:t>
      </w:r>
      <w:r w:rsidR="006048D3" w:rsidRPr="0057248A">
        <w:rPr>
          <w:rFonts w:ascii="Book Antiqua" w:hAnsi="Book Antiqua" w:cs="Arial"/>
          <w:lang w:val="en-US"/>
        </w:rPr>
        <w:t>, Germany</w:t>
      </w:r>
    </w:p>
    <w:p w14:paraId="453044D4" w14:textId="5DE595C8" w:rsidR="008868BE" w:rsidRPr="0057248A" w:rsidRDefault="008868BE" w:rsidP="00685FD1">
      <w:pPr>
        <w:spacing w:line="360" w:lineRule="auto"/>
        <w:jc w:val="both"/>
        <w:rPr>
          <w:rFonts w:ascii="Book Antiqua" w:hAnsi="Book Antiqua"/>
          <w:lang w:val="en-GB"/>
        </w:rPr>
      </w:pPr>
    </w:p>
    <w:p w14:paraId="4BAFF358" w14:textId="45BDBBF0" w:rsidR="00511803" w:rsidRPr="0057248A" w:rsidRDefault="00C97112" w:rsidP="00685FD1">
      <w:pPr>
        <w:spacing w:line="360" w:lineRule="auto"/>
        <w:jc w:val="both"/>
        <w:rPr>
          <w:rFonts w:ascii="Book Antiqua" w:hAnsi="Book Antiqua"/>
        </w:rPr>
      </w:pPr>
      <w:r w:rsidRPr="0057248A">
        <w:rPr>
          <w:rFonts w:ascii="Book Antiqua" w:hAnsi="Book Antiqua" w:cs="Times New Roman"/>
          <w:b/>
          <w:lang w:val="pt-BR"/>
        </w:rPr>
        <w:t>ORCID number:</w:t>
      </w:r>
      <w:r w:rsidR="00511803" w:rsidRPr="0057248A">
        <w:rPr>
          <w:rFonts w:ascii="Book Antiqua" w:hAnsi="Book Antiqua"/>
          <w:b/>
        </w:rPr>
        <w:t xml:space="preserve"> </w:t>
      </w:r>
      <w:r w:rsidR="00511803" w:rsidRPr="0057248A">
        <w:rPr>
          <w:rFonts w:ascii="Book Antiqua" w:hAnsi="Book Antiqua"/>
        </w:rPr>
        <w:t>Mona Passler (</w:t>
      </w:r>
      <w:r w:rsidR="009736A6">
        <w:fldChar w:fldCharType="begin"/>
      </w:r>
      <w:r w:rsidR="009736A6">
        <w:instrText xml:space="preserve"> HYPERLINK "http://orcid.org/https:/orcid.org/0000-0001-5674-201X" \t "_blank" </w:instrText>
      </w:r>
      <w:r w:rsidR="009736A6">
        <w:fldChar w:fldCharType="separate"/>
      </w:r>
      <w:r w:rsidR="00511803" w:rsidRPr="0057248A">
        <w:rPr>
          <w:rStyle w:val="a9"/>
          <w:rFonts w:ascii="Book Antiqua" w:hAnsi="Book Antiqua"/>
          <w:color w:val="auto"/>
          <w:u w:val="none"/>
        </w:rPr>
        <w:t>0000-0001-5674-201X</w:t>
      </w:r>
      <w:r w:rsidR="009736A6">
        <w:rPr>
          <w:rStyle w:val="a9"/>
          <w:rFonts w:ascii="Book Antiqua" w:hAnsi="Book Antiqua"/>
          <w:color w:val="auto"/>
          <w:u w:val="none"/>
        </w:rPr>
        <w:fldChar w:fldCharType="end"/>
      </w:r>
      <w:r w:rsidR="00511803" w:rsidRPr="0057248A">
        <w:rPr>
          <w:rFonts w:ascii="Book Antiqua" w:hAnsi="Book Antiqua"/>
        </w:rPr>
        <w:t>); Eliane T Taube (</w:t>
      </w:r>
      <w:r w:rsidR="009736A6">
        <w:fldChar w:fldCharType="begin"/>
      </w:r>
      <w:r w:rsidR="009736A6">
        <w:instrText xml:space="preserve"> HYPERLINK "http://orcid.org/https:/orcid.org/0000-0003-3041-694X" \t "_blank" </w:instrText>
      </w:r>
      <w:r w:rsidR="009736A6">
        <w:fldChar w:fldCharType="separate"/>
      </w:r>
      <w:r w:rsidR="00511803" w:rsidRPr="0057248A">
        <w:rPr>
          <w:rStyle w:val="a9"/>
          <w:rFonts w:ascii="Book Antiqua" w:hAnsi="Book Antiqua"/>
          <w:color w:val="auto"/>
          <w:u w:val="none"/>
        </w:rPr>
        <w:t>0000-0003-3041-694X</w:t>
      </w:r>
      <w:r w:rsidR="009736A6">
        <w:rPr>
          <w:rStyle w:val="a9"/>
          <w:rFonts w:ascii="Book Antiqua" w:hAnsi="Book Antiqua"/>
          <w:color w:val="auto"/>
          <w:u w:val="none"/>
        </w:rPr>
        <w:fldChar w:fldCharType="end"/>
      </w:r>
      <w:r w:rsidR="00511803" w:rsidRPr="0057248A">
        <w:rPr>
          <w:rFonts w:ascii="Book Antiqua" w:hAnsi="Book Antiqua"/>
        </w:rPr>
        <w:t>); Jalid Sehouli (</w:t>
      </w:r>
      <w:r w:rsidR="009736A6">
        <w:fldChar w:fldCharType="begin"/>
      </w:r>
      <w:r w:rsidR="009736A6">
        <w:instrText xml:space="preserve"> HYPERLINK "http:</w:instrText>
      </w:r>
      <w:r w:rsidR="009736A6">
        <w:instrText xml:space="preserve">//orcid.org/https:/orcid.org/0000-0002-5963-6623" \t "_blank" </w:instrText>
      </w:r>
      <w:r w:rsidR="009736A6">
        <w:fldChar w:fldCharType="separate"/>
      </w:r>
      <w:r w:rsidR="00511803" w:rsidRPr="0057248A">
        <w:rPr>
          <w:rStyle w:val="a9"/>
          <w:rFonts w:ascii="Book Antiqua" w:hAnsi="Book Antiqua"/>
          <w:color w:val="auto"/>
          <w:u w:val="none"/>
        </w:rPr>
        <w:t>0000-0002-5963-6623</w:t>
      </w:r>
      <w:r w:rsidR="009736A6">
        <w:rPr>
          <w:rStyle w:val="a9"/>
          <w:rFonts w:ascii="Book Antiqua" w:hAnsi="Book Antiqua"/>
          <w:color w:val="auto"/>
          <w:u w:val="none"/>
        </w:rPr>
        <w:fldChar w:fldCharType="end"/>
      </w:r>
      <w:r w:rsidR="00511803" w:rsidRPr="0057248A">
        <w:rPr>
          <w:rFonts w:ascii="Book Antiqua" w:hAnsi="Book Antiqua"/>
        </w:rPr>
        <w:t>); Klaus Pietzner (</w:t>
      </w:r>
      <w:r w:rsidR="009736A6">
        <w:fldChar w:fldCharType="begin"/>
      </w:r>
      <w:r w:rsidR="009736A6">
        <w:instrText xml:space="preserve"> HYPERLINK "http://orcid.org/https:/orcid.org/0000-0003-2056-1668" \t "_blank" </w:instrText>
      </w:r>
      <w:r w:rsidR="009736A6">
        <w:fldChar w:fldCharType="separate"/>
      </w:r>
      <w:r w:rsidR="00511803" w:rsidRPr="0057248A">
        <w:rPr>
          <w:rStyle w:val="a9"/>
          <w:rFonts w:ascii="Book Antiqua" w:hAnsi="Book Antiqua"/>
          <w:color w:val="auto"/>
          <w:u w:val="none"/>
        </w:rPr>
        <w:t>0000-0003-2056-1668</w:t>
      </w:r>
      <w:r w:rsidR="009736A6">
        <w:rPr>
          <w:rStyle w:val="a9"/>
          <w:rFonts w:ascii="Book Antiqua" w:hAnsi="Book Antiqua"/>
          <w:color w:val="auto"/>
          <w:u w:val="none"/>
        </w:rPr>
        <w:fldChar w:fldCharType="end"/>
      </w:r>
      <w:r w:rsidR="00511803" w:rsidRPr="0057248A">
        <w:rPr>
          <w:rFonts w:ascii="Book Antiqua" w:hAnsi="Book Antiqua"/>
        </w:rPr>
        <w:t>).</w:t>
      </w:r>
    </w:p>
    <w:p w14:paraId="37E02795" w14:textId="2D5B597E" w:rsidR="00511803" w:rsidRPr="0057248A" w:rsidRDefault="00511803" w:rsidP="00685FD1">
      <w:pPr>
        <w:spacing w:line="360" w:lineRule="auto"/>
        <w:jc w:val="both"/>
        <w:rPr>
          <w:rFonts w:ascii="Book Antiqua" w:hAnsi="Book Antiqua"/>
        </w:rPr>
      </w:pPr>
    </w:p>
    <w:p w14:paraId="248512DD" w14:textId="74CAC710" w:rsidR="00511803" w:rsidRPr="0057248A" w:rsidRDefault="00C97112" w:rsidP="00685FD1">
      <w:pPr>
        <w:spacing w:line="360" w:lineRule="auto"/>
        <w:jc w:val="both"/>
        <w:rPr>
          <w:rFonts w:ascii="Book Antiqua" w:hAnsi="Book Antiqua"/>
          <w:lang w:val="en-GB"/>
        </w:rPr>
      </w:pPr>
      <w:bookmarkStart w:id="8" w:name="_Hlk7505323"/>
      <w:r w:rsidRPr="0057248A">
        <w:rPr>
          <w:rFonts w:ascii="Book Antiqua" w:hAnsi="Book Antiqua" w:cs="Times New Roman"/>
          <w:b/>
          <w:lang w:val="en-US"/>
        </w:rPr>
        <w:t>Author contributions:</w:t>
      </w:r>
      <w:r w:rsidRPr="0057248A">
        <w:rPr>
          <w:rFonts w:ascii="Book Antiqua" w:hAnsi="Book Antiqua" w:cs="Times New Roman"/>
          <w:lang w:val="en-US"/>
        </w:rPr>
        <w:t xml:space="preserve"> </w:t>
      </w:r>
      <w:bookmarkEnd w:id="8"/>
      <w:proofErr w:type="spellStart"/>
      <w:r w:rsidR="00511803" w:rsidRPr="0057248A">
        <w:rPr>
          <w:rFonts w:ascii="Book Antiqua" w:hAnsi="Book Antiqua"/>
          <w:lang w:val="en-GB"/>
        </w:rPr>
        <w:t>Passler</w:t>
      </w:r>
      <w:proofErr w:type="spellEnd"/>
      <w:r w:rsidR="00AD582B" w:rsidRPr="0057248A">
        <w:rPr>
          <w:rFonts w:ascii="Book Antiqua" w:hAnsi="Book Antiqua"/>
          <w:lang w:val="en-GB"/>
        </w:rPr>
        <w:t xml:space="preserve"> M</w:t>
      </w:r>
      <w:r w:rsidR="00511803" w:rsidRPr="0057248A">
        <w:rPr>
          <w:rFonts w:ascii="Book Antiqua" w:hAnsi="Book Antiqua"/>
          <w:lang w:val="en-GB"/>
        </w:rPr>
        <w:t xml:space="preserve"> reviewed the literature, contributed to manuscript drafting and was responsible for the submission process; </w:t>
      </w:r>
      <w:proofErr w:type="spellStart"/>
      <w:r w:rsidR="00511803" w:rsidRPr="0057248A">
        <w:rPr>
          <w:rFonts w:ascii="Book Antiqua" w:hAnsi="Book Antiqua"/>
          <w:lang w:val="en-GB"/>
        </w:rPr>
        <w:t>Eliane</w:t>
      </w:r>
      <w:proofErr w:type="spellEnd"/>
      <w:r w:rsidR="00511803" w:rsidRPr="0057248A">
        <w:rPr>
          <w:rFonts w:ascii="Book Antiqua" w:hAnsi="Book Antiqua"/>
          <w:lang w:val="en-GB"/>
        </w:rPr>
        <w:t xml:space="preserve"> T Taube was responsible for the pathological findings and review of the literature; </w:t>
      </w:r>
      <w:proofErr w:type="spellStart"/>
      <w:r w:rsidR="00511803" w:rsidRPr="0057248A">
        <w:rPr>
          <w:rFonts w:ascii="Book Antiqua" w:hAnsi="Book Antiqua"/>
          <w:lang w:val="en-GB"/>
        </w:rPr>
        <w:t>Sehouli</w:t>
      </w:r>
      <w:proofErr w:type="spellEnd"/>
      <w:r w:rsidR="00AD582B" w:rsidRPr="0057248A">
        <w:rPr>
          <w:rFonts w:ascii="Book Antiqua" w:hAnsi="Book Antiqua"/>
          <w:lang w:val="en-GB"/>
        </w:rPr>
        <w:t xml:space="preserve"> J</w:t>
      </w:r>
      <w:r w:rsidR="00511803" w:rsidRPr="0057248A">
        <w:rPr>
          <w:rFonts w:ascii="Book Antiqua" w:hAnsi="Book Antiqua"/>
          <w:lang w:val="en-GB"/>
        </w:rPr>
        <w:t xml:space="preserve"> and </w:t>
      </w:r>
      <w:proofErr w:type="spellStart"/>
      <w:r w:rsidR="00511803" w:rsidRPr="0057248A">
        <w:rPr>
          <w:rFonts w:ascii="Book Antiqua" w:hAnsi="Book Antiqua"/>
          <w:lang w:val="en-GB"/>
        </w:rPr>
        <w:t>Pietzner</w:t>
      </w:r>
      <w:proofErr w:type="spellEnd"/>
      <w:r w:rsidR="00AD582B" w:rsidRPr="0057248A">
        <w:rPr>
          <w:rFonts w:ascii="Book Antiqua" w:hAnsi="Book Antiqua"/>
          <w:lang w:val="en-GB"/>
        </w:rPr>
        <w:t xml:space="preserve"> K</w:t>
      </w:r>
      <w:r w:rsidR="00511803" w:rsidRPr="0057248A">
        <w:rPr>
          <w:rFonts w:ascii="Book Antiqua" w:hAnsi="Book Antiqua"/>
          <w:lang w:val="en-GB"/>
        </w:rPr>
        <w:t xml:space="preserve"> were the attending doctors and responsible for important intellectual content.</w:t>
      </w:r>
    </w:p>
    <w:p w14:paraId="2D0D13F2" w14:textId="69C301D4" w:rsidR="00511803" w:rsidRPr="0057248A" w:rsidRDefault="00511803" w:rsidP="00685FD1">
      <w:pPr>
        <w:spacing w:line="360" w:lineRule="auto"/>
        <w:jc w:val="both"/>
        <w:rPr>
          <w:rFonts w:ascii="Book Antiqua" w:hAnsi="Book Antiqua"/>
          <w:lang w:val="en-GB"/>
        </w:rPr>
      </w:pPr>
    </w:p>
    <w:p w14:paraId="792A16D3" w14:textId="2CCB3FAA" w:rsidR="00511803" w:rsidRPr="0057248A" w:rsidRDefault="00C97112" w:rsidP="00685FD1">
      <w:pPr>
        <w:spacing w:line="360" w:lineRule="auto"/>
        <w:jc w:val="both"/>
        <w:rPr>
          <w:rFonts w:ascii="Book Antiqua" w:hAnsi="Book Antiqua"/>
          <w:lang w:val="en-US"/>
        </w:rPr>
      </w:pPr>
      <w:r w:rsidRPr="0057248A">
        <w:rPr>
          <w:rFonts w:ascii="Book Antiqua" w:hAnsi="Book Antiqua" w:cs="Calibri"/>
          <w:b/>
          <w:bCs/>
          <w:iCs/>
          <w:highlight w:val="white"/>
          <w:lang w:val="en-US"/>
        </w:rPr>
        <w:t>Informed consent statement:</w:t>
      </w:r>
      <w:r w:rsidRPr="0057248A">
        <w:rPr>
          <w:rFonts w:ascii="Book Antiqua" w:hAnsi="Book Antiqua" w:cs="Calibri"/>
          <w:b/>
          <w:bCs/>
          <w:iCs/>
          <w:lang w:val="en-US"/>
        </w:rPr>
        <w:t xml:space="preserve"> </w:t>
      </w:r>
      <w:r w:rsidRPr="0057248A">
        <w:rPr>
          <w:rFonts w:ascii="Book Antiqua" w:hAnsi="Book Antiqua" w:cs="Calibri"/>
          <w:bCs/>
          <w:iCs/>
          <w:highlight w:val="white"/>
          <w:lang w:val="en-US"/>
        </w:rPr>
        <w:t>I</w:t>
      </w:r>
      <w:r w:rsidR="00511803" w:rsidRPr="0057248A">
        <w:rPr>
          <w:rFonts w:ascii="Book Antiqua" w:hAnsi="Book Antiqua"/>
          <w:lang w:val="en-US"/>
        </w:rPr>
        <w:t>nformed written consent was obtained from the patient for publication of this report and any accompanying images.</w:t>
      </w:r>
    </w:p>
    <w:p w14:paraId="76C0E381" w14:textId="60E4BA75" w:rsidR="00FA0AE9" w:rsidRPr="0057248A" w:rsidRDefault="00FA0AE9" w:rsidP="00685FD1">
      <w:pPr>
        <w:spacing w:line="360" w:lineRule="auto"/>
        <w:jc w:val="both"/>
        <w:rPr>
          <w:rFonts w:ascii="Book Antiqua" w:hAnsi="Book Antiqua"/>
          <w:lang w:val="en-US"/>
        </w:rPr>
      </w:pPr>
    </w:p>
    <w:p w14:paraId="52D1622D" w14:textId="004EB319" w:rsidR="00FA0AE9" w:rsidRPr="0057248A" w:rsidRDefault="00C97112" w:rsidP="00685FD1">
      <w:pPr>
        <w:spacing w:line="360" w:lineRule="auto"/>
        <w:jc w:val="both"/>
        <w:rPr>
          <w:rFonts w:ascii="Book Antiqua" w:hAnsi="Book Antiqua"/>
          <w:lang w:val="en-GB"/>
        </w:rPr>
      </w:pPr>
      <w:bookmarkStart w:id="9" w:name="_Hlk7505351"/>
      <w:r w:rsidRPr="0057248A">
        <w:rPr>
          <w:rFonts w:ascii="Book Antiqua" w:hAnsi="Book Antiqua" w:cs="TimesNewRomanPS-BoldItalicMT"/>
          <w:b/>
          <w:bCs/>
          <w:iCs/>
          <w:lang w:val="en-US"/>
        </w:rPr>
        <w:t>Conflict-of-interest</w:t>
      </w:r>
      <w:r w:rsidRPr="0057248A">
        <w:rPr>
          <w:rFonts w:ascii="Book Antiqua" w:hAnsi="Book Antiqua"/>
          <w:lang w:val="en-US"/>
        </w:rPr>
        <w:t xml:space="preserve"> </w:t>
      </w:r>
      <w:r w:rsidRPr="0057248A">
        <w:rPr>
          <w:rFonts w:ascii="Book Antiqua" w:hAnsi="Book Antiqua" w:cs="TimesNewRomanPS-BoldItalicMT"/>
          <w:b/>
          <w:bCs/>
          <w:iCs/>
          <w:lang w:val="en-US"/>
        </w:rPr>
        <w:t xml:space="preserve">statement: </w:t>
      </w:r>
      <w:bookmarkEnd w:id="9"/>
      <w:r w:rsidR="00FA0AE9" w:rsidRPr="0057248A">
        <w:rPr>
          <w:rFonts w:ascii="Book Antiqua" w:hAnsi="Book Antiqua"/>
          <w:lang w:val="en-GB"/>
        </w:rPr>
        <w:t>The authors declare that they have no conflict of interest.</w:t>
      </w:r>
    </w:p>
    <w:p w14:paraId="66397E34" w14:textId="77777777" w:rsidR="0057248A" w:rsidRPr="0057248A" w:rsidRDefault="0057248A" w:rsidP="00685FD1">
      <w:pPr>
        <w:spacing w:line="360" w:lineRule="auto"/>
        <w:jc w:val="both"/>
        <w:rPr>
          <w:rFonts w:ascii="Book Antiqua" w:hAnsi="Book Antiqua"/>
          <w:lang w:val="en-GB"/>
        </w:rPr>
      </w:pPr>
    </w:p>
    <w:p w14:paraId="1A72C5F1" w14:textId="77777777" w:rsidR="00C97112" w:rsidRPr="0057248A" w:rsidRDefault="00C97112" w:rsidP="00C9711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hAnsi="Book Antiqua"/>
          <w:sz w:val="24"/>
          <w:szCs w:val="24"/>
        </w:rPr>
      </w:pPr>
      <w:bookmarkStart w:id="10" w:name="OLE_LINK3"/>
      <w:bookmarkStart w:id="11" w:name="OLE_LINK4"/>
      <w:r w:rsidRPr="0057248A">
        <w:rPr>
          <w:rFonts w:ascii="Book Antiqua" w:hAnsi="Book Antiqua"/>
          <w:b/>
          <w:bCs/>
          <w:sz w:val="24"/>
          <w:szCs w:val="24"/>
        </w:rPr>
        <w:t>CARE Checklist (2016) statement</w:t>
      </w:r>
      <w:bookmarkEnd w:id="10"/>
      <w:bookmarkEnd w:id="11"/>
      <w:r w:rsidRPr="0057248A">
        <w:rPr>
          <w:rFonts w:ascii="Book Antiqua" w:hAnsi="Book Antiqua"/>
          <w:b/>
          <w:color w:val="000000" w:themeColor="text1"/>
          <w:sz w:val="24"/>
          <w:szCs w:val="24"/>
        </w:rPr>
        <w:t>:</w:t>
      </w:r>
      <w:r w:rsidRPr="0057248A">
        <w:rPr>
          <w:rFonts w:ascii="Book Antiqua" w:hAnsi="Book Antiqua"/>
          <w:b/>
          <w:bCs/>
          <w:sz w:val="24"/>
          <w:szCs w:val="24"/>
        </w:rPr>
        <w:t xml:space="preserve"> </w:t>
      </w:r>
      <w:r w:rsidRPr="0057248A">
        <w:rPr>
          <w:rFonts w:ascii="Book Antiqua" w:hAnsi="Book Antiqua"/>
          <w:sz w:val="24"/>
          <w:szCs w:val="24"/>
        </w:rPr>
        <w:t>The authors have read the CARE Checklist (2016), and the manuscript was prepared and revised according to the CARE Checklist (2016).</w:t>
      </w:r>
    </w:p>
    <w:p w14:paraId="40205B6F" w14:textId="77777777" w:rsidR="00C97112" w:rsidRPr="0057248A" w:rsidRDefault="00C97112" w:rsidP="00C9711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Times New Roman" w:hAnsi="Book Antiqua" w:cs="Times New Roman"/>
          <w:sz w:val="24"/>
          <w:szCs w:val="24"/>
        </w:rPr>
      </w:pPr>
    </w:p>
    <w:p w14:paraId="34608399" w14:textId="77777777" w:rsidR="00C97112" w:rsidRPr="0057248A" w:rsidRDefault="00C97112" w:rsidP="00C97112">
      <w:pPr>
        <w:widowControl w:val="0"/>
        <w:spacing w:line="360" w:lineRule="auto"/>
        <w:jc w:val="both"/>
        <w:rPr>
          <w:rFonts w:ascii="Book Antiqua" w:hAnsi="Book Antiqua" w:cs="Times New Roman"/>
          <w:b/>
          <w:lang w:val="en-US"/>
        </w:rPr>
      </w:pPr>
      <w:bookmarkStart w:id="12" w:name="OLE_LINK1839"/>
      <w:bookmarkStart w:id="13" w:name="OLE_LINK1840"/>
      <w:bookmarkStart w:id="14" w:name="OLE_LINK1024"/>
      <w:bookmarkStart w:id="15" w:name="OLE_LINK1025"/>
      <w:bookmarkStart w:id="16" w:name="OLE_LINK570"/>
      <w:bookmarkStart w:id="17" w:name="OLE_LINK1096"/>
      <w:bookmarkStart w:id="18" w:name="OLE_LINK1097"/>
      <w:bookmarkStart w:id="19" w:name="OLE_LINK1098"/>
      <w:bookmarkStart w:id="20" w:name="OLE_LINK985"/>
      <w:bookmarkStart w:id="21" w:name="OLE_LINK986"/>
      <w:bookmarkStart w:id="22" w:name="OLE_LINK1122"/>
      <w:bookmarkStart w:id="23" w:name="OLE_LINK649"/>
      <w:bookmarkStart w:id="24" w:name="OLE_LINK650"/>
      <w:bookmarkStart w:id="25" w:name="OLE_LINK1706"/>
      <w:bookmarkStart w:id="26" w:name="OLE_LINK1707"/>
      <w:bookmarkStart w:id="27" w:name="OLE_LINK564"/>
      <w:bookmarkStart w:id="28" w:name="OLE_LINK155"/>
      <w:bookmarkStart w:id="29" w:name="OLE_LINK183"/>
      <w:bookmarkStart w:id="30" w:name="OLE_LINK441"/>
      <w:bookmarkStart w:id="31" w:name="OLE_LINK142"/>
      <w:bookmarkStart w:id="32" w:name="OLE_LINK376"/>
      <w:bookmarkStart w:id="33" w:name="OLE_LINK687"/>
      <w:bookmarkStart w:id="34" w:name="OLE_LINK716"/>
      <w:bookmarkStart w:id="35" w:name="OLE_LINK731"/>
      <w:bookmarkStart w:id="36" w:name="OLE_LINK809"/>
      <w:bookmarkStart w:id="37" w:name="OLE_LINK812"/>
      <w:bookmarkStart w:id="38" w:name="OLE_LINK916"/>
      <w:bookmarkStart w:id="39" w:name="OLE_LINK917"/>
      <w:bookmarkStart w:id="40" w:name="OLE_LINK1013"/>
      <w:bookmarkStart w:id="41" w:name="OLE_LINK1015"/>
      <w:bookmarkStart w:id="42" w:name="OLE_LINK1016"/>
      <w:bookmarkStart w:id="43" w:name="OLE_LINK1546"/>
      <w:bookmarkStart w:id="44" w:name="OLE_LINK1547"/>
      <w:bookmarkStart w:id="45" w:name="OLE_LINK1596"/>
      <w:bookmarkStart w:id="46" w:name="OLE_LINK1749"/>
      <w:bookmarkStart w:id="47" w:name="OLE_LINK1750"/>
      <w:bookmarkStart w:id="48" w:name="OLE_LINK1751"/>
      <w:bookmarkStart w:id="49" w:name="OLE_LINK1924"/>
      <w:bookmarkStart w:id="50" w:name="OLE_LINK1933"/>
      <w:bookmarkStart w:id="51" w:name="OLE_LINK1934"/>
      <w:bookmarkStart w:id="52" w:name="OLE_LINK1935"/>
      <w:bookmarkStart w:id="53" w:name="OLE_LINK1996"/>
      <w:bookmarkStart w:id="54" w:name="OLE_LINK1896"/>
      <w:bookmarkStart w:id="55" w:name="OLE_LINK1900"/>
      <w:bookmarkStart w:id="56" w:name="OLE_LINK2088"/>
      <w:bookmarkStart w:id="57" w:name="_Hlk7505383"/>
      <w:r w:rsidRPr="0057248A">
        <w:rPr>
          <w:rFonts w:ascii="Book Antiqua" w:hAnsi="Book Antiqua" w:cs="Times New Roman"/>
          <w:b/>
          <w:lang w:val="en-US"/>
        </w:rPr>
        <w:t>Open-Access:</w:t>
      </w:r>
      <w:bookmarkEnd w:id="12"/>
      <w:bookmarkEnd w:id="13"/>
      <w:r w:rsidRPr="0057248A">
        <w:rPr>
          <w:rFonts w:ascii="Book Antiqua" w:hAnsi="Book Antiqua" w:cs="Times New Roman"/>
          <w:b/>
          <w:lang w:val="en-US"/>
        </w:rPr>
        <w:t xml:space="preserve"> </w:t>
      </w:r>
      <w:bookmarkStart w:id="58" w:name="OLE_LINK760"/>
      <w:bookmarkStart w:id="59" w:name="OLE_LINK907"/>
      <w:bookmarkStart w:id="60" w:name="OLE_LINK1365"/>
      <w:bookmarkStart w:id="61" w:name="OLE_LINK25"/>
      <w:r w:rsidRPr="0057248A">
        <w:rPr>
          <w:rFonts w:ascii="Book Antiqua" w:hAnsi="Book Antiqua" w:cs="Times New Roman"/>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58"/>
      <w:bookmarkEnd w:id="59"/>
      <w:bookmarkEnd w:id="60"/>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61"/>
    <w:p w14:paraId="75A548FD" w14:textId="77777777" w:rsidR="00C97112" w:rsidRPr="0057248A" w:rsidRDefault="00C97112" w:rsidP="00C97112">
      <w:pPr>
        <w:widowControl w:val="0"/>
        <w:spacing w:line="360" w:lineRule="auto"/>
        <w:jc w:val="both"/>
        <w:rPr>
          <w:rFonts w:ascii="Book Antiqua" w:hAnsi="Book Antiqua" w:cs="Arial Unicode MS"/>
          <w:kern w:val="2"/>
          <w:lang w:val="en-US"/>
        </w:rPr>
      </w:pPr>
    </w:p>
    <w:p w14:paraId="60EE0BE4" w14:textId="77777777" w:rsidR="00C97112" w:rsidRPr="0057248A" w:rsidRDefault="00C97112" w:rsidP="00C97112">
      <w:pPr>
        <w:widowControl w:val="0"/>
        <w:autoSpaceDE w:val="0"/>
        <w:autoSpaceDN w:val="0"/>
        <w:adjustRightInd w:val="0"/>
        <w:spacing w:line="360" w:lineRule="auto"/>
        <w:jc w:val="both"/>
        <w:rPr>
          <w:rFonts w:ascii="Book Antiqua" w:hAnsi="Book Antiqua" w:cs="Arial Unicode MS"/>
          <w:kern w:val="2"/>
          <w:lang w:val="en-US"/>
        </w:rPr>
      </w:pPr>
      <w:bookmarkStart w:id="62" w:name="OLE_LINK918"/>
      <w:bookmarkStart w:id="63" w:name="OLE_LINK919"/>
      <w:bookmarkStart w:id="64" w:name="OLE_LINK571"/>
      <w:bookmarkStart w:id="65" w:name="OLE_LINK776"/>
      <w:bookmarkStart w:id="66" w:name="OLE_LINK927"/>
      <w:bookmarkStart w:id="67" w:name="OLE_LINK1123"/>
      <w:bookmarkStart w:id="68" w:name="OLE_LINK709"/>
      <w:bookmarkStart w:id="69" w:name="OLE_LINK759"/>
      <w:r w:rsidRPr="0057248A">
        <w:rPr>
          <w:rFonts w:ascii="Book Antiqua" w:hAnsi="Book Antiqua" w:cs="Arial Unicode MS"/>
          <w:b/>
          <w:kern w:val="2"/>
          <w:lang w:val="en-US"/>
        </w:rPr>
        <w:t>Manuscript source:</w:t>
      </w:r>
      <w:r w:rsidRPr="0057248A">
        <w:rPr>
          <w:rFonts w:ascii="Book Antiqua" w:hAnsi="Book Antiqua" w:cs="Arial Unicode MS"/>
          <w:kern w:val="2"/>
          <w:lang w:val="en-US"/>
        </w:rPr>
        <w:t xml:space="preserve"> </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62"/>
      <w:bookmarkEnd w:id="63"/>
      <w:bookmarkEnd w:id="64"/>
      <w:bookmarkEnd w:id="65"/>
      <w:bookmarkEnd w:id="66"/>
      <w:bookmarkEnd w:id="67"/>
      <w:bookmarkEnd w:id="68"/>
      <w:bookmarkEnd w:id="69"/>
      <w:r w:rsidRPr="0057248A">
        <w:rPr>
          <w:rFonts w:ascii="Book Antiqua" w:hAnsi="Book Antiqua" w:cs="Times New Roman"/>
          <w:lang w:val="en-US" w:eastAsia="zh-CN"/>
        </w:rPr>
        <w:t>Unsolicited manuscript</w:t>
      </w:r>
    </w:p>
    <w:p w14:paraId="274B1EF1" w14:textId="77777777" w:rsidR="00C97112" w:rsidRPr="0057248A" w:rsidRDefault="00C97112" w:rsidP="00C97112">
      <w:pPr>
        <w:spacing w:line="360" w:lineRule="auto"/>
        <w:jc w:val="both"/>
        <w:rPr>
          <w:rFonts w:ascii="Book Antiqua" w:hAnsi="Book Antiqua" w:cs="Book Antiqua"/>
          <w:lang w:val="en-US"/>
        </w:rPr>
      </w:pPr>
    </w:p>
    <w:p w14:paraId="4856AEBA" w14:textId="07EED9B9" w:rsidR="00F71E75" w:rsidRPr="0042710F" w:rsidRDefault="00C97112" w:rsidP="00C97112">
      <w:pPr>
        <w:spacing w:line="360" w:lineRule="auto"/>
        <w:jc w:val="both"/>
        <w:rPr>
          <w:rFonts w:ascii="Book Antiqua" w:hAnsi="Book Antiqua"/>
          <w:lang w:val="en-GB"/>
        </w:rPr>
      </w:pPr>
      <w:bookmarkStart w:id="70" w:name="OLE_LINK951"/>
      <w:bookmarkStart w:id="71" w:name="OLE_LINK950"/>
      <w:bookmarkStart w:id="72" w:name="OLE_LINK949"/>
      <w:bookmarkStart w:id="73" w:name="OLE_LINK948"/>
      <w:bookmarkStart w:id="74" w:name="OLE_LINK1997"/>
      <w:bookmarkStart w:id="75" w:name="OLE_LINK1752"/>
      <w:bookmarkStart w:id="76" w:name="OLE_LINK1271"/>
      <w:bookmarkStart w:id="77" w:name="OLE_LINK1270"/>
      <w:bookmarkStart w:id="78" w:name="OLE_LINK1269"/>
      <w:bookmarkStart w:id="79" w:name="OLE_LINK1268"/>
      <w:bookmarkStart w:id="80" w:name="OLE_LINK1267"/>
      <w:bookmarkStart w:id="81" w:name="OLE_LINK1263"/>
      <w:bookmarkStart w:id="82" w:name="OLE_LINK1031"/>
      <w:bookmarkStart w:id="83" w:name="OLE_LINK1020"/>
      <w:bookmarkStart w:id="84" w:name="OLE_LINK1019"/>
      <w:bookmarkStart w:id="85" w:name="OLE_LINK1018"/>
      <w:r w:rsidRPr="0057248A">
        <w:rPr>
          <w:rFonts w:ascii="Book Antiqua" w:hAnsi="Book Antiqua"/>
          <w:b/>
          <w:lang w:val="pt-BR"/>
        </w:rPr>
        <w:t>Correspond</w:t>
      </w:r>
      <w:bookmarkEnd w:id="70"/>
      <w:bookmarkEnd w:id="71"/>
      <w:bookmarkEnd w:id="72"/>
      <w:bookmarkEnd w:id="73"/>
      <w:r w:rsidRPr="0057248A">
        <w:rPr>
          <w:rFonts w:ascii="Book Antiqua" w:hAnsi="Book Antiqua"/>
          <w:b/>
          <w:lang w:val="pt-BR"/>
        </w:rPr>
        <w:t>ing author:</w:t>
      </w:r>
      <w:bookmarkEnd w:id="74"/>
      <w:bookmarkEnd w:id="75"/>
      <w:bookmarkEnd w:id="76"/>
      <w:bookmarkEnd w:id="77"/>
      <w:bookmarkEnd w:id="78"/>
      <w:bookmarkEnd w:id="79"/>
      <w:bookmarkEnd w:id="80"/>
      <w:bookmarkEnd w:id="81"/>
      <w:bookmarkEnd w:id="82"/>
      <w:bookmarkEnd w:id="83"/>
      <w:bookmarkEnd w:id="84"/>
      <w:bookmarkEnd w:id="85"/>
      <w:r w:rsidRPr="0057248A">
        <w:rPr>
          <w:rFonts w:ascii="Book Antiqua" w:hAnsi="Book Antiqua"/>
          <w:b/>
          <w:lang w:val="pt-BR"/>
        </w:rPr>
        <w:t xml:space="preserve"> </w:t>
      </w:r>
      <w:bookmarkEnd w:id="57"/>
      <w:r w:rsidR="00802E4E" w:rsidRPr="0057248A">
        <w:rPr>
          <w:rFonts w:ascii="Book Antiqua" w:hAnsi="Book Antiqua"/>
          <w:b/>
          <w:lang w:val="en-GB"/>
        </w:rPr>
        <w:t xml:space="preserve">Mona </w:t>
      </w:r>
      <w:proofErr w:type="spellStart"/>
      <w:r w:rsidR="00802E4E" w:rsidRPr="0057248A">
        <w:rPr>
          <w:rFonts w:ascii="Book Antiqua" w:hAnsi="Book Antiqua"/>
          <w:b/>
          <w:lang w:val="en-GB"/>
        </w:rPr>
        <w:t>Passler</w:t>
      </w:r>
      <w:proofErr w:type="spellEnd"/>
      <w:r w:rsidR="00FA0AE9" w:rsidRPr="0057248A">
        <w:rPr>
          <w:rFonts w:ascii="Book Antiqua" w:hAnsi="Book Antiqua"/>
          <w:b/>
          <w:lang w:val="en-GB"/>
        </w:rPr>
        <w:t>, Junior Researcher,</w:t>
      </w:r>
      <w:r w:rsidR="00FA0AE9" w:rsidRPr="0057248A">
        <w:rPr>
          <w:rFonts w:ascii="Book Antiqua" w:hAnsi="Book Antiqua"/>
          <w:lang w:val="en-GB"/>
        </w:rPr>
        <w:t xml:space="preserve"> </w:t>
      </w:r>
      <w:r w:rsidR="00FA0AE9" w:rsidRPr="0057248A">
        <w:rPr>
          <w:rFonts w:ascii="Book Antiqua" w:hAnsi="Book Antiqua"/>
          <w:lang w:val="en"/>
        </w:rPr>
        <w:t xml:space="preserve">Department of Gynecology, Competence Center for Ovarian Cancer (EKZE), </w:t>
      </w:r>
      <w:proofErr w:type="spellStart"/>
      <w:r w:rsidR="00FA0AE9" w:rsidRPr="0057248A">
        <w:rPr>
          <w:rFonts w:ascii="Book Antiqua" w:hAnsi="Book Antiqua"/>
          <w:lang w:val="en"/>
        </w:rPr>
        <w:t>Charité</w:t>
      </w:r>
      <w:proofErr w:type="spellEnd"/>
      <w:r w:rsidR="00FA0AE9" w:rsidRPr="0057248A">
        <w:rPr>
          <w:rFonts w:ascii="Book Antiqua" w:hAnsi="Book Antiqua"/>
          <w:lang w:val="en"/>
        </w:rPr>
        <w:t xml:space="preserve"> - University Medicine, </w:t>
      </w:r>
      <w:bookmarkStart w:id="86" w:name="OLE_LINK16"/>
      <w:bookmarkStart w:id="87" w:name="OLE_LINK17"/>
      <w:proofErr w:type="spellStart"/>
      <w:r w:rsidR="00FA0AE9" w:rsidRPr="0057248A">
        <w:rPr>
          <w:rFonts w:ascii="Book Antiqua" w:hAnsi="Book Antiqua"/>
          <w:lang w:val="en-GB"/>
        </w:rPr>
        <w:t>Augustenburger</w:t>
      </w:r>
      <w:proofErr w:type="spellEnd"/>
      <w:r w:rsidR="00FA0AE9" w:rsidRPr="0057248A">
        <w:rPr>
          <w:rFonts w:ascii="Book Antiqua" w:hAnsi="Book Antiqua"/>
          <w:lang w:val="en-GB"/>
        </w:rPr>
        <w:t xml:space="preserve"> </w:t>
      </w:r>
      <w:proofErr w:type="spellStart"/>
      <w:r w:rsidR="00FA0AE9" w:rsidRPr="0057248A">
        <w:rPr>
          <w:rFonts w:ascii="Book Antiqua" w:hAnsi="Book Antiqua"/>
          <w:lang w:val="en-GB"/>
        </w:rPr>
        <w:t>Platz</w:t>
      </w:r>
      <w:proofErr w:type="spellEnd"/>
      <w:r w:rsidR="00FA0AE9" w:rsidRPr="0057248A">
        <w:rPr>
          <w:rFonts w:ascii="Book Antiqua" w:hAnsi="Book Antiqua"/>
          <w:lang w:val="en-GB"/>
        </w:rPr>
        <w:t xml:space="preserve"> 1</w:t>
      </w:r>
      <w:bookmarkEnd w:id="86"/>
      <w:bookmarkEnd w:id="87"/>
      <w:r w:rsidR="00FA0AE9" w:rsidRPr="0057248A">
        <w:rPr>
          <w:rFonts w:ascii="Book Antiqua" w:hAnsi="Book Antiqua"/>
          <w:lang w:val="en-GB"/>
        </w:rPr>
        <w:t xml:space="preserve">, </w:t>
      </w:r>
      <w:r w:rsidR="00FA0AE9" w:rsidRPr="0057248A">
        <w:rPr>
          <w:rFonts w:ascii="Book Antiqua" w:hAnsi="Book Antiqua"/>
          <w:lang w:val="en"/>
        </w:rPr>
        <w:t>Berlin 13353, Germany.</w:t>
      </w:r>
      <w:r w:rsidR="00FA0AE9" w:rsidRPr="0042710F">
        <w:rPr>
          <w:rFonts w:ascii="Book Antiqua" w:hAnsi="Book Antiqua"/>
          <w:lang w:val="en"/>
        </w:rPr>
        <w:t xml:space="preserve"> </w:t>
      </w:r>
      <w:r w:rsidR="00802E4E" w:rsidRPr="0042710F">
        <w:rPr>
          <w:rFonts w:ascii="Book Antiqua" w:hAnsi="Book Antiqua"/>
          <w:lang w:val="en-GB"/>
        </w:rPr>
        <w:t>mona.passler</w:t>
      </w:r>
      <w:r w:rsidR="00F71E75" w:rsidRPr="0042710F">
        <w:rPr>
          <w:rFonts w:ascii="Book Antiqua" w:hAnsi="Book Antiqua"/>
          <w:lang w:val="en-GB"/>
        </w:rPr>
        <w:t>@charite.de</w:t>
      </w:r>
    </w:p>
    <w:p w14:paraId="77952FF1" w14:textId="72D7608C" w:rsidR="00FA0AE9" w:rsidRPr="0057248A" w:rsidRDefault="00FA0AE9" w:rsidP="00685FD1">
      <w:pPr>
        <w:spacing w:line="360" w:lineRule="auto"/>
        <w:jc w:val="both"/>
        <w:rPr>
          <w:rFonts w:ascii="Book Antiqua" w:hAnsi="Book Antiqua"/>
          <w:lang w:val="en-GB"/>
        </w:rPr>
      </w:pPr>
      <w:r w:rsidRPr="0057248A">
        <w:rPr>
          <w:rFonts w:ascii="Book Antiqua" w:hAnsi="Book Antiqua"/>
          <w:b/>
          <w:lang w:val="en-GB"/>
        </w:rPr>
        <w:t>Telephone:</w:t>
      </w:r>
      <w:r w:rsidRPr="0057248A">
        <w:rPr>
          <w:rFonts w:ascii="Book Antiqua" w:hAnsi="Book Antiqua"/>
          <w:lang w:val="en-GB"/>
        </w:rPr>
        <w:t xml:space="preserve"> </w:t>
      </w:r>
      <w:r w:rsidR="00AD582B" w:rsidRPr="0057248A">
        <w:rPr>
          <w:rFonts w:ascii="Book Antiqua" w:hAnsi="Book Antiqua"/>
          <w:lang w:val="en-GB"/>
        </w:rPr>
        <w:t>+</w:t>
      </w:r>
      <w:r w:rsidRPr="0057248A">
        <w:rPr>
          <w:rFonts w:ascii="Book Antiqua" w:hAnsi="Book Antiqua"/>
          <w:lang w:val="en-GB"/>
        </w:rPr>
        <w:t>49</w:t>
      </w:r>
      <w:r w:rsidR="00AD582B" w:rsidRPr="0057248A">
        <w:rPr>
          <w:rFonts w:ascii="Book Antiqua" w:hAnsi="Book Antiqua"/>
          <w:lang w:val="en-GB"/>
        </w:rPr>
        <w:t>-</w:t>
      </w:r>
      <w:r w:rsidRPr="0057248A">
        <w:rPr>
          <w:rFonts w:ascii="Book Antiqua" w:hAnsi="Book Antiqua"/>
          <w:lang w:val="en-GB"/>
        </w:rPr>
        <w:t>157</w:t>
      </w:r>
      <w:r w:rsidR="00AD582B" w:rsidRPr="0057248A">
        <w:rPr>
          <w:rFonts w:ascii="Book Antiqua" w:hAnsi="Book Antiqua"/>
          <w:lang w:val="en-GB"/>
        </w:rPr>
        <w:t>-</w:t>
      </w:r>
      <w:r w:rsidRPr="0057248A">
        <w:rPr>
          <w:rFonts w:ascii="Book Antiqua" w:hAnsi="Book Antiqua"/>
          <w:lang w:val="en-GB"/>
        </w:rPr>
        <w:t>59552338</w:t>
      </w:r>
    </w:p>
    <w:p w14:paraId="512545D7" w14:textId="1DF5190E" w:rsidR="00F727DF" w:rsidRPr="0057248A" w:rsidRDefault="00F727DF" w:rsidP="00685FD1">
      <w:pPr>
        <w:spacing w:line="360" w:lineRule="auto"/>
        <w:jc w:val="both"/>
        <w:rPr>
          <w:rFonts w:ascii="Book Antiqua" w:hAnsi="Book Antiqua"/>
          <w:lang w:val="en-GB"/>
        </w:rPr>
      </w:pPr>
    </w:p>
    <w:p w14:paraId="383A29F8" w14:textId="22298DA5" w:rsidR="003F58AF" w:rsidRPr="0057248A" w:rsidRDefault="003F58AF" w:rsidP="003F58AF">
      <w:pPr>
        <w:widowControl w:val="0"/>
        <w:spacing w:line="360" w:lineRule="auto"/>
        <w:jc w:val="both"/>
        <w:rPr>
          <w:rFonts w:ascii="Book Antiqua" w:hAnsi="Book Antiqua" w:cs="Times New Roman"/>
          <w:b/>
          <w:kern w:val="2"/>
          <w:lang w:val="en-US"/>
        </w:rPr>
      </w:pPr>
      <w:bookmarkStart w:id="88" w:name="OLE_LINK1712"/>
      <w:bookmarkStart w:id="89" w:name="_Hlk7505421"/>
      <w:bookmarkStart w:id="90" w:name="OLE_LINK775"/>
      <w:bookmarkStart w:id="91" w:name="OLE_LINK923"/>
      <w:bookmarkStart w:id="92" w:name="OLE_LINK924"/>
      <w:bookmarkStart w:id="93" w:name="OLE_LINK64"/>
      <w:bookmarkStart w:id="94" w:name="OLE_LINK67"/>
      <w:bookmarkStart w:id="95" w:name="OLE_LINK218"/>
      <w:bookmarkStart w:id="96" w:name="OLE_LINK245"/>
      <w:bookmarkStart w:id="97" w:name="OLE_LINK934"/>
      <w:bookmarkStart w:id="98" w:name="OLE_LINK1107"/>
      <w:bookmarkStart w:id="99" w:name="OLE_LINK1108"/>
      <w:bookmarkStart w:id="100" w:name="OLE_LINK1109"/>
      <w:bookmarkStart w:id="101" w:name="OLE_LINK989"/>
      <w:bookmarkStart w:id="102" w:name="OLE_LINK990"/>
      <w:bookmarkStart w:id="103" w:name="OLE_LINK1124"/>
      <w:bookmarkStart w:id="104" w:name="OLE_LINK1213"/>
      <w:bookmarkStart w:id="105" w:name="OLE_LINK971"/>
      <w:bookmarkStart w:id="106" w:name="OLE_LINK1014"/>
      <w:bookmarkStart w:id="107" w:name="OLE_LINK1153"/>
      <w:bookmarkStart w:id="108" w:name="OLE_LINK1541"/>
      <w:bookmarkStart w:id="109" w:name="OLE_LINK1542"/>
      <w:bookmarkStart w:id="110" w:name="OLE_LINK1509"/>
      <w:bookmarkStart w:id="111" w:name="OLE_LINK1601"/>
      <w:bookmarkStart w:id="112" w:name="OLE_LINK1602"/>
      <w:bookmarkStart w:id="113" w:name="OLE_LINK1757"/>
      <w:bookmarkStart w:id="114" w:name="OLE_LINK1779"/>
      <w:bookmarkStart w:id="115" w:name="OLE_LINK580"/>
      <w:bookmarkStart w:id="116" w:name="OLE_LINK2000"/>
      <w:bookmarkStart w:id="117" w:name="OLE_LINK2001"/>
      <w:bookmarkStart w:id="118" w:name="OLE_LINK1730"/>
      <w:bookmarkStart w:id="119" w:name="OLE_LINK1959"/>
      <w:bookmarkStart w:id="120" w:name="OLE_LINK1960"/>
      <w:bookmarkStart w:id="121" w:name="OLE_LINK1961"/>
      <w:bookmarkStart w:id="122" w:name="OLE_LINK1965"/>
      <w:bookmarkStart w:id="123" w:name="OLE_LINK1966"/>
      <w:bookmarkStart w:id="124" w:name="OLE_LINK1973"/>
      <w:bookmarkStart w:id="125" w:name="OLE_LINK1974"/>
      <w:bookmarkStart w:id="126" w:name="OLE_LINK1978"/>
      <w:bookmarkStart w:id="127" w:name="OLE_LINK1979"/>
      <w:bookmarkStart w:id="128" w:name="OLE_LINK2089"/>
      <w:bookmarkStart w:id="129" w:name="OLE_LINK2150"/>
      <w:r w:rsidRPr="0057248A">
        <w:rPr>
          <w:rFonts w:ascii="Book Antiqua" w:hAnsi="Book Antiqua" w:cs="Times New Roman"/>
          <w:b/>
          <w:kern w:val="2"/>
          <w:lang w:val="en-US"/>
        </w:rPr>
        <w:t xml:space="preserve">Received: </w:t>
      </w:r>
      <w:bookmarkStart w:id="130" w:name="OLE_LINK2486"/>
      <w:bookmarkStart w:id="131" w:name="OLE_LINK2487"/>
      <w:r w:rsidRPr="0057248A">
        <w:rPr>
          <w:rFonts w:ascii="Book Antiqua" w:hAnsi="Book Antiqua" w:cs="Times New Roman"/>
          <w:kern w:val="2"/>
          <w:lang w:val="en-US"/>
        </w:rPr>
        <w:t>February 28, 201</w:t>
      </w:r>
      <w:bookmarkEnd w:id="130"/>
      <w:bookmarkEnd w:id="131"/>
      <w:r w:rsidRPr="0057248A">
        <w:rPr>
          <w:rFonts w:ascii="Book Antiqua" w:hAnsi="Book Antiqua" w:cs="Times New Roman"/>
          <w:kern w:val="2"/>
          <w:lang w:val="en-US"/>
        </w:rPr>
        <w:t>9</w:t>
      </w:r>
    </w:p>
    <w:p w14:paraId="2A68CEB6" w14:textId="77777777" w:rsidR="003F58AF" w:rsidRPr="0057248A" w:rsidRDefault="003F58AF" w:rsidP="003F58AF">
      <w:pPr>
        <w:widowControl w:val="0"/>
        <w:spacing w:line="360" w:lineRule="auto"/>
        <w:jc w:val="both"/>
        <w:rPr>
          <w:rFonts w:ascii="Book Antiqua" w:hAnsi="Book Antiqua" w:cs="Times New Roman"/>
          <w:b/>
          <w:kern w:val="2"/>
          <w:lang w:val="en-US"/>
        </w:rPr>
      </w:pPr>
      <w:r w:rsidRPr="0057248A">
        <w:rPr>
          <w:rFonts w:ascii="Book Antiqua" w:hAnsi="Book Antiqua" w:cs="Times New Roman"/>
          <w:b/>
          <w:kern w:val="2"/>
          <w:lang w:val="en-US"/>
        </w:rPr>
        <w:t xml:space="preserve">Peer-review started: </w:t>
      </w:r>
      <w:r w:rsidRPr="0057248A">
        <w:rPr>
          <w:rFonts w:ascii="Book Antiqua" w:hAnsi="Book Antiqua" w:cs="Times New Roman"/>
          <w:kern w:val="2"/>
          <w:lang w:val="en-US"/>
        </w:rPr>
        <w:t>March 4, 2019</w:t>
      </w:r>
    </w:p>
    <w:p w14:paraId="11CED7C3" w14:textId="3D399EE4" w:rsidR="003F58AF" w:rsidRPr="0057248A" w:rsidRDefault="003F58AF" w:rsidP="003F58AF">
      <w:pPr>
        <w:widowControl w:val="0"/>
        <w:spacing w:line="360" w:lineRule="auto"/>
        <w:jc w:val="both"/>
        <w:rPr>
          <w:rFonts w:ascii="Book Antiqua" w:hAnsi="Book Antiqua" w:cs="Times New Roman"/>
          <w:b/>
          <w:kern w:val="2"/>
          <w:lang w:val="en-US"/>
        </w:rPr>
      </w:pPr>
      <w:r w:rsidRPr="0057248A">
        <w:rPr>
          <w:rFonts w:ascii="Book Antiqua" w:hAnsi="Book Antiqua" w:cs="Times New Roman"/>
          <w:b/>
          <w:kern w:val="2"/>
          <w:lang w:val="en-US"/>
        </w:rPr>
        <w:t xml:space="preserve">First decision: </w:t>
      </w:r>
      <w:bookmarkStart w:id="132" w:name="OLE_LINK2488"/>
      <w:bookmarkStart w:id="133" w:name="OLE_LINK2489"/>
      <w:r w:rsidRPr="0057248A">
        <w:rPr>
          <w:rFonts w:ascii="Book Antiqua" w:hAnsi="Book Antiqua" w:cs="Times New Roman"/>
          <w:kern w:val="2"/>
          <w:lang w:val="en-US"/>
        </w:rPr>
        <w:t>April 11, 201</w:t>
      </w:r>
      <w:bookmarkEnd w:id="132"/>
      <w:bookmarkEnd w:id="133"/>
      <w:r w:rsidRPr="0057248A">
        <w:rPr>
          <w:rFonts w:ascii="Book Antiqua" w:hAnsi="Book Antiqua" w:cs="Times New Roman"/>
          <w:kern w:val="2"/>
          <w:lang w:val="en-US"/>
        </w:rPr>
        <w:t>9</w:t>
      </w:r>
    </w:p>
    <w:p w14:paraId="47381DCB" w14:textId="6FC4A722" w:rsidR="003F58AF" w:rsidRPr="0057248A" w:rsidRDefault="003F58AF" w:rsidP="003F58AF">
      <w:pPr>
        <w:widowControl w:val="0"/>
        <w:spacing w:line="360" w:lineRule="auto"/>
        <w:jc w:val="both"/>
        <w:rPr>
          <w:rFonts w:ascii="Book Antiqua" w:hAnsi="Book Antiqua" w:cs="Times New Roman"/>
          <w:b/>
          <w:kern w:val="2"/>
          <w:lang w:val="en-US"/>
        </w:rPr>
      </w:pPr>
      <w:r w:rsidRPr="0057248A">
        <w:rPr>
          <w:rFonts w:ascii="Book Antiqua" w:hAnsi="Book Antiqua" w:cs="Times New Roman"/>
          <w:b/>
          <w:kern w:val="2"/>
          <w:lang w:val="en-US"/>
        </w:rPr>
        <w:t xml:space="preserve">Revised: </w:t>
      </w:r>
      <w:r w:rsidR="0057248A" w:rsidRPr="0057248A">
        <w:rPr>
          <w:rFonts w:ascii="Book Antiqua" w:eastAsia="宋体" w:hAnsi="Book Antiqua" w:cs="Times New Roman"/>
          <w:kern w:val="2"/>
          <w:lang w:val="en-US" w:eastAsia="zh-CN"/>
        </w:rPr>
        <w:t>July</w:t>
      </w:r>
      <w:r w:rsidR="0057248A" w:rsidRPr="0057248A">
        <w:rPr>
          <w:rFonts w:ascii="Book Antiqua" w:hAnsi="Book Antiqua" w:cs="Times New Roman"/>
          <w:kern w:val="2"/>
          <w:lang w:val="en-US"/>
        </w:rPr>
        <w:t xml:space="preserve"> </w:t>
      </w:r>
      <w:r w:rsidRPr="0057248A">
        <w:rPr>
          <w:rFonts w:ascii="Book Antiqua" w:hAnsi="Book Antiqua" w:cs="Times New Roman"/>
          <w:kern w:val="2"/>
          <w:lang w:val="en-US"/>
        </w:rPr>
        <w:t>8, 2019</w:t>
      </w:r>
    </w:p>
    <w:p w14:paraId="4EDBD94D" w14:textId="76C3F908" w:rsidR="003F58AF" w:rsidRPr="0057248A" w:rsidRDefault="003F58AF" w:rsidP="003F58AF">
      <w:pPr>
        <w:widowControl w:val="0"/>
        <w:spacing w:line="360" w:lineRule="auto"/>
        <w:jc w:val="both"/>
        <w:rPr>
          <w:rFonts w:ascii="Book Antiqua" w:hAnsi="Book Antiqua" w:cs="Times New Roman"/>
          <w:b/>
          <w:kern w:val="2"/>
          <w:lang w:val="en-US"/>
        </w:rPr>
      </w:pPr>
      <w:r w:rsidRPr="0057248A">
        <w:rPr>
          <w:rFonts w:ascii="Book Antiqua" w:hAnsi="Book Antiqua" w:cs="Times New Roman"/>
          <w:b/>
          <w:kern w:val="2"/>
          <w:lang w:val="en-US"/>
        </w:rPr>
        <w:t>Accepted:</w:t>
      </w:r>
      <w:r w:rsidRPr="0057248A">
        <w:rPr>
          <w:rFonts w:ascii="Book Antiqua" w:hAnsi="Book Antiqua" w:cs="Times New Roman"/>
          <w:kern w:val="2"/>
          <w:lang w:val="en-US"/>
        </w:rPr>
        <w:t xml:space="preserve"> </w:t>
      </w:r>
      <w:r w:rsidR="00BE6B34">
        <w:rPr>
          <w:rFonts w:ascii="Book Antiqua" w:hAnsi="Book Antiqua" w:cs="Times New Roman"/>
          <w:kern w:val="2"/>
          <w:lang w:val="en-US"/>
        </w:rPr>
        <w:t>July 16, 2019</w:t>
      </w:r>
    </w:p>
    <w:p w14:paraId="632C2FAB" w14:textId="211CAAD4" w:rsidR="003F58AF" w:rsidRPr="0057248A" w:rsidRDefault="003F58AF" w:rsidP="003F58AF">
      <w:pPr>
        <w:widowControl w:val="0"/>
        <w:spacing w:line="360" w:lineRule="auto"/>
        <w:jc w:val="both"/>
        <w:rPr>
          <w:rFonts w:ascii="Book Antiqua" w:hAnsi="Book Antiqua" w:cs="Times New Roman"/>
          <w:b/>
          <w:kern w:val="2"/>
          <w:lang w:val="en-US"/>
        </w:rPr>
      </w:pPr>
      <w:r w:rsidRPr="0057248A">
        <w:rPr>
          <w:rFonts w:ascii="Book Antiqua" w:hAnsi="Book Antiqua" w:cs="Times New Roman"/>
          <w:b/>
          <w:kern w:val="2"/>
          <w:lang w:val="en-US"/>
        </w:rPr>
        <w:t>Article in press:</w:t>
      </w:r>
      <w:r w:rsidR="00FD47EC">
        <w:rPr>
          <w:rFonts w:ascii="Book Antiqua" w:hAnsi="Book Antiqua" w:cs="Times New Roman"/>
          <w:b/>
          <w:kern w:val="2"/>
          <w:lang w:val="en-US"/>
        </w:rPr>
        <w:t xml:space="preserve"> </w:t>
      </w:r>
      <w:r w:rsidR="00FD47EC">
        <w:rPr>
          <w:rFonts w:ascii="Book Antiqua" w:hAnsi="Book Antiqua" w:cs="Times New Roman"/>
          <w:kern w:val="2"/>
          <w:lang w:val="en-US"/>
        </w:rPr>
        <w:t>July 16, 2019</w:t>
      </w:r>
    </w:p>
    <w:p w14:paraId="312DA503" w14:textId="59CB2840" w:rsidR="003F58AF" w:rsidRPr="0057248A" w:rsidRDefault="003F58AF" w:rsidP="003F58AF">
      <w:pPr>
        <w:spacing w:line="360" w:lineRule="auto"/>
        <w:jc w:val="both"/>
        <w:rPr>
          <w:rFonts w:ascii="Book Antiqua" w:hAnsi="Book Antiqua" w:cs="Times New Roman"/>
          <w:bCs/>
          <w:lang w:val="en-US" w:bidi="th-TH"/>
        </w:rPr>
      </w:pPr>
      <w:r w:rsidRPr="0057248A">
        <w:rPr>
          <w:rFonts w:ascii="Book Antiqua" w:hAnsi="Book Antiqua" w:cs="Times New Roman"/>
          <w:b/>
          <w:kern w:val="2"/>
          <w:lang w:val="en-US"/>
        </w:rPr>
        <w:t>Published online</w:t>
      </w:r>
      <w:bookmarkEnd w:id="88"/>
      <w:r w:rsidRPr="0057248A">
        <w:rPr>
          <w:rFonts w:ascii="Book Antiqua" w:hAnsi="Book Antiqua" w:cs="Times New Roman"/>
          <w:b/>
          <w:kern w:val="2"/>
          <w:lang w:val="en-US"/>
        </w:rPr>
        <w:t>:</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00FD47EC">
        <w:rPr>
          <w:rFonts w:ascii="Book Antiqua" w:hAnsi="Book Antiqua" w:cs="Times New Roman"/>
          <w:b/>
          <w:kern w:val="2"/>
          <w:lang w:val="en-US"/>
        </w:rPr>
        <w:t xml:space="preserve"> </w:t>
      </w:r>
      <w:r w:rsidR="00FD47EC">
        <w:rPr>
          <w:rFonts w:ascii="Book Antiqua" w:hAnsi="Book Antiqua" w:cs="Times New Roman"/>
          <w:kern w:val="2"/>
          <w:lang w:val="en-US"/>
        </w:rPr>
        <w:t xml:space="preserve">July </w:t>
      </w:r>
      <w:r w:rsidR="00FD47EC">
        <w:rPr>
          <w:rFonts w:ascii="Book Antiqua" w:hAnsi="Book Antiqua" w:cs="Times New Roman"/>
          <w:kern w:val="2"/>
          <w:lang w:val="en-US"/>
        </w:rPr>
        <w:t>24</w:t>
      </w:r>
      <w:r w:rsidR="00FD47EC">
        <w:rPr>
          <w:rFonts w:ascii="Book Antiqua" w:hAnsi="Book Antiqua" w:cs="Times New Roman"/>
          <w:kern w:val="2"/>
          <w:lang w:val="en-US"/>
        </w:rPr>
        <w:t>, 2019</w:t>
      </w:r>
    </w:p>
    <w:p w14:paraId="52881F42" w14:textId="77777777" w:rsidR="00A308E6" w:rsidRPr="0057248A" w:rsidRDefault="00A308E6" w:rsidP="00685FD1">
      <w:pPr>
        <w:spacing w:line="360" w:lineRule="auto"/>
        <w:jc w:val="both"/>
        <w:rPr>
          <w:rFonts w:ascii="Book Antiqua" w:hAnsi="Book Antiqua"/>
          <w:b/>
          <w:lang w:val="en-US"/>
        </w:rPr>
      </w:pPr>
    </w:p>
    <w:p w14:paraId="4BE38652" w14:textId="77777777" w:rsidR="00AD582B" w:rsidRPr="0057248A" w:rsidRDefault="00AD582B" w:rsidP="00685FD1">
      <w:pPr>
        <w:spacing w:line="360" w:lineRule="auto"/>
        <w:jc w:val="both"/>
        <w:rPr>
          <w:rFonts w:ascii="Book Antiqua" w:hAnsi="Book Antiqua"/>
          <w:b/>
          <w:lang w:val="en-US"/>
        </w:rPr>
      </w:pPr>
      <w:r w:rsidRPr="0057248A">
        <w:rPr>
          <w:rFonts w:ascii="Book Antiqua" w:hAnsi="Book Antiqua"/>
          <w:b/>
          <w:lang w:val="en-US"/>
        </w:rPr>
        <w:br w:type="page"/>
      </w:r>
    </w:p>
    <w:p w14:paraId="4BC315EC" w14:textId="4B9FC8B4" w:rsidR="00F727DF" w:rsidRPr="0057248A" w:rsidRDefault="00F727DF" w:rsidP="00685FD1">
      <w:pPr>
        <w:spacing w:line="360" w:lineRule="auto"/>
        <w:jc w:val="both"/>
        <w:rPr>
          <w:rFonts w:ascii="Book Antiqua" w:hAnsi="Book Antiqua"/>
          <w:b/>
          <w:lang w:val="en-US"/>
        </w:rPr>
      </w:pPr>
      <w:r w:rsidRPr="0057248A">
        <w:rPr>
          <w:rFonts w:ascii="Book Antiqua" w:hAnsi="Book Antiqua"/>
          <w:b/>
          <w:lang w:val="en-US"/>
        </w:rPr>
        <w:lastRenderedPageBreak/>
        <w:t>Abstract</w:t>
      </w:r>
    </w:p>
    <w:p w14:paraId="4FD3E437" w14:textId="42A1BC0B" w:rsidR="00F727DF" w:rsidRPr="0057248A" w:rsidRDefault="00F727DF" w:rsidP="00685FD1">
      <w:pPr>
        <w:spacing w:line="360" w:lineRule="auto"/>
        <w:jc w:val="both"/>
        <w:rPr>
          <w:rFonts w:ascii="Book Antiqua" w:hAnsi="Book Antiqua"/>
          <w:b/>
          <w:i/>
          <w:lang w:val="en-US"/>
        </w:rPr>
      </w:pPr>
      <w:r w:rsidRPr="0057248A">
        <w:rPr>
          <w:rFonts w:ascii="Book Antiqua" w:hAnsi="Book Antiqua"/>
          <w:b/>
          <w:i/>
          <w:lang w:val="en-US"/>
        </w:rPr>
        <w:t>BACKGROUND</w:t>
      </w:r>
    </w:p>
    <w:p w14:paraId="4B4AF076" w14:textId="77B22FC6"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Checkpoint-Inhibition has revolutionized the treatment for several entities such as melanoma and renal cell carcinoma. The first encouraging experience in ovarian cancer was reported for nivolumab, a fully humanized anti-</w:t>
      </w:r>
      <w:r w:rsidR="000837FA" w:rsidRPr="0057248A">
        <w:rPr>
          <w:rFonts w:ascii="Book Antiqua" w:hAnsi="Book Antiqua"/>
          <w:lang w:val="en-US"/>
        </w:rPr>
        <w:t>programmed death-1</w:t>
      </w:r>
      <w:r w:rsidRPr="0057248A">
        <w:rPr>
          <w:rFonts w:ascii="Book Antiqua" w:hAnsi="Book Antiqua"/>
          <w:lang w:val="en-US"/>
        </w:rPr>
        <w:t xml:space="preserve"> antibody.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is a new phenomenon associated with these novel immuno-oncologic agents. It can be explained by infiltrating leucocytes and edema that result in a temporary increase in tumor size and delayed subsequent shrinkage due to tumor cell destruction. </w:t>
      </w:r>
    </w:p>
    <w:p w14:paraId="1975900E" w14:textId="77777777" w:rsidR="00212528" w:rsidRPr="0057248A" w:rsidRDefault="00212528" w:rsidP="00685FD1">
      <w:pPr>
        <w:spacing w:line="360" w:lineRule="auto"/>
        <w:jc w:val="both"/>
        <w:rPr>
          <w:rFonts w:ascii="Book Antiqua" w:hAnsi="Book Antiqua"/>
          <w:b/>
          <w:lang w:val="en-US"/>
        </w:rPr>
      </w:pPr>
    </w:p>
    <w:p w14:paraId="7FB7BAF0" w14:textId="2CC194C8" w:rsidR="00F727DF" w:rsidRPr="0057248A" w:rsidRDefault="00F727DF" w:rsidP="00685FD1">
      <w:pPr>
        <w:spacing w:line="360" w:lineRule="auto"/>
        <w:jc w:val="both"/>
        <w:rPr>
          <w:rFonts w:ascii="Book Antiqua" w:hAnsi="Book Antiqua"/>
          <w:b/>
          <w:i/>
          <w:lang w:val="en-US"/>
        </w:rPr>
      </w:pPr>
      <w:r w:rsidRPr="0057248A">
        <w:rPr>
          <w:rFonts w:ascii="Book Antiqua" w:hAnsi="Book Antiqua"/>
          <w:b/>
          <w:i/>
          <w:lang w:val="en-US"/>
        </w:rPr>
        <w:t>CASE SUMMARY</w:t>
      </w:r>
    </w:p>
    <w:p w14:paraId="468B87BE" w14:textId="24A7A4A4"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 xml:space="preserve">We report on a 47-year old patient with platinum-resistant ovarian cancer that was treated off-label with nivolumab 3mg/kg iv d1q14d. She first experienced classic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with inguinal lymph node swelling after cycle two and subsequent shrinkage. After 6 cycles she presented with rectal bleeding and progressive disease was diagnosed due to new tumor infiltration into the rectum.</w:t>
      </w:r>
    </w:p>
    <w:p w14:paraId="71E355EB" w14:textId="77777777" w:rsidR="00F727DF" w:rsidRPr="0057248A" w:rsidRDefault="00F727DF" w:rsidP="00685FD1">
      <w:pPr>
        <w:spacing w:line="360" w:lineRule="auto"/>
        <w:jc w:val="both"/>
        <w:rPr>
          <w:rFonts w:ascii="Book Antiqua" w:hAnsi="Book Antiqua"/>
          <w:lang w:val="en-US"/>
        </w:rPr>
      </w:pPr>
    </w:p>
    <w:p w14:paraId="4D608FFC" w14:textId="4E2422EE" w:rsidR="00F727DF" w:rsidRPr="0057248A" w:rsidRDefault="00F727DF" w:rsidP="00685FD1">
      <w:pPr>
        <w:spacing w:line="360" w:lineRule="auto"/>
        <w:jc w:val="both"/>
        <w:rPr>
          <w:rFonts w:ascii="Book Antiqua" w:hAnsi="Book Antiqua"/>
          <w:b/>
          <w:i/>
          <w:lang w:val="en-US"/>
        </w:rPr>
      </w:pPr>
      <w:r w:rsidRPr="0057248A">
        <w:rPr>
          <w:rFonts w:ascii="Book Antiqua" w:hAnsi="Book Antiqua"/>
          <w:b/>
          <w:i/>
          <w:lang w:val="en-US"/>
        </w:rPr>
        <w:t>CONCLUSION</w:t>
      </w:r>
    </w:p>
    <w:p w14:paraId="0C80836D" w14:textId="4E63E2FF"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 xml:space="preserve">Clinicians should be aware of </w:t>
      </w:r>
      <w:proofErr w:type="spellStart"/>
      <w:r w:rsidRPr="0057248A">
        <w:rPr>
          <w:rFonts w:ascii="Book Antiqua" w:hAnsi="Book Antiqua"/>
          <w:lang w:val="en-US"/>
        </w:rPr>
        <w:t>pseudoprogression</w:t>
      </w:r>
      <w:proofErr w:type="spellEnd"/>
      <w:r w:rsidRPr="0057248A">
        <w:rPr>
          <w:rFonts w:ascii="Book Antiqua" w:hAnsi="Book Antiqua"/>
          <w:lang w:val="en-US"/>
        </w:rPr>
        <w:t>, its underlying mechanisms and strategies to discriminate pseudo- from real progression in ovarian cancer.</w:t>
      </w:r>
    </w:p>
    <w:p w14:paraId="393EAE03" w14:textId="77777777" w:rsidR="00F727DF" w:rsidRPr="0057248A" w:rsidRDefault="00F727DF" w:rsidP="00685FD1">
      <w:pPr>
        <w:spacing w:line="360" w:lineRule="auto"/>
        <w:jc w:val="both"/>
        <w:rPr>
          <w:rFonts w:ascii="Book Antiqua" w:hAnsi="Book Antiqua"/>
          <w:lang w:val="en-US"/>
        </w:rPr>
      </w:pPr>
    </w:p>
    <w:p w14:paraId="34A67285" w14:textId="65477D2E" w:rsidR="00F727DF" w:rsidRPr="0057248A" w:rsidRDefault="00212528" w:rsidP="00685FD1">
      <w:pPr>
        <w:spacing w:line="360" w:lineRule="auto"/>
        <w:jc w:val="both"/>
        <w:rPr>
          <w:rFonts w:ascii="Book Antiqua" w:hAnsi="Book Antiqua"/>
          <w:lang w:val="en-US"/>
        </w:rPr>
      </w:pPr>
      <w:r w:rsidRPr="0057248A">
        <w:rPr>
          <w:rFonts w:ascii="Book Antiqua" w:hAnsi="Book Antiqua"/>
          <w:b/>
          <w:lang w:val="en-US"/>
        </w:rPr>
        <w:t>Key words</w:t>
      </w:r>
      <w:r w:rsidR="00F727DF" w:rsidRPr="0057248A">
        <w:rPr>
          <w:rFonts w:ascii="Book Antiqua" w:hAnsi="Book Antiqua"/>
          <w:b/>
          <w:lang w:val="en-US"/>
        </w:rPr>
        <w:t>:</w:t>
      </w:r>
      <w:r w:rsidR="00F727DF" w:rsidRPr="0057248A">
        <w:rPr>
          <w:rFonts w:ascii="Book Antiqua" w:hAnsi="Book Antiqua"/>
          <w:lang w:val="en-US"/>
        </w:rPr>
        <w:t xml:space="preserve"> </w:t>
      </w:r>
      <w:bookmarkStart w:id="134" w:name="OLE_LINK18"/>
      <w:r w:rsidR="00F727DF" w:rsidRPr="0057248A">
        <w:rPr>
          <w:rFonts w:ascii="Book Antiqua" w:hAnsi="Book Antiqua"/>
          <w:lang w:val="en-US"/>
        </w:rPr>
        <w:t xml:space="preserve">Case report; Nivolumab; Clinical oncology; Checkpoint inhibition; Gynecologic oncology; </w:t>
      </w:r>
      <w:proofErr w:type="spellStart"/>
      <w:r w:rsidR="00F727DF" w:rsidRPr="0057248A">
        <w:rPr>
          <w:rFonts w:ascii="Book Antiqua" w:hAnsi="Book Antiqua"/>
          <w:lang w:val="en-US"/>
        </w:rPr>
        <w:t>Pseudoprogression</w:t>
      </w:r>
      <w:proofErr w:type="spellEnd"/>
      <w:r w:rsidR="00F727DF" w:rsidRPr="0057248A">
        <w:rPr>
          <w:rFonts w:ascii="Book Antiqua" w:hAnsi="Book Antiqua"/>
          <w:lang w:val="en-US"/>
        </w:rPr>
        <w:t xml:space="preserve">; </w:t>
      </w:r>
      <w:proofErr w:type="spellStart"/>
      <w:r w:rsidR="00F727DF" w:rsidRPr="0057248A">
        <w:rPr>
          <w:rFonts w:ascii="Book Antiqua" w:hAnsi="Book Antiqua"/>
          <w:lang w:val="en-US"/>
        </w:rPr>
        <w:t>Immunooncology</w:t>
      </w:r>
      <w:proofErr w:type="spellEnd"/>
    </w:p>
    <w:bookmarkEnd w:id="134"/>
    <w:p w14:paraId="33991DFE" w14:textId="77777777" w:rsidR="00F727DF" w:rsidRPr="0057248A" w:rsidRDefault="00F727DF" w:rsidP="00685FD1">
      <w:pPr>
        <w:spacing w:line="360" w:lineRule="auto"/>
        <w:jc w:val="both"/>
        <w:rPr>
          <w:rFonts w:ascii="Book Antiqua" w:hAnsi="Book Antiqua"/>
          <w:lang w:val="en-US"/>
        </w:rPr>
      </w:pPr>
    </w:p>
    <w:p w14:paraId="77004030" w14:textId="77777777" w:rsidR="000837FA" w:rsidRPr="0057248A" w:rsidRDefault="000837FA" w:rsidP="000837FA">
      <w:pPr>
        <w:spacing w:line="360" w:lineRule="auto"/>
        <w:jc w:val="both"/>
        <w:rPr>
          <w:rFonts w:ascii="Book Antiqua" w:hAnsi="Book Antiqua" w:cs="Arial"/>
          <w:lang w:val="en-US"/>
        </w:rPr>
      </w:pPr>
      <w:bookmarkStart w:id="135" w:name="OLE_LINK55"/>
      <w:bookmarkStart w:id="136" w:name="OLE_LINK56"/>
      <w:bookmarkStart w:id="137" w:name="OLE_LINK779"/>
      <w:bookmarkStart w:id="138" w:name="OLE_LINK780"/>
      <w:bookmarkStart w:id="139" w:name="OLE_LINK935"/>
      <w:bookmarkStart w:id="140" w:name="OLE_LINK936"/>
      <w:bookmarkStart w:id="141" w:name="OLE_LINK255"/>
      <w:bookmarkStart w:id="142" w:name="OLE_LINK940"/>
      <w:bookmarkStart w:id="143" w:name="OLE_LINK941"/>
      <w:bookmarkStart w:id="144" w:name="OLE_LINK942"/>
      <w:bookmarkStart w:id="145" w:name="OLE_LINK1112"/>
      <w:bookmarkStart w:id="146" w:name="OLE_LINK1113"/>
      <w:bookmarkStart w:id="147" w:name="OLE_LINK1114"/>
      <w:bookmarkStart w:id="148" w:name="OLE_LINK1115"/>
      <w:bookmarkStart w:id="149" w:name="OLE_LINK929"/>
      <w:bookmarkStart w:id="150" w:name="OLE_LINK930"/>
      <w:bookmarkStart w:id="151" w:name="OLE_LINK931"/>
      <w:bookmarkStart w:id="152" w:name="OLE_LINK932"/>
      <w:bookmarkStart w:id="153" w:name="OLE_LINK1125"/>
      <w:bookmarkStart w:id="154" w:name="OLE_LINK1150"/>
      <w:bookmarkStart w:id="155" w:name="OLE_LINK1151"/>
      <w:bookmarkStart w:id="156" w:name="OLE_LINK1164"/>
      <w:bookmarkStart w:id="157" w:name="OLE_LINK1166"/>
      <w:bookmarkStart w:id="158" w:name="OLE_LINK1167"/>
      <w:bookmarkStart w:id="159" w:name="OLE_LINK1226"/>
      <w:bookmarkStart w:id="160" w:name="OLE_LINK1227"/>
      <w:bookmarkStart w:id="161" w:name="OLE_LINK1228"/>
      <w:bookmarkStart w:id="162" w:name="OLE_LINK1229"/>
      <w:bookmarkStart w:id="163" w:name="OLE_LINK1230"/>
      <w:bookmarkStart w:id="164" w:name="OLE_LINK1231"/>
      <w:bookmarkStart w:id="165" w:name="OLE_LINK1364"/>
      <w:bookmarkStart w:id="166" w:name="OLE_LINK1714"/>
      <w:bookmarkStart w:id="167" w:name="OLE_LINK1715"/>
      <w:bookmarkStart w:id="168" w:name="OLE_LINK1831"/>
      <w:bookmarkStart w:id="169" w:name="OLE_LINK1603"/>
      <w:bookmarkStart w:id="170" w:name="OLE_LINK1604"/>
      <w:bookmarkStart w:id="171" w:name="OLE_LINK1633"/>
      <w:bookmarkStart w:id="172" w:name="OLE_LINK1634"/>
      <w:bookmarkStart w:id="173" w:name="OLE_LINK1635"/>
      <w:bookmarkStart w:id="174" w:name="OLE_LINK1637"/>
      <w:bookmarkStart w:id="175" w:name="OLE_LINK1640"/>
      <w:bookmarkStart w:id="176" w:name="OLE_LINK1641"/>
      <w:bookmarkStart w:id="177" w:name="OLE_LINK1687"/>
      <w:bookmarkStart w:id="178" w:name="OLE_LINK1688"/>
      <w:bookmarkStart w:id="179" w:name="OLE_LINK1794"/>
      <w:bookmarkStart w:id="180" w:name="OLE_LINK1795"/>
      <w:bookmarkStart w:id="181" w:name="OLE_LINK1796"/>
      <w:bookmarkStart w:id="182" w:name="OLE_LINK1690"/>
      <w:bookmarkStart w:id="183" w:name="OLE_LINK1691"/>
      <w:bookmarkStart w:id="184" w:name="OLE_LINK1983"/>
      <w:bookmarkStart w:id="185" w:name="OLE_LINK1985"/>
      <w:bookmarkStart w:id="186" w:name="OLE_LINK1986"/>
      <w:bookmarkStart w:id="187" w:name="OLE_LINK1987"/>
      <w:bookmarkStart w:id="188" w:name="OLE_LINK2093"/>
      <w:bookmarkStart w:id="189" w:name="OLE_LINK2156"/>
      <w:bookmarkStart w:id="190" w:name="OLE_LINK2157"/>
      <w:bookmarkStart w:id="191" w:name="OLE_LINK2158"/>
      <w:bookmarkStart w:id="192" w:name="_Hlk7505613"/>
      <w:r w:rsidRPr="0057248A">
        <w:rPr>
          <w:rFonts w:ascii="Book Antiqua" w:hAnsi="Book Antiqua"/>
          <w:b/>
          <w:lang w:val="en-US"/>
        </w:rPr>
        <w:t>©</w:t>
      </w:r>
      <w:bookmarkEnd w:id="135"/>
      <w:bookmarkEnd w:id="136"/>
      <w:r w:rsidRPr="0057248A">
        <w:rPr>
          <w:rFonts w:ascii="Book Antiqua" w:hAnsi="Book Antiqua"/>
          <w:b/>
          <w:lang w:val="en-US"/>
        </w:rPr>
        <w:t xml:space="preserve"> </w:t>
      </w:r>
      <w:r w:rsidRPr="0057248A">
        <w:rPr>
          <w:rFonts w:ascii="Book Antiqua" w:hAnsi="Book Antiqua" w:cs="Arial"/>
          <w:b/>
          <w:lang w:val="en-US"/>
        </w:rPr>
        <w:t xml:space="preserve">The Author(s) 2019. </w:t>
      </w:r>
      <w:r w:rsidRPr="0057248A">
        <w:rPr>
          <w:rFonts w:ascii="Book Antiqua" w:hAnsi="Book Antiqua" w:cs="Arial"/>
          <w:lang w:val="en-US"/>
        </w:rPr>
        <w:t xml:space="preserve">Published by </w:t>
      </w:r>
      <w:proofErr w:type="spellStart"/>
      <w:r w:rsidRPr="0057248A">
        <w:rPr>
          <w:rFonts w:ascii="Book Antiqua" w:hAnsi="Book Antiqua" w:cs="Arial"/>
          <w:lang w:val="en-US"/>
        </w:rPr>
        <w:t>Baishideng</w:t>
      </w:r>
      <w:proofErr w:type="spellEnd"/>
      <w:r w:rsidRPr="0057248A">
        <w:rPr>
          <w:rFonts w:ascii="Book Antiqua" w:hAnsi="Book Antiqua" w:cs="Arial"/>
          <w:lang w:val="en-US"/>
        </w:rPr>
        <w:t xml:space="preserve"> Publishing Group Inc. All rights reserved</w:t>
      </w:r>
      <w:bookmarkStart w:id="193" w:name="OLE_LINK969"/>
      <w:bookmarkStart w:id="194" w:name="OLE_LINK970"/>
      <w:bookmarkStart w:id="195" w:name="OLE_LINK972"/>
      <w:bookmarkStart w:id="196" w:name="OLE_LINK973"/>
      <w:bookmarkStart w:id="197" w:name="OLE_LINK974"/>
      <w:bookmarkStart w:id="198" w:name="OLE_LINK975"/>
      <w:bookmarkStart w:id="199" w:name="OLE_LINK976"/>
      <w:r w:rsidRPr="0057248A">
        <w:rPr>
          <w:rFonts w:ascii="Book Antiqua" w:hAnsi="Book Antiqua" w:cs="Arial"/>
          <w:lang w:val="en-US"/>
        </w:rPr>
        <w:t>.</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3"/>
      <w:bookmarkEnd w:id="194"/>
      <w:bookmarkEnd w:id="195"/>
      <w:bookmarkEnd w:id="196"/>
      <w:bookmarkEnd w:id="197"/>
      <w:bookmarkEnd w:id="198"/>
      <w:bookmarkEnd w:id="199"/>
    </w:p>
    <w:p w14:paraId="5FAB6D4B" w14:textId="77777777" w:rsidR="000837FA" w:rsidRPr="0057248A" w:rsidRDefault="000837FA" w:rsidP="000837FA">
      <w:pPr>
        <w:spacing w:line="360" w:lineRule="auto"/>
        <w:jc w:val="both"/>
        <w:rPr>
          <w:rFonts w:ascii="Book Antiqua" w:hAnsi="Book Antiqua" w:cs="Calibri"/>
          <w:lang w:val="en-US"/>
        </w:rPr>
      </w:pPr>
    </w:p>
    <w:p w14:paraId="0EC1CEAE" w14:textId="4E8CB9D3" w:rsidR="002B5248" w:rsidRPr="0057248A" w:rsidRDefault="000837FA" w:rsidP="000837FA">
      <w:pPr>
        <w:spacing w:line="360" w:lineRule="auto"/>
        <w:jc w:val="both"/>
        <w:rPr>
          <w:rFonts w:ascii="Book Antiqua" w:hAnsi="Book Antiqua"/>
          <w:b/>
          <w:lang w:val="en-US"/>
        </w:rPr>
      </w:pPr>
      <w:r w:rsidRPr="0057248A">
        <w:rPr>
          <w:rFonts w:ascii="Book Antiqua" w:hAnsi="Book Antiqua" w:cs="Times New Roman"/>
          <w:b/>
          <w:lang w:val="en-US"/>
        </w:rPr>
        <w:t xml:space="preserve">Core tip: </w:t>
      </w:r>
      <w:bookmarkStart w:id="200" w:name="OLE_LINK19"/>
      <w:bookmarkEnd w:id="192"/>
      <w:r w:rsidR="00F727DF" w:rsidRPr="0057248A">
        <w:rPr>
          <w:rFonts w:ascii="Book Antiqua" w:hAnsi="Book Antiqua"/>
          <w:lang w:val="en-US"/>
        </w:rPr>
        <w:t xml:space="preserve">Clinicians have to be aware of the phenomenon of </w:t>
      </w:r>
      <w:proofErr w:type="spellStart"/>
      <w:r w:rsidR="00F727DF" w:rsidRPr="0057248A">
        <w:rPr>
          <w:rFonts w:ascii="Book Antiqua" w:hAnsi="Book Antiqua"/>
          <w:lang w:val="en-US"/>
        </w:rPr>
        <w:t>pseudoprogression</w:t>
      </w:r>
      <w:proofErr w:type="spellEnd"/>
      <w:r w:rsidR="00F727DF" w:rsidRPr="0057248A">
        <w:rPr>
          <w:rFonts w:ascii="Book Antiqua" w:hAnsi="Book Antiqua"/>
          <w:lang w:val="en-US"/>
        </w:rPr>
        <w:t xml:space="preserve"> despite its rather rare occurrence.</w:t>
      </w:r>
      <w:r w:rsidR="00AD582B" w:rsidRPr="0057248A">
        <w:rPr>
          <w:rFonts w:ascii="Book Antiqua" w:eastAsia="宋体" w:hAnsi="Book Antiqua"/>
          <w:b/>
          <w:lang w:val="en-US" w:eastAsia="zh-CN"/>
        </w:rPr>
        <w:t xml:space="preserve"> </w:t>
      </w:r>
      <w:r w:rsidR="00F727DF" w:rsidRPr="0057248A">
        <w:rPr>
          <w:rFonts w:ascii="Book Antiqua" w:hAnsi="Book Antiqua"/>
          <w:lang w:val="en-US"/>
        </w:rPr>
        <w:t xml:space="preserve">As both- </w:t>
      </w:r>
      <w:proofErr w:type="spellStart"/>
      <w:r w:rsidR="00F727DF" w:rsidRPr="0057248A">
        <w:rPr>
          <w:rFonts w:ascii="Book Antiqua" w:hAnsi="Book Antiqua"/>
          <w:lang w:val="en-US"/>
        </w:rPr>
        <w:t>pseudoprogression</w:t>
      </w:r>
      <w:proofErr w:type="spellEnd"/>
      <w:r w:rsidR="00F727DF" w:rsidRPr="0057248A">
        <w:rPr>
          <w:rFonts w:ascii="Book Antiqua" w:hAnsi="Book Antiqua"/>
          <w:lang w:val="en-US"/>
        </w:rPr>
        <w:t xml:space="preserve"> and real progression present with an increase in tumor size, the only certain way to differentiate between them is the occurrence of infiltrating growth. While the increase of tumor size in </w:t>
      </w:r>
      <w:proofErr w:type="spellStart"/>
      <w:r w:rsidR="00F727DF" w:rsidRPr="0057248A">
        <w:rPr>
          <w:rFonts w:ascii="Book Antiqua" w:hAnsi="Book Antiqua"/>
          <w:lang w:val="en-US"/>
        </w:rPr>
        <w:t>pseudoprogression</w:t>
      </w:r>
      <w:proofErr w:type="spellEnd"/>
      <w:r w:rsidR="00F727DF" w:rsidRPr="0057248A">
        <w:rPr>
          <w:rFonts w:ascii="Book Antiqua" w:hAnsi="Book Antiqua"/>
          <w:lang w:val="en-US"/>
        </w:rPr>
        <w:t xml:space="preserve"> can be explained by benign growth due to immune cell </w:t>
      </w:r>
      <w:r w:rsidR="00F727DF" w:rsidRPr="0057248A">
        <w:rPr>
          <w:rFonts w:ascii="Book Antiqua" w:hAnsi="Book Antiqua"/>
          <w:lang w:val="en-US"/>
        </w:rPr>
        <w:lastRenderedPageBreak/>
        <w:t>infiltration and edema, only malign growth of a real progression has the ability to infiltrate other tissues.</w:t>
      </w:r>
      <w:r w:rsidR="00AD582B" w:rsidRPr="0057248A">
        <w:rPr>
          <w:rFonts w:ascii="Book Antiqua" w:eastAsia="宋体" w:hAnsi="Book Antiqua"/>
          <w:b/>
          <w:lang w:val="en-US" w:eastAsia="zh-CN"/>
        </w:rPr>
        <w:t xml:space="preserve"> </w:t>
      </w:r>
      <w:r w:rsidR="00F727DF" w:rsidRPr="0057248A">
        <w:rPr>
          <w:rFonts w:ascii="Book Antiqua" w:hAnsi="Book Antiqua"/>
          <w:lang w:val="en-US"/>
        </w:rPr>
        <w:t xml:space="preserve">When in doubt whether a </w:t>
      </w:r>
      <w:proofErr w:type="spellStart"/>
      <w:r w:rsidR="00F727DF" w:rsidRPr="0057248A">
        <w:rPr>
          <w:rFonts w:ascii="Book Antiqua" w:hAnsi="Book Antiqua"/>
          <w:lang w:val="en-US"/>
        </w:rPr>
        <w:t>pseudoprogression</w:t>
      </w:r>
      <w:proofErr w:type="spellEnd"/>
      <w:r w:rsidR="00F727DF" w:rsidRPr="0057248A">
        <w:rPr>
          <w:rFonts w:ascii="Book Antiqua" w:hAnsi="Book Antiqua"/>
          <w:lang w:val="en-US"/>
        </w:rPr>
        <w:t xml:space="preserve"> has occurred, we suggest cautious continuation of checkpoint-inhibition paired with corticoids to lower adverse effects if necessary.</w:t>
      </w:r>
    </w:p>
    <w:bookmarkEnd w:id="200"/>
    <w:p w14:paraId="3C7F8A9D" w14:textId="6FB0668C" w:rsidR="00F727DF" w:rsidRPr="0057248A" w:rsidRDefault="00F727DF" w:rsidP="00685FD1">
      <w:pPr>
        <w:spacing w:line="360" w:lineRule="auto"/>
        <w:jc w:val="both"/>
        <w:rPr>
          <w:rFonts w:ascii="Book Antiqua" w:hAnsi="Book Antiqua"/>
          <w:lang w:val="en-US"/>
        </w:rPr>
      </w:pPr>
    </w:p>
    <w:p w14:paraId="38E0FE71" w14:textId="77777777" w:rsidR="00FD47EC" w:rsidRDefault="00FD47EC" w:rsidP="00FD47EC">
      <w:pPr>
        <w:spacing w:line="360" w:lineRule="auto"/>
        <w:jc w:val="both"/>
        <w:rPr>
          <w:rFonts w:ascii="Book Antiqua" w:eastAsia="Book Antiqua" w:hAnsi="Book Antiqua" w:cs="Book Antiqua"/>
          <w:lang w:val="en-US"/>
        </w:rPr>
      </w:pPr>
      <w:r w:rsidRPr="00FD47EC">
        <w:rPr>
          <w:rFonts w:ascii="Book Antiqua" w:hAnsi="Book Antiqua"/>
          <w:b/>
          <w:lang w:val="en-US"/>
        </w:rPr>
        <w:t>Citation</w:t>
      </w:r>
      <w:r>
        <w:rPr>
          <w:rFonts w:ascii="Book Antiqua" w:hAnsi="Book Antiqua"/>
          <w:lang w:val="en-US"/>
        </w:rPr>
        <w:t xml:space="preserve">: </w:t>
      </w:r>
      <w:proofErr w:type="spellStart"/>
      <w:r w:rsidRPr="0057248A">
        <w:rPr>
          <w:rFonts w:ascii="Book Antiqua" w:hAnsi="Book Antiqua"/>
          <w:lang w:val="en-US"/>
        </w:rPr>
        <w:t>Passler</w:t>
      </w:r>
      <w:proofErr w:type="spellEnd"/>
      <w:r w:rsidRPr="0057248A">
        <w:rPr>
          <w:rFonts w:ascii="Book Antiqua" w:hAnsi="Book Antiqua"/>
          <w:lang w:val="en-US"/>
        </w:rPr>
        <w:t xml:space="preserve"> M, Taube ET, </w:t>
      </w:r>
      <w:proofErr w:type="spellStart"/>
      <w:r w:rsidRPr="0057248A">
        <w:rPr>
          <w:rFonts w:ascii="Book Antiqua" w:hAnsi="Book Antiqua"/>
          <w:lang w:val="en-US"/>
        </w:rPr>
        <w:t>Sehouli</w:t>
      </w:r>
      <w:proofErr w:type="spellEnd"/>
      <w:r w:rsidRPr="0057248A">
        <w:rPr>
          <w:rFonts w:ascii="Book Antiqua" w:hAnsi="Book Antiqua"/>
          <w:lang w:val="en-US"/>
        </w:rPr>
        <w:t xml:space="preserve"> J, </w:t>
      </w:r>
      <w:proofErr w:type="spellStart"/>
      <w:r w:rsidRPr="0057248A">
        <w:rPr>
          <w:rFonts w:ascii="Book Antiqua" w:hAnsi="Book Antiqua"/>
          <w:lang w:val="en-US"/>
        </w:rPr>
        <w:t>Pietzner</w:t>
      </w:r>
      <w:proofErr w:type="spellEnd"/>
      <w:r w:rsidRPr="0057248A">
        <w:rPr>
          <w:rFonts w:ascii="Book Antiqua" w:hAnsi="Book Antiqua"/>
          <w:lang w:val="en-US"/>
        </w:rPr>
        <w:t xml:space="preserve"> K. </w:t>
      </w:r>
      <w:bookmarkStart w:id="201" w:name="OLE_LINK1"/>
      <w:bookmarkStart w:id="202" w:name="OLE_LINK2"/>
      <w:r w:rsidRPr="0057248A">
        <w:rPr>
          <w:rFonts w:ascii="Book Antiqua" w:hAnsi="Book Antiqua"/>
          <w:lang w:val="en-GB"/>
        </w:rPr>
        <w:t xml:space="preserve">Pseudo- or real progression? An ovarian cancer patient under </w:t>
      </w:r>
      <w:proofErr w:type="spellStart"/>
      <w:r w:rsidRPr="0057248A">
        <w:rPr>
          <w:rFonts w:ascii="Book Antiqua" w:hAnsi="Book Antiqua"/>
          <w:lang w:val="en-GB"/>
        </w:rPr>
        <w:t>nivolumab</w:t>
      </w:r>
      <w:proofErr w:type="spellEnd"/>
      <w:r w:rsidRPr="0057248A">
        <w:rPr>
          <w:rFonts w:ascii="Book Antiqua" w:hAnsi="Book Antiqua"/>
          <w:lang w:val="en-GB"/>
        </w:rPr>
        <w:t>: A case report</w:t>
      </w:r>
      <w:bookmarkEnd w:id="201"/>
      <w:bookmarkEnd w:id="202"/>
      <w:r w:rsidRPr="0057248A">
        <w:rPr>
          <w:rFonts w:ascii="Book Antiqua" w:hAnsi="Book Antiqua"/>
          <w:lang w:val="en-GB"/>
        </w:rPr>
        <w:t xml:space="preserve">. </w:t>
      </w:r>
      <w:r w:rsidRPr="0057248A">
        <w:rPr>
          <w:rFonts w:ascii="Book Antiqua" w:hAnsi="Book Antiqua"/>
          <w:i/>
          <w:lang w:val="en-US"/>
        </w:rPr>
        <w:t xml:space="preserve">World J </w:t>
      </w:r>
      <w:proofErr w:type="spellStart"/>
      <w:r w:rsidRPr="0057248A">
        <w:rPr>
          <w:rFonts w:ascii="Book Antiqua" w:hAnsi="Book Antiqua"/>
          <w:i/>
          <w:lang w:val="en-US" w:eastAsia="zh-CN"/>
        </w:rPr>
        <w:t>Clin</w:t>
      </w:r>
      <w:proofErr w:type="spellEnd"/>
      <w:r w:rsidRPr="0057248A">
        <w:rPr>
          <w:rFonts w:ascii="Book Antiqua" w:hAnsi="Book Antiqua"/>
          <w:i/>
          <w:lang w:val="en-US" w:eastAsia="zh-CN"/>
        </w:rPr>
        <w:t xml:space="preserve"> </w:t>
      </w:r>
      <w:proofErr w:type="spellStart"/>
      <w:r w:rsidRPr="0057248A">
        <w:rPr>
          <w:rFonts w:ascii="Book Antiqua" w:hAnsi="Book Antiqua"/>
          <w:i/>
          <w:lang w:val="en-US" w:eastAsia="zh-CN"/>
        </w:rPr>
        <w:t>Oncol</w:t>
      </w:r>
      <w:proofErr w:type="spellEnd"/>
      <w:r w:rsidRPr="0057248A">
        <w:rPr>
          <w:rFonts w:ascii="Book Antiqua" w:hAnsi="Book Antiqua"/>
          <w:i/>
          <w:lang w:val="en-US" w:eastAsia="zh-CN"/>
        </w:rPr>
        <w:t xml:space="preserve"> </w:t>
      </w:r>
      <w:r w:rsidRPr="0057248A">
        <w:rPr>
          <w:rFonts w:ascii="Book Antiqua" w:eastAsia="Book Antiqua" w:hAnsi="Book Antiqua" w:cs="Book Antiqua"/>
          <w:lang w:val="en-US"/>
        </w:rPr>
        <w:t>2019;</w:t>
      </w:r>
      <w:r w:rsidRPr="009D23B8">
        <w:rPr>
          <w:rFonts w:ascii="Book Antiqua" w:eastAsia="Book Antiqua" w:hAnsi="Book Antiqua" w:cs="Book Antiqua"/>
          <w:lang w:val="en-US"/>
        </w:rPr>
        <w:t xml:space="preserve"> 10(7): </w:t>
      </w:r>
      <w:r>
        <w:rPr>
          <w:rFonts w:ascii="Book Antiqua" w:eastAsia="Book Antiqua" w:hAnsi="Book Antiqua" w:cs="Book Antiqua"/>
          <w:lang w:val="en-US"/>
        </w:rPr>
        <w:t>247</w:t>
      </w:r>
      <w:r w:rsidRPr="009D23B8">
        <w:rPr>
          <w:rFonts w:ascii="Book Antiqua" w:eastAsia="Book Antiqua" w:hAnsi="Book Antiqua" w:cs="Book Antiqua"/>
          <w:lang w:val="en-US"/>
        </w:rPr>
        <w:t>-</w:t>
      </w:r>
      <w:r>
        <w:rPr>
          <w:rFonts w:ascii="Book Antiqua" w:eastAsia="Book Antiqua" w:hAnsi="Book Antiqua" w:cs="Book Antiqua"/>
          <w:lang w:val="en-US"/>
        </w:rPr>
        <w:t>255</w:t>
      </w:r>
      <w:r w:rsidRPr="009D23B8">
        <w:rPr>
          <w:rFonts w:ascii="Book Antiqua" w:eastAsia="Book Antiqua" w:hAnsi="Book Antiqua" w:cs="Book Antiqua"/>
          <w:lang w:val="en-US"/>
        </w:rPr>
        <w:t xml:space="preserve"> </w:t>
      </w:r>
    </w:p>
    <w:p w14:paraId="273F5397" w14:textId="2A8DFE42" w:rsidR="00FD47EC" w:rsidRDefault="00FD47EC" w:rsidP="00FD47EC">
      <w:pPr>
        <w:spacing w:line="360" w:lineRule="auto"/>
        <w:jc w:val="both"/>
        <w:rPr>
          <w:rFonts w:ascii="Book Antiqua" w:eastAsia="Book Antiqua" w:hAnsi="Book Antiqua" w:cs="Book Antiqua"/>
          <w:lang w:val="en-US"/>
        </w:rPr>
      </w:pPr>
      <w:r w:rsidRPr="00FD47EC">
        <w:rPr>
          <w:rFonts w:ascii="Book Antiqua" w:eastAsia="Book Antiqua" w:hAnsi="Book Antiqua" w:cs="Book Antiqua"/>
          <w:b/>
          <w:lang w:val="en-US"/>
        </w:rPr>
        <w:t>URL</w:t>
      </w:r>
      <w:r w:rsidRPr="009D23B8">
        <w:rPr>
          <w:rFonts w:ascii="Book Antiqua" w:eastAsia="Book Antiqua" w:hAnsi="Book Antiqua" w:cs="Book Antiqua"/>
          <w:lang w:val="en-US"/>
        </w:rPr>
        <w:t>: https://www.wjgnet.com/2218-4333/full/v10/i7/</w:t>
      </w:r>
      <w:r>
        <w:rPr>
          <w:rFonts w:ascii="Book Antiqua" w:eastAsia="Book Antiqua" w:hAnsi="Book Antiqua" w:cs="Book Antiqua"/>
          <w:lang w:val="en-US"/>
        </w:rPr>
        <w:t>247</w:t>
      </w:r>
      <w:r w:rsidRPr="009D23B8">
        <w:rPr>
          <w:rFonts w:ascii="Book Antiqua" w:eastAsia="Book Antiqua" w:hAnsi="Book Antiqua" w:cs="Book Antiqua"/>
          <w:lang w:val="en-US"/>
        </w:rPr>
        <w:t xml:space="preserve">.htm  </w:t>
      </w:r>
    </w:p>
    <w:p w14:paraId="55300400" w14:textId="43769FE5" w:rsidR="00FD47EC" w:rsidRPr="0057248A" w:rsidRDefault="00FD47EC" w:rsidP="00FD47EC">
      <w:pPr>
        <w:spacing w:line="360" w:lineRule="auto"/>
        <w:jc w:val="both"/>
        <w:rPr>
          <w:rFonts w:ascii="Book Antiqua" w:hAnsi="Book Antiqua" w:cs="Book Antiqua"/>
          <w:lang w:val="en-US"/>
        </w:rPr>
      </w:pPr>
      <w:r w:rsidRPr="00FD47EC">
        <w:rPr>
          <w:rFonts w:ascii="Book Antiqua" w:eastAsia="Book Antiqua" w:hAnsi="Book Antiqua" w:cs="Book Antiqua"/>
          <w:b/>
          <w:lang w:val="en-US"/>
        </w:rPr>
        <w:t>DOI</w:t>
      </w:r>
      <w:r w:rsidRPr="009D23B8">
        <w:rPr>
          <w:rFonts w:ascii="Book Antiqua" w:eastAsia="Book Antiqua" w:hAnsi="Book Antiqua" w:cs="Book Antiqua"/>
          <w:lang w:val="en-US"/>
        </w:rPr>
        <w:t>: https://dx.doi.org/10.5306/wjco.v10.i7.</w:t>
      </w:r>
      <w:r>
        <w:rPr>
          <w:rFonts w:ascii="Book Antiqua" w:eastAsia="Book Antiqua" w:hAnsi="Book Antiqua" w:cs="Book Antiqua"/>
          <w:lang w:val="en-US"/>
        </w:rPr>
        <w:t>247</w:t>
      </w:r>
    </w:p>
    <w:p w14:paraId="1E1C6826" w14:textId="77777777" w:rsidR="00AD582B" w:rsidRPr="0057248A" w:rsidRDefault="00AD582B" w:rsidP="00685FD1">
      <w:pPr>
        <w:spacing w:line="360" w:lineRule="auto"/>
        <w:jc w:val="both"/>
        <w:rPr>
          <w:rFonts w:ascii="Book Antiqua" w:hAnsi="Book Antiqua"/>
          <w:b/>
          <w:lang w:val="en-US"/>
        </w:rPr>
      </w:pPr>
      <w:r w:rsidRPr="0057248A">
        <w:rPr>
          <w:rFonts w:ascii="Book Antiqua" w:hAnsi="Book Antiqua"/>
          <w:b/>
          <w:lang w:val="en-US"/>
        </w:rPr>
        <w:br w:type="page"/>
      </w:r>
    </w:p>
    <w:p w14:paraId="79D91D81" w14:textId="63363C7A" w:rsidR="00F727DF" w:rsidRPr="0057248A" w:rsidRDefault="00F727DF" w:rsidP="00685FD1">
      <w:pPr>
        <w:spacing w:line="360" w:lineRule="auto"/>
        <w:jc w:val="both"/>
        <w:rPr>
          <w:rFonts w:ascii="Book Antiqua" w:hAnsi="Book Antiqua"/>
          <w:b/>
          <w:lang w:val="en-US"/>
        </w:rPr>
      </w:pPr>
      <w:r w:rsidRPr="0057248A">
        <w:rPr>
          <w:rFonts w:ascii="Book Antiqua" w:hAnsi="Book Antiqua"/>
          <w:b/>
          <w:lang w:val="en-US"/>
        </w:rPr>
        <w:lastRenderedPageBreak/>
        <w:t>INTRODUCTION</w:t>
      </w:r>
    </w:p>
    <w:p w14:paraId="194DDC32" w14:textId="4715DEB6"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Cancer has different techniques to evade the immune system, one of those being Programmed death-1 (PD-1) signaling. PD-1 plays an important role in antitumor immunity as it is a vital part of a set of activating and inhibitory T cell receptors called “the immune checkpoint”.  By binding to its ligand PD-L1, which is expressed on the tumor cell, PD-1 inhibits antigen-specific cancer immune reactions and aggravates progression of ovarian cancer by inducing host immuno-suppression</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10.1158/1078-0432.CCR-12-2199","author":[{"dropping-particle":"","family":"Abiko","given":"Kaoru","non-dropping-particle":"","parse-names":false,"suffix":""},{"dropping-particle":"","family":"Mandai","given":"Masaki","non-dropping-particle":"","parse-names":false,"suffix":""},{"dropping-particle":"","family":"Hamanishi","given":"Junzo","non-dropping-particle":"","parse-names":false,"suffix":""},{"dropping-particle":"","family":"Yoshioka","given":"Yumiko","non-dropping-particle":"","parse-names":false,"suffix":""},{"dropping-particle":"","family":"Matsumura","given":"Noriomi","non-dropping-particle":"","parse-names":false,"suffix":""},{"dropping-particle":"","family":"Baba","given":"Tsukasa","non-dropping-particle":"","parse-names":false,"suffix":""}],"id":"ITEM-1","issued":{"date-parts":[["2013"]]},"page":"1363-1375","title":"PD-L1 on Tumor Cells Is Induced in Ascites and Promotes Peritoneal Dissemination of Ovarian Cancer through CTL Dysfunction","type":"article-journal"},"uris":["http://www.mendeley.com/documents/?uuid=d3b386a0-ec4d-488b-a463-7afffb37c763"]},{"id":"ITEM-2","itemData":{"DOI":"10.3390/ijms17071169","ISSN":"14220067","PMID":"27447625","abstract":"Epithelial ovarian cancer (EOC) is the leading cause of death for gynecological cancer. The standard treatment for advanced stage is the combination of optimal debulking surgery and platinum-based chemotherapy. Nevertheless, recurrence is frequent (around 70%) and prognosis is globally poor. New therapeutic agents are needed to improve survival. Since EOC is strongly immunogenic, immune checkpoint inhibitors are under evaluation for their capacity to contrast the \" turn off \" signals expressed by the tumor to escape the immune system and usually responsible for self-tolerance maintenance. This article reviews the literature on anti-cytotoxic T-lymphocyte-associated protein 4 (CTLA-4), anti-PD-1, anti-PD-L1, and anti-PD-L2 antibodies in EOC and highlights their possible lines of development. Further studies are needed to better define the prognostic role of the immune checkpoint inhibitors, to identify predictors of response and the optimal clinical setting in EOC.","author":[{"dropping-particle":"","family":"Mittica","given":"Gloria","non-dropping-particle":"","parse-names":false,"suffix":""},{"dropping-particle":"","family":"Genta","given":"Sofia","non-dropping-particle":"","parse-names":false,"suffix":""},{"dropping-particle":"","family":"Aglietta","given":"Massimo","non-dropping-particle":"","parse-names":false,"suffix":""},{"dropping-particle":"","family":"Valabrega","given":"Giorgio","non-dropping-particle":"","parse-names":false,"suffix":""}],"container-title":"International Journal of Molecular Sciences","id":"ITEM-2","issue":"7","issued":{"date-parts":[["2016"]]},"title":"Immune checkpoint inhibitors: A new opportunity in the treatment of ovarian cancer?","type":"article-journal","volume":"17"},"uris":["http://www.mendeley.com/documents/?uuid=fc174499-4840-476a-82b0-54cabb0c9195"]}],"mendeley":{"formattedCitation":"(1,2)","plainTextFormattedCitation":"(1,2)","previouslyFormattedCitation":"(1,2)"},"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[1,2]</w:t>
      </w:r>
      <w:r w:rsidR="00AD582B" w:rsidRPr="0057248A">
        <w:rPr>
          <w:rFonts w:ascii="Book Antiqua" w:hAnsi="Book Antiqua"/>
          <w:vertAlign w:val="superscript"/>
          <w:lang w:val="en-US"/>
        </w:rPr>
        <w:fldChar w:fldCharType="end"/>
      </w:r>
      <w:r w:rsidRPr="0057248A">
        <w:rPr>
          <w:rFonts w:ascii="Book Antiqua" w:hAnsi="Book Antiqua"/>
          <w:lang w:val="en-US"/>
        </w:rPr>
        <w:t>. If PD-1 and PD-L1 bind, T cell proliferation and cytokine secretion are inhibited. The regulatory T-cells (</w:t>
      </w:r>
      <w:proofErr w:type="spellStart"/>
      <w:r w:rsidRPr="0057248A">
        <w:rPr>
          <w:rFonts w:ascii="Book Antiqua" w:hAnsi="Book Antiqua"/>
          <w:lang w:val="en-US"/>
        </w:rPr>
        <w:t>Treg</w:t>
      </w:r>
      <w:proofErr w:type="spellEnd"/>
      <w:r w:rsidRPr="0057248A">
        <w:rPr>
          <w:rFonts w:ascii="Book Antiqua" w:hAnsi="Book Antiqua"/>
          <w:lang w:val="en-US"/>
        </w:rPr>
        <w:t>) increase and so called self-tolerance is maintained</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{"citationItems":[{"id":"ITEM-1","itemData":{"author":[{"dropping-particle":"","family":"Freeman","given":"By Gordon J","non-dropping-particle":"","parse-names":false,"suffix":""},{"dropping-particle":"","family":"Long","given":"Andrew J","non-dropping-particle":"","parse-names":false,"suffix":""},{"dropping-particle":"","family":"Iwai","given":"Yoshiko","non-dropping-particle":"","parse-names":false,"suffix":""},{"dropping-particle":"","family":"Bourque","given":"Karen","non-dropping-particle":"","parse-names":false,"suffix":""},{"dropping-particle":"","family":"Chernova","given":"Tatyana","non-dropping-particle":"","parse-names":false,"suffix":""},{"dropping-particle":"","family":"Nishimura","given":"Hiroyuki","non-dropping-particle":"","parse-names":false,"suffix":""},{"dropping-particle":"","family":"Fitz","given":"Lori J","non-dropping-particle":"","parse-names":false,"suffix":""},{"dropping-particle":"","family":"Malenkovich","given":"Nelly","non-dropping-particle":"","parse-names":false,"suffix":""},{"dropping-particle":"","family":"Okazaki","given":"Taku","non-dropping-particle":"","parse-names":false,"suffix":""},{"dropping-particle":"","family":"Byrne","given":"Michael C","non-dropping-particle":"","parse-names":false,"suffix":""},{"dropping-particle":"","family":"Horton","given":"Heidi F","non-dropping-particle":"","parse-names":false,"suffix":""},{"dropping-particle":"","family":"Fouser","given":"Lynette","non-dropping-particle":"","parse-names":false,"suffix":""},{"dropping-particle":"","family":"Carter","given":"Laura","non-dropping-particle":"","parse-names":false,"suffix":""},{"dropping-particle":"","family":"Ling","given":"Vincent","non-dropping-particle":"","parse-names":false,"suffix":""},{"dropping-particle":"","family":"Bowman","given":"Michael R","non-dropping-particle":"","parse-names":false,"suffix":""},{"dropping-particle":"","family":"Carreno","given":"Beatriz M","non-dropping-particle":"","parse-names":false,"suffix":""},{"dropping-particle":"","family":"Collins","given":"Mary","non-dropping-particle":"","parse-names":false,"suffix":""},{"dropping-particle":"","family":"Wood","given":"Clive R","non-dropping-particle":"","parse-names":false,"suffix":""},{"dropping-particle":"","family":"Honjo","given":"Tasuku","non-dropping-particle":"","parse-names":false,"suffix":""}],"id":"ITEM-1","issue":"7","issued":{"date-parts":[["2000"]]},"title":"Engagement of the PD-1 Immunoinhibitory Receptor by a Novel B7 Family Member Leads to Negative Regulation of Lymphocyte Activation","type":"article-journal","volume":"192"},"uris":["http://www.mendeley.com/documents/?uuid=458d99f6-8672-4379-a0cd-543274c13c6e"]},{"id":"ITEM-2","itemData":{"DOI":"10.1084/jem.20090847","author":[{"dropping-particle":"","family":"Francisco","given":"Loise M","non-dropping-particle":"","parse-names":false,"suffix":""},{"dropping-particle":"","family":"Salinas","given":"Victor H","non-dropping-particle":"","parse-names":false,"suffix":""},{"dropping-particle":"","family":"Brown","given":"Keturah E","non-dropping-particle":"","parse-names":false,"suffix":""},{"dropping-particle":"","family":"Vanguri","given":"Vijay K","non-dropping-particle":"","parse-names":false,"suffix":""},{"dropping-particle":"","family":"Freeman","given":"Gordon J","non-dropping-particle":"","parse-names":false,"suffix":""},{"dropping-particle":"","family":"Kuchroo","given":"Vijay K","non-dropping-particle":"","parse-names":false,"suffix":""},{"dropping-particle":"","family":"Sharpe","given":"Arlene H","non-dropping-particle":"","parse-names":false,"suffix":""}],"id":"ITEM-2","issue":"13","issued":{"date-parts":[["2009"]]},"page":"3015-3029","title":"PD-L1 regulates the development , maintenance , and function of induced regulatory T cells","type":"article-journal","volume":"206"},"uris":["http://www.mendeley.com/documents/?uuid=8f5dfa8b-8e34-428e-a14c-e45b5fc60647"]}],"mendeley":{"formattedCitation":"(3,4)","plainTextFormattedCitation":"(3,4)","previouslyFormattedCitation":"(3,4)"},"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[3,4]</w:t>
      </w:r>
      <w:r w:rsidR="00AD582B" w:rsidRPr="0057248A">
        <w:rPr>
          <w:rFonts w:ascii="Book Antiqua" w:hAnsi="Book Antiqua"/>
          <w:vertAlign w:val="superscript"/>
          <w:lang w:val="en-US"/>
        </w:rPr>
        <w:fldChar w:fldCharType="end"/>
      </w:r>
      <w:r w:rsidRPr="0057248A">
        <w:rPr>
          <w:rFonts w:ascii="Book Antiqua" w:hAnsi="Book Antiqua"/>
          <w:lang w:val="en-US"/>
        </w:rPr>
        <w:t>.</w:t>
      </w:r>
    </w:p>
    <w:p w14:paraId="084BD8A6" w14:textId="685B3293"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Nivolumab is a fully-</w:t>
      </w:r>
      <w:r w:rsidR="00FA21EA" w:rsidRPr="0057248A">
        <w:rPr>
          <w:rFonts w:ascii="Book Antiqua" w:hAnsi="Book Antiqua"/>
          <w:lang w:val="en-US"/>
        </w:rPr>
        <w:t xml:space="preserve"> </w:t>
      </w:r>
      <w:r w:rsidRPr="0057248A">
        <w:rPr>
          <w:rFonts w:ascii="Book Antiqua" w:hAnsi="Book Antiqua"/>
          <w:lang w:val="en-US"/>
        </w:rPr>
        <w:t>humanized immunoglobulin G4, which targets PD-1. It prevents PD-1 from binding with its ligands and blocks signaling</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{"citationItems":[{"id":"ITEM-1","itemData":{"DOI":"10.3390/ijms17071169","ISSN":"14220067","PMID":"27447625","abstract":"Epithelial ovarian cancer (EOC) is the leading cause of death for gynecological cancer. The standard treatment for advanced stage is the combination of optimal debulking surgery and platinum-based chemotherapy. Nevertheless, recurrence is frequent (around 70%) and prognosis is globally poor. New therapeutic agents are needed to improve survival. Since EOC is strongly immunogenic, immune checkpoint inhibitors are under evaluation for their capacity to contrast the \" turn off \" signals expressed by the tumor to escape the immune system and usually responsible for self-tolerance maintenance. This article reviews the literature on anti-cytotoxic T-lymphocyte-associated protein 4 (CTLA-4), anti-PD-1, anti-PD-L1, and anti-PD-L2 antibodies in EOC and highlights their possible lines of development. Further studies are needed to better define the prognostic role of the immune checkpoint inhibitors, to identify predictors of response and the optimal clinical setting in EOC.","author":[{"dropping-particle":"","family":"Mittica","given":"Gloria","non-dropping-particle":"","parse-names":false,"suffix":""},{"dropping-particle":"","family":"Genta","given":"Sofia","non-dropping-particle":"","parse-names":false,"suffix":""},{"dropping-particle":"","family":"Aglietta","given":"Massimo","non-dropping-particle":"","parse-names":false,"suffix":""},{"dropping-particle":"","family":"Valabrega","given":"Giorgio","non-dropping-particle":"","parse-names":false,"suffix":""}],"container-title":"International Journal of Molecular Sciences","id":"ITEM-1","issue":"7","issued":{"date-parts":[["2016"]]},"title":"Immune checkpoint inhibitors: A new opportunity in the treatment of ovarian cancer?","type":"article-journal","volume":"17"},"uris":["http://www.mendeley.com/documents/?uuid=fc174499-4840-476a-82b0-54cabb0c9195"]}],"mendeley":{"formattedCitation":"(2)","plainTextFormattedCitation":"(2)","previouslyFormattedCitation":"(2)"},"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[2]</w:t>
      </w:r>
      <w:r w:rsidR="00AD582B" w:rsidRPr="0057248A">
        <w:rPr>
          <w:rFonts w:ascii="Book Antiqua" w:hAnsi="Book Antiqua"/>
          <w:vertAlign w:val="superscript"/>
          <w:lang w:val="en-US"/>
        </w:rPr>
        <w:fldChar w:fldCharType="end"/>
      </w:r>
      <w:r w:rsidRPr="0057248A">
        <w:rPr>
          <w:rFonts w:ascii="Book Antiqua" w:hAnsi="Book Antiqua"/>
          <w:lang w:val="en-US"/>
        </w:rPr>
        <w:t>. Thus, it increases the antitumor activity of T cells</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{"citationItems":[{"id":"ITEM-1","itemData":{"DOI":"10.1016/j.juro.2012.08.169","ISSN":"0022-5347","author":[{"dropping-particle":"","family":"Brahmer","given":"J R","non-dropping-particle":"","parse-names":false,"suffix":""},{"dropping-particle":"","family":"Tykodi","given":"S S","non-dropping-particle":"","parse-names":false,"suffix":""},{"dropping-particle":"","family":"Chow","given":"L Q","non-dropping-particle":"","parse-names":false,"suffix":""},{"dropping-particle":"","family":"Hwu","given":"W J","non-dropping-particle":"","parse-names":false,"suffix":""},{"dropping-particle":"","family":"Topalian","given":"S L","non-dropping-particle":"","parse-names":false,"suffix":""},{"dropping-particle":"","family":"Hwu","given":"P","non-dropping-particle":"","parse-names":false,"suffix":""},{"dropping-particle":"","family":"Drake","given":"C G","non-dropping-particle":"","parse-names":false,"suffix":""},{"dropping-particle":"","family":"Camacho","given":"L H","non-dropping-particle":"","parse-names":false,"suffix":""},{"dropping-particle":"","family":"Kauh","given":"J","non-dropping-particle":"","parse-names":false,"suffix":""},{"dropping-particle":"","family":"Odunsi","given":"K","non-dropping-particle":"","parse-names":false,"suffix":""},{"dropping-particle":"","family":"Pitot","given":"H C","non-dropping-particle":"","parse-names":false,"suffix":""},{"dropping-particle":"","family":"Hamid","given":"O","non-dropping-particle":"","parse-names":false,"suffix":""},{"dropping-particle":"","family":"Bhatia","given":"S","non-dropping-particle":"","parse-names":false,"suffix":""},{"dropping-particle":"","family":"Martins","given":"R","non-dropping-particle":"","parse-names":false,"suffix":""},{"dropping-particle":"","family":"Eaton","given":"K","non-dropping-particle":"","parse-names":false,"suffix":""},{"dropping-particle":"","family":"Chen","given":"S","non-dropping-particle":"","parse-names":false,"suffix":""},{"dropping-particle":"","family":"Salay","given":"T M","non-dropping-particle":"","parse-names":false,"suffix":""},{"dropping-particle":"","family":"Alaparthy","given":"S","non-dropping-particle":"","parse-names":false,"suffix":""},{"dropping-particle":"","family":"Grosso","given":"J F","non-dropping-particle":"","parse-names":false,"suffix":""},{"dropping-particle":"","family":"Korman","given":"A J","non-dropping-particle":"","parse-names":false,"suffix":""},{"dropping-particle":"","family":"Parker","given":"S M","non-dropping-particle":"","parse-names":false,"suffix":""},{"dropping-particle":"","family":"Agrawal","given":"S","non-dropping-particle":"","parse-names":false,"suffix":""},{"dropping-particle":"","family":"Goldberg","given":"S M","non-dropping-particle":"","parse-names":false,"suffix":""},{"dropping-particle":"","family":"Pardoll","given":"D M","non-dropping-particle":"","parse-names":false,"suffix":""},{"dropping-particle":"","family":"Gupta","given":"A","non-dropping-particle":"","parse-names":false,"suffix":""},{"dropping-particle":"","family":"Wigginton","given":"J M","non-dropping-particle":"","parse-names":false,"suffix":""}],"container-title":"JURO","id":"ITEM-1","issue":"6","issued":{"date-parts":[["2012"]]},"page":"2148-2149","publisher":"Elsevier Inc.","title":"Re : Safety and Activity of Anti-PD-L1 Antibody in Patients with Re : Antitumor Activity and Safety of Tivozanib ( AV-951 ) in a Phase II Randomized Discontinuation Trial in Patients with Renal Cell Carcinoma","type":"article-journal","volume":"188"},"uris":["http://www.mendeley.com/documents/?uuid=7e803cbe-833c-4484-86f1-07395e2dd4fb"]}],"mendeley":{"formattedCitation":"(5)","plainTextFormattedCitation":"(5)","previouslyFormattedCitation":"(5)"},"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[5]</w:t>
      </w:r>
      <w:r w:rsidR="00AD582B" w:rsidRPr="0057248A">
        <w:rPr>
          <w:rFonts w:ascii="Book Antiqua" w:hAnsi="Book Antiqua"/>
          <w:vertAlign w:val="superscript"/>
          <w:lang w:val="en-US"/>
        </w:rPr>
        <w:fldChar w:fldCharType="end"/>
      </w:r>
      <w:r w:rsidRPr="0057248A">
        <w:rPr>
          <w:rFonts w:ascii="Book Antiqua" w:hAnsi="Book Antiqua"/>
          <w:lang w:val="en-US"/>
        </w:rPr>
        <w:t>.</w:t>
      </w:r>
    </w:p>
    <w:p w14:paraId="648E72D8" w14:textId="606C791D" w:rsidR="00AD582B"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Checkpoint inhibitors have shown impressive results in the treatment of melanoma and non-small-cell-lung cancer and therefore, they have become the gold standard in the management of these entities</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{"citationItems":[{"id":"ITEM-1","itemData":{"author":[{"dropping-particle":"","family":"Chiou","given":"Victoria L","non-dropping-particle":"","parse-names":false,"suffix":""},{"dropping-particle":"","family":"Burotto","given":"Mauricio","non-dropping-particle":"","parse-names":false,"suffix":""}],"container-title":"Journal of Clinical Oncology","id":"ITEM-1","issue":"31","issued":{"date-parts":[["2015"]]},"page":"3541-3542","title":"Pseudoprogression and Immune-Related Response in Solid Tumors","type":"article-journal","volume":"33"},"uris":["http://www.mendeley.com/documents/?uuid=177ad374-6552-437a-8505-c20364903c7c"]}],"mendeley":{"formattedCitation":"(6)","plainTextFormattedCitation":"(6)","previouslyFormattedCitation":"(6)"},"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[6]</w:t>
      </w:r>
      <w:r w:rsidR="00AD582B" w:rsidRPr="0057248A">
        <w:rPr>
          <w:rFonts w:ascii="Book Antiqua" w:hAnsi="Book Antiqua"/>
          <w:vertAlign w:val="superscript"/>
          <w:lang w:val="en-US"/>
        </w:rPr>
        <w:fldChar w:fldCharType="end"/>
      </w:r>
      <w:r w:rsidRPr="0057248A">
        <w:rPr>
          <w:rFonts w:ascii="Book Antiqua" w:hAnsi="Book Antiqua"/>
          <w:lang w:val="en-US"/>
        </w:rPr>
        <w:t xml:space="preserve">. Up to this point, only sparse data exist for checkpoint-inhibition in ovarian cancer. The first experience with nivolumab in ovarian cancer patients was reported by </w:t>
      </w:r>
      <w:proofErr w:type="spellStart"/>
      <w:r w:rsidRPr="0057248A">
        <w:rPr>
          <w:rFonts w:ascii="Book Antiqua" w:hAnsi="Book Antiqua"/>
          <w:lang w:val="en-US"/>
        </w:rPr>
        <w:t>Hamanishi</w:t>
      </w:r>
      <w:proofErr w:type="spellEnd"/>
      <w:r w:rsidRPr="0057248A">
        <w:rPr>
          <w:rFonts w:ascii="Book Antiqua" w:hAnsi="Book Antiqua"/>
          <w:lang w:val="en-US"/>
        </w:rPr>
        <w:t xml:space="preserve"> and colleagues. Nivolumab as a monotherapy was proven to be active in ovarian cancer- contrary to all other approaches of immune therapies like </w:t>
      </w:r>
      <w:proofErr w:type="spellStart"/>
      <w:r w:rsidRPr="0057248A">
        <w:rPr>
          <w:rFonts w:ascii="Book Antiqua" w:hAnsi="Book Antiqua"/>
          <w:lang w:val="en-US"/>
        </w:rPr>
        <w:t>interleukines</w:t>
      </w:r>
      <w:proofErr w:type="spellEnd"/>
      <w:r w:rsidRPr="0057248A">
        <w:rPr>
          <w:rFonts w:ascii="Book Antiqua" w:hAnsi="Book Antiqua"/>
          <w:lang w:val="en-US"/>
        </w:rPr>
        <w:t>, vaccination or dendritic cell therapy. Acknowledging these positive results, it is important to mention that these first results on the efficacy of nivolumab in ovarian cancer are not as ground-breaking as in other entities</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10.1200/JCO.2015.62.3397","author":[{"dropping-particle":"","family":"Hamanishi","given":"Junzo","non-dropping-particle":"","parse-names":false,"suffix":""},{"dropping-particle":"","family":"Mandai","given":"Masaki","non-dropping-particle":"","parse-names":false,"suffix":""},{"dropping-particle":"","family":"Ikeda","given":"Takafumi","non-dropping-particle":"","parse-names":false,"suffix":""},{"dropping-particle":"","family":"Minami","given":"Manabu","non-dropping-particle":"","parse-names":false,"suffix":""},{"dropping-particle":"","family":"Kawaguchi","given":"Atsushi","non-dropping-particle":"","parse-names":false,"suffix":""}],"id":"ITEM-1","issue":"34","issued":{"date-parts":[["2018"]]},"page":"11-13","title":"Safety and Antitumor Activity of Anti – PD-1 Antibody , Nivolumab , in Patients With Platinum-Resistant Ovarian Cancer","type":"article-journal","volume":"33"},"uris":["http://www.mendeley.com/documents/?uuid=9f5f27ad-8ce2-42b3-ae83-7f8c26b4136e"]}],"mendeley":{"formattedCitation":"(7)","plainTextFormattedCitation":"(7)","previouslyFormattedCitation":"(7)"},"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[7]</w:t>
      </w:r>
      <w:r w:rsidR="00AD582B" w:rsidRPr="0057248A">
        <w:rPr>
          <w:rFonts w:ascii="Book Antiqua" w:hAnsi="Book Antiqua"/>
          <w:vertAlign w:val="superscript"/>
          <w:lang w:val="en-US"/>
        </w:rPr>
        <w:fldChar w:fldCharType="end"/>
      </w:r>
      <w:r w:rsidRPr="0057248A">
        <w:rPr>
          <w:rFonts w:ascii="Book Antiqua" w:hAnsi="Book Antiqua"/>
          <w:lang w:val="en-US"/>
        </w:rPr>
        <w:t>. Despite these first encouraging results, the rather low response rates of 15</w:t>
      </w:r>
      <w:r w:rsidR="00AD582B" w:rsidRPr="0057248A">
        <w:rPr>
          <w:rFonts w:ascii="Book Antiqua" w:hAnsi="Book Antiqua"/>
          <w:lang w:val="en-US"/>
        </w:rPr>
        <w:t>%</w:t>
      </w:r>
      <w:r w:rsidRPr="0057248A">
        <w:rPr>
          <w:rFonts w:ascii="Book Antiqua" w:hAnsi="Book Antiqua"/>
          <w:lang w:val="en-US"/>
        </w:rPr>
        <w:t>-25% suggest that further effort is needed to increase efficacy of this novel substance in ovarian cancer. Strategies to improve efficacy could include patient selection, combination with chemotherapy and treatment at an earlier timepoint in the management (</w:t>
      </w:r>
      <w:r w:rsidRPr="0057248A">
        <w:rPr>
          <w:rFonts w:ascii="Book Antiqua" w:hAnsi="Book Antiqua"/>
          <w:i/>
          <w:lang w:val="en-US"/>
        </w:rPr>
        <w:t>e.g.</w:t>
      </w:r>
      <w:r w:rsidR="00AD582B" w:rsidRPr="0057248A">
        <w:rPr>
          <w:rFonts w:ascii="Book Antiqua" w:hAnsi="Book Antiqua"/>
          <w:lang w:val="en-US"/>
        </w:rPr>
        <w:t>,</w:t>
      </w:r>
      <w:r w:rsidRPr="0057248A">
        <w:rPr>
          <w:rFonts w:ascii="Book Antiqua" w:hAnsi="Book Antiqua"/>
          <w:lang w:val="en-US"/>
        </w:rPr>
        <w:t xml:space="preserve"> early platinum-sensible situation).</w:t>
      </w:r>
    </w:p>
    <w:p w14:paraId="07EDD52B" w14:textId="08CD2B02" w:rsidR="00885A94" w:rsidRPr="0057248A" w:rsidRDefault="00A93AEE" w:rsidP="00685FD1">
      <w:pPr>
        <w:spacing w:line="360" w:lineRule="auto"/>
        <w:ind w:firstLineChars="100" w:firstLine="240"/>
        <w:jc w:val="both"/>
        <w:rPr>
          <w:rFonts w:ascii="Book Antiqua" w:hAnsi="Book Antiqua"/>
          <w:lang w:val="en-US"/>
        </w:rPr>
      </w:pPr>
      <w:r w:rsidRPr="0057248A">
        <w:rPr>
          <w:rFonts w:ascii="Book Antiqua" w:hAnsi="Book Antiqua"/>
        </w:rPr>
        <w:t xml:space="preserve">Pietzner </w:t>
      </w:r>
      <w:r w:rsidRPr="0057248A">
        <w:rPr>
          <w:rFonts w:ascii="Book Antiqua" w:hAnsi="Book Antiqua"/>
          <w:i/>
        </w:rPr>
        <w:t>et al</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rPr>
        <w:instrText>ADDIN CSL_CITATION {"citationItems":[{"id":"ITEM-1","itemData":{"DOI":"10.3802/jgo.2018.29.e93","ISSN":"2005-0380","PMID":"30207101","abstract":"The introduction of checkpoint inhibitors revolutionized immuno-oncology. The efficacy of traditional immunotherapeutics, like vaccines and immunostimulants was very limited due to persistent immune-escape strategies of cancer cells. Checkpoint inhibitors target these escape mechanisms and re-direct the immune system to anti-tumor toxicity. Phenomenal results have been reported in entities like melanoma, where no other therapy was able to demonstrate survival benefit, before the introduction of immunotherapeutics. The first experience in ovarian cancer (OC) was reported for nivolumab, a fully human anti-programmed cell death protein 1 (PD1) antibody, in 2015. While the data are extraordinary for a mono-immunotherapeutic agent and very promising, they do not match up to the revolutionary results in entities like melanoma. The key to exceptional treatment response in OC, could be the identification of the most immunogenic patients. We hypothyse that BRCA mutation could be a predictor of improved response in OC. The underlying DNA-repair-deficiancy should result in increased immunogenicity because of higher mutational load and more neoantigen presentation. This hypothesis was not tested to date and should be subject to future trials. The present article gives an overview of the immunologic background of checkpoint inhibition (CI). It presents current data on nivolumab and other checkpoint-inhibitors in solid tumors and OC specifically and depicts important topics in the management of this novel substance group, such as side effect control, diagnostic PD-1/programmed cell death-ligand 1 (PD-L1) expression assessment and management of pseudoprogression.","author":[{"dropping-particle":"","family":"Pietzner","given":"Klaus","non-dropping-particle":"","parse-names":false,"suffix":""},{"dropping-particle":"","family":"Nasser","given":"Sara","non-dropping-particle":"","parse-names":false,"suffix":""},{"dropping-particle":"","family":"Alavi","given":"Sara","non-dropping-particle":"","parse-names":false,"suffix":""},{"dropping-particle":"","family":"Darb-Esfahani","given":"Silvia","non-dropping-particle":"","parse-names":false,"suffix":""},{"dropping-particle":"","family":"Passler","given":"Mona","non-dropping-particle":"","parse-names":false,"suffix":""},{"dropping-particle":"","family":"Muallem","given":"Mustafa Zelal","non-dropping-particle":"","parse-names":false,"suffix":""},{"dropping-particle":"","family":"Sehouli","given":"Jalid","non-dropping-particle":"","parse-names":false,"suffix":""}],"container-title":"Journal of Gynecologic Oncology","id":"ITEM-1","issue":"6","issued":{"date-parts":[["2018"]]},"page":"e93","title":"Checkpoint-inhibition in ovarian cancer: rising star or just a dream?","type":"article-journal","volume":"29"},"uris":["http://www.mendeley.com/documents/?uuid=0ee167f0-7186-4d37-8f37-a06eb16af061"]}],"mendeley":{"formattedCitation":"(8)","plainTextFormattedCitation":"(8)","previouslyFormattedCitation":"(8)"},"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rPr>
        <w:t>[8]</w:t>
      </w:r>
      <w:r w:rsidR="00AD582B" w:rsidRPr="0057248A">
        <w:rPr>
          <w:rFonts w:ascii="Book Antiqua" w:hAnsi="Book Antiqua"/>
          <w:vertAlign w:val="superscript"/>
          <w:lang w:val="en-US"/>
        </w:rPr>
        <w:fldChar w:fldCharType="end"/>
      </w:r>
      <w:r w:rsidRPr="0057248A">
        <w:rPr>
          <w:rFonts w:ascii="Book Antiqua" w:hAnsi="Book Antiqua"/>
        </w:rPr>
        <w:t xml:space="preserve"> hypoth</w:t>
      </w:r>
      <w:r w:rsidR="000D2CB0" w:rsidRPr="0057248A">
        <w:rPr>
          <w:rFonts w:ascii="Book Antiqua" w:hAnsi="Book Antiqua"/>
        </w:rPr>
        <w:t>esiz</w:t>
      </w:r>
      <w:r w:rsidRPr="0057248A">
        <w:rPr>
          <w:rFonts w:ascii="Book Antiqua" w:hAnsi="Book Antiqua"/>
        </w:rPr>
        <w:t>e that identifying specific patients with a</w:t>
      </w:r>
      <w:r w:rsidR="00885A94" w:rsidRPr="0057248A">
        <w:rPr>
          <w:rFonts w:ascii="Book Antiqua" w:hAnsi="Book Antiqua"/>
        </w:rPr>
        <w:t>n</w:t>
      </w:r>
      <w:r w:rsidRPr="0057248A">
        <w:rPr>
          <w:rFonts w:ascii="Book Antiqua" w:hAnsi="Book Antiqua"/>
        </w:rPr>
        <w:t xml:space="preserve"> immunogenic profile like BRCA mutation might lead to a better outcome. </w:t>
      </w:r>
      <w:r w:rsidRPr="0057248A">
        <w:rPr>
          <w:rFonts w:ascii="Book Antiqua" w:hAnsi="Book Antiqua"/>
          <w:lang w:val="en-US"/>
        </w:rPr>
        <w:t xml:space="preserve">The BRCA mutation results in a DNA repair </w:t>
      </w:r>
      <w:r w:rsidR="00885A94" w:rsidRPr="0057248A">
        <w:rPr>
          <w:rFonts w:ascii="Book Antiqua" w:hAnsi="Book Antiqua"/>
          <w:lang w:val="en-US"/>
        </w:rPr>
        <w:t xml:space="preserve">deficiency, mainly because a repair mechanism called </w:t>
      </w:r>
      <w:r w:rsidR="00B0395B" w:rsidRPr="0057248A">
        <w:rPr>
          <w:rFonts w:ascii="Book Antiqua" w:hAnsi="Book Antiqua"/>
          <w:lang w:val="en-US"/>
        </w:rPr>
        <w:t>“H</w:t>
      </w:r>
      <w:r w:rsidR="00885A94" w:rsidRPr="0057248A">
        <w:rPr>
          <w:rFonts w:ascii="Book Antiqua" w:hAnsi="Book Antiqua"/>
          <w:lang w:val="en-US"/>
        </w:rPr>
        <w:t xml:space="preserve">omologous </w:t>
      </w:r>
      <w:r w:rsidR="00B0395B" w:rsidRPr="0057248A">
        <w:rPr>
          <w:rFonts w:ascii="Book Antiqua" w:hAnsi="Book Antiqua"/>
          <w:lang w:val="en-US"/>
        </w:rPr>
        <w:t>R</w:t>
      </w:r>
      <w:r w:rsidR="00885A94" w:rsidRPr="0057248A">
        <w:rPr>
          <w:rFonts w:ascii="Book Antiqua" w:hAnsi="Book Antiqua"/>
          <w:lang w:val="en-US"/>
        </w:rPr>
        <w:t>ecombination</w:t>
      </w:r>
      <w:r w:rsidR="00B0395B" w:rsidRPr="0057248A">
        <w:rPr>
          <w:rFonts w:ascii="Book Antiqua" w:hAnsi="Book Antiqua"/>
          <w:lang w:val="en-US"/>
        </w:rPr>
        <w:t>”</w:t>
      </w:r>
      <w:r w:rsidR="00885A94" w:rsidRPr="0057248A">
        <w:rPr>
          <w:rFonts w:ascii="Book Antiqua" w:hAnsi="Book Antiqua"/>
          <w:lang w:val="en-US"/>
        </w:rPr>
        <w:t xml:space="preserve"> is impaired, which leads to a higher mutational load. The higher the mutational load of the cancer </w:t>
      </w:r>
      <w:r w:rsidR="00AD582B" w:rsidRPr="0057248A">
        <w:rPr>
          <w:rFonts w:ascii="Book Antiqua" w:hAnsi="Book Antiqua"/>
          <w:lang w:val="en-US"/>
        </w:rPr>
        <w:t>-</w:t>
      </w:r>
      <w:r w:rsidR="00885A94" w:rsidRPr="0057248A">
        <w:rPr>
          <w:rFonts w:ascii="Book Antiqua" w:hAnsi="Book Antiqua"/>
          <w:lang w:val="en-US"/>
        </w:rPr>
        <w:t xml:space="preserve"> which includes a higher presentation </w:t>
      </w:r>
      <w:r w:rsidR="00885A94" w:rsidRPr="0057248A">
        <w:rPr>
          <w:rFonts w:ascii="Book Antiqua" w:hAnsi="Book Antiqua"/>
          <w:lang w:val="en-US"/>
        </w:rPr>
        <w:lastRenderedPageBreak/>
        <w:t xml:space="preserve">of neoantigens and an overall immunogenetic profile </w:t>
      </w:r>
      <w:r w:rsidR="00AD582B" w:rsidRPr="0057248A">
        <w:rPr>
          <w:rFonts w:ascii="Book Antiqua" w:hAnsi="Book Antiqua"/>
          <w:lang w:val="en-US"/>
        </w:rPr>
        <w:t>-</w:t>
      </w:r>
      <w:r w:rsidR="00885A94" w:rsidRPr="0057248A">
        <w:rPr>
          <w:rFonts w:ascii="Book Antiqua" w:hAnsi="Book Antiqua"/>
          <w:lang w:val="en-US"/>
        </w:rPr>
        <w:t xml:space="preserve"> the </w:t>
      </w:r>
      <w:r w:rsidR="00B04031" w:rsidRPr="0057248A">
        <w:rPr>
          <w:rFonts w:ascii="Book Antiqua" w:hAnsi="Book Antiqua"/>
          <w:lang w:val="en-US"/>
        </w:rPr>
        <w:t xml:space="preserve">higher the likelihood of success using a </w:t>
      </w:r>
      <w:r w:rsidR="000837FA" w:rsidRPr="0057248A">
        <w:rPr>
          <w:rFonts w:ascii="Book Antiqua" w:hAnsi="Book Antiqua"/>
          <w:lang w:val="en-US"/>
        </w:rPr>
        <w:t>checkpoint inhibition therapy (CIT)</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{"citationItems":[{"id":"ITEM-1","itemData":{"DOI":"10.1126/science.aaa1348.Mutational","abstract":"Immune checkpoint inhibitors, which unleash a patient’s own T cells to kill tumors, are revolutionizing cancer treatment. To unravel the genomic determinants of response to this therapy, we used whole-exome sequencing of non–small cell lung cancers treated with pembrolizumab, an antibody targeting programmed cell death-1 (PD-1). In two independent cohorts, higher nonsynonymous mutation burden in tumors was associated with improved objective response, durable clinical benefit, and progression-free survival. Efficacy also correlated with the molecular smoking signature, higher neoantigen burden, and DNA repair pathway mutations; each factor was also associated with mutation burden. In one responder, neoantigen-specific CD8+ T cell responses paralleled tumor regression, suggesting that anti–PD-1 therapy enhances neoantigen- specific T cell reactivity. Our results suggest that the genomic landscape of lung cancers shapes response to anti–PD-1 therapy.","author":[{"dropping-particle":"","family":"Rizvi","given":"Naiyer A","non-dropping-particle":"","parse-names":false,"suffix":""},{"dropping-particle":"","family":"Hellmann","given":"Matthew D","non-dropping-particle":"","parse-names":false,"suffix":""},{"dropping-particle":"","family":"Snyder","given":"Alexandra","non-dropping-particle":"","parse-names":false,"suffix":""},{"dropping-particle":"","family":"Kvistborg","given":"Pia","non-dropping-particle":"","parse-names":false,"suffix":""},{"dropping-particle":"","family":"Makarov","given":"Vladimir","non-dropping-particle":"","parse-names":false,"suffix":""},{"dropping-particle":"","family":"Havel","given":"Jonathan J","non-dropping-particle":"","parse-names":false,"suffix":""},{"dropping-particle":"","family":"Lee","given":"William","non-dropping-particle":"","parse-names":false,"suffix":""},{"dropping-particle":"","family":"Yuan","given":"Jianda","non-dropping-particle":"","parse-names":false,"suffix":""},{"dropping-particle":"","family":"Wong","given":"Phillip","non-dropping-particle":"","parse-names":false,"suffix":""},{"dropping-particle":"","family":"Ho","given":"S","non-dropping-particle":"","parse-names":false,"suffix":""},{"dropping-particle":"","family":"Miller","given":"Martin L","non-dropping-particle":"","parse-names":false,"suffix":""},{"dropping-particle":"","family":"Rekhtman","given":"Natasha","non-dropping-particle":"","parse-names":false,"suffix":""},{"dropping-particle":"","family":"Moreira","given":"Andre L","non-dropping-particle":"","parse-names":false,"suffix":""},{"dropping-particle":"","family":"Ibrahim","given":"Fawzia","non-dropping-particle":"","parse-names":false,"suffix":""},{"dropping-particle":"","family":"Gasmi","given":"Billel","non-dropping-particle":"","parse-names":false,"suffix":""},{"dropping-particle":"","family":"Zappasodi","given":"Roberta","non-dropping-particle":"","parse-names":false,"suffix":""},{"dropping-particle":"","family":"Maeda","given":"Yuka","non-dropping-particle":"","parse-names":false,"suffix":""},{"dropping-particle":"","family":"Sander","given":"Chris","non-dropping-particle":"","parse-names":false,"suffix":""}],"container-title":"Science","id":"ITEM-1","issue":"6230","issued":{"date-parts":[["2015"]]},"page":"124-128","title":"Mutational landscape determines sensitivity to PD-1 blockade in non–small cell lung cancer","type":"article-journal","volume":"348"},"uris":["http://www.mendeley.com/documents/?uuid=2fea867c-6652-4ef3-be02-d1f71be52624"]},{"id":"ITEM-2","itemData":{"DOI":"10.1056/NEJMoa1500596.PD-1","author":[{"dropping-particle":"","family":"Le","given":"D T","non-dropping-particle":"","parse-names":false,"suffix":""},{"dropping-particle":"","family":"Uram","given":"J N","non-dropping-particle":"","parse-names":false,"suffix":""},{"dropping-particle":"","family":"Wang","given":"H","non-dropping-particle":"","parse-names":false,"suffix":""},{"dropping-particle":"","family":"Bartlett","given":"B R","non-dropping-particle":"","parse-names":false,"suffix":""},{"dropping-particle":"","family":"Kemberling","given":"H","non-dropping-particle":"","parse-names":false,"suffix":""},{"dropping-particle":"","family":"Eyring","given":"A D","non-dropping-particle":"","parse-names":false,"suffix":""},{"dropping-particle":"","family":"Skora","given":"A D","non-dropping-particle":"","parse-names":false,"suffix":""},{"dropping-particle":"","family":"Azad","given":"N S","non-dropping-particle":"","parse-names":false,"suffix":""},{"dropping-particle":"","family":"Laheru","given":"D","non-dropping-particle":"","parse-names":false,"suffix":""},{"dropping-particle":"","family":"Biedrzycki","given":"B","non-dropping-particle":"","parse-names":false,"suffix":""},{"dropping-particle":"","family":"Donehower","given":"R C","non-dropping-particle":"","parse-names":false,"suffix":""},{"dropping-particle":"","family":"Zaheer","given":"A","non-dropping-particle":"","parse-names":false,"suffix":""},{"dropping-particle":"","family":"Fisher","given":"G A","non-dropping-particle":"","parse-names":false,"suffix":""},{"dropping-particle":"","family":"Lee","given":"J J","non-dropping-particle":"","parse-names":false,"suffix":""},{"dropping-particle":"","family":"Duffy","given":"S M","non-dropping-particle":"","parse-names":false,"suffix":""},{"dropping-particle":"","family":"Goldberg","given":"R M","non-dropping-particle":"","parse-names":false,"suffix":""},{"dropping-particle":"","family":"Koshiji","given":"M","non-dropping-particle":"","parse-names":false,"suffix":""},{"dropping-particle":"","family":"Bhaijee","given":"F","non-dropping-particle":"","parse-names":false,"suffix":""},{"dropping-particle":"","family":"Hruban","given":"R H","non-dropping-particle":"","parse-names":false,"suffix":""},{"dropping-particle":"","family":"Wood","given":"L D","non-dropping-particle":"","parse-names":false,"suffix":""},{"dropping-particle":"","family":"Cuka","given":"N","non-dropping-particle":"","parse-names":false,"suffix":""},{"dropping-particle":"","family":"Pardoll","given":"D M","non-dropping-particle":"","parse-names":false,"suffix":""},{"dropping-particle":"","family":"Papadopoulos","given":"N","non-dropping-particle":"","parse-names":false,"suffix":""},{"dropping-particle":"","family":"Kinzler","given":"K W","non-dropping-particle":"","parse-names":false,"suffix":""},{"dropping-particle":"","family":"Cornish","given":"T C","non-dropping-particle":"","parse-names":false,"suffix":""},{"dropping-particle":"","family":"Taube","given":"J M","non-dropping-particle":"","parse-names":false,"suffix":""},{"dropping-particle":"","family":"Anders","given":"R A","non-dropping-particle":"","parse-names":false,"suffix":""},{"dropping-particle":"","family":"Eshleman","given":"J R","non-dropping-particle":"","parse-names":false,"suffix":""},{"dropping-particle":"","family":"Vogelstein","given":"B","non-dropping-particle":"","parse-names":false,"suffix":""},{"dropping-particle":"","family":"Diaz","given":"L A","non-dropping-particle":"","parse-names":false,"suffix":""}],"container-title":"N Engl J Med","id":"ITEM-2","issue":"26","issued":{"date-parts":[["2015"]]},"page":"2509-2520","title":"PD-1 Blockade in Tumors with Mismatch-Repair Deficiency","type":"article-journal","volume":"372"},"uris":["http://www.mendeley.com/documents/?uuid=14b5e33b-6032-4a4c-8e4f-7e47a4c8c127"]},{"id":"ITEM-3","itemData":{"DOI":"10.3802/jgo.2018.29.e93","ISSN":"2005-0380","PMID":"30207101","abstract":"The introduction of checkpoint inhibitors revolutionized immuno-oncology. The efficacy of traditional immunotherapeutics, like vaccines and immunostimulants was very limited due to persistent immune-escape strategies of cancer cells. Checkpoint inhibitors target these escape mechanisms and re-direct the immune system to anti-tumor toxicity. Phenomenal results have been reported in entities like melanoma, where no other therapy was able to demonstrate survival benefit, before the introduction of immunotherapeutics. The first experience in ovarian cancer (OC) was reported for nivolumab, a fully human anti-programmed cell death protein 1 (PD1) antibody, in 2015. While the data are extraordinary for a mono-immunotherapeutic agent and very promising, they do not match up to the revolutionary results in entities like melanoma. The key to exceptional treatment response in OC, could be the identification of the most immunogenic patients. We hypothyse that BRCA mutation could be a predictor of improved response in OC. The underlying DNA-repair-deficiancy should result in increased immunogenicity because of higher mutational load and more neoantigen presentation. This hypothesis was not tested to date and should be subject to future trials. The present article gives an overview of the immunologic background of checkpoint inhibition (CI). It presents current data on nivolumab and other checkpoint-inhibitors in solid tumors and OC specifically and depicts important topics in the management of this novel substance group, such as side effect control, diagnostic PD-1/programmed cell death-ligand 1 (PD-L1) expression assessment and management of pseudoprogression.","author":[{"dropping-particle":"","family":"Pietzner","given":"Klaus","non-dropping-particle":"","parse-names":false,"suffix":""},{"dropping-particle":"","family":"Nasser","given":"Sara","non-dropping-particle":"","parse-names":false,"suffix":""},{"dropping-particle":"","family":"Alavi","given":"Sara","non-dropping-particle":"","parse-names":false,"suffix":""},{"dropping-particle":"","family":"Darb-Esfahani","given":"Silvia","non-dropping-particle":"","parse-names":false,"suffix":""},{"dropping-particle":"","family":"Passler","given":"Mona","non-dropping-particle":"","parse-names":false,"suffix":""},{"dropping-particle":"","family":"Muallem","given":"Mustafa Zelal","non-dropping-particle":"","parse-names":false,"suffix":""},{"dropping-particle":"","family":"Sehouli","given":"Jalid","non-dropping-particle":"","parse-names":false,"suffix":""}],"container-title":"Journal of Gynecologic Oncology","id":"ITEM-3","issue":"6","issued":{"date-parts":[["2018"]]},"page":"e93","title":"Checkpoint-inhibition in ovarian cancer: rising star or just a dream?","type":"article-journal","volume":"29"},"uris":["http://www.mendeley.com/documents/?uuid=0ee167f0-7186-4d37-8f37-a06eb16af061"]}],"mendeley":{"formattedCitation":"(8–10)","plainTextFormattedCitation":"(8–10)","previouslyFormattedCitation":"(8–10)"},"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[8-10]</w:t>
      </w:r>
      <w:r w:rsidR="00AD582B" w:rsidRPr="0057248A">
        <w:rPr>
          <w:rFonts w:ascii="Book Antiqua" w:hAnsi="Book Antiqua"/>
          <w:vertAlign w:val="superscript"/>
          <w:lang w:val="en-US"/>
        </w:rPr>
        <w:fldChar w:fldCharType="end"/>
      </w:r>
      <w:r w:rsidR="00E86A1F" w:rsidRPr="0057248A">
        <w:rPr>
          <w:rFonts w:ascii="Book Antiqua" w:hAnsi="Book Antiqua"/>
          <w:lang w:val="en-US"/>
        </w:rPr>
        <w:t>.</w:t>
      </w:r>
    </w:p>
    <w:p w14:paraId="355D0CB1" w14:textId="04D11C10" w:rsidR="00F727DF" w:rsidRPr="0057248A" w:rsidRDefault="00885A94" w:rsidP="00685FD1">
      <w:pPr>
        <w:spacing w:line="360" w:lineRule="auto"/>
        <w:ind w:firstLineChars="100" w:firstLine="240"/>
        <w:jc w:val="both"/>
        <w:rPr>
          <w:rFonts w:ascii="Book Antiqua" w:hAnsi="Book Antiqua"/>
        </w:rPr>
      </w:pPr>
      <w:r w:rsidRPr="0057248A">
        <w:rPr>
          <w:rFonts w:ascii="Book Antiqua" w:hAnsi="Book Antiqua"/>
          <w:lang w:val="en-US"/>
        </w:rPr>
        <w:t xml:space="preserve">This hypothesis </w:t>
      </w:r>
      <w:r w:rsidR="00B04031" w:rsidRPr="0057248A">
        <w:rPr>
          <w:rFonts w:ascii="Book Antiqua" w:hAnsi="Book Antiqua"/>
          <w:lang w:val="en-US"/>
        </w:rPr>
        <w:t>is s</w:t>
      </w:r>
      <w:r w:rsidR="00B0395B" w:rsidRPr="0057248A">
        <w:rPr>
          <w:rFonts w:ascii="Book Antiqua" w:hAnsi="Book Antiqua"/>
          <w:lang w:val="en-US"/>
        </w:rPr>
        <w:t xml:space="preserve">upported by data from patients with Lynch-Syndrome in colorectal cancer, which is a mismatch repair deficiency comparable to the </w:t>
      </w:r>
      <w:r w:rsidR="00B0395B" w:rsidRPr="0057248A">
        <w:rPr>
          <w:rFonts w:ascii="Book Antiqua" w:hAnsi="Book Antiqua"/>
          <w:i/>
          <w:lang w:val="en-US"/>
        </w:rPr>
        <w:t>BRCA</w:t>
      </w:r>
      <w:r w:rsidR="00B0395B" w:rsidRPr="0057248A">
        <w:rPr>
          <w:rFonts w:ascii="Book Antiqua" w:hAnsi="Book Antiqua"/>
          <w:lang w:val="en-US"/>
        </w:rPr>
        <w:t xml:space="preserve"> mutation. </w:t>
      </w:r>
      <w:r w:rsidR="00B0395B" w:rsidRPr="0057248A">
        <w:rPr>
          <w:rFonts w:ascii="Book Antiqua" w:hAnsi="Book Antiqua"/>
        </w:rPr>
        <w:t xml:space="preserve">Le </w:t>
      </w:r>
      <w:r w:rsidR="00B0395B" w:rsidRPr="0057248A">
        <w:rPr>
          <w:rFonts w:ascii="Book Antiqua" w:hAnsi="Book Antiqua"/>
          <w:i/>
        </w:rPr>
        <w:t>et al</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rPr>
        <w:instrText>ADDIN CSL_CITATION {"citationItems":[{"id":"ITEM-1","itemData":{"DOI":"10.1056/NEJMoa1500596.PD-1","author":[{"dropping-particle":"","family":"Le","given":"D T","non-dropping-particle":"","parse-names":false,"suffix":""},{"dropping-particle":"","family":"Uram","given":"J N","non-dropping-particle":"","parse-names":false,"suffix":""},{"dropping-particle":"","family":"Wang","given":"H","non-dropping-particle":"","parse-names":false,"suffix":""},{"dropping-particle":"","family":"Bartlett","given":"B R","non-dropping-particle":"","parse-names":false,"suffix":""},{"dropping-particle":"","family":"Kemberling","given":"H","non-dropping-particle":"","parse-names":false,"suffix":""},{"dropping-particle":"","family":"Eyring","given":"A D","non-dropping-particle":"","parse-names":false,"suffix":""},{"dropping-particle":"","family":"Skora","given":"A D","non-dropping-particle":"","parse-names":false,"suffix":""},{"dropping-particle":"","family":"Azad","given":"N S","non-dropping-particle":"","parse-names":false,"suffix":""},{"dropping-particle":"","family":"Laheru","given":"D","non-dropping-particle":"","parse-names":false,"suffix":""},{"dropping-particle":"","family":"Biedrzycki","given":"B","non-dropping-particle":"","parse-names":false,"suffix":""},{"dropping-particle":"","family":"Donehower","given":"R C","non-dropping-particle":"","parse-names":false,"suffix":""},{"dropping-particle":"","family":"Zaheer","given":"A","non-dropping-particle":"","parse-names":false,"suffix":""},{"dropping-particle":"","family":"Fisher","given":"G A","non-dropping-particle":"","parse-names":false,"suffix":""},{"dropping-particle":"","family":"Lee","given":"J J","non-dropping-particle":"","parse-names":false,"suffix":""},{"dropping-particle":"","family":"Duffy","given":"S M","non-dropping-particle":"","parse-names":false,"suffix":""},{"dropping-particle":"","family":"Goldberg","given":"R M","non-dropping-particle":"","parse-names":false,"suffix":""},{"dropping-particle":"","family":"Koshiji","given":"M","non-dropping-particle":"","parse-names":false,"suffix":""},{"dropping-particle":"","family":"Bhaijee","given":"F","non-dropping-particle":"","parse-names":false,"suffix":""},{"dropping-particle":"","family":"Hruban","given":"R H","non-dropping-particle":"","parse-names":false,"suffix":""},{"dropping-particle":"","family":"Wood","given":"L D","non-dropping-particle":"","parse-names":false,"suffix":""},{"dropping-particle":"","family":"Cuka","given":"N","non-dropping-particle":"","parse-names":false,"suffix":""},{"dropping-particle":"","family":"Pardoll","given":"D M","non-dropping-particle":"","parse-names":false,"suffix":""},{"dropping-particle":"","family":"Papadopoulos","given":"N","non-dropping-particle":"","parse-names":false,"suffix":""},{"dropping-particle":"","family":"Kinzler","given":"K W","non-dropping-particle":"","parse-names":false,"suffix":""},{"dropping-particle":"","family":"Cornish","given":"T C","non-dropping-particle":"","parse-names":false,"suffix":""},{"dropping-particle":"","family":"Taube","given":"J M","non-dropping-particle":"","parse-names":false,"suffix":""},{"dropping-particle":"","family":"Anders","given":"R A","non-dropping-particle":"","parse-names":false,"suffix":""},{"dropping-particle":"","family":"Eshleman","given":"J R","non-dropping-particle":"","parse-names":false,"suffix":""},{"dropping-particle":"","family":"Vogelstein","given":"B","non-dropping-particle":"","parse-names":false,"suffix":""},{"dropping-particle":"","family":"Diaz","given":"L A","non-dropping-particle":"","parse-names":false,"suffix":""}],"container-title":"N Engl J Med","id":"ITEM-1","issue":"26","issued":{"date-parts":[["2015"]]},"page":"2509-2520","title":"PD-1 Blockade in Tumors with Mismatch-Repair Deficiency","type":"article-journal","volume":"372"},"uris":["http://www.mendeley.com/documents/?uuid=14b5e33b-6032-4a4c-8e4f-7e47a4c8c127"]}],"mendeley":{"formattedCitation":"(10)","plainTextFormattedCitation":"(10)","previouslyFormattedCitation":"(10)"},"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rPr>
        <w:t>[10]</w:t>
      </w:r>
      <w:r w:rsidR="00AD582B" w:rsidRPr="0057248A">
        <w:rPr>
          <w:rFonts w:ascii="Book Antiqua" w:hAnsi="Book Antiqua"/>
          <w:vertAlign w:val="superscript"/>
          <w:lang w:val="en-US"/>
        </w:rPr>
        <w:fldChar w:fldCharType="end"/>
      </w:r>
      <w:r w:rsidR="00B0395B" w:rsidRPr="0057248A">
        <w:rPr>
          <w:rFonts w:ascii="Book Antiqua" w:hAnsi="Book Antiqua"/>
        </w:rPr>
        <w:t xml:space="preserve"> showed a strong correlation between mismatch repair deficiency and positive results under CI</w:t>
      </w:r>
      <w:r w:rsidR="00397E3A" w:rsidRPr="0057248A">
        <w:rPr>
          <w:rFonts w:ascii="Book Antiqua" w:hAnsi="Book Antiqua"/>
        </w:rPr>
        <w:t>T</w:t>
      </w:r>
      <w:r w:rsidR="00B0395B" w:rsidRPr="0057248A">
        <w:rPr>
          <w:rFonts w:ascii="Book Antiqua" w:hAnsi="Book Antiqua"/>
        </w:rPr>
        <w:t>.</w:t>
      </w:r>
    </w:p>
    <w:p w14:paraId="5B48913C" w14:textId="531965C5"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Up until the introduction of </w:t>
      </w:r>
      <w:r w:rsidR="00CA111C" w:rsidRPr="0057248A">
        <w:rPr>
          <w:rFonts w:ascii="Book Antiqua" w:hAnsi="Book Antiqua"/>
          <w:lang w:val="en-US"/>
        </w:rPr>
        <w:t>CIT</w:t>
      </w:r>
      <w:r w:rsidRPr="0057248A">
        <w:rPr>
          <w:rFonts w:ascii="Book Antiqua" w:hAnsi="Book Antiqua"/>
          <w:lang w:val="en-US"/>
        </w:rPr>
        <w:t xml:space="preserve">, the evaluation of therapy response followed a simple rule: If a new lesion is detected or the tumor growth increases, this process is classified as progression, and clinicians are used to stop the ongoing treatment (chemotherapy or targeted therapy) as it seems to be inefficient. This rule does not apply to the novel substance group of checkpoint inhibitors, because of a phenomenon known as </w:t>
      </w:r>
      <w:proofErr w:type="spellStart"/>
      <w:r w:rsidRPr="0057248A">
        <w:rPr>
          <w:rFonts w:ascii="Book Antiqua" w:hAnsi="Book Antiqua"/>
          <w:lang w:val="en-US"/>
        </w:rPr>
        <w:t>pseudoprogression</w:t>
      </w:r>
      <w:proofErr w:type="spellEnd"/>
      <w:r w:rsidR="00AD582B" w:rsidRPr="0057248A">
        <w:rPr>
          <w:rFonts w:ascii="Book Antiqua" w:hAnsi="Book Antiqua"/>
          <w:lang w:val="en-US"/>
        </w:rPr>
        <w:t>.</w:t>
      </w:r>
    </w:p>
    <w:p w14:paraId="1E21F199" w14:textId="607BCCE8" w:rsidR="00F727DF" w:rsidRPr="0057248A" w:rsidRDefault="00F727DF" w:rsidP="000837FA">
      <w:pPr>
        <w:spacing w:line="360" w:lineRule="auto"/>
        <w:ind w:firstLineChars="100" w:firstLine="240"/>
        <w:jc w:val="both"/>
        <w:rPr>
          <w:rFonts w:ascii="Book Antiqua" w:hAnsi="Book Antiqua"/>
          <w:lang w:val="en-US"/>
        </w:rPr>
      </w:pPr>
      <w:r w:rsidRPr="0057248A">
        <w:rPr>
          <w:rFonts w:ascii="Book Antiqua" w:hAnsi="Book Antiqua"/>
          <w:lang w:val="en-US"/>
        </w:rPr>
        <w:t>In this scenario, the increase in tumor size or the appearance of a new lesion is not related to tumor cell growth as shown in Fig</w:t>
      </w:r>
      <w:r w:rsidR="000837FA" w:rsidRPr="0057248A">
        <w:rPr>
          <w:rFonts w:ascii="Book Antiqua" w:hAnsi="Book Antiqua"/>
          <w:lang w:val="en-US"/>
        </w:rPr>
        <w:t>ure</w:t>
      </w:r>
      <w:r w:rsidRPr="0057248A">
        <w:rPr>
          <w:rFonts w:ascii="Book Antiqua" w:hAnsi="Book Antiqua"/>
          <w:lang w:val="en-US"/>
        </w:rPr>
        <w:t xml:space="preserve"> 1A. Instead, it can be explained by the infiltration of immune cells into a preexisting tumor cell conglomerate as well as the consecutive edema as a response to the immune reaction</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{"citationItems":[{"id":"ITEM-1","itemData":{"DOI":"10.1007/978-3-319-53156-4","ISBN":"978-3-319-53155-7","author":[{"dropping-particle":"","family":"Patel","given":"Anisha B","non-dropping-particle":"","parse-names":false,"suffix":""},{"dropping-particle":"","family":"Pacha","given":"Omar","non-dropping-particle":"","parse-names":false,"suffix":""}],"id":"ITEM-1","issued":{"date-parts":[["2017"]]},"page":"175-184","title":"Immunotherapy","type":"article-journal","volume":"995"},"uris":["http://www.mendeley.com/documents/?uuid=b9f785ad-3f51-4b87-bd8d-fa04bf5ad6b6"]}],"mendeley":{"formattedCitation":"(11)","plainTextFormattedCitation":"(11)","previouslyFormattedCitation":"(11)"},"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[11]</w:t>
      </w:r>
      <w:r w:rsidR="00AD582B" w:rsidRPr="0057248A">
        <w:rPr>
          <w:rFonts w:ascii="Book Antiqua" w:hAnsi="Book Antiqua"/>
          <w:vertAlign w:val="superscript"/>
          <w:lang w:val="en-US"/>
        </w:rPr>
        <w:fldChar w:fldCharType="end"/>
      </w:r>
      <w:r w:rsidRPr="0057248A">
        <w:rPr>
          <w:rFonts w:ascii="Book Antiqua" w:hAnsi="Book Antiqua"/>
          <w:lang w:val="en-US"/>
        </w:rPr>
        <w:t>.</w:t>
      </w:r>
      <w:r w:rsidR="00AD582B" w:rsidRPr="0057248A">
        <w:rPr>
          <w:rFonts w:ascii="Book Antiqua" w:hAnsi="Book Antiqua"/>
          <w:lang w:val="en-US"/>
        </w:rPr>
        <w:t xml:space="preserve"> </w:t>
      </w:r>
      <w:r w:rsidRPr="0057248A">
        <w:rPr>
          <w:rFonts w:ascii="Book Antiqua" w:hAnsi="Book Antiqua"/>
          <w:lang w:val="en-US"/>
        </w:rPr>
        <w:t xml:space="preserve">Therefore,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initially appears like a classic progression, with subsequent decrease in size without additional treatment</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{"citationItems":[{"id":"ITEM-1","itemData":{"DOI":"10.1158/1078-0432.CCR-09-1624","ISBN":"1078-0432 (Print)\\n1078-0432 (Linking)","ISSN":"10780432","PMID":"19934295","abstract":"PURPOSE: Immunotherapeutic agents produce antitumor effects by inducing cancer-specific immune responses or by modifying native immune processes. Resulting clinical response patterns extend beyond those of cytotoxic agents and can manifest after an initial increase in tumor burden or the appearance of new lesions (progressive disease). Response Evaluation Criteria in Solid Tumors or WHO criteria, designed to detect early effects of cytotoxic agents, may not provide a complete assessment of immunotherapeutic agents. Novel criteria for the evaluation of antitumor responses with immunotherapeutic agents are required. EXPERIMENTAL DESIGN: The phase II clinical trial program with ipilimumab, an antibody that blocks CTL antigen-4, represents the most comprehensive data set available to date for an immunotherapeutic agent. Novel immune therapy response criteria proposed, based on the shared experience from community workshops and several investigators, were evaluated using data from ipilimumab phase II clinical trials in patients with advanced melanoma. RESULTS: Ipilimumab monotherapy resulted in four distinct response patterns: (a) shrinkage in baseline lesions, without new lesions; (b) durable stable disease (in some patients followed by a slow, steady decline in total tumor burden); (c) response after an increase in total tumor burden; and (d) response in the presence of new lesions. All patterns were associated with favorable survival. CONCLUSION: Systematic criteria, designated immune-related response criteria, were defined in an attempt to capture additional response patterns observed with immune therapy in advanced melanoma beyond those described by Response Evaluation Criteria in Solid Tumors or WHO criteria. Further prospective evaluations of the immune-related response criteria, particularly their association with overall survival, are warranted.","author":[{"dropping-particle":"","family":"Wolchok","given":"Jedd D.","non-dropping-particle":"","parse-names":false,"suffix":""},{"dropping-particle":"","family":"Hoos","given":"Axel","non-dropping-particle":"","parse-names":false,"suffix":""},{"dropping-particle":"","family":"O'Day","given":"Steven","non-dropping-particle":"","parse-names":false,"suffix":""},{"dropping-particle":"","family":"Weber","given":"Jeffrey S.","non-dropping-particle":"","parse-names":false,"suffix":""},{"dropping-particle":"","family":"Hamid","given":"Omid","non-dropping-particle":"","parse-names":false,"suffix":""},{"dropping-particle":"","family":"Lebbé","given":"Celeste","non-dropping-particle":"","parse-names":false,"suffix":""},{"dropping-particle":"","family":"Maio","given":"Michele","non-dropping-particle":"","parse-names":false,"suffix":""},{"dropping-particle":"","family":"Binder","given":"Michael","non-dropping-particle":"","parse-names":false,"suffix":""},{"dropping-particle":"","family":"Bohnsack","given":"Oliver","non-dropping-particle":"","parse-names":false,"suffix":""},{"dropping-particle":"","family":"Nichol","given":"Geoffrey","non-dropping-particle":"","parse-names":false,"suffix":""},{"dropping-particle":"","family":"Humphrey","given":"Rachel","non-dropping-particle":"","parse-names":false,"suffix":""},{"dropping-particle":"","family":"Hodi","given":"F. Stephen","non-dropping-particle":"","parse-names":false,"suffix":""}],"container-title":"Clinical Cancer Research","id":"ITEM-1","issue":"23","issued":{"date-parts":[["2009"]]},"page":"7412-7420","title":"Guidelines for the evaluation of immune therapy activity in solid tumors: Immune-related response criteria","type":"article-journal","volume":"15"},"uris":["http://www.mendeley.com/documents/?uuid=7c784b35-a5ac-4071-9974-4bbe4b42a239"]},{"id":"ITEM-2","itemData":{"author":[{"dropping-particle":"","family":"Chiou","given":"Victoria L","non-dropping-particle":"","parse-names":false,"suffix":""},{"dropping-particle":"","family":"Burotto","given":"Mauricio","non-dropping-particle":"","parse-names":false,"suffix":""}],"container-title":"Journal of Clinical Oncology","id":"ITEM-2","issue":"31","issued":{"date-parts":[["2015"]]},"page":"3541-3542","title":"Pseudoprogression and Immune-Related Response in Solid Tumors","type":"article-journal","volume":"33"},"uris":["http://www.mendeley.com/documents/?uuid=177ad374-6552-437a-8505-c20364903c7c"]}],"mendeley":{"formattedCitation":"(6,12)","plainTextFormattedCitation":"(6,12)","previouslyFormattedCitation":"(6,12)"},"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[6,12]</w:t>
      </w:r>
      <w:r w:rsidR="00AD582B" w:rsidRPr="0057248A">
        <w:rPr>
          <w:rFonts w:ascii="Book Antiqua" w:hAnsi="Book Antiqua"/>
          <w:vertAlign w:val="superscript"/>
          <w:lang w:val="en-US"/>
        </w:rPr>
        <w:fldChar w:fldCharType="end"/>
      </w:r>
      <w:r w:rsidRPr="0057248A">
        <w:rPr>
          <w:rFonts w:ascii="Book Antiqua" w:hAnsi="Book Antiqua"/>
          <w:lang w:val="en-US"/>
        </w:rPr>
        <w:t>.</w:t>
      </w:r>
    </w:p>
    <w:p w14:paraId="57F249D9" w14:textId="1E07C561" w:rsidR="00473AD2"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The number of patients with solid tumors undergoing immune checkpoint inhibitor therapy is rapidly growing, while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remains a challenge for the clinician. The </w:t>
      </w:r>
      <w:r w:rsidR="00B97F2E" w:rsidRPr="0057248A">
        <w:rPr>
          <w:rFonts w:ascii="Book Antiqua" w:hAnsi="Book Antiqua"/>
          <w:lang w:val="en-US"/>
        </w:rPr>
        <w:t xml:space="preserve">estimated occurrence </w:t>
      </w:r>
      <w:r w:rsidRPr="0057248A">
        <w:rPr>
          <w:rFonts w:ascii="Book Antiqua" w:hAnsi="Book Antiqua"/>
          <w:lang w:val="en-US"/>
        </w:rPr>
        <w:t xml:space="preserve">of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w:t>
      </w:r>
      <w:r w:rsidR="00B97F2E" w:rsidRPr="0057248A">
        <w:rPr>
          <w:rFonts w:ascii="Book Antiqua" w:hAnsi="Book Antiqua"/>
          <w:lang w:val="en-US"/>
        </w:rPr>
        <w:t>ranges from 1</w:t>
      </w:r>
      <w:r w:rsidR="00AD582B" w:rsidRPr="0057248A">
        <w:rPr>
          <w:rFonts w:ascii="Book Antiqua" w:hAnsi="Book Antiqua"/>
          <w:lang w:val="en-US"/>
        </w:rPr>
        <w:t>.</w:t>
      </w:r>
      <w:r w:rsidR="00B97F2E" w:rsidRPr="0057248A">
        <w:rPr>
          <w:rFonts w:ascii="Book Antiqua" w:hAnsi="Book Antiqua"/>
          <w:lang w:val="en-US"/>
        </w:rPr>
        <w:t>5% to 17% depending on the tumor entity and the study</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{"citationItems":[{"id":"ITEM-1","itemData":{"DOI":"10.1007/s00345-018-2264-0","ISBN":"0123456789","ISSN":"14338726","abstract":"Objectives A small subset of patients treated with immune checkpoint inhibitors manifest atypical patterns of response, the so-called pseudoprogression (PP) and hyperprogression (HP). Their prevalence in urothelial (UC) and renal cancer (RCC) remains, to date, mostly uninvestigated. Therefore, we aimed to provide a summary of the current knowledge about PP and HP during immune checkpoint inhibitor therapy in UC and RCC patients. Methods and materials A systematic medline/pubmed © literature search was performed. The atypical patterns of response to systemic immunotherapy were reviewed. Endpoints were PP and HP in UC and RCC. Results Tumors respond differently to immunotherapy compared to systemic chemotherapy. To evaluate response to immu-notherapy, new guidelines (iRECIST) have been developed. To date, no studies focused on PP in UC and RCC, and the only way to evaluate its role is to take patients who respond to treatment beyond progression as surrogate for pseudoprogressors. PP seems to occur in a non-negligible rate of UC and RCC (from 1.5 to 17% and from 5 to 15%, respectively). The concept of HP, defined as a rapid progression after treatment, just took the first steps, and therefore, data from ongoing trials are awaited to elucidate its impact in genitourinary cancers. Conclusions PP and HP are not uncommon entities in UC and RCC patients, treated with PD-1/PD-L1 inhibitors. Further investigation is warranted to define which patients are likely to experience PP and could benefit from treatment beyond pro-gression and which ones will instead rapidly experience progression despite treatment and should, therefore, avoid systemic immunotherapy.","author":[{"dropping-particle":"","family":"Soria","given":"Francesco","non-dropping-particle":"","parse-names":false,"suffix":""},{"dropping-particle":"","family":"Beleni","given":"Andrea I.","non-dropping-particle":"","parse-names":false,"suffix":""},{"dropping-particle":"","family":"D’Andrea","given":"David","non-dropping-particle":"","parse-names":false,"suffix":""},{"dropping-particle":"","family":"Resch","given":"Irene","non-dropping-particle":"","parse-names":false,"suffix":""},{"dropping-particle":"","family":"Gust","given":"Kilian M.","non-dropping-particle":"","parse-names":false,"suffix":""},{"dropping-particle":"","family":"Gontero","given":"Paolo","non-dropping-particle":"","parse-names":false,"suffix":""},{"dropping-particle":"","family":"Shariat","given":"Shahrokh F.","non-dropping-particle":"","parse-names":false,"suffix":""}],"container-title":"World Journal of Urology","id":"ITEM-1","issue":"11","issued":{"date-parts":[["2018"]]},"page":"1-7","publisher":"Springer Berlin Heidelberg","title":"Pseudoprogression and hyperprogression during immune checkpoint inhibitor therapy for urothelial and kidney cancer","type":"article-journal","volume":"36"},"uris":["http://www.mendeley.com/documents/?uuid=39779559-3f8e-443e-9d3e-1c68f7b1413d"]},{"id":"ITEM-2","itemData":{"author":[{"dropping-particle":"","family":"Chiou","given":"Victoria L","non-dropping-particle":"","parse-names":false,"suffix":""},{"dropping-particle":"","family":"Burotto","given":"Mauricio","non-dropping-particle":"","parse-names":false,"suffix":""}],"container-title":"Journal of Clinical Oncology","id":"ITEM-2","issue":"31","issued":{"date-parts":[["2015"]]},"page":"3541-3542","title":"Pseudoprogression and Immune-Related Response in Solid Tumors","type":"article-journal","volume":"33"},"uris":["http://www.mendeley.com/documents/?uuid=177ad374-6552-437a-8505-c20364903c7c"]}],"mendeley":{"formattedCitation":"(6,13)","plainTextFormattedCitation":"(6,13)"},"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[6,13]</w:t>
      </w:r>
      <w:r w:rsidR="00AD582B" w:rsidRPr="0057248A">
        <w:rPr>
          <w:rFonts w:ascii="Book Antiqua" w:hAnsi="Book Antiqua"/>
          <w:vertAlign w:val="superscript"/>
          <w:lang w:val="en-US"/>
        </w:rPr>
        <w:fldChar w:fldCharType="end"/>
      </w:r>
      <w:r w:rsidRPr="0057248A">
        <w:rPr>
          <w:rFonts w:ascii="Book Antiqua" w:hAnsi="Book Antiqua"/>
          <w:lang w:val="en-US"/>
        </w:rPr>
        <w:t>.</w:t>
      </w:r>
    </w:p>
    <w:p w14:paraId="3C1FB8F9" w14:textId="4620EA7F" w:rsidR="000B541B" w:rsidRPr="0057248A" w:rsidRDefault="000B541B"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Hodi </w:t>
      </w:r>
      <w:r w:rsidRPr="0057248A">
        <w:rPr>
          <w:rFonts w:ascii="Book Antiqua" w:hAnsi="Book Antiqua"/>
          <w:i/>
          <w:lang w:val="en-US"/>
        </w:rPr>
        <w:t>et al</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{"citationItems":[{"id":"ITEM-1","itemData":{"DOI":"10.1186/2051-1426-2-S3-P103","ISBN":"0732-183X, 1527-7755","ISSN":"2051-1426","PMID":"26951310","abstract":"Purpose We evaluated atypical response patterns and the relationship between overall survival and best overall response measured per immune-related response criteria (irRC) and Response Evaluation Criteria in Solid Tumors, version 1.1 (RECIST v1.1) in patients with advanced melanoma treated with pembrolizumab in the phase lb KEYNOTE-001 study (clinical trial information: NCT01295827). Patients and Methods Patients received pembrolizumab 2 or 10 mg/kg every 2 weeks or every 3 weeks. Atypical responses were identified by using centrally assessed irRC data in patients with &gt; 28 weeks of imaging. Pseudoprogression was defined as &gt; 25% increase in tumor burden at week 12 (early) or any assessment after week 12 (delayed) that was not confirmed as progressive disease at next assessment. Response was assessed centrally per irRC and RECIST v1.1. Results Of the 655 patients with melanoma enrolled, 327 had s 28 weeks of imaging follow-up. Twenty-four (7%) of these 327 patients had atypical responses (15 [5%] with early pseudoprogression and nine [3%] with delayed pseudoprogression). Of the 592 patients who survived &gt; 12 weeks, 84 (14%) experienced progressive disease per RECIST v1.1 but nonprogressive disease per irRC. Two-year overall survival rates were 77.6% in patients with nonprogressive disease per both criteria (n = 331), 37.5% in patients with progressive disease per RECIST v1.1 but nonprogressive disease per irRC (n = 84), and 17.3% in patients with progressive disease per both criteria (n = 177). Conclusion Atypical responses were observed in patients with melanoma treated with pembrolizumab. Based on survival analysis, conventional RECIST might underestimate the benefit of pembrolizumab in approximately 15% of patients; modified criteria that permit treatment beyond initial progression per RECIST v1.1 might prevent premature cessation of treatment.","author":[{"dropping-particle":"","family":"Hodi","given":"F","non-dropping-particle":"","parse-names":false,"suffix":""},{"dropping-particle":"","family":"Ribas","given":"Antoni","non-dropping-particle":"","parse-names":false,"suffix":""},{"dropping-particle":"","family":"Daud","given":"Adil","non-dropping-particle":"","parse-names":false,"suffix":""},{"dropping-particle":"","family":"Hamid","given":"Omid","non-dropping-particle":"","parse-names":false,"suffix":""},{"dropping-particle":"","family":"Robert","given":"Caroline","non-dropping-particle":"","parse-names":false,"suffix":""},{"dropping-particle":"","family":"Kefford","given":"Richard","non-dropping-particle":"","parse-names":false,"suffix":""},{"dropping-particle":"","family":"Hwu","given":"Wen-Jen","non-dropping-particle":"","parse-names":false,"suffix":""},{"dropping-particle":"","family":"Gangadhar","given":"Tara C","non-dropping-particle":"","parse-names":false,"suffix":""},{"dropping-particle":"","family":"Joshua","given":"Anthony M","non-dropping-particle":"","parse-names":false,"suffix":""},{"dropping-particle":"","family":"Hersey","given":"Peter","non-dropping-particle":"","parse-names":false,"suffix":""},{"dropping-particle":"","family":"Weber","given":"Jeffrey","non-dropping-particle":"","parse-names":false,"suffix":""},{"dropping-particle":"","family":"Joseph","given":"Richard W","non-dropping-particle":"","parse-names":false,"suffix":""},{"dropping-particle":"","family":"Zarour","given":"Hassane","non-dropping-particle":"","parse-names":false,"suffix":""},{"dropping-particle":"","family":"Dronca","given":"Roxana","non-dropping-particle":"","parse-names":false,"suffix":""},{"dropping-particle":"","family":"Gammage","given":"Linda","non-dropping-particle":"","parse-names":false,"suffix":""},{"dropping-particle":"","family":"Hille","given":"Darcy","non-dropping-particle":"","parse-names":false,"suffix":""},{"dropping-particle":"","family":"Xue","given":"Dahai","non-dropping-particle":"","parse-names":false,"suffix":""},{"dropping-particle":"","family":"Kang","given":"S","non-dropping-particle":"","parse-names":false,"suffix":""},{"dropping-particle":"","family":"Chun","given":"Patrick","non-dropping-particle":"","parse-names":false,"suffix":""},{"dropping-particle":"","family":"Ebbinghaus","given":"Scot W","non-dropping-particle":"","parse-names":false,"suffix":""},{"dropping-particle":"","family":"Perrone","given":"Andrea","non-dropping-particle":"","parse-names":false,"suffix":""},{"dropping-particle":"","family":"Wolchok","given":"Jedd D","non-dropping-particle":"","parse-names":false,"suffix":""}],"container-title":"Journal of clinical Oncology","id":"ITEM-1","issue":"13","issued":{"date-parts":[["2014"]]},"page":"1570-1517","title":"Evaluation of Immune-Related Response Criteria and RECIST vl.l in Patients With Advanced Melanoma Treated With Pembrolizumab","type":"article-journal","volume":"34"},"uris":["http://www.mendeley.com/documents/?uuid=b09c16fc-5a59-4bec-8a68-4d12cdaaad1e"]}],"mendeley":{"formattedCitation":"(14)","plainTextFormattedCitation":"(14)","previouslyFormattedCitation":"(14)"},"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[14]</w:t>
      </w:r>
      <w:r w:rsidR="00AD582B" w:rsidRPr="0057248A">
        <w:rPr>
          <w:rFonts w:ascii="Book Antiqua" w:hAnsi="Book Antiqua"/>
          <w:vertAlign w:val="superscript"/>
          <w:lang w:val="en-US"/>
        </w:rPr>
        <w:fldChar w:fldCharType="end"/>
      </w:r>
      <w:r w:rsidRPr="0057248A">
        <w:rPr>
          <w:rFonts w:ascii="Book Antiqua" w:hAnsi="Book Antiqua"/>
          <w:lang w:val="en-US"/>
        </w:rPr>
        <w:t xml:space="preserve"> conducted a study on advanced melanoma patients</w:t>
      </w:r>
      <w:r w:rsidR="003F1B59" w:rsidRPr="0057248A">
        <w:rPr>
          <w:rFonts w:ascii="Book Antiqua" w:hAnsi="Book Antiqua"/>
          <w:lang w:val="en-US"/>
        </w:rPr>
        <w:t xml:space="preserve"> </w:t>
      </w:r>
      <w:r w:rsidRPr="0057248A">
        <w:rPr>
          <w:rFonts w:ascii="Book Antiqua" w:hAnsi="Book Antiqua"/>
          <w:lang w:val="en-US"/>
        </w:rPr>
        <w:t>treated with pembrolizumab, another PDL-1 inhibitor</w:t>
      </w:r>
      <w:r w:rsidR="003F1B59" w:rsidRPr="0057248A">
        <w:rPr>
          <w:rFonts w:ascii="Book Antiqua" w:hAnsi="Book Antiqua"/>
          <w:lang w:val="en-US"/>
        </w:rPr>
        <w:t>.</w:t>
      </w:r>
      <w:r w:rsidRPr="0057248A">
        <w:rPr>
          <w:rFonts w:ascii="Book Antiqua" w:hAnsi="Book Antiqua"/>
          <w:lang w:val="en-US"/>
        </w:rPr>
        <w:t xml:space="preserve"> </w:t>
      </w:r>
      <w:r w:rsidR="003F1B59" w:rsidRPr="0057248A">
        <w:rPr>
          <w:rFonts w:ascii="Book Antiqua" w:hAnsi="Book Antiqua"/>
          <w:lang w:val="en-US"/>
        </w:rPr>
        <w:t>They</w:t>
      </w:r>
      <w:r w:rsidRPr="0057248A">
        <w:rPr>
          <w:rFonts w:ascii="Book Antiqua" w:hAnsi="Book Antiqua"/>
          <w:lang w:val="en-US"/>
        </w:rPr>
        <w:t xml:space="preserve"> were able to show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in 7% of the patients</w:t>
      </w:r>
      <w:r w:rsidR="003F1B59" w:rsidRPr="0057248A">
        <w:rPr>
          <w:rFonts w:ascii="Book Antiqua" w:hAnsi="Book Antiqua"/>
          <w:lang w:val="en-US"/>
        </w:rPr>
        <w:t xml:space="preserve"> and </w:t>
      </w:r>
      <w:r w:rsidRPr="0057248A">
        <w:rPr>
          <w:rFonts w:ascii="Book Antiqua" w:hAnsi="Book Antiqua"/>
          <w:lang w:val="en-US"/>
        </w:rPr>
        <w:t xml:space="preserve">found that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w:t>
      </w:r>
      <w:r w:rsidR="003F1B59" w:rsidRPr="0057248A">
        <w:rPr>
          <w:rFonts w:ascii="Book Antiqua" w:hAnsi="Book Antiqua"/>
          <w:lang w:val="en-US"/>
        </w:rPr>
        <w:t xml:space="preserve">has a tendency to </w:t>
      </w:r>
      <w:r w:rsidRPr="0057248A">
        <w:rPr>
          <w:rFonts w:ascii="Book Antiqua" w:hAnsi="Book Antiqua"/>
          <w:lang w:val="en-US"/>
        </w:rPr>
        <w:t xml:space="preserve">occur relatively early - mostly within 12 </w:t>
      </w:r>
      <w:proofErr w:type="spellStart"/>
      <w:r w:rsidRPr="0057248A">
        <w:rPr>
          <w:rFonts w:ascii="Book Antiqua" w:hAnsi="Book Antiqua"/>
          <w:lang w:val="en-US"/>
        </w:rPr>
        <w:t>wk</w:t>
      </w:r>
      <w:proofErr w:type="spellEnd"/>
      <w:r w:rsidRPr="0057248A">
        <w:rPr>
          <w:rFonts w:ascii="Book Antiqua" w:hAnsi="Book Antiqua"/>
          <w:lang w:val="en-US"/>
        </w:rPr>
        <w:t xml:space="preserve"> of treatment (</w:t>
      </w:r>
      <w:r w:rsidR="003F1B59" w:rsidRPr="0057248A">
        <w:rPr>
          <w:rFonts w:ascii="Book Antiqua" w:hAnsi="Book Antiqua"/>
          <w:lang w:val="en-US"/>
        </w:rPr>
        <w:t>62</w:t>
      </w:r>
      <w:r w:rsidR="00AD582B" w:rsidRPr="0057248A">
        <w:rPr>
          <w:rFonts w:ascii="Book Antiqua" w:hAnsi="Book Antiqua"/>
          <w:lang w:val="en-US"/>
        </w:rPr>
        <w:t>.</w:t>
      </w:r>
      <w:r w:rsidR="003F1B59" w:rsidRPr="0057248A">
        <w:rPr>
          <w:rFonts w:ascii="Book Antiqua" w:hAnsi="Book Antiqua"/>
          <w:lang w:val="en-US"/>
        </w:rPr>
        <w:t xml:space="preserve">5%, </w:t>
      </w:r>
      <w:r w:rsidRPr="0057248A">
        <w:rPr>
          <w:rFonts w:ascii="Book Antiqua" w:hAnsi="Book Antiqua"/>
          <w:lang w:val="en-US"/>
        </w:rPr>
        <w:t xml:space="preserve">15/24 patients), whereas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later than 12 </w:t>
      </w:r>
      <w:proofErr w:type="spellStart"/>
      <w:r w:rsidRPr="0057248A">
        <w:rPr>
          <w:rFonts w:ascii="Book Antiqua" w:hAnsi="Book Antiqua"/>
          <w:lang w:val="en-US"/>
        </w:rPr>
        <w:t>wk</w:t>
      </w:r>
      <w:proofErr w:type="spellEnd"/>
      <w:r w:rsidRPr="0057248A">
        <w:rPr>
          <w:rFonts w:ascii="Book Antiqua" w:hAnsi="Book Antiqua"/>
          <w:lang w:val="en-US"/>
        </w:rPr>
        <w:t xml:space="preserve"> after the beginning of PDL-1 inhibitor treatment </w:t>
      </w:r>
      <w:r w:rsidR="00AD582B" w:rsidRPr="0057248A">
        <w:rPr>
          <w:rFonts w:ascii="Book Antiqua" w:hAnsi="Book Antiqua"/>
          <w:lang w:val="en-US"/>
        </w:rPr>
        <w:t>-</w:t>
      </w:r>
      <w:r w:rsidRPr="0057248A">
        <w:rPr>
          <w:rFonts w:ascii="Book Antiqua" w:hAnsi="Book Antiqua"/>
          <w:lang w:val="en-US"/>
        </w:rPr>
        <w:t xml:space="preserve"> so called delayed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 was only found in 37</w:t>
      </w:r>
      <w:r w:rsidR="00AD582B" w:rsidRPr="0057248A">
        <w:rPr>
          <w:rFonts w:ascii="Book Antiqua" w:hAnsi="Book Antiqua"/>
          <w:lang w:val="en-US"/>
        </w:rPr>
        <w:t>.</w:t>
      </w:r>
      <w:r w:rsidRPr="0057248A">
        <w:rPr>
          <w:rFonts w:ascii="Book Antiqua" w:hAnsi="Book Antiqua"/>
          <w:lang w:val="en-US"/>
        </w:rPr>
        <w:t>5% (9/24 patients)</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{"citationItems":[{"id":"ITEM-1","itemData":{"DOI":"10.1186/2051-1426-2-S3-P103","ISBN":"0732-183X, 1527-7755","ISSN":"2051-1426","PMID":"26951310","abstract":"Purpose We evaluated atypical response patterns and the relationship between overall survival and best overall response measured per immune-related response criteria (irRC) and Response Evaluation Criteria in Solid Tumors, version 1.1 (RECIST v1.1) in patients with advanced melanoma treated with pembrolizumab in the phase lb KEYNOTE-001 study (clinical trial information: NCT01295827). Patients and Methods Patients received pembrolizumab 2 or 10 mg/kg every 2 weeks or every 3 weeks. Atypical responses were identified by using centrally assessed irRC data in patients with &gt; 28 weeks of imaging. Pseudoprogression was defined as &gt; 25% increase in tumor burden at week 12 (early) or any assessment after week 12 (delayed) that was not confirmed as progressive disease at next assessment. Response was assessed centrally per irRC and RECIST v1.1. Results Of the 655 patients with melanoma enrolled, 327 had s 28 weeks of imaging follow-up. Twenty-four (7%) of these 327 patients had atypical responses (15 [5%] with early pseudoprogression and nine [3%] with delayed pseudoprogression). Of the 592 patients who survived &gt; 12 weeks, 84 (14%) experienced progressive disease per RECIST v1.1 but nonprogressive disease per irRC. Two-year overall survival rates were 77.6% in patients with nonprogressive disease per both criteria (n = 331), 37.5% in patients with progressive disease per RECIST v1.1 but nonprogressive disease per irRC (n = 84), and 17.3% in patients with progressive disease per both criteria (n = 177). Conclusion Atypical responses were observed in patients with melanoma treated with pembrolizumab. Based on survival analysis, conventional RECIST might underestimate the benefit of pembrolizumab in approximately 15% of patients; modified criteria that permit treatment beyond initial progression per RECIST v1.1 might prevent premature cessation of treatment.","author":[{"dropping-particle":"","family":"Hodi","given":"F","non-dropping-particle":"","parse-names":false,"suffix":""},{"dropping-particle":"","family":"Ribas","given":"Antoni","non-dropping-particle":"","parse-names":false,"suffix":""},{"dropping-particle":"","family":"Daud","given":"Adil","non-dropping-particle":"","parse-names":false,"suffix":""},{"dropping-particle":"","family":"Hamid","given":"Omid","non-dropping-particle":"","parse-names":false,"suffix":""},{"dropping-particle":"","family":"Robert","given":"Caroline","non-dropping-particle":"","parse-names":false,"suffix":""},{"dropping-particle":"","family":"Kefford","given":"Richard","non-dropping-particle":"","parse-names":false,"suffix":""},{"dropping-particle":"","family":"Hwu","given":"Wen-Jen","non-dropping-particle":"","parse-names":false,"suffix":""},{"dropping-particle":"","family":"Gangadhar","given":"Tara C","non-dropping-particle":"","parse-names":false,"suffix":""},{"dropping-particle":"","family":"Joshua","given":"Anthony M","non-dropping-particle":"","parse-names":false,"suffix":""},{"dropping-particle":"","family":"Hersey","given":"Peter","non-dropping-particle":"","parse-names":false,"suffix":""},{"dropping-particle":"","family":"Weber","given":"Jeffrey","non-dropping-particle":"","parse-names":false,"suffix":""},{"dropping-particle":"","family":"Joseph","given":"Richard W","non-dropping-particle":"","parse-names":false,"suffix":""},{"dropping-particle":"","family":"Zarour","given":"Hassane","non-dropping-particle":"","parse-names":false,"suffix":""},{"dropping-particle":"","family":"Dronca","given":"Roxana","non-dropping-particle":"","parse-names":false,"suffix":""},{"dropping-particle":"","family":"Gammage","given":"Linda","non-dropping-particle":"","parse-names":false,"suffix":""},{"dropping-particle":"","family":"Hille","given":"Darcy","non-dropping-particle":"","parse-names":false,"suffix":""},{"dropping-particle":"","family":"Xue","given":"Dahai","non-dropping-particle":"","parse-names":false,"suffix":""},{"dropping-particle":"","family":"Kang","given":"S","non-dropping-particle":"","parse-names":false,"suffix":""},{"dropping-particle":"","family":"Chun","given":"Patrick","non-dropping-particle":"","parse-names":false,"suffix":""},{"dropping-particle":"","family":"Ebbinghaus","given":"Scot W","non-dropping-particle":"","parse-names":false,"suffix":""},{"dropping-particle":"","family":"Perrone","given":"Andrea","non-dropping-particle":"","parse-names":false,"suffix":""},{"dropping-particle":"","family":"Wolchok","given":"Jedd D","non-dropping-particle":"","parse-names":false,"suffix":""}],"container-title":"Journal of clinical Oncology","id":"ITEM-1","issue":"13","issued":{"date-parts":[["2014"]]},"page":"1570-1517","title":"Evaluation of Immune-Related Response Criteria and RECIST vl.l in Patients With Advanced Melanoma Treated With Pembrolizumab","type":"article-journal","volume":"34"},"uris":["http://www.mendeley.com/documents/?uuid=b09c16fc-5a59-4bec-8a68-4d12cdaaad1e"]}],"mendeley":{"formattedCitation":"(14)","plainTextFormattedCitation":"(14)","previouslyFormattedCitation":"(14)"},"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[14]</w:t>
      </w:r>
      <w:r w:rsidR="00AD582B" w:rsidRPr="0057248A">
        <w:rPr>
          <w:rFonts w:ascii="Book Antiqua" w:hAnsi="Book Antiqua"/>
          <w:vertAlign w:val="superscript"/>
          <w:lang w:val="en-US"/>
        </w:rPr>
        <w:fldChar w:fldCharType="end"/>
      </w:r>
      <w:r w:rsidRPr="0057248A">
        <w:rPr>
          <w:rFonts w:ascii="Book Antiqua" w:hAnsi="Book Antiqua"/>
          <w:lang w:val="en-US"/>
        </w:rPr>
        <w:t>.</w:t>
      </w:r>
      <w:r w:rsidR="00F727DF" w:rsidRPr="0057248A">
        <w:rPr>
          <w:rFonts w:ascii="Book Antiqua" w:hAnsi="Book Antiqua"/>
          <w:lang w:val="en-US"/>
        </w:rPr>
        <w:t xml:space="preserve"> </w:t>
      </w:r>
      <w:r w:rsidR="00CF1417" w:rsidRPr="0057248A">
        <w:rPr>
          <w:rFonts w:ascii="Book Antiqua" w:hAnsi="Book Antiqua"/>
          <w:lang w:val="en-US"/>
        </w:rPr>
        <w:t xml:space="preserve">In one remarkable case early and delayed </w:t>
      </w:r>
      <w:proofErr w:type="spellStart"/>
      <w:r w:rsidR="00CF1417" w:rsidRPr="0057248A">
        <w:rPr>
          <w:rFonts w:ascii="Book Antiqua" w:hAnsi="Book Antiqua"/>
          <w:lang w:val="en-US"/>
        </w:rPr>
        <w:t>pseudoprogression</w:t>
      </w:r>
      <w:proofErr w:type="spellEnd"/>
      <w:r w:rsidR="00CF1417" w:rsidRPr="0057248A">
        <w:rPr>
          <w:rFonts w:ascii="Book Antiqua" w:hAnsi="Book Antiqua"/>
          <w:lang w:val="en-US"/>
        </w:rPr>
        <w:t xml:space="preserve"> could be described in one patient</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{"citationItems":[{"id":"ITEM-1","itemData":{"DOI":"10.1186/s12885-017-3785-4","ISSN":"14712407","abstract":"BACKGROUND Pseudoprogression refers to a specific pattern of response sometimes observed in malignant melanoma patients receiving treatment with immune-checkpoint inhibitors. Although cases with pseudoprogression documented once have been reported previously, there have been no case reports yet of pseudoprogression events documented twice during treatment. CASE PRESENTATION A 55-year-old man underwent surgery for locally advanced esophageal malignant melanoma and received postoperative adjuvant interferon therapy. However, he presented with multiple liver and bone metastases at 6 months after the surgery, and was initiated on treatment with nivolumab 2 mg/kg every 3 weeks as the first-line treatment for recurrent disease. Follow-up computed tomography revealed that the liver metastases initially increased transiently in size, but eventually regressed. However, while the liver metastases continued to shrink, a new peritoneal nodule emerged, that also subsequently shrinked during the course of treatment with nivolumab. With only grade 1 pruritus, the patient continues to be on nivolumab treatment at 15 months after the induction therapy, with no progression observed after the second episode of pseudoprogression in the liver and peritoneal nodule. CONCLUSIONS We present the case of a patient with metastatic malignant melanoma who showed the unique response pattern of serial pseudoprogression during treatment with nivolumab. This case serves to highlight the fact that development of a new lesion may not always signify failure of disease control during treatment with nivolumab.","author":[{"dropping-particle":"","family":"Ozaki","given":"Yukinori","non-dropping-particle":"","parse-names":false,"suffix":""},{"dropping-particle":"","family":"Shindoh","given":"Junichi","non-dropping-particle":"","parse-names":false,"suffix":""},{"dropping-particle":"","family":"Miura","given":"Yuji","non-dropping-particle":"","parse-names":false,"suffix":""},{"dropping-particle":"","family":"Nakajima","given":"Hiromichi","non-dropping-particle":"","parse-names":false,"suffix":""},{"dropping-particle":"","family":"Oki","given":"Ryosuke","non-dropping-particle":"","parse-names":false,"suffix":""},{"dropping-particle":"","family":"Uchiyama","given":"Miyuki","non-dropping-particle":"","parse-names":false,"suffix":""},{"dropping-particle":"","family":"Masuda","given":"Jun","non-dropping-particle":"","parse-names":false,"suffix":""},{"dropping-particle":"","family":"Kinowaki","given":"Keiichi","non-dropping-particle":"","parse-names":false,"suffix":""},{"dropping-particle":"","family":"Kondoh","given":"Chihiro","non-dropping-particle":"","parse-names":false,"suffix":""},{"dropping-particle":"","family":"Tanabe","given":"Yuko","non-dropping-particle":"","parse-names":false,"suffix":""},{"dropping-particle":"","family":"Tanaka","given":"Tsuyoshi","non-dropping-particle":"","parse-names":false,"suffix":""},{"dropping-particle":"","family":"Haruta","given":"Shusuke","non-dropping-particle":"","parse-names":false,"suffix":""},{"dropping-particle":"","family":"Ueno","given":"Masaki","non-dropping-particle":"","parse-names":false,"suffix":""},{"dropping-particle":"","family":"Kitano","given":"Shigehisa","non-dropping-particle":"","parse-names":false,"suffix":""},{"dropping-particle":"","family":"Fujii","given":"Takeshi","non-dropping-particle":"","parse-names":false,"suffix":""},{"dropping-particle":"","family":"Udagawa","given":"Harushi","non-dropping-particle":"","parse-names":false,"suffix":""},{"dropping-particle":"","family":"Takano","given":"Toshimi","non-dropping-particle":"","parse-names":false,"suffix":""}],"container-title":"BMC Cancer","id":"ITEM-1","issue":"1","issued":{"date-parts":[["2017"]]},"page":"1-7","publisher":"BMC Cancer","title":"Serial pseudoprogression of metastatic malignant melanoma in a patient treated with nivolumab: A case report","type":"article-journal","volume":"17"},"uris":["http://www.mendeley.com/documents/?uuid=b3f9cfe9-1a1a-4304-89db-14dc2af8f2ac"]}],"mendeley":{"formattedCitation":"(15)","plainTextFormattedCitation":"(15)","previouslyFormattedCitation":"(15)"},"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[15]</w:t>
      </w:r>
      <w:r w:rsidR="00AD582B" w:rsidRPr="0057248A">
        <w:rPr>
          <w:rFonts w:ascii="Book Antiqua" w:hAnsi="Book Antiqua"/>
          <w:vertAlign w:val="superscript"/>
          <w:lang w:val="en-US"/>
        </w:rPr>
        <w:fldChar w:fldCharType="end"/>
      </w:r>
      <w:r w:rsidR="00CF1417" w:rsidRPr="0057248A">
        <w:rPr>
          <w:rFonts w:ascii="Book Antiqua" w:hAnsi="Book Antiqua"/>
          <w:lang w:val="en-US"/>
        </w:rPr>
        <w:t>.</w:t>
      </w:r>
      <w:r w:rsidR="00AD582B" w:rsidRPr="0057248A">
        <w:rPr>
          <w:rFonts w:ascii="Book Antiqua" w:hAnsi="Book Antiqua"/>
          <w:lang w:val="en-US"/>
        </w:rPr>
        <w:t xml:space="preserve"> </w:t>
      </w:r>
    </w:p>
    <w:p w14:paraId="70FDD6E3" w14:textId="721F8540" w:rsidR="00C92B61" w:rsidRPr="0057248A" w:rsidRDefault="00C92B61" w:rsidP="00685FD1">
      <w:pPr>
        <w:spacing w:line="360" w:lineRule="auto"/>
        <w:ind w:firstLineChars="100" w:firstLine="240"/>
        <w:jc w:val="both"/>
        <w:rPr>
          <w:rFonts w:ascii="Book Antiqua" w:hAnsi="Book Antiqua"/>
          <w:lang w:val="en-US"/>
        </w:rPr>
      </w:pPr>
      <w:r w:rsidRPr="0057248A">
        <w:rPr>
          <w:rFonts w:ascii="Book Antiqua" w:hAnsi="Book Antiqua"/>
          <w:lang w:val="en-US"/>
        </w:rPr>
        <w:t>Under Ipilimumab, another checkpoint inhibitor, 9</w:t>
      </w:r>
      <w:r w:rsidR="00AD582B" w:rsidRPr="0057248A">
        <w:rPr>
          <w:rFonts w:ascii="Book Antiqua" w:hAnsi="Book Antiqua"/>
          <w:lang w:val="en-US"/>
        </w:rPr>
        <w:t>.</w:t>
      </w:r>
      <w:r w:rsidRPr="0057248A">
        <w:rPr>
          <w:rFonts w:ascii="Book Antiqua" w:hAnsi="Book Antiqua"/>
          <w:lang w:val="en-US"/>
        </w:rPr>
        <w:t xml:space="preserve">7% of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could be found</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{"citationItems":[{"id":"ITEM-1","itemData":{"DOI":"10.1158/1078-0432.CCR-09-1624","ISBN":"1078-0432 (Print)\\n1078-0432 (Linking)","ISSN":"10780432","PMID":"19934295","abstract":"PURPOSE: Immunotherapeutic agents produce antitumor effects by inducing cancer-specific immune responses or by modifying native immune processes. Resulting clinical response patterns extend beyond those of cytotoxic agents and can manifest after an initial increase in tumor burden or the appearance of new lesions (progressive disease). Response Evaluation Criteria in Solid Tumors or WHO criteria, designed to detect early effects of cytotoxic agents, may not provide a complete assessment of immunotherapeutic agents. Novel criteria for the evaluation of antitumor responses with immunotherapeutic agents are required. EXPERIMENTAL DESIGN: The phase II clinical trial program with ipilimumab, an antibody that blocks CTL antigen-4, represents the most comprehensive data set available to date for an immunotherapeutic agent. Novel immune therapy response criteria proposed, based on the shared experience from community workshops and several investigators, were evaluated using data from ipilimumab phase II clinical trials in patients with advanced melanoma. RESULTS: Ipilimumab monotherapy resulted in four distinct response patterns: (a) shrinkage in baseline lesions, without new lesions; (b) durable stable disease (in some patients followed by a slow, steady decline in total tumor burden); (c) response after an increase in total tumor burden; and (d) response in the presence of new lesions. All patterns were associated with favorable survival. CONCLUSION: Systematic criteria, designated immune-related response criteria, were defined in an attempt to capture additional response patterns observed with immune therapy in advanced melanoma beyond those described by Response Evaluation Criteria in Solid Tumors or WHO criteria. Further prospective evaluations of the immune-related response criteria, particularly their association with overall survival, are warranted.","author":[{"dropping-particle":"","family":"Wolchok","given":"Jedd D.","non-dropping-particle":"","parse-names":false,"suffix":""},{"dropping-particle":"","family":"Hoos","given":"Axel","non-dropping-particle":"","parse-names":false,"suffix":""},{"dropping-particle":"","family":"O'Day","given":"Steven","non-dropping-particle":"","parse-names":false,"suffix":""},{"dropping-particle":"","family":"Weber","given":"Jeffrey S.","non-dropping-particle":"","parse-names":false,"suffix":""},{"dropping-particle":"","family":"Hamid","given":"Omid","non-dropping-particle":"","parse-names":false,"suffix":""},{"dropping-particle":"","family":"Lebbé","given":"Celeste","non-dropping-particle":"","parse-names":false,"suffix":""},{"dropping-particle":"","family":"Maio","given":"Michele","non-dropping-particle":"","parse-names":false,"suffix":""},{"dropping-particle":"","family":"Binder","given":"Michael","non-dropping-particle":"","parse-names":false,"suffix":""},{"dropping-particle":"","family":"Bohnsack","given":"Oliver","non-dropping-particle":"","parse-names":false,"suffix":""},{"dropping-particle":"","family":"Nichol","given":"Geoffrey","non-dropping-particle":"","parse-names":false,"suffix":""},{"dropping-particle":"","family":"Humphrey","given":"Rachel","non-dropping-particle":"","parse-names":false,"suffix":""},{"dropping-particle":"","family":"Hodi","given":"F. Stephen","non-dropping-particle":"","parse-names":false,"suffix":""}],"container-title":"Clinical Cancer Research","id":"ITEM-1","issue":"23","issued":{"date-parts":[["2009"]]},"page":"7412-7420","title":"Guidelines for the evaluation of immune therapy activity in solid tumors: Immune-related response criteria","type":"article-journal","volume":"15"},"uris":["http://www.mendeley.com/documents/?uuid=7c784b35-a5ac-4071-9974-4bbe4b42a239"]}],"mendeley":{"formattedCitation":"(12)","plainTextFormattedCitation":"(12)","previouslyFormattedCitation":"(12)"},"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[12]</w:t>
      </w:r>
      <w:r w:rsidR="00AD582B" w:rsidRPr="0057248A">
        <w:rPr>
          <w:rFonts w:ascii="Book Antiqua" w:hAnsi="Book Antiqua"/>
          <w:vertAlign w:val="superscript"/>
          <w:lang w:val="en-US"/>
        </w:rPr>
        <w:fldChar w:fldCharType="end"/>
      </w:r>
      <w:r w:rsidRPr="0057248A">
        <w:rPr>
          <w:rFonts w:ascii="Book Antiqua" w:hAnsi="Book Antiqua"/>
          <w:lang w:val="en-US"/>
        </w:rPr>
        <w:t>.</w:t>
      </w:r>
      <w:r w:rsidR="00AD582B" w:rsidRPr="0057248A">
        <w:rPr>
          <w:rFonts w:ascii="Book Antiqua" w:hAnsi="Book Antiqua"/>
          <w:lang w:val="en-US"/>
        </w:rPr>
        <w:t xml:space="preserve"> </w:t>
      </w:r>
    </w:p>
    <w:p w14:paraId="40B8BB43" w14:textId="0FE414FF" w:rsidR="006711B9" w:rsidRPr="0057248A" w:rsidRDefault="006711B9" w:rsidP="00685FD1">
      <w:pPr>
        <w:spacing w:line="360" w:lineRule="auto"/>
        <w:ind w:firstLineChars="100" w:firstLine="240"/>
        <w:jc w:val="both"/>
        <w:rPr>
          <w:rFonts w:ascii="Book Antiqua" w:hAnsi="Book Antiqua"/>
          <w:lang w:val="en-US"/>
        </w:rPr>
      </w:pPr>
      <w:r w:rsidRPr="0057248A">
        <w:rPr>
          <w:rFonts w:ascii="Book Antiqua" w:hAnsi="Book Antiqua"/>
          <w:lang w:val="en-US"/>
        </w:rPr>
        <w:lastRenderedPageBreak/>
        <w:t xml:space="preserve">Several </w:t>
      </w:r>
      <w:r w:rsidR="00B82B9F" w:rsidRPr="0057248A">
        <w:rPr>
          <w:rFonts w:ascii="Book Antiqua" w:hAnsi="Book Antiqua"/>
          <w:lang w:val="en-US"/>
        </w:rPr>
        <w:t xml:space="preserve">older </w:t>
      </w:r>
      <w:r w:rsidRPr="0057248A">
        <w:rPr>
          <w:rFonts w:ascii="Book Antiqua" w:hAnsi="Book Antiqua"/>
          <w:lang w:val="en-US"/>
        </w:rPr>
        <w:t xml:space="preserve">manuscripts report on patients who </w:t>
      </w:r>
      <w:r w:rsidR="00CA111C" w:rsidRPr="0057248A">
        <w:rPr>
          <w:rFonts w:ascii="Book Antiqua" w:hAnsi="Book Antiqua"/>
          <w:lang w:val="en-US"/>
        </w:rPr>
        <w:t>respon</w:t>
      </w:r>
      <w:r w:rsidR="00A658E6" w:rsidRPr="0057248A">
        <w:rPr>
          <w:rFonts w:ascii="Book Antiqua" w:hAnsi="Book Antiqua"/>
          <w:lang w:val="en-US"/>
        </w:rPr>
        <w:t>d</w:t>
      </w:r>
      <w:r w:rsidR="00CA111C" w:rsidRPr="0057248A">
        <w:rPr>
          <w:rFonts w:ascii="Book Antiqua" w:hAnsi="Book Antiqua"/>
          <w:lang w:val="en-US"/>
        </w:rPr>
        <w:t>ed to CIT after progressive disease was diagnosed: After an initial progression, they benefited from the continued CIT. As these reports were published before the introduction of the</w:t>
      </w:r>
      <w:r w:rsidR="00FE3496" w:rsidRPr="0057248A">
        <w:rPr>
          <w:rFonts w:ascii="Book Antiqua" w:hAnsi="Book Antiqua"/>
          <w:lang w:val="en-US"/>
        </w:rPr>
        <w:t xml:space="preserve"> immune-related Response Evaluation Criteria in Solid Tumors</w:t>
      </w:r>
      <w:r w:rsidR="00CA111C" w:rsidRPr="0057248A">
        <w:rPr>
          <w:rFonts w:ascii="Book Antiqua" w:hAnsi="Book Antiqua"/>
          <w:lang w:val="en-US"/>
        </w:rPr>
        <w:t xml:space="preserve"> </w:t>
      </w:r>
      <w:r w:rsidR="00FE3496" w:rsidRPr="0057248A">
        <w:rPr>
          <w:rFonts w:ascii="Book Antiqua" w:hAnsi="Book Antiqua"/>
          <w:lang w:val="en-US"/>
        </w:rPr>
        <w:t>(</w:t>
      </w:r>
      <w:proofErr w:type="spellStart"/>
      <w:r w:rsidR="00CA111C" w:rsidRPr="0057248A">
        <w:rPr>
          <w:rFonts w:ascii="Book Antiqua" w:hAnsi="Book Antiqua"/>
          <w:lang w:val="en-US"/>
        </w:rPr>
        <w:t>ir</w:t>
      </w:r>
      <w:proofErr w:type="spellEnd"/>
      <w:r w:rsidR="00CA111C" w:rsidRPr="0057248A">
        <w:rPr>
          <w:rFonts w:ascii="Book Antiqua" w:hAnsi="Book Antiqua"/>
          <w:lang w:val="en-US"/>
        </w:rPr>
        <w:t>-RECIST</w:t>
      </w:r>
      <w:r w:rsidR="00FE3496" w:rsidRPr="0057248A">
        <w:rPr>
          <w:rFonts w:ascii="Book Antiqua" w:hAnsi="Book Antiqua"/>
          <w:lang w:val="en-US"/>
        </w:rPr>
        <w:t>)</w:t>
      </w:r>
      <w:r w:rsidR="00CA111C" w:rsidRPr="0057248A">
        <w:rPr>
          <w:rFonts w:ascii="Book Antiqua" w:hAnsi="Book Antiqua"/>
          <w:lang w:val="en-US"/>
        </w:rPr>
        <w:t xml:space="preserve"> criteria, we believe that those case</w:t>
      </w:r>
      <w:r w:rsidR="00A658E6" w:rsidRPr="0057248A">
        <w:rPr>
          <w:rFonts w:ascii="Book Antiqua" w:hAnsi="Book Antiqua"/>
          <w:lang w:val="en-US"/>
        </w:rPr>
        <w:t>s</w:t>
      </w:r>
      <w:r w:rsidR="00B82B9F" w:rsidRPr="0057248A">
        <w:rPr>
          <w:rFonts w:ascii="Book Antiqua" w:hAnsi="Book Antiqua"/>
          <w:lang w:val="en-US"/>
        </w:rPr>
        <w:t xml:space="preserve"> report</w:t>
      </w:r>
      <w:r w:rsidR="00A658E6" w:rsidRPr="0057248A">
        <w:rPr>
          <w:rFonts w:ascii="Book Antiqua" w:hAnsi="Book Antiqua"/>
          <w:lang w:val="en-US"/>
        </w:rPr>
        <w:t xml:space="preserve"> </w:t>
      </w:r>
      <w:r w:rsidR="00A860C4" w:rsidRPr="0057248A">
        <w:rPr>
          <w:rFonts w:ascii="Book Antiqua" w:hAnsi="Book Antiqua"/>
          <w:lang w:val="en-US"/>
        </w:rPr>
        <w:t>on the phenomenon</w:t>
      </w:r>
      <w:r w:rsidR="00B82B9F" w:rsidRPr="0057248A">
        <w:rPr>
          <w:rFonts w:ascii="Book Antiqua" w:hAnsi="Book Antiqua"/>
          <w:lang w:val="en-US"/>
        </w:rPr>
        <w:t xml:space="preserve"> we now define to be </w:t>
      </w:r>
      <w:proofErr w:type="spellStart"/>
      <w:r w:rsidR="00B82B9F" w:rsidRPr="0057248A">
        <w:rPr>
          <w:rFonts w:ascii="Book Antiqua" w:hAnsi="Book Antiqua"/>
          <w:lang w:val="en-US"/>
        </w:rPr>
        <w:t>pseudoprogression</w:t>
      </w:r>
      <w:proofErr w:type="spellEnd"/>
      <w:r w:rsidR="00B82B9F" w:rsidRPr="0057248A">
        <w:rPr>
          <w:rFonts w:ascii="Book Antiqua" w:hAnsi="Book Antiqua"/>
          <w:lang w:val="en-US"/>
        </w:rPr>
        <w:t>, proving that this phenomenon has challenged physicians for</w:t>
      </w:r>
      <w:r w:rsidR="000C24D9" w:rsidRPr="0057248A">
        <w:rPr>
          <w:rFonts w:ascii="Book Antiqua" w:hAnsi="Book Antiqua"/>
          <w:lang w:val="en-US"/>
        </w:rPr>
        <w:t xml:space="preserve"> </w:t>
      </w:r>
      <w:r w:rsidR="00B82B9F" w:rsidRPr="0057248A">
        <w:rPr>
          <w:rFonts w:ascii="Book Antiqua" w:hAnsi="Book Antiqua"/>
          <w:lang w:val="en-US"/>
        </w:rPr>
        <w:t>a long time. T</w:t>
      </w:r>
      <w:r w:rsidR="00CA111C" w:rsidRPr="0057248A">
        <w:rPr>
          <w:rFonts w:ascii="Book Antiqua" w:hAnsi="Book Antiqua"/>
          <w:lang w:val="en-US"/>
        </w:rPr>
        <w:t xml:space="preserve">he mechanisms behind CIT are complex and dependent on the patients´ </w:t>
      </w:r>
      <w:r w:rsidR="00B82B9F" w:rsidRPr="0057248A">
        <w:rPr>
          <w:rFonts w:ascii="Book Antiqua" w:hAnsi="Book Antiqua"/>
          <w:lang w:val="en-US"/>
        </w:rPr>
        <w:t xml:space="preserve">individual </w:t>
      </w:r>
      <w:r w:rsidR="00CA111C" w:rsidRPr="0057248A">
        <w:rPr>
          <w:rFonts w:ascii="Book Antiqua" w:hAnsi="Book Antiqua"/>
          <w:lang w:val="en-US"/>
        </w:rPr>
        <w:t>immunological answer, t</w:t>
      </w:r>
      <w:r w:rsidR="00B82B9F" w:rsidRPr="0057248A">
        <w:rPr>
          <w:rFonts w:ascii="Book Antiqua" w:hAnsi="Book Antiqua"/>
          <w:lang w:val="en-US"/>
        </w:rPr>
        <w:t>herefore t</w:t>
      </w:r>
      <w:r w:rsidR="00CA111C" w:rsidRPr="0057248A">
        <w:rPr>
          <w:rFonts w:ascii="Book Antiqua" w:hAnsi="Book Antiqua"/>
          <w:lang w:val="en-US"/>
        </w:rPr>
        <w:t xml:space="preserve">he kinetics </w:t>
      </w:r>
      <w:r w:rsidR="00B82B9F" w:rsidRPr="0057248A">
        <w:rPr>
          <w:rFonts w:ascii="Book Antiqua" w:hAnsi="Book Antiqua"/>
          <w:lang w:val="en-US"/>
        </w:rPr>
        <w:t xml:space="preserve">of CIT </w:t>
      </w:r>
      <w:r w:rsidR="00CA111C" w:rsidRPr="0057248A">
        <w:rPr>
          <w:rFonts w:ascii="Book Antiqua" w:hAnsi="Book Antiqua"/>
          <w:lang w:val="en-US"/>
        </w:rPr>
        <w:t xml:space="preserve">seem to be </w:t>
      </w:r>
      <w:r w:rsidR="00B82B9F" w:rsidRPr="0057248A">
        <w:rPr>
          <w:rFonts w:ascii="Book Antiqua" w:hAnsi="Book Antiqua"/>
          <w:lang w:val="en-US"/>
        </w:rPr>
        <w:t>variable</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{"citationItems":[{"id":"ITEM-1","itemData":{"DOI":"doi/10.1073/pnas.1533209100","abstract":"Cytotoxic T lymphocyte-associated antigen 4 (CTLA-4) is a critical immunoregulatory molecule (expressed on activated T cells and a subset of regulatory T cells) capable of down-regulating T cell activation. Blockade of CTLA-4 has been shown in animal models to improve the effectiveness of cancer immunotherapy. We thus treated 14 patients with metastatic melanoma by using serial i.v. administration of a fully human anti-CTLA-4 antibody (MDX-010) in conjunction with s.c. vaccination with two modified HLA-A*0201- restricted peptides from the gp100 melanoma-associated antigen, gp100:209–217(210M) and gp100:280–288(288V). This blockade of CTLA-4 induced grade III</w:instrText>
      </w:r>
      <w:r w:rsidR="00AD582B" w:rsidRPr="0057248A">
        <w:rPr>
          <w:rFonts w:ascii="Book Antiqua" w:hAnsi="Book Antiqua"/>
          <w:vertAlign w:val="superscript"/>
          <w:lang w:val="en-US"/>
        </w:rPr>
        <w:instrText>兾</w:instrText>
      </w:r>
      <w:r w:rsidR="00AD582B" w:rsidRPr="0057248A">
        <w:rPr>
          <w:rFonts w:ascii="Book Antiqua" w:hAnsi="Book Antiqua"/>
          <w:vertAlign w:val="superscript"/>
          <w:lang w:val="en-US"/>
        </w:rPr>
        <w:instrText>IV autoimmune manifestations in six patients (43%), including dermatitis, enterocolitis, hepatitis, and hypophysitis, and mediated objective cancer regression in three patients (21%; two complete and one partial responses). This study establishes CTLA-4 as an important molecule regulating tolerance to ‘‘self’’ antigens in humans and suggests a role for CTLA-4 blockade in breaking tolerance to human cancer antigens for cancer immunotherapy","author":[{"dropping-particle":"","family":"Phan","given":"Giao Q","non-dropping-particle":"","parse-names":false,"suffix":""},{"dropping-particle":"","family":"Yang","given":"James C","non-dropping-particle":"","parse-names":false,"suffix":""},{"dropping-particle":"","family":"Sherry","given":"Richard M","non-dropping-particle":"","parse-names":false,"suffix":""},{"dropping-particle":"","family":"Hwu","given":"Patrick","non-dropping-particle":"","parse-names":false,"suffix":""},{"dropping-particle":"","family":"Topalian","given":"Suzanne L","non-dropping-particle":"","parse-names":false,"suffix":""},{"dropping-particle":"","family":"Schwartzentruber","given":"Douglas J","non-dropping-particle":"","parse-names":false,"suffix":""},{"dropping-particle":"","family":"Restifo","given":"Nicholas P","non-dropping-particle":"","parse-names":false,"suffix":""},{"dropping-particle":"","family":"Haworth","given":"Leah R","non-dropping-particle":"","parse-names":false,"suffix":""},{"dropping-particle":"","family":"Seipp","given":"Claudia A","non-dropping-particle":"","parse-names":false,"suffix":""},{"dropping-particle":"","family":"Freezer","given":"Linda J","non-dropping-particle":"","parse-names":false,"suffix":""},{"dropping-particle":"","family":"Morton","given":"Kathleen E","non-dropping-particle":"","parse-names":false,"suffix":""},{"dropping-particle":"","family":"Mavroukakis","given":"Sharon A","non-dropping-particle":"","parse-names":false,"suffix":""},{"dropping-particle":"","family":"Duray","given":"Paul H","non-dropping-particle":"","parse-names":false,"suffix":""},{"dropping-particle":"","family":"Steinberg","given":"Seth M","non-dropping-particle":"","parse-names":false,"suffix":""},{"dropping-particle":"","family":"Allison","given":"James P","non-dropping-particle":"","parse-names":false,"suffix":""},{"dropping-particle":"","family":"Davis","given":"Thomas A","non-dropping-particle":"","parse-names":false,"suffix":""},{"dropping-particle":"","family":"Rosenberg","given":"Steven A","non-dropping-particle":"","parse-names":false,"suffix":""}],"container-title":"Proceedings of the National Academy of Sciences of the United States of America","id":"ITEM-1","issue":"14","issued":{"date-parts":[["2003"]]},"page":"8372-8377","title":"Cancer regression and autoimmunity induced by cytotoxic T lymphocyte-associated antigen 4 blockade in patients with metastatic melanoma","type":"article-journal","volume":"100"},"uris":["http://www.mendeley.com/documents/?uuid=f1de2b0e-fde9-4870-9e49-1ff4660c4eda"]},{"id":"ITEM-2","itemData":{"abstract":"Cytotoxic T lymphocyte antigen-4 (CTLA-4) is a negative regulator of T-cell mediated immune responses and is the target of new anti- tumor immunotherapy strategies. Ipilimumab is a fully human, antagonistic monoclonal antibody directed against CTLA-4. Results from preclinical and early clinical trials support current phase II/III testing of ipilimumab as first- and second-line therapy for metastatic melanoma. Ipilimumab promotes durable objective responses and/ or stable disease in patients with metastatic melanoma. Adverse events are medically manageable, largely immune-related, and presumably linked to the drug's mechanism of action. As more patients are treated with ipilimumab, it is becoming clear that the kinetics of responses are heterogeneous and significantly different from those of chemotherapy and other immunotherapy. Though objective response or stable disease is observed within 'conventional' time frames, responses have been observed weeks to months after therapy initiation. Response or stable disease may be preceded by apparent early disease progression, or may occur simultaneously with different progressing lesions within the same patient (a 'mixed' response). It is likely that the unique kinetics of response is a result of the time required to enhance and maintain an anti-tumor immune response to ipilimumab therapy. Consequently, patients may benefit from continued ipilimumab treatment through clinically known relevant disease progression or non-response during the full induction dosing schedule (12 weeks), without additional therapies. Understanding the kinetics of response to ipilimumab will help clinicians to manage patients who may benefit from treatment. In this article, several cases that illustrate the kinetics of response to ipilimumab are discussed. Keywords:","author":[{"dropping-particle":"","family":"Saenger","given":"Yvonne M","non-dropping-particle":"","parse-names":false,"suffix":""},{"dropping-particle":"","family":"Wolchok","given":"Jedd D","non-dropping-particle":"","parse-names":false,"suffix":""}],"container-title":"Cancer Immunity","id":"ITEM-2","issue":"January","issued":{"date-parts":[["2008"]]},"page":"1-7","title":"The heterogeneity of the kinetics of response to ipilimumab in metastatic melanoma : patient cases","type":"article-journal","volume":"8"},"uris":["http://www.mendeley.com/documents/?uuid=6750f3f8-000d-4e92-98c1-0a40de2be068"]}],"mendeley":{"formattedCitation":"(16,17)","plainTextFormattedCitation":"(16,17)","previouslyFormattedCitation":"(16,17)"},"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[16,17]</w:t>
      </w:r>
      <w:r w:rsidR="00AD582B" w:rsidRPr="0057248A">
        <w:rPr>
          <w:rFonts w:ascii="Book Antiqua" w:hAnsi="Book Antiqua"/>
          <w:vertAlign w:val="superscript"/>
          <w:lang w:val="en-US"/>
        </w:rPr>
        <w:fldChar w:fldCharType="end"/>
      </w:r>
      <w:r w:rsidR="00CA111C" w:rsidRPr="0057248A">
        <w:rPr>
          <w:rFonts w:ascii="Book Antiqua" w:hAnsi="Book Antiqua"/>
          <w:lang w:val="en-US"/>
        </w:rPr>
        <w:t>.</w:t>
      </w:r>
    </w:p>
    <w:p w14:paraId="53BC29E6" w14:textId="5D72AE79" w:rsidR="000C24D9" w:rsidRPr="0057248A" w:rsidRDefault="000C24D9"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Nevertheless, it is crucial to be informed about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as indicates a high likelihood of &gt; 1 year survival</w:t>
      </w:r>
      <w:r w:rsidR="00AD582B" w:rsidRPr="0057248A">
        <w:rPr>
          <w:rFonts w:ascii="Book Antiqua" w:hAnsi="Book Antiqua"/>
          <w:vertAlign w:val="superscript"/>
        </w:rPr>
        <w:fldChar w:fldCharType="begin" w:fldLock="1"/>
      </w:r>
      <w:r w:rsidR="00AD582B" w:rsidRPr="0057248A">
        <w:rPr>
          <w:rFonts w:ascii="Book Antiqua" w:hAnsi="Book Antiqua"/>
          <w:vertAlign w:val="superscript"/>
          <w:lang w:val="en-US"/>
        </w:rPr>
        <w:instrText>ADDIN CSL_CITATION {"citationItems":[{"id":"ITEM-1","itemData":{"DOI":"10.1200/JCO.2016.34.15_suppl.6580","abstract":"Background: Pseudoprogression (PP), tumor growth from treatment effect rather than true disease progression, has been described with immune checkpoint inhibitors. Our study measures rates and time course of PP and associated patient outcomes using RECIST 1.1 and irRC criteria. Methods: Cohort was retrospectively drawn from subjects enrolled in phase I and II trials from March 2008 to July 2015 at two hospitals within one cancer center network. Inclusion required followup with every 4-12 week scheduled torso CT or MRI for &gt; 1 year or until death analyzed using RECIST 1.1 and irRC criteria by the imaging core lab. A single investigator blinded to patient outcome abstracted the core lab database; another blinded to imaging assessment abstracted patient survival from the medical record. Pattern of response during the first year of therapy assessed according to RECIST 1.1 and irRC criteria were categorized as stable (SD), partial response (PR), progressive disease (PD) or pseudoprogression (PP). PP was defined as progression from nadir followed by response from peak. Results: Cohort of 356 was comprised of 214 melanoma, 103 non-small and 6 small cell lung, 16 breast, and 17 other cancer patients. Therapeutic agents were anti-PD1 (203, 57%), anti-PD-L1 (82, 23%), CTLA-4 alone (57, 16%) or in combination with anti-VEGF (5, 1%) or BRAF(V600E) inhibitor (4, 1%). 193 (54%) were alive at 1 year. Number (% of cohort) classified as SD, PR, PD and PP respectively was 59 (17%), 98 (28%), 192 (54%) and 7 (2%) with RECIST and 66 (19%), 101 (28%), 168 (47%) and 21 (6%) with irRC. PP rates between the two criteria were different (p &lt; 0.01). Number (% in category, 95% CI) alive at 1 year respectively was 38 (64%, 51-75), 81 (84%, 74-89), 67 (35%, 29-42) and 7 (100%, 65-100) with RECIST and 38 (58%, 46-69), 82 (82%, 72-88), 56 (33%, 27-41) and 17 (81%, 60-92) with irRC. In the PP group, mean days (range) from baseline to progression, to response and intervening time in between were 74 (29-108), 169 (57-277), and 94 (28-169) with RECIST and 88 (29-181), 187 (57-364) and 99 (28-276) days with irRC. Conclusions: Pseudoprogression is uncommon and indicates a high likelihood of &gt; 1 year survival. Complete course of progression from nadir followed by response from peak can take up to 1 year.","author":[{"dropping-particle":"","family":"Vikram","given":"Kurra","non-dropping-particle":"","parse-names":false,"suffix":""},{"dropping-particle":"","family":"Sullivan","given":"Ryan J.","non-dropping-particle":"","parse-names":false,"suffix":""},{"dropping-particle":"","family":"Gainor","given":"Justin F","non-dropping-particle":"","parse-names":false,"suffix":""},{"dropping-particle":"","family":"Hodi","given":"F. Stephen","non-dropping-particle":"","parse-names":false,"suffix":""},{"dropping-particle":"","family":"Gandhi","given":"Leena","non-dropping-particle":"","parse-names":false,"suffix":""},{"dropping-particle":"","family":"A Sadow","given":"Cheryl","non-dropping-particle":"","parse-names":false,"suffix":""},{"dropping-particle":"","family":"Harris","given":"Gordon J","non-dropping-particle":"","parse-names":false,"suffix":""},{"dropping-particle":"","family":"Flaherty","given":"Keith","non-dropping-particle":"","parse-names":false,"suffix":""},{"dropping-particle":"","family":"Lee","given":"Susanna","non-dropping-particle":"","parse-names":false,"suffix":""}],"container-title":"Journal of Clinical Oncology","id":"ITEM-1","issue":"no. 15_suppl (May 20 2016)","issued":{"date-parts":[["2016"]]},"page":"6580-6580","title":"Pseudoprogression in cancer immunotherapy: Rates, time course and patient outcomes.","type":"article-journal","volume":"34"},"uris":["http://www.mendeley.com/documents/?uuid=db263457-b15a-4540-8de2-ce71e375b8a7"]}],"mendeley":{"formattedCitation":"(18)","plainTextFormattedCitation":"(18)","previouslyFormattedCitation":"(18)"},"properties":{"noteIndex":0},"schema":"https://github.com/citation-style-language/schema/raw/master/csl-citation.json"}</w:instrText>
      </w:r>
      <w:r w:rsidR="00AD582B" w:rsidRPr="0057248A">
        <w:rPr>
          <w:rFonts w:ascii="Book Antiqua" w:hAnsi="Book Antiqua"/>
          <w:vertAlign w:val="superscript"/>
        </w:rPr>
        <w:fldChar w:fldCharType="separate"/>
      </w:r>
      <w:r w:rsidR="00AD582B" w:rsidRPr="0057248A">
        <w:rPr>
          <w:rFonts w:ascii="Book Antiqua" w:hAnsi="Book Antiqua"/>
          <w:noProof/>
          <w:vertAlign w:val="superscript"/>
          <w:lang w:val="en-US"/>
        </w:rPr>
        <w:t>[18]</w:t>
      </w:r>
      <w:r w:rsidR="00AD582B" w:rsidRPr="0057248A">
        <w:rPr>
          <w:rFonts w:ascii="Book Antiqua" w:hAnsi="Book Antiqua"/>
          <w:vertAlign w:val="superscript"/>
        </w:rPr>
        <w:fldChar w:fldCharType="end"/>
      </w:r>
      <w:r w:rsidRPr="0057248A">
        <w:rPr>
          <w:rFonts w:ascii="Book Antiqua" w:hAnsi="Book Antiqua"/>
          <w:lang w:val="en-US"/>
        </w:rPr>
        <w:t>.</w:t>
      </w:r>
    </w:p>
    <w:p w14:paraId="46FB4CD0" w14:textId="52F9F15E"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When considering different treatment options, practitioners and patients need to be informed about the possible occurrence of a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imitating real progression</w:t>
      </w:r>
      <w:r w:rsidR="00AD582B" w:rsidRPr="0057248A">
        <w:rPr>
          <w:rFonts w:ascii="Book Antiqua" w:hAnsi="Book Antiqua"/>
          <w:vertAlign w:val="superscript"/>
          <w:lang w:val="en-US"/>
        </w:rPr>
        <w:fldChar w:fldCharType="begin" w:fldLock="1"/>
      </w:r>
      <w:r w:rsidR="00AD582B" w:rsidRPr="0057248A">
        <w:rPr>
          <w:rFonts w:ascii="Book Antiqua" w:hAnsi="Book Antiqua"/>
          <w:vertAlign w:val="superscript"/>
          <w:lang w:val="en-US"/>
        </w:rPr>
        <w:instrText>ADDIN CSL_CITATION {"citationItems":[{"id":"ITEM-1","itemData":{"author":[{"dropping-particle":"","family":"Chiou","given":"Victoria L","non-dropping-particle":"","parse-names":false,"suffix":""},{"dropping-particle":"","family":"Burotto","given":"Mauricio","non-dropping-particle":"","parse-names":false,"suffix":""}],"container-title":"Journal of Clinical Oncology","id":"ITEM-1","issue":"31","issued":{"date-parts":[["2015"]]},"page":"3541-3542","title":"Pseudoprogression and Immune-Related Response in Solid Tumors","type":"article-journal","volume":"33"},"uris":["http://www.mendeley.com/documents/?uuid=177ad374-6552-437a-8505-c20364903c7c"]}],"mendeley":{"formattedCitation":"(6)","plainTextFormattedCitation":"(6)","previouslyFormattedCitation":"(6)"},"properties":{"noteIndex":0},"schema":"https://github.com/citation-style-language/schema/raw/master/csl-citation.json"}</w:instrText>
      </w:r>
      <w:r w:rsidR="00AD582B" w:rsidRPr="0057248A">
        <w:rPr>
          <w:rFonts w:ascii="Book Antiqua" w:hAnsi="Book Antiqua"/>
          <w:vertAlign w:val="superscript"/>
          <w:lang w:val="en-US"/>
        </w:rPr>
        <w:fldChar w:fldCharType="separate"/>
      </w:r>
      <w:r w:rsidR="00AD582B" w:rsidRPr="0057248A">
        <w:rPr>
          <w:rFonts w:ascii="Book Antiqua" w:hAnsi="Book Antiqua"/>
          <w:noProof/>
          <w:vertAlign w:val="superscript"/>
          <w:lang w:val="en-US"/>
        </w:rPr>
        <w:t>[6]</w:t>
      </w:r>
      <w:r w:rsidR="00AD582B" w:rsidRPr="0057248A">
        <w:rPr>
          <w:rFonts w:ascii="Book Antiqua" w:hAnsi="Book Antiqua"/>
          <w:vertAlign w:val="superscript"/>
          <w:lang w:val="en-US"/>
        </w:rPr>
        <w:fldChar w:fldCharType="end"/>
      </w:r>
      <w:r w:rsidRPr="0057248A">
        <w:rPr>
          <w:rFonts w:ascii="Book Antiqua" w:hAnsi="Book Antiqua"/>
          <w:lang w:val="en-US"/>
        </w:rPr>
        <w:t>.</w:t>
      </w:r>
    </w:p>
    <w:p w14:paraId="31BE9677" w14:textId="77777777"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We present a platinum-resistant ovarian cancer patient, treated with nivolumab, who experienced both: a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and a real progression. We feel that this rare occurrence of both response patterns in the same patient makes this case ideal to illustrate both </w:t>
      </w:r>
      <w:proofErr w:type="spellStart"/>
      <w:r w:rsidRPr="0057248A">
        <w:rPr>
          <w:rFonts w:ascii="Book Antiqua" w:hAnsi="Book Antiqua"/>
          <w:lang w:val="en-US"/>
        </w:rPr>
        <w:t>phenomenona</w:t>
      </w:r>
      <w:proofErr w:type="spellEnd"/>
      <w:r w:rsidRPr="0057248A">
        <w:rPr>
          <w:rFonts w:ascii="Book Antiqua" w:hAnsi="Book Antiqua"/>
          <w:lang w:val="en-US"/>
        </w:rPr>
        <w:t xml:space="preserve"> and the difficulties to differentiate them.</w:t>
      </w:r>
    </w:p>
    <w:p w14:paraId="779F10F8" w14:textId="77777777" w:rsidR="00F727DF" w:rsidRPr="0057248A" w:rsidRDefault="00F727DF" w:rsidP="00685FD1">
      <w:pPr>
        <w:spacing w:line="360" w:lineRule="auto"/>
        <w:jc w:val="both"/>
        <w:rPr>
          <w:rFonts w:ascii="Book Antiqua" w:hAnsi="Book Antiqua"/>
          <w:lang w:val="en-US"/>
        </w:rPr>
      </w:pPr>
    </w:p>
    <w:p w14:paraId="375E1D15" w14:textId="194FF2D4" w:rsidR="00F727DF" w:rsidRPr="0057248A" w:rsidRDefault="00F727DF" w:rsidP="00685FD1">
      <w:pPr>
        <w:spacing w:line="360" w:lineRule="auto"/>
        <w:jc w:val="both"/>
        <w:rPr>
          <w:rFonts w:ascii="Book Antiqua" w:hAnsi="Book Antiqua"/>
          <w:b/>
          <w:lang w:val="en-US"/>
        </w:rPr>
      </w:pPr>
      <w:r w:rsidRPr="0057248A">
        <w:rPr>
          <w:rFonts w:ascii="Book Antiqua" w:hAnsi="Book Antiqua"/>
          <w:b/>
          <w:lang w:val="en-US"/>
        </w:rPr>
        <w:t>CASE PRESENTATION</w:t>
      </w:r>
    </w:p>
    <w:p w14:paraId="308E90C9" w14:textId="77777777" w:rsidR="00F727DF" w:rsidRPr="0057248A" w:rsidRDefault="00F727DF" w:rsidP="00685FD1">
      <w:pPr>
        <w:spacing w:line="360" w:lineRule="auto"/>
        <w:jc w:val="both"/>
        <w:rPr>
          <w:rFonts w:ascii="Book Antiqua" w:hAnsi="Book Antiqua"/>
          <w:b/>
          <w:bCs/>
          <w:i/>
          <w:iCs/>
          <w:lang w:val="en-US"/>
        </w:rPr>
      </w:pPr>
      <w:r w:rsidRPr="0057248A">
        <w:rPr>
          <w:rFonts w:ascii="Book Antiqua" w:hAnsi="Book Antiqua"/>
          <w:b/>
          <w:bCs/>
          <w:i/>
          <w:iCs/>
          <w:lang w:val="en-US"/>
        </w:rPr>
        <w:t>Chief complaints</w:t>
      </w:r>
    </w:p>
    <w:p w14:paraId="685546E9" w14:textId="59AD7B0A"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We report on a 47-year-old-patient with recurrent ovarian cancer. She presented to the Emergency Department of our hospital with a swollen lymph node in her left groin.</w:t>
      </w:r>
    </w:p>
    <w:p w14:paraId="2A8E34F5" w14:textId="77777777" w:rsidR="00F727DF" w:rsidRPr="0057248A" w:rsidRDefault="00F727DF" w:rsidP="00685FD1">
      <w:pPr>
        <w:spacing w:line="360" w:lineRule="auto"/>
        <w:jc w:val="both"/>
        <w:rPr>
          <w:rFonts w:ascii="Book Antiqua" w:hAnsi="Book Antiqua"/>
          <w:lang w:val="en-US"/>
        </w:rPr>
      </w:pPr>
    </w:p>
    <w:p w14:paraId="2C926C74" w14:textId="77777777" w:rsidR="00F727DF" w:rsidRPr="0057248A" w:rsidRDefault="00F727DF" w:rsidP="00685FD1">
      <w:pPr>
        <w:spacing w:line="360" w:lineRule="auto"/>
        <w:jc w:val="both"/>
        <w:rPr>
          <w:rFonts w:ascii="Book Antiqua" w:hAnsi="Book Antiqua"/>
          <w:b/>
          <w:i/>
          <w:lang w:val="en-US"/>
        </w:rPr>
      </w:pPr>
      <w:r w:rsidRPr="0057248A">
        <w:rPr>
          <w:rFonts w:ascii="Book Antiqua" w:hAnsi="Book Antiqua"/>
          <w:b/>
          <w:i/>
          <w:lang w:val="en-US"/>
        </w:rPr>
        <w:t>History of present illness</w:t>
      </w:r>
    </w:p>
    <w:p w14:paraId="085762A1" w14:textId="0E41A200" w:rsidR="00F727DF" w:rsidRPr="0057248A" w:rsidRDefault="00F727DF" w:rsidP="00685FD1">
      <w:pPr>
        <w:spacing w:line="360" w:lineRule="auto"/>
        <w:jc w:val="both"/>
        <w:rPr>
          <w:rFonts w:ascii="Book Antiqua" w:hAnsi="Book Antiqua"/>
          <w:bCs/>
          <w:i/>
          <w:iCs/>
          <w:lang w:val="en-US"/>
        </w:rPr>
      </w:pPr>
      <w:r w:rsidRPr="0057248A">
        <w:rPr>
          <w:rFonts w:ascii="Book Antiqua" w:hAnsi="Book Antiqua"/>
          <w:lang w:val="en-US"/>
        </w:rPr>
        <w:t>Nivolumab was administered at a dosage of 3</w:t>
      </w:r>
      <w:r w:rsidR="006A1BFE" w:rsidRPr="0057248A">
        <w:rPr>
          <w:rFonts w:ascii="Book Antiqua" w:hAnsi="Book Antiqua"/>
          <w:lang w:val="en-US"/>
        </w:rPr>
        <w:t>.</w:t>
      </w:r>
      <w:r w:rsidRPr="0057248A">
        <w:rPr>
          <w:rFonts w:ascii="Book Antiqua" w:hAnsi="Book Antiqua"/>
          <w:lang w:val="en-US"/>
        </w:rPr>
        <w:t>0</w:t>
      </w:r>
      <w:r w:rsidR="006A1BFE" w:rsidRPr="0057248A">
        <w:rPr>
          <w:rFonts w:ascii="Book Antiqua" w:hAnsi="Book Antiqua"/>
          <w:lang w:val="en-US"/>
        </w:rPr>
        <w:t xml:space="preserve"> </w:t>
      </w:r>
      <w:r w:rsidRPr="0057248A">
        <w:rPr>
          <w:rFonts w:ascii="Book Antiqua" w:hAnsi="Book Antiqua"/>
          <w:lang w:val="en-US"/>
        </w:rPr>
        <w:t xml:space="preserve">mg/kg iv every three weeks for four cycles, starting December 2015 based on results from the </w:t>
      </w:r>
      <w:proofErr w:type="spellStart"/>
      <w:r w:rsidRPr="0057248A">
        <w:rPr>
          <w:rFonts w:ascii="Book Antiqua" w:hAnsi="Book Antiqua"/>
          <w:lang w:val="en-US"/>
        </w:rPr>
        <w:t>Hamanishi</w:t>
      </w:r>
      <w:proofErr w:type="spellEnd"/>
      <w:r w:rsidRPr="0057248A">
        <w:rPr>
          <w:rFonts w:ascii="Book Antiqua" w:hAnsi="Book Antiqua"/>
          <w:lang w:val="en-US"/>
        </w:rPr>
        <w:t xml:space="preserve"> </w:t>
      </w:r>
      <w:r w:rsidRPr="0057248A">
        <w:rPr>
          <w:rFonts w:ascii="Book Antiqua" w:hAnsi="Book Antiqua"/>
          <w:i/>
          <w:lang w:val="en-US"/>
        </w:rPr>
        <w:t xml:space="preserve">et </w:t>
      </w:r>
      <w:proofErr w:type="gramStart"/>
      <w:r w:rsidRPr="0057248A">
        <w:rPr>
          <w:rFonts w:ascii="Book Antiqua" w:hAnsi="Book Antiqua"/>
          <w:i/>
          <w:lang w:val="en-US"/>
        </w:rPr>
        <w:t>al</w:t>
      </w:r>
      <w:r w:rsidR="006A1BFE" w:rsidRPr="0057248A">
        <w:rPr>
          <w:rFonts w:ascii="Book Antiqua" w:hAnsi="Book Antiqua"/>
          <w:vertAlign w:val="superscript"/>
          <w:lang w:val="en-US"/>
        </w:rPr>
        <w:t>[</w:t>
      </w:r>
      <w:proofErr w:type="gramEnd"/>
      <w:r w:rsidR="006A1BFE" w:rsidRPr="0057248A">
        <w:rPr>
          <w:rFonts w:ascii="Book Antiqua" w:hAnsi="Book Antiqua"/>
          <w:vertAlign w:val="superscript"/>
          <w:lang w:val="en-US"/>
        </w:rPr>
        <w:t>7]</w:t>
      </w:r>
      <w:r w:rsidRPr="0057248A">
        <w:rPr>
          <w:rFonts w:ascii="Book Antiqua" w:hAnsi="Book Antiqua"/>
          <w:lang w:val="en-US"/>
        </w:rPr>
        <w:t xml:space="preserve"> study. She responded with rash and pruritus to the first cycle of nivolumab which lessened under local corticoid-therapy. After the second cycle, the patient presented with typical inflammatory signs in her left groin: swelling, heat, redness and pain of an inguinal lymph node.</w:t>
      </w:r>
    </w:p>
    <w:p w14:paraId="1B6F6EB7" w14:textId="77777777" w:rsidR="00F727DF" w:rsidRPr="0057248A" w:rsidRDefault="00F727DF" w:rsidP="00685FD1">
      <w:pPr>
        <w:spacing w:line="360" w:lineRule="auto"/>
        <w:jc w:val="both"/>
        <w:rPr>
          <w:rFonts w:ascii="Book Antiqua" w:hAnsi="Book Antiqua"/>
          <w:bCs/>
          <w:i/>
          <w:iCs/>
          <w:lang w:val="en-US"/>
        </w:rPr>
      </w:pPr>
    </w:p>
    <w:p w14:paraId="1CF72D1D" w14:textId="77777777" w:rsidR="00F727DF" w:rsidRPr="0057248A" w:rsidRDefault="00F727DF" w:rsidP="00685FD1">
      <w:pPr>
        <w:spacing w:line="360" w:lineRule="auto"/>
        <w:jc w:val="both"/>
        <w:rPr>
          <w:rFonts w:ascii="Book Antiqua" w:hAnsi="Book Antiqua"/>
          <w:b/>
          <w:bCs/>
          <w:i/>
          <w:iCs/>
          <w:lang w:val="en-US"/>
        </w:rPr>
      </w:pPr>
      <w:r w:rsidRPr="0057248A">
        <w:rPr>
          <w:rFonts w:ascii="Book Antiqua" w:hAnsi="Book Antiqua"/>
          <w:b/>
          <w:bCs/>
          <w:i/>
          <w:iCs/>
          <w:lang w:val="en-US"/>
        </w:rPr>
        <w:t>History of past illness</w:t>
      </w:r>
    </w:p>
    <w:p w14:paraId="518A61B7" w14:textId="77777777"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 xml:space="preserve">The patient was first diagnosed with high grade adenocarcinoma stage pT2b, G3, pN0(0/29), R0, at a different institution in February 2010. She underwent radical cytoreductive surgery with hysterectomy, bilateral </w:t>
      </w:r>
      <w:proofErr w:type="spellStart"/>
      <w:r w:rsidRPr="0057248A">
        <w:rPr>
          <w:rFonts w:ascii="Book Antiqua" w:hAnsi="Book Antiqua"/>
          <w:lang w:val="en-US"/>
        </w:rPr>
        <w:t>salpingoovarectomy</w:t>
      </w:r>
      <w:proofErr w:type="spellEnd"/>
      <w:r w:rsidRPr="0057248A">
        <w:rPr>
          <w:rFonts w:ascii="Book Antiqua" w:hAnsi="Book Antiqua"/>
          <w:lang w:val="en-US"/>
        </w:rPr>
        <w:t xml:space="preserve">, </w:t>
      </w:r>
      <w:proofErr w:type="spellStart"/>
      <w:r w:rsidRPr="0057248A">
        <w:rPr>
          <w:rFonts w:ascii="Book Antiqua" w:hAnsi="Book Antiqua"/>
          <w:lang w:val="en-US"/>
        </w:rPr>
        <w:t>pelvine</w:t>
      </w:r>
      <w:proofErr w:type="spellEnd"/>
      <w:r w:rsidRPr="0057248A">
        <w:rPr>
          <w:rFonts w:ascii="Book Antiqua" w:hAnsi="Book Antiqua"/>
          <w:lang w:val="en-US"/>
        </w:rPr>
        <w:t xml:space="preserve"> and </w:t>
      </w:r>
      <w:proofErr w:type="spellStart"/>
      <w:r w:rsidRPr="0057248A">
        <w:rPr>
          <w:rFonts w:ascii="Book Antiqua" w:hAnsi="Book Antiqua"/>
          <w:lang w:val="en-US"/>
        </w:rPr>
        <w:t>paraaortal</w:t>
      </w:r>
      <w:proofErr w:type="spellEnd"/>
      <w:r w:rsidRPr="0057248A">
        <w:rPr>
          <w:rFonts w:ascii="Book Antiqua" w:hAnsi="Book Antiqua"/>
          <w:lang w:val="en-US"/>
        </w:rPr>
        <w:t xml:space="preserve"> lymphadenectomy, </w:t>
      </w:r>
      <w:proofErr w:type="spellStart"/>
      <w:r w:rsidRPr="0057248A">
        <w:rPr>
          <w:rFonts w:ascii="Book Antiqua" w:hAnsi="Book Antiqua"/>
          <w:lang w:val="en-US"/>
        </w:rPr>
        <w:t>omentectomy</w:t>
      </w:r>
      <w:proofErr w:type="spellEnd"/>
      <w:r w:rsidRPr="0057248A">
        <w:rPr>
          <w:rFonts w:ascii="Book Antiqua" w:hAnsi="Book Antiqua"/>
          <w:lang w:val="en-US"/>
        </w:rPr>
        <w:t xml:space="preserve"> and </w:t>
      </w:r>
      <w:proofErr w:type="spellStart"/>
      <w:r w:rsidRPr="0057248A">
        <w:rPr>
          <w:rFonts w:ascii="Book Antiqua" w:hAnsi="Book Antiqua"/>
          <w:lang w:val="en-US"/>
        </w:rPr>
        <w:t>deperitonealisation</w:t>
      </w:r>
      <w:proofErr w:type="spellEnd"/>
      <w:r w:rsidRPr="0057248A">
        <w:rPr>
          <w:rFonts w:ascii="Book Antiqua" w:hAnsi="Book Antiqua"/>
          <w:lang w:val="en-US"/>
        </w:rPr>
        <w:t>. She was treated with adjuvant chemotherapy consisting of six cycles of Carboplatin and Paclitaxel.</w:t>
      </w:r>
    </w:p>
    <w:p w14:paraId="44D37B74" w14:textId="77777777"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In June 2011, the disease relapsed for the first time and the patient was referred to our institution. Over the next four years, the patient was treated with Carboplatin/Gemcitabine as second line, pegylated liposomal Doxorubicin biweekly as third line, Carboplatin/Topotecan (Phase III “HECTOR” study) as fourth line and Paclitaxel/Bevacizumab as fifth line.</w:t>
      </w:r>
    </w:p>
    <w:p w14:paraId="0033E00B" w14:textId="3C062BA4"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She experienced another relapse with intraperitoneal (rectum, bladder, </w:t>
      </w:r>
      <w:r w:rsidRPr="0057248A">
        <w:rPr>
          <w:rFonts w:ascii="Book Antiqua" w:hAnsi="Book Antiqua"/>
          <w:i/>
          <w:lang w:val="en-US"/>
        </w:rPr>
        <w:t>etc</w:t>
      </w:r>
      <w:r w:rsidRPr="0057248A">
        <w:rPr>
          <w:rFonts w:ascii="Book Antiqua" w:hAnsi="Book Antiqua"/>
          <w:lang w:val="en-US"/>
        </w:rPr>
        <w:t>.) and extraperitoneal manifestation (brain).</w:t>
      </w:r>
    </w:p>
    <w:p w14:paraId="6126C3BC" w14:textId="3821C958" w:rsidR="00F727DF" w:rsidRPr="0057248A" w:rsidRDefault="00F727DF" w:rsidP="00685FD1">
      <w:pPr>
        <w:spacing w:line="360" w:lineRule="auto"/>
        <w:ind w:firstLineChars="100" w:firstLine="240"/>
        <w:jc w:val="both"/>
        <w:rPr>
          <w:rFonts w:ascii="Book Antiqua" w:hAnsi="Book Antiqua"/>
          <w:i/>
          <w:lang w:val="en-US"/>
        </w:rPr>
      </w:pPr>
      <w:r w:rsidRPr="0057248A">
        <w:rPr>
          <w:rFonts w:ascii="Book Antiqua" w:hAnsi="Book Antiqua"/>
          <w:lang w:val="en-US"/>
        </w:rPr>
        <w:t xml:space="preserve">The tumor conference suggested the off-label-use of </w:t>
      </w:r>
      <w:r w:rsidR="001F5840" w:rsidRPr="0057248A">
        <w:rPr>
          <w:rFonts w:ascii="Book Antiqua" w:hAnsi="Book Antiqua"/>
          <w:lang w:val="en-US"/>
        </w:rPr>
        <w:t>n</w:t>
      </w:r>
      <w:r w:rsidRPr="0057248A">
        <w:rPr>
          <w:rFonts w:ascii="Book Antiqua" w:hAnsi="Book Antiqua"/>
          <w:lang w:val="en-US"/>
        </w:rPr>
        <w:t>ivolumab in October 2015. The patients’ health care provider granted permission for the off-label-use because of the limited options in this platinum-resistant situation and the good general health of the patient.</w:t>
      </w:r>
    </w:p>
    <w:p w14:paraId="272FF6EA" w14:textId="77777777" w:rsidR="00F727DF" w:rsidRPr="0057248A" w:rsidRDefault="00F727DF" w:rsidP="00685FD1">
      <w:pPr>
        <w:spacing w:line="360" w:lineRule="auto"/>
        <w:jc w:val="both"/>
        <w:rPr>
          <w:rFonts w:ascii="Book Antiqua" w:hAnsi="Book Antiqua"/>
          <w:lang w:val="en-US"/>
        </w:rPr>
      </w:pPr>
    </w:p>
    <w:p w14:paraId="76203B48" w14:textId="77777777" w:rsidR="00F727DF" w:rsidRPr="0057248A" w:rsidRDefault="00F727DF" w:rsidP="00685FD1">
      <w:pPr>
        <w:spacing w:line="360" w:lineRule="auto"/>
        <w:jc w:val="both"/>
        <w:rPr>
          <w:rFonts w:ascii="Book Antiqua" w:hAnsi="Book Antiqua"/>
          <w:b/>
          <w:i/>
          <w:lang w:val="en-US"/>
        </w:rPr>
      </w:pPr>
      <w:r w:rsidRPr="0057248A">
        <w:rPr>
          <w:rFonts w:ascii="Book Antiqua" w:hAnsi="Book Antiqua"/>
          <w:b/>
          <w:i/>
          <w:lang w:val="en-US"/>
        </w:rPr>
        <w:t>Personal and family history</w:t>
      </w:r>
    </w:p>
    <w:p w14:paraId="0A14161F" w14:textId="55B54FE3"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The patient is married and lives with her husband and two children.</w:t>
      </w:r>
      <w:r w:rsidR="006A1BFE" w:rsidRPr="0057248A">
        <w:rPr>
          <w:rFonts w:ascii="Book Antiqua" w:eastAsia="宋体" w:hAnsi="Book Antiqua"/>
          <w:lang w:val="en-US" w:eastAsia="zh-CN"/>
        </w:rPr>
        <w:t xml:space="preserve"> </w:t>
      </w:r>
      <w:r w:rsidRPr="0057248A">
        <w:rPr>
          <w:rFonts w:ascii="Book Antiqua" w:hAnsi="Book Antiqua"/>
          <w:lang w:val="en-US"/>
        </w:rPr>
        <w:t xml:space="preserve">Molecular analysis revealed </w:t>
      </w:r>
      <w:r w:rsidRPr="0057248A">
        <w:rPr>
          <w:rFonts w:ascii="Book Antiqua" w:hAnsi="Book Antiqua"/>
          <w:i/>
          <w:lang w:val="en-US"/>
        </w:rPr>
        <w:t xml:space="preserve">BRCA-1 </w:t>
      </w:r>
      <w:r w:rsidRPr="0057248A">
        <w:rPr>
          <w:rFonts w:ascii="Book Antiqua" w:hAnsi="Book Antiqua"/>
          <w:lang w:val="en-US"/>
        </w:rPr>
        <w:t xml:space="preserve">mutation (p. His 1707 </w:t>
      </w:r>
      <w:proofErr w:type="spellStart"/>
      <w:r w:rsidRPr="0057248A">
        <w:rPr>
          <w:rFonts w:ascii="Book Antiqua" w:hAnsi="Book Antiqua"/>
          <w:lang w:val="en-US"/>
        </w:rPr>
        <w:t>Arg</w:t>
      </w:r>
      <w:proofErr w:type="spellEnd"/>
      <w:r w:rsidRPr="0057248A">
        <w:rPr>
          <w:rFonts w:ascii="Book Antiqua" w:hAnsi="Book Antiqua"/>
          <w:lang w:val="en-US"/>
        </w:rPr>
        <w:t xml:space="preserve">). </w:t>
      </w:r>
    </w:p>
    <w:p w14:paraId="3FA15B02" w14:textId="77777777" w:rsidR="00F727DF" w:rsidRPr="0057248A" w:rsidRDefault="00F727DF" w:rsidP="00685FD1">
      <w:pPr>
        <w:spacing w:line="360" w:lineRule="auto"/>
        <w:jc w:val="both"/>
        <w:rPr>
          <w:rFonts w:ascii="Book Antiqua" w:hAnsi="Book Antiqua"/>
          <w:i/>
          <w:lang w:val="en-US"/>
        </w:rPr>
      </w:pPr>
    </w:p>
    <w:p w14:paraId="2C2D3AF6" w14:textId="77777777" w:rsidR="00F727DF" w:rsidRPr="0057248A" w:rsidRDefault="00F727DF" w:rsidP="00685FD1">
      <w:pPr>
        <w:spacing w:line="360" w:lineRule="auto"/>
        <w:jc w:val="both"/>
        <w:rPr>
          <w:rFonts w:ascii="Book Antiqua" w:hAnsi="Book Antiqua"/>
          <w:b/>
          <w:i/>
          <w:lang w:val="en-US"/>
        </w:rPr>
      </w:pPr>
      <w:r w:rsidRPr="0057248A">
        <w:rPr>
          <w:rFonts w:ascii="Book Antiqua" w:hAnsi="Book Antiqua"/>
          <w:b/>
          <w:i/>
          <w:lang w:val="en-US"/>
        </w:rPr>
        <w:t>Physical Examination upon admission</w:t>
      </w:r>
    </w:p>
    <w:p w14:paraId="35DC70DA" w14:textId="4E6967CF"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In the physical examination we saw a cardiopulmonary stable patient with a swollen lymph node in the left groin. In this location, a known lymph node metastasis was located, but the lymph-node nearly doubled in size initially suggesting classic progression.</w:t>
      </w:r>
    </w:p>
    <w:p w14:paraId="64E21E08" w14:textId="77777777" w:rsidR="00F727DF" w:rsidRPr="0057248A" w:rsidRDefault="00F727DF" w:rsidP="00685FD1">
      <w:pPr>
        <w:spacing w:line="360" w:lineRule="auto"/>
        <w:jc w:val="both"/>
        <w:rPr>
          <w:rFonts w:ascii="Book Antiqua" w:hAnsi="Book Antiqua"/>
          <w:lang w:val="en-US"/>
        </w:rPr>
      </w:pPr>
    </w:p>
    <w:p w14:paraId="51A6F3A5" w14:textId="77777777" w:rsidR="00F727DF" w:rsidRPr="0057248A" w:rsidRDefault="00F727DF" w:rsidP="00685FD1">
      <w:pPr>
        <w:spacing w:line="360" w:lineRule="auto"/>
        <w:jc w:val="both"/>
        <w:rPr>
          <w:rFonts w:ascii="Book Antiqua" w:hAnsi="Book Antiqua"/>
          <w:b/>
          <w:i/>
          <w:lang w:val="en-US"/>
        </w:rPr>
      </w:pPr>
      <w:r w:rsidRPr="0057248A">
        <w:rPr>
          <w:rFonts w:ascii="Book Antiqua" w:hAnsi="Book Antiqua"/>
          <w:b/>
          <w:i/>
          <w:lang w:val="en-US"/>
        </w:rPr>
        <w:t>Laboratory examinations</w:t>
      </w:r>
    </w:p>
    <w:p w14:paraId="0CDDD983" w14:textId="77777777"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lastRenderedPageBreak/>
        <w:t>The laboratory examinations were unremarkable, including a stable tumor marker CA125.</w:t>
      </w:r>
    </w:p>
    <w:p w14:paraId="35EE1E87" w14:textId="77777777" w:rsidR="00F727DF" w:rsidRPr="0057248A" w:rsidRDefault="00F727DF" w:rsidP="00685FD1">
      <w:pPr>
        <w:spacing w:line="360" w:lineRule="auto"/>
        <w:jc w:val="both"/>
        <w:rPr>
          <w:rFonts w:ascii="Book Antiqua" w:hAnsi="Book Antiqua"/>
          <w:lang w:val="en-US"/>
        </w:rPr>
      </w:pPr>
    </w:p>
    <w:p w14:paraId="0B15F3C4" w14:textId="77777777" w:rsidR="00F727DF" w:rsidRPr="0057248A" w:rsidRDefault="00F727DF" w:rsidP="00685FD1">
      <w:pPr>
        <w:spacing w:line="360" w:lineRule="auto"/>
        <w:jc w:val="both"/>
        <w:rPr>
          <w:rFonts w:ascii="Book Antiqua" w:hAnsi="Book Antiqua"/>
          <w:b/>
          <w:i/>
          <w:lang w:val="en-US"/>
        </w:rPr>
      </w:pPr>
      <w:r w:rsidRPr="0057248A">
        <w:rPr>
          <w:rFonts w:ascii="Book Antiqua" w:hAnsi="Book Antiqua"/>
          <w:b/>
          <w:i/>
          <w:lang w:val="en-US"/>
        </w:rPr>
        <w:t>Imaging examinations</w:t>
      </w:r>
    </w:p>
    <w:p w14:paraId="64356E0F" w14:textId="7EA25BE6"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No imaging examinations were done</w:t>
      </w:r>
      <w:r w:rsidR="0055283F" w:rsidRPr="0057248A">
        <w:rPr>
          <w:rFonts w:ascii="Book Antiqua" w:hAnsi="Book Antiqua"/>
          <w:lang w:val="en-US"/>
        </w:rPr>
        <w:t>.</w:t>
      </w:r>
    </w:p>
    <w:p w14:paraId="70CC16B4" w14:textId="77777777" w:rsidR="00F727DF" w:rsidRPr="0057248A" w:rsidRDefault="00F727DF" w:rsidP="00685FD1">
      <w:pPr>
        <w:spacing w:line="360" w:lineRule="auto"/>
        <w:jc w:val="both"/>
        <w:rPr>
          <w:rFonts w:ascii="Book Antiqua" w:hAnsi="Book Antiqua"/>
          <w:lang w:val="en-US"/>
        </w:rPr>
      </w:pPr>
    </w:p>
    <w:p w14:paraId="608FEEC0" w14:textId="0C98CE19" w:rsidR="00F727DF" w:rsidRPr="0057248A" w:rsidRDefault="009455BA" w:rsidP="00685FD1">
      <w:pPr>
        <w:spacing w:line="360" w:lineRule="auto"/>
        <w:jc w:val="both"/>
        <w:rPr>
          <w:rFonts w:ascii="Book Antiqua" w:hAnsi="Book Antiqua"/>
          <w:b/>
          <w:i/>
          <w:lang w:val="en-US"/>
        </w:rPr>
      </w:pPr>
      <w:r w:rsidRPr="0057248A">
        <w:rPr>
          <w:rFonts w:ascii="Book Antiqua" w:hAnsi="Book Antiqua"/>
          <w:b/>
          <w:i/>
          <w:lang w:val="en-US"/>
        </w:rPr>
        <w:t>Further diagnostic work-up</w:t>
      </w:r>
    </w:p>
    <w:p w14:paraId="4E9F3BFD" w14:textId="69312779"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 xml:space="preserve">Further pathologic characteristics are shown in </w:t>
      </w:r>
      <w:r w:rsidR="006A1BFE" w:rsidRPr="0057248A">
        <w:rPr>
          <w:rFonts w:ascii="Book Antiqua" w:hAnsi="Book Antiqua"/>
          <w:lang w:val="en-US"/>
        </w:rPr>
        <w:t xml:space="preserve">Figure </w:t>
      </w:r>
      <w:r w:rsidRPr="0057248A">
        <w:rPr>
          <w:rFonts w:ascii="Book Antiqua" w:hAnsi="Book Antiqua"/>
          <w:lang w:val="en-US"/>
        </w:rPr>
        <w:t>2 and 3. Figure 3 shows the histomorphology of the patients</w:t>
      </w:r>
      <w:r w:rsidR="006A1BFE" w:rsidRPr="0057248A">
        <w:rPr>
          <w:rFonts w:ascii="Book Antiqua" w:hAnsi="Book Antiqua"/>
          <w:lang w:val="en-US"/>
        </w:rPr>
        <w:t>’</w:t>
      </w:r>
      <w:r w:rsidRPr="0057248A">
        <w:rPr>
          <w:rFonts w:ascii="Book Antiqua" w:hAnsi="Book Antiqua"/>
          <w:lang w:val="en-US"/>
        </w:rPr>
        <w:t xml:space="preserve"> high-grade serous ovarian carcinoma pretreatment with solid growth pattern and pleomorphism of the tumor cells as well as frequent mitotic activity. An interesting factor are the increased tumor infiltrating lymphocytes (TILS) which have been shown to be associated with better prognosis</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{"citationItems":[{"id":"ITEM-1","itemData":{"author":[{"dropping-particle":"","family":"Darb-esfahani","given":"Silvia","non-dropping-particle":"","parse-names":false,"suffix":""},{"dropping-particle":"","family":"Kunze","given":"Catarina Alisa","non-dropping-particle":"","parse-names":false,"suffix":""},{"dropping-particle":"","family":"Kulbe","given":"Hagen","non-dropping-particle":"","parse-names":false,"suffix":""},{"dropping-particle":"","family":"Sehouli","given":"Jalid","non-dropping-particle":"","parse-names":false,"suffix":""},{"dropping-particle":"","family":"Wienert","given":"Stephan","non-dropping-particle":"","parse-names":false,"suffix":""},{"dropping-particle":"","family":"Lindner","given":"Judith","non-dropping-particle":"","parse-names":false,"suffix":""},{"dropping-particle":"","family":"Budczies","given":"Jan","non-dropping-particle":"","parse-names":false,"suffix":""},{"dropping-particle":"","family":"Bockmayr","given":"Michael","non-dropping-particle":"","parse-names":false,"suffix":""},{"dropping-particle":"","family":"Denkert","given":"Carsten","non-dropping-particle":"","parse-names":false,"suffix":""},{"dropping-particle":"","family":"Braicu","given":"Ioana","non-dropping-particle":"","parse-names":false,"suffix":""},{"dropping-particle":"","family":"Jöhrens","given":"Korinna","non-dropping-particle":"","parse-names":false,"suffix":""}],"container-title":"Oncotarget","id":"ITEM-1","issue":"2","issued":{"date-parts":[["2016"]]},"page":"1486-1499","title":"Prognostic impact of programmed cell death-1 ( PD-1 ) and PD-ligand 1 ( PD-L1 ) expression in cancer cells and tumor- infiltrating lymphocytes in ovarian high grade serous carcinoma","type":"article-journal","volume":"7"},"uris":["http://www.mendeley.com/documents/?uuid=849288ff-bdf6-408e-9813-70614f1ee983"]}],"mendeley":{"formattedCitation":"(19)","plainTextFormattedCitation":"(19)","previouslyFormattedCitation":"(19)"},"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[19]</w:t>
      </w:r>
      <w:r w:rsidR="006A1BFE" w:rsidRPr="0057248A">
        <w:rPr>
          <w:rFonts w:ascii="Book Antiqua" w:hAnsi="Book Antiqua"/>
          <w:vertAlign w:val="superscript"/>
          <w:lang w:val="en-US"/>
        </w:rPr>
        <w:fldChar w:fldCharType="end"/>
      </w:r>
      <w:r w:rsidRPr="0057248A">
        <w:rPr>
          <w:rFonts w:ascii="Book Antiqua" w:hAnsi="Book Antiqua"/>
          <w:lang w:val="en-US"/>
        </w:rPr>
        <w:t>. In the biopsy after treatment the tumor still shows general features of a high-grade serous carcinoma, while TILS seem to be slightly reduced.</w:t>
      </w:r>
    </w:p>
    <w:p w14:paraId="33C6E80D" w14:textId="1E278E33" w:rsidR="00856402" w:rsidRPr="0057248A" w:rsidRDefault="00856402"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After the patient experienced progressive disease, lymph nodes were extracted. </w:t>
      </w:r>
      <w:bookmarkStart w:id="203" w:name="_Hlk8243253"/>
      <w:r w:rsidRPr="0057248A">
        <w:rPr>
          <w:rFonts w:ascii="Book Antiqua" w:hAnsi="Book Antiqua"/>
          <w:lang w:val="en-US"/>
        </w:rPr>
        <w:t>The mant</w:t>
      </w:r>
      <w:r w:rsidR="004929D1" w:rsidRPr="0057248A">
        <w:rPr>
          <w:rFonts w:ascii="Book Antiqua" w:hAnsi="Book Antiqua"/>
          <w:lang w:val="en-US"/>
        </w:rPr>
        <w:t xml:space="preserve">le </w:t>
      </w:r>
      <w:r w:rsidRPr="0057248A">
        <w:rPr>
          <w:rFonts w:ascii="Book Antiqua" w:hAnsi="Book Antiqua"/>
          <w:lang w:val="en-US"/>
        </w:rPr>
        <w:t xml:space="preserve">zone of the follicle can easily </w:t>
      </w:r>
      <w:r w:rsidR="004929D1" w:rsidRPr="0057248A">
        <w:rPr>
          <w:rFonts w:ascii="Book Antiqua" w:hAnsi="Book Antiqua"/>
          <w:lang w:val="en-US"/>
        </w:rPr>
        <w:t xml:space="preserve">be </w:t>
      </w:r>
      <w:r w:rsidRPr="0057248A">
        <w:rPr>
          <w:rFonts w:ascii="Book Antiqua" w:hAnsi="Book Antiqua"/>
          <w:lang w:val="en-US"/>
        </w:rPr>
        <w:t xml:space="preserve">distinguished from </w:t>
      </w:r>
      <w:r w:rsidR="004929D1" w:rsidRPr="0057248A">
        <w:rPr>
          <w:rFonts w:ascii="Book Antiqua" w:hAnsi="Book Antiqua"/>
          <w:lang w:val="en-US"/>
        </w:rPr>
        <w:t>the</w:t>
      </w:r>
      <w:r w:rsidRPr="0057248A">
        <w:rPr>
          <w:rFonts w:ascii="Book Antiqua" w:hAnsi="Book Antiqua"/>
          <w:lang w:val="en-US"/>
        </w:rPr>
        <w:t xml:space="preserve"> </w:t>
      </w:r>
      <w:r w:rsidR="004929D1" w:rsidRPr="0057248A">
        <w:rPr>
          <w:rFonts w:ascii="Book Antiqua" w:hAnsi="Book Antiqua"/>
          <w:lang w:val="en-US"/>
        </w:rPr>
        <w:t xml:space="preserve">increased </w:t>
      </w:r>
      <w:r w:rsidRPr="0057248A">
        <w:rPr>
          <w:rFonts w:ascii="Book Antiqua" w:hAnsi="Book Antiqua"/>
          <w:lang w:val="en-US"/>
        </w:rPr>
        <w:t xml:space="preserve">Ki-67 positive </w:t>
      </w:r>
      <w:r w:rsidR="004929D1" w:rsidRPr="0057248A">
        <w:rPr>
          <w:rFonts w:ascii="Book Antiqua" w:hAnsi="Book Antiqua"/>
          <w:lang w:val="en-US"/>
        </w:rPr>
        <w:t xml:space="preserve">interfollicular </w:t>
      </w:r>
      <w:r w:rsidRPr="0057248A">
        <w:rPr>
          <w:rFonts w:ascii="Book Antiqua" w:hAnsi="Book Antiqua"/>
          <w:lang w:val="en-US"/>
        </w:rPr>
        <w:t>population</w:t>
      </w:r>
      <w:r w:rsidR="004929D1" w:rsidRPr="0057248A">
        <w:rPr>
          <w:rFonts w:ascii="Book Antiqua" w:hAnsi="Book Antiqua"/>
          <w:lang w:val="en-US"/>
        </w:rPr>
        <w:t>, which indicates unspecific activation of the lymph node</w:t>
      </w:r>
      <w:r w:rsidR="001E2459" w:rsidRPr="0057248A">
        <w:rPr>
          <w:rFonts w:ascii="Book Antiqua" w:hAnsi="Book Antiqua"/>
          <w:lang w:val="en-US"/>
        </w:rPr>
        <w:t xml:space="preserve"> as seen in Figure 4</w:t>
      </w:r>
      <w:r w:rsidR="004929D1" w:rsidRPr="0057248A">
        <w:rPr>
          <w:rFonts w:ascii="Book Antiqua" w:hAnsi="Book Antiqua"/>
          <w:lang w:val="en-US"/>
        </w:rPr>
        <w:t>.</w:t>
      </w:r>
      <w:bookmarkEnd w:id="203"/>
    </w:p>
    <w:p w14:paraId="6B8E46F3" w14:textId="12EBAD84" w:rsidR="004929D1" w:rsidRPr="0057248A" w:rsidRDefault="004929D1"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This activation of the follicle </w:t>
      </w:r>
      <w:r w:rsidR="001E2459" w:rsidRPr="0057248A">
        <w:rPr>
          <w:rFonts w:ascii="Book Antiqua" w:hAnsi="Book Antiqua"/>
          <w:lang w:val="en-US"/>
        </w:rPr>
        <w:t>combined with edema and dilated vessels are most likely caused by the nivolumab treatment.</w:t>
      </w:r>
    </w:p>
    <w:p w14:paraId="4DCD4388" w14:textId="77777777" w:rsidR="00F727DF" w:rsidRPr="0057248A" w:rsidRDefault="00F727DF" w:rsidP="00685FD1">
      <w:pPr>
        <w:spacing w:line="360" w:lineRule="auto"/>
        <w:jc w:val="both"/>
        <w:rPr>
          <w:rFonts w:ascii="Book Antiqua" w:hAnsi="Book Antiqua"/>
          <w:lang w:val="en-US"/>
        </w:rPr>
      </w:pPr>
    </w:p>
    <w:p w14:paraId="0545CD23" w14:textId="2B236783" w:rsidR="00F727DF" w:rsidRPr="0057248A" w:rsidRDefault="00F727DF" w:rsidP="00685FD1">
      <w:pPr>
        <w:spacing w:line="360" w:lineRule="auto"/>
        <w:jc w:val="both"/>
        <w:rPr>
          <w:rFonts w:ascii="Book Antiqua" w:hAnsi="Book Antiqua"/>
          <w:b/>
          <w:lang w:val="en-US"/>
        </w:rPr>
      </w:pPr>
      <w:r w:rsidRPr="0057248A">
        <w:rPr>
          <w:rFonts w:ascii="Book Antiqua" w:hAnsi="Book Antiqua"/>
          <w:b/>
          <w:lang w:val="en-US"/>
        </w:rPr>
        <w:t>FINAL DIAGNOSIS</w:t>
      </w:r>
    </w:p>
    <w:p w14:paraId="61DB66C5" w14:textId="53C50479"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 xml:space="preserve">A known lymph node metastasis was located in the patients` left groin, but the lymph-node nearly doubled in size initially suggesting classic progression. But the lack of evidence for additional progression, the local inflammatory signs and the stable tumor marker CA125 made a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the most likely diagnosis.</w:t>
      </w:r>
    </w:p>
    <w:p w14:paraId="3902701B" w14:textId="77777777" w:rsidR="00F727DF" w:rsidRPr="0057248A" w:rsidRDefault="00F727DF" w:rsidP="00685FD1">
      <w:pPr>
        <w:spacing w:line="360" w:lineRule="auto"/>
        <w:jc w:val="both"/>
        <w:rPr>
          <w:rFonts w:ascii="Book Antiqua" w:hAnsi="Book Antiqua"/>
          <w:lang w:val="en-US"/>
        </w:rPr>
      </w:pPr>
    </w:p>
    <w:p w14:paraId="0E011F99" w14:textId="0846E4C9" w:rsidR="00F727DF" w:rsidRPr="0057248A" w:rsidRDefault="00F727DF" w:rsidP="00685FD1">
      <w:pPr>
        <w:spacing w:line="360" w:lineRule="auto"/>
        <w:jc w:val="both"/>
        <w:rPr>
          <w:rFonts w:ascii="Book Antiqua" w:hAnsi="Book Antiqua"/>
          <w:b/>
          <w:lang w:val="en-US"/>
        </w:rPr>
      </w:pPr>
      <w:r w:rsidRPr="0057248A">
        <w:rPr>
          <w:rFonts w:ascii="Book Antiqua" w:hAnsi="Book Antiqua"/>
          <w:b/>
          <w:lang w:val="en-US"/>
        </w:rPr>
        <w:t>TREATMENT</w:t>
      </w:r>
    </w:p>
    <w:p w14:paraId="6B7D72A1" w14:textId="0F2DB527" w:rsidR="008C33C5" w:rsidRPr="0057248A" w:rsidRDefault="00655A58" w:rsidP="00685FD1">
      <w:pPr>
        <w:spacing w:line="360" w:lineRule="auto"/>
        <w:jc w:val="both"/>
        <w:rPr>
          <w:rFonts w:ascii="Book Antiqua" w:hAnsi="Book Antiqua"/>
          <w:lang w:val="en-US"/>
        </w:rPr>
      </w:pPr>
      <w:r w:rsidRPr="0057248A">
        <w:rPr>
          <w:rFonts w:ascii="Book Antiqua" w:hAnsi="Book Antiqua"/>
          <w:lang w:val="en-US"/>
        </w:rPr>
        <w:t xml:space="preserve">Because the RECIST do not provide a complete assessment of immune-therapeutic agents, </w:t>
      </w:r>
      <w:proofErr w:type="spellStart"/>
      <w:r w:rsidRPr="0057248A">
        <w:rPr>
          <w:rFonts w:ascii="Book Antiqua" w:hAnsi="Book Antiqua"/>
          <w:lang w:val="en-US"/>
        </w:rPr>
        <w:t>ir</w:t>
      </w:r>
      <w:proofErr w:type="spellEnd"/>
      <w:r w:rsidRPr="0057248A">
        <w:rPr>
          <w:rFonts w:ascii="Book Antiqua" w:hAnsi="Book Antiqua"/>
          <w:lang w:val="en-US"/>
        </w:rPr>
        <w:t xml:space="preserve">-RECIST were defined by </w:t>
      </w:r>
      <w:proofErr w:type="spellStart"/>
      <w:r w:rsidRPr="0057248A">
        <w:rPr>
          <w:rFonts w:ascii="Book Antiqua" w:hAnsi="Book Antiqua"/>
          <w:lang w:val="en-US"/>
        </w:rPr>
        <w:t>Wolchok</w:t>
      </w:r>
      <w:proofErr w:type="spellEnd"/>
      <w:r w:rsidRPr="0057248A">
        <w:rPr>
          <w:rFonts w:ascii="Book Antiqua" w:hAnsi="Book Antiqua"/>
          <w:lang w:val="en-US"/>
        </w:rPr>
        <w:t xml:space="preserve"> </w:t>
      </w:r>
      <w:r w:rsidRPr="0057248A">
        <w:rPr>
          <w:rFonts w:ascii="Book Antiqua" w:hAnsi="Book Antiqua"/>
          <w:i/>
          <w:lang w:val="en-US"/>
        </w:rPr>
        <w:t xml:space="preserve">et </w:t>
      </w:r>
      <w:proofErr w:type="gramStart"/>
      <w:r w:rsidRPr="0057248A">
        <w:rPr>
          <w:rFonts w:ascii="Book Antiqua" w:hAnsi="Book Antiqua"/>
          <w:i/>
          <w:lang w:val="en-US"/>
        </w:rPr>
        <w:t>al</w:t>
      </w:r>
      <w:r w:rsidR="006A1BFE" w:rsidRPr="0057248A">
        <w:rPr>
          <w:rFonts w:ascii="Book Antiqua" w:hAnsi="Book Antiqua"/>
          <w:vertAlign w:val="superscript"/>
          <w:lang w:val="en-US"/>
        </w:rPr>
        <w:t>[</w:t>
      </w:r>
      <w:proofErr w:type="gramEnd"/>
      <w:r w:rsidR="006A1BFE" w:rsidRPr="0057248A">
        <w:rPr>
          <w:rFonts w:ascii="Book Antiqua" w:hAnsi="Book Antiqua"/>
          <w:vertAlign w:val="superscript"/>
          <w:lang w:val="en-US"/>
        </w:rPr>
        <w:t>12]</w:t>
      </w:r>
      <w:r w:rsidRPr="0057248A">
        <w:rPr>
          <w:rFonts w:ascii="Book Antiqua" w:hAnsi="Book Antiqua"/>
          <w:lang w:val="en-US"/>
        </w:rPr>
        <w:t xml:space="preserve">. In this adapted recommendation, the increase in tumor size or even the appearance of a new lesion, does not automatically translate to the classification as progressive disease. While taking the </w:t>
      </w:r>
      <w:r w:rsidRPr="0057248A">
        <w:rPr>
          <w:rFonts w:ascii="Book Antiqua" w:hAnsi="Book Antiqua"/>
          <w:lang w:val="en-US"/>
        </w:rPr>
        <w:lastRenderedPageBreak/>
        <w:t>potential toxicity of the treatment into consideration, continuation with the immune related therapy while persistently performing follow-up examinations to ensure the patients</w:t>
      </w:r>
      <w:r w:rsidR="00FE3496" w:rsidRPr="0057248A">
        <w:rPr>
          <w:rFonts w:ascii="Book Antiqua" w:hAnsi="Book Antiqua"/>
          <w:lang w:val="en-US"/>
        </w:rPr>
        <w:t>’</w:t>
      </w:r>
      <w:r w:rsidRPr="0057248A">
        <w:rPr>
          <w:rFonts w:ascii="Book Antiqua" w:hAnsi="Book Antiqua"/>
          <w:lang w:val="en-US"/>
        </w:rPr>
        <w:t xml:space="preserve"> safety is recommended in </w:t>
      </w:r>
      <w:proofErr w:type="spellStart"/>
      <w:r w:rsidRPr="0057248A">
        <w:rPr>
          <w:rFonts w:ascii="Book Antiqua" w:hAnsi="Book Antiqua"/>
          <w:lang w:val="en-US"/>
        </w:rPr>
        <w:t>ir</w:t>
      </w:r>
      <w:proofErr w:type="spellEnd"/>
      <w:r w:rsidRPr="0057248A">
        <w:rPr>
          <w:rFonts w:ascii="Book Antiqua" w:hAnsi="Book Antiqua"/>
          <w:lang w:val="en-US"/>
        </w:rPr>
        <w:t>-RECIST</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{"citationItems":[{"id":"ITEM-1","itemData":{"DOI":"10.1158/1078-0432.CCR-09-1624","ISBN":"1078-0432 (Print)\\n1078-0432 (Linking)","ISSN":"10780432","PMID":"19934295","abstract":"PURPOSE: Immunotherapeutic agents produce antitumor effects by inducing cancer-specific immune responses or by modifying native immune processes. Resulting clinical response patterns extend beyond those of cytotoxic agents and can manifest after an initial increase in tumor burden or the appearance of new lesions (progressive disease). Response Evaluation Criteria in Solid Tumors or WHO criteria, designed to detect early effects of cytotoxic agents, may not provide a complete assessment of immunotherapeutic agents. Novel criteria for the evaluation of antitumor responses with immunotherapeutic agents are required. EXPERIMENTAL DESIGN: The phase II clinical trial program with ipilimumab, an antibody that blocks CTL antigen-4, represents the most comprehensive data set available to date for an immunotherapeutic agent. Novel immune therapy response criteria proposed, based on the shared experience from community workshops and several investigators, were evaluated using data from ipilimumab phase II clinical trials in patients with advanced melanoma. RESULTS: Ipilimumab monotherapy resulted in four distinct response patterns: (a) shrinkage in baseline lesions, without new lesions; (b) durable stable disease (in some patients followed by a slow, steady decline in total tumor burden); (c) response after an increase in total tumor burden; and (d) response in the presence of new lesions. All patterns were associated with favorable survival. CONCLUSION: Systematic criteria, designated immune-related response criteria, were defined in an attempt to capture additional response patterns observed with immune therapy in advanced melanoma beyond those described by Response Evaluation Criteria in Solid Tumors or WHO criteria. Further prospective evaluations of the immune-related response criteria, particularly their association with overall survival, are warranted.","author":[{"dropping-particle":"","family":"Wolchok","given":"Jedd D.","non-dropping-particle":"","parse-names":false,"suffix":""},{"dropping-particle":"","family":"Hoos","given":"Axel","non-dropping-particle":"","parse-names":false,"suffix":""},{"dropping-particle":"","family":"O'Day","given":"Steven","non-dropping-particle":"","parse-names":false,"suffix":""},{"dropping-particle":"","family":"Weber","given":"Jeffrey S.","non-dropping-particle":"","parse-names":false,"suffix":""},{"dropping-particle":"","family":"Hamid","given":"Omid","non-dropping-particle":"","parse-names":false,"suffix":""},{"dropping-particle":"","family":"Lebbé","given":"Celeste","non-dropping-particle":"","parse-names":false,"suffix":""},{"dropping-particle":"","family":"Maio","given":"Michele","non-dropping-particle":"","parse-names":false,"suffix":""},{"dropping-particle":"","family":"Binder","given":"Michael","non-dropping-particle":"","parse-names":false,"suffix":""},{"dropping-particle":"","family":"Bohnsack","given":"Oliver","non-dropping-particle":"","parse-names":false,"suffix":""},{"dropping-particle":"","family":"Nichol","given":"Geoffrey","non-dropping-particle":"","parse-names":false,"suffix":""},{"dropping-particle":"","family":"Humphrey","given":"Rachel","non-dropping-particle":"","parse-names":false,"suffix":""},{"dropping-particle":"","family":"Hodi","given":"F. Stephen","non-dropping-particle":"","parse-names":false,"suffix":""}],"container-title":"Clinical Cancer Research","id":"ITEM-1","issue":"23","issued":{"date-parts":[["2009"]]},"page":"7412-7420","title":"Guidelines for the evaluation of immune therapy activity in solid tumors: Immune-related response criteria","type":"article-journal","volume":"15"},"uris":["http://www.mendeley.com/documents/?uuid=7c784b35-a5ac-4071-9974-4bbe4b42a239"]}],"mendeley":{"formattedCitation":"(12)","plainTextFormattedCitation":"(12)","previouslyFormattedCitation":"(12)"},"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[12]</w:t>
      </w:r>
      <w:r w:rsidR="006A1BFE" w:rsidRPr="0057248A">
        <w:rPr>
          <w:rFonts w:ascii="Book Antiqua" w:hAnsi="Book Antiqua"/>
          <w:vertAlign w:val="superscript"/>
          <w:lang w:val="en-US"/>
        </w:rPr>
        <w:fldChar w:fldCharType="end"/>
      </w:r>
      <w:r w:rsidRPr="0057248A">
        <w:rPr>
          <w:rFonts w:ascii="Book Antiqua" w:hAnsi="Book Antiqua"/>
          <w:lang w:val="en-US"/>
        </w:rPr>
        <w:t>.</w:t>
      </w:r>
      <w:r w:rsidR="006A1BFE" w:rsidRPr="0057248A">
        <w:rPr>
          <w:rFonts w:ascii="Book Antiqua" w:hAnsi="Book Antiqua"/>
          <w:lang w:val="en-US"/>
        </w:rPr>
        <w:t xml:space="preserve"> </w:t>
      </w:r>
      <w:r w:rsidRPr="0057248A">
        <w:rPr>
          <w:rFonts w:ascii="Book Antiqua" w:hAnsi="Book Antiqua"/>
          <w:lang w:val="en-US"/>
        </w:rPr>
        <w:t>The recommendation on the frequency of follow-up exams is four weeks, but if a rapid decline of the patients´ status is observed, an earlier follow up is necessary.</w:t>
      </w:r>
    </w:p>
    <w:p w14:paraId="5C25E5EE" w14:textId="5922EFA3"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Therefore, we proceeded with </w:t>
      </w:r>
      <w:r w:rsidR="001F5840" w:rsidRPr="0057248A">
        <w:rPr>
          <w:rFonts w:ascii="Book Antiqua" w:hAnsi="Book Antiqua"/>
          <w:lang w:val="en-US"/>
        </w:rPr>
        <w:t>n</w:t>
      </w:r>
      <w:r w:rsidRPr="0057248A">
        <w:rPr>
          <w:rFonts w:ascii="Book Antiqua" w:hAnsi="Book Antiqua"/>
          <w:lang w:val="en-US"/>
        </w:rPr>
        <w:t xml:space="preserve">ivolumab treatment and the lymph node decreased in size. The shrinkage was interpreted as confirmation of </w:t>
      </w:r>
      <w:proofErr w:type="spellStart"/>
      <w:r w:rsidRPr="0057248A">
        <w:rPr>
          <w:rFonts w:ascii="Book Antiqua" w:hAnsi="Book Antiqua"/>
          <w:lang w:val="en-US"/>
        </w:rPr>
        <w:t>pseudoprogression</w:t>
      </w:r>
      <w:proofErr w:type="spellEnd"/>
      <w:r w:rsidRPr="0057248A">
        <w:rPr>
          <w:rFonts w:ascii="Book Antiqua" w:hAnsi="Book Antiqua"/>
          <w:lang w:val="en-US"/>
        </w:rPr>
        <w:t>.</w:t>
      </w:r>
    </w:p>
    <w:p w14:paraId="34F2C1E4" w14:textId="77777777" w:rsidR="00F727DF" w:rsidRPr="0057248A" w:rsidRDefault="00F727DF" w:rsidP="00685FD1">
      <w:pPr>
        <w:spacing w:line="360" w:lineRule="auto"/>
        <w:jc w:val="both"/>
        <w:rPr>
          <w:rFonts w:ascii="Book Antiqua" w:hAnsi="Book Antiqua"/>
          <w:lang w:val="en-US"/>
        </w:rPr>
      </w:pPr>
    </w:p>
    <w:p w14:paraId="3BE73CF6" w14:textId="22C39E7B" w:rsidR="00F727DF" w:rsidRPr="0057248A" w:rsidRDefault="00F727DF" w:rsidP="00685FD1">
      <w:pPr>
        <w:spacing w:line="360" w:lineRule="auto"/>
        <w:jc w:val="both"/>
        <w:rPr>
          <w:rFonts w:ascii="Book Antiqua" w:hAnsi="Book Antiqua"/>
          <w:b/>
          <w:lang w:val="en-US"/>
        </w:rPr>
      </w:pPr>
      <w:r w:rsidRPr="0057248A">
        <w:rPr>
          <w:rFonts w:ascii="Book Antiqua" w:hAnsi="Book Antiqua"/>
          <w:b/>
          <w:lang w:val="en-US"/>
        </w:rPr>
        <w:t>OUTCOME AND FOLLOW-UP</w:t>
      </w:r>
    </w:p>
    <w:p w14:paraId="311A902C" w14:textId="77777777" w:rsidR="00F727DF" w:rsidRPr="0057248A" w:rsidRDefault="00F727DF" w:rsidP="00685FD1">
      <w:pPr>
        <w:spacing w:line="360" w:lineRule="auto"/>
        <w:jc w:val="both"/>
        <w:rPr>
          <w:rFonts w:ascii="Book Antiqua" w:hAnsi="Book Antiqua"/>
          <w:b/>
          <w:lang w:val="en-US"/>
        </w:rPr>
      </w:pPr>
      <w:r w:rsidRPr="0057248A">
        <w:rPr>
          <w:rFonts w:ascii="Book Antiqua" w:hAnsi="Book Antiqua"/>
          <w:lang w:val="en-US"/>
        </w:rPr>
        <w:t xml:space="preserve">Three weeks after the fourth cycle of nivolumab, she presented with rectal bleeding. A </w:t>
      </w:r>
      <w:proofErr w:type="spellStart"/>
      <w:r w:rsidRPr="0057248A">
        <w:rPr>
          <w:rFonts w:ascii="Book Antiqua" w:hAnsi="Book Antiqua"/>
          <w:lang w:val="en-US"/>
        </w:rPr>
        <w:t>cysto-rectoscopy</w:t>
      </w:r>
      <w:proofErr w:type="spellEnd"/>
      <w:r w:rsidRPr="0057248A">
        <w:rPr>
          <w:rFonts w:ascii="Book Antiqua" w:hAnsi="Book Antiqua"/>
          <w:lang w:val="en-US"/>
        </w:rPr>
        <w:t xml:space="preserve"> was performed, which demonstrated new tumor infiltration into the rectum.  A biopsy was taken and the pathological analysis verified new relapse with infiltration into the rectum. Three days after the </w:t>
      </w:r>
      <w:proofErr w:type="spellStart"/>
      <w:r w:rsidRPr="0057248A">
        <w:rPr>
          <w:rFonts w:ascii="Book Antiqua" w:hAnsi="Book Antiqua"/>
          <w:lang w:val="en-US"/>
        </w:rPr>
        <w:t>cysto-rectoscopy</w:t>
      </w:r>
      <w:proofErr w:type="spellEnd"/>
      <w:r w:rsidRPr="0057248A">
        <w:rPr>
          <w:rFonts w:ascii="Book Antiqua" w:hAnsi="Book Antiqua"/>
          <w:lang w:val="en-US"/>
        </w:rPr>
        <w:t>, an operation using laparotomy by longitudinal incision was performed without any complications in order to remove the tumor. The histological findings of the biopsy of the bladder showed necrosis and atypical cells. A colostomy was done during the same procedure.</w:t>
      </w:r>
    </w:p>
    <w:p w14:paraId="6319A38D" w14:textId="77777777" w:rsidR="00F727DF" w:rsidRPr="0057248A" w:rsidRDefault="00F727DF" w:rsidP="00685FD1">
      <w:pPr>
        <w:spacing w:line="360" w:lineRule="auto"/>
        <w:jc w:val="both"/>
        <w:rPr>
          <w:rFonts w:ascii="Book Antiqua" w:hAnsi="Book Antiqua"/>
          <w:b/>
          <w:lang w:val="en-US"/>
        </w:rPr>
      </w:pPr>
    </w:p>
    <w:p w14:paraId="5D7466B6" w14:textId="45A395A5" w:rsidR="00F727DF" w:rsidRPr="0057248A" w:rsidRDefault="00F727DF" w:rsidP="00685FD1">
      <w:pPr>
        <w:spacing w:line="360" w:lineRule="auto"/>
        <w:jc w:val="both"/>
        <w:rPr>
          <w:rFonts w:ascii="Book Antiqua" w:hAnsi="Book Antiqua"/>
          <w:b/>
          <w:lang w:val="en-US"/>
        </w:rPr>
      </w:pPr>
      <w:r w:rsidRPr="0057248A">
        <w:rPr>
          <w:rFonts w:ascii="Book Antiqua" w:hAnsi="Book Antiqua"/>
          <w:b/>
          <w:lang w:val="en-US"/>
        </w:rPr>
        <w:t>DISCUSSION</w:t>
      </w:r>
    </w:p>
    <w:p w14:paraId="55954ACD" w14:textId="0C122512"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 xml:space="preserve">Nivolumab has been shown to be active in ovarian cancer, but the possibility of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imitating real progression remains</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{"citationItems":[{"id":"ITEM-1","itemData":{"DOI":"10.1007/978-3-319-53156-4","ISBN":"978-3-319-53155-7","author":[{"dropping-particle":"","family":"Patel","given":"Anisha B","non-dropping-particle":"","parse-names":false,"suffix":""},{"dropping-particle":"","family":"Pacha","given":"Omar","non-dropping-particle":"","parse-names":false,"suffix":""}],"id":"ITEM-1","issued":{"date-parts":[["2017"]]},"page":"175-184","title":"Immunotherapy","type":"article-journal","volume":"995"},"uris":["http://www.mendeley.com/documents/?uuid=b9f785ad-3f51-4b87-bd8d-fa04bf5ad6b6"]}],"mendeley":{"formattedCitation":"(11)","plainTextFormattedCitation":"(11)","previouslyFormattedCitation":"(11)"},"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[11]</w:t>
      </w:r>
      <w:r w:rsidR="006A1BFE" w:rsidRPr="0057248A">
        <w:rPr>
          <w:rFonts w:ascii="Book Antiqua" w:hAnsi="Book Antiqua"/>
          <w:vertAlign w:val="superscript"/>
          <w:lang w:val="en-US"/>
        </w:rPr>
        <w:fldChar w:fldCharType="end"/>
      </w:r>
      <w:r w:rsidRPr="0057248A">
        <w:rPr>
          <w:rFonts w:ascii="Book Antiqua" w:hAnsi="Book Antiqua"/>
          <w:lang w:val="en-US"/>
        </w:rPr>
        <w:t xml:space="preserve">. This case report highlights the possibility of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in ovarian cancer patients undergoing nivolumab treatment and shows the challenges differentiating between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and real progression. </w:t>
      </w:r>
    </w:p>
    <w:p w14:paraId="5B638FE2" w14:textId="3EBE3FA0" w:rsidR="00F727DF" w:rsidRPr="0057248A" w:rsidRDefault="00655A58" w:rsidP="00685FD1">
      <w:pPr>
        <w:spacing w:line="360" w:lineRule="auto"/>
        <w:ind w:firstLineChars="100" w:firstLine="240"/>
        <w:jc w:val="both"/>
        <w:rPr>
          <w:rFonts w:ascii="Book Antiqua" w:hAnsi="Book Antiqua"/>
          <w:lang w:val="en-US"/>
        </w:rPr>
      </w:pPr>
      <w:bookmarkStart w:id="204" w:name="_Hlk2185173"/>
      <w:r w:rsidRPr="0057248A">
        <w:rPr>
          <w:rFonts w:ascii="Book Antiqua" w:hAnsi="Book Antiqua"/>
          <w:lang w:val="en-US"/>
        </w:rPr>
        <w:t>Immune-</w:t>
      </w:r>
      <w:r w:rsidR="00F727DF" w:rsidRPr="0057248A">
        <w:rPr>
          <w:rFonts w:ascii="Book Antiqua" w:hAnsi="Book Antiqua"/>
          <w:lang w:val="en-US"/>
        </w:rPr>
        <w:t xml:space="preserve">related-RECIST </w:t>
      </w:r>
      <w:r w:rsidR="00446B01" w:rsidRPr="0057248A">
        <w:rPr>
          <w:rFonts w:ascii="Book Antiqua" w:hAnsi="Book Antiqua"/>
          <w:lang w:val="en-US"/>
        </w:rPr>
        <w:t>(</w:t>
      </w:r>
      <w:proofErr w:type="spellStart"/>
      <w:r w:rsidR="00446B01" w:rsidRPr="0057248A">
        <w:rPr>
          <w:rFonts w:ascii="Book Antiqua" w:hAnsi="Book Antiqua"/>
          <w:lang w:val="en-US"/>
        </w:rPr>
        <w:t>ir</w:t>
      </w:r>
      <w:proofErr w:type="spellEnd"/>
      <w:r w:rsidR="00446B01" w:rsidRPr="0057248A">
        <w:rPr>
          <w:rFonts w:ascii="Book Antiqua" w:hAnsi="Book Antiqua"/>
          <w:lang w:val="en-US"/>
        </w:rPr>
        <w:t xml:space="preserve">-RC) </w:t>
      </w:r>
      <w:r w:rsidR="00F727DF" w:rsidRPr="0057248A">
        <w:rPr>
          <w:rFonts w:ascii="Book Antiqua" w:hAnsi="Book Antiqua"/>
          <w:lang w:val="en-US"/>
        </w:rPr>
        <w:t xml:space="preserve">were defined by </w:t>
      </w:r>
      <w:proofErr w:type="spellStart"/>
      <w:r w:rsidR="00F727DF" w:rsidRPr="0057248A">
        <w:rPr>
          <w:rFonts w:ascii="Book Antiqua" w:hAnsi="Book Antiqua"/>
          <w:lang w:val="en-US"/>
        </w:rPr>
        <w:t>Wolchok</w:t>
      </w:r>
      <w:proofErr w:type="spellEnd"/>
      <w:r w:rsidR="00F727DF" w:rsidRPr="0057248A">
        <w:rPr>
          <w:rFonts w:ascii="Book Antiqua" w:hAnsi="Book Antiqua"/>
          <w:lang w:val="en-US"/>
        </w:rPr>
        <w:t xml:space="preserve"> </w:t>
      </w:r>
      <w:r w:rsidR="00F727DF" w:rsidRPr="0057248A">
        <w:rPr>
          <w:rFonts w:ascii="Book Antiqua" w:hAnsi="Book Antiqua"/>
          <w:i/>
          <w:lang w:val="en-US"/>
        </w:rPr>
        <w:t>et al</w:t>
      </w:r>
      <w:bookmarkEnd w:id="204"/>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{"citationItems":[{"id":"ITEM-1","itemData":{"DOI":"10.1158/1078-0432.CCR-09-1624","ISBN":"1078-0432 (Print)\\n1078-0432 (Linking)","ISSN":"10780432","PMID":"19934295","abstract":"PURPOSE: Immunotherapeutic agents produce antitumor effects by inducing cancer-specific immune responses or by modifying native immune processes. Resulting clinical response patterns extend beyond those of cytotoxic agents and can manifest after an initial increase in tumor burden or the appearance of new lesions (progressive disease). Response Evaluation Criteria in Solid Tumors or WHO criteria, designed to detect early effects of cytotoxic agents, may not provide a complete assessment of immunotherapeutic agents. Novel criteria for the evaluation of antitumor responses with immunotherapeutic agents are required. EXPERIMENTAL DESIGN: The phase II clinical trial program with ipilimumab, an antibody that blocks CTL antigen-4, represents the most comprehensive data set available to date for an immunotherapeutic agent. Novel immune therapy response criteria proposed, based on the shared experience from community workshops and several investigators, were evaluated using data from ipilimumab phase II clinical trials in patients with advanced melanoma. RESULTS: Ipilimumab monotherapy resulted in four distinct response patterns: (a) shrinkage in baseline lesions, without new lesions; (b) durable stable disease (in some patients followed by a slow, steady decline in total tumor burden); (c) response after an increase in total tumor burden; and (d) response in the presence of new lesions. All patterns were associated with favorable survival. CONCLUSION: Systematic criteria, designated immune-related response criteria, were defined in an attempt to capture additional response patterns observed with immune therapy in advanced melanoma beyond those described by Response Evaluation Criteria in Solid Tumors or WHO criteria. Further prospective evaluations of the immune-related response criteria, particularly their association with overall survival, are warranted.","author":[{"dropping-particle":"","family":"Wolchok","given":"Jedd D.","non-dropping-particle":"","parse-names":false,"suffix":""},{"dropping-particle":"","family":"Hoos","given":"Axel","non-dropping-particle":"","parse-names":false,"suffix":""},{"dropping-particle":"","family":"O'Day","given":"Steven","non-dropping-particle":"","parse-names":false,"suffix":""},{"dropping-particle":"","family":"Weber","given":"Jeffrey S.","non-dropping-particle":"","parse-names":false,"suffix":""},{"dropping-particle":"","family":"Hamid","given":"Omid","non-dropping-particle":"","parse-names":false,"suffix":""},{"dropping-particle":"","family":"Lebbé","given":"Celeste","non-dropping-particle":"","parse-names":false,"suffix":""},{"dropping-particle":"","family":"Maio","given":"Michele","non-dropping-particle":"","parse-names":false,"suffix":""},{"dropping-particle":"","family":"Binder","given":"Michael","non-dropping-particle":"","parse-names":false,"suffix":""},{"dropping-particle":"","family":"Bohnsack","given":"Oliver","non-dropping-particle":"","parse-names":false,"suffix":""},{"dropping-particle":"","family":"Nichol","given":"Geoffrey","non-dropping-particle":"","parse-names":false,"suffix":""},{"dropping-particle":"","family":"Humphrey","given":"Rachel","non-dropping-particle":"","parse-names":false,"suffix":""},{"dropping-particle":"","family":"Hodi","given":"F. Stephen","non-dropping-particle":"","parse-names":false,"suffix":""}],"container-title":"Clinical Cancer Research","id":"ITEM-1","issue":"23","issued":{"date-parts":[["2009"]]},"page":"7412-7420","title":"Guidelines for the evaluation of immune therapy activity in solid tumors: Immune-related response criteria","type":"article-journal","volume":"15"},"uris":["http://www.mendeley.com/documents/?uuid=7c784b35-a5ac-4071-9974-4bbe4b42a239"]}],"mendeley":{"formattedCitation":"(12)","plainTextFormattedCitation":"(12)","previouslyFormattedCitation":"(12)"},"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[12]</w:t>
      </w:r>
      <w:r w:rsidR="006A1BFE" w:rsidRPr="0057248A">
        <w:rPr>
          <w:rFonts w:ascii="Book Antiqua" w:hAnsi="Book Antiqua"/>
          <w:vertAlign w:val="superscript"/>
          <w:lang w:val="en-US"/>
        </w:rPr>
        <w:fldChar w:fldCharType="end"/>
      </w:r>
      <w:r w:rsidRPr="0057248A">
        <w:rPr>
          <w:rFonts w:ascii="Book Antiqua" w:hAnsi="Book Antiqua"/>
          <w:lang w:val="en-US"/>
        </w:rPr>
        <w:t xml:space="preserve"> but</w:t>
      </w:r>
      <w:r w:rsidR="00F727DF" w:rsidRPr="0057248A">
        <w:rPr>
          <w:rFonts w:ascii="Book Antiqua" w:hAnsi="Book Antiqua"/>
          <w:lang w:val="en-US"/>
        </w:rPr>
        <w:t xml:space="preserve"> is important to notice that the recommended follow-up after four weeks is not evidence based and it remains unclear if another frequency of the follow-up-examinations is more beneficial.</w:t>
      </w:r>
    </w:p>
    <w:p w14:paraId="037C86CF" w14:textId="7FEE08B2" w:rsidR="008E334B" w:rsidRPr="0057248A" w:rsidRDefault="008E334B" w:rsidP="00685FD1">
      <w:pPr>
        <w:spacing w:line="360" w:lineRule="auto"/>
        <w:ind w:firstLineChars="100" w:firstLine="240"/>
        <w:jc w:val="both"/>
        <w:rPr>
          <w:rFonts w:ascii="Book Antiqua" w:hAnsi="Book Antiqua"/>
          <w:lang w:val="en-US"/>
        </w:rPr>
      </w:pPr>
      <w:proofErr w:type="spellStart"/>
      <w:r w:rsidRPr="0057248A">
        <w:rPr>
          <w:rFonts w:ascii="Book Antiqua" w:hAnsi="Book Antiqua"/>
          <w:lang w:val="en-US"/>
        </w:rPr>
        <w:t>Pseudoprogression</w:t>
      </w:r>
      <w:proofErr w:type="spellEnd"/>
      <w:r w:rsidRPr="0057248A">
        <w:rPr>
          <w:rFonts w:ascii="Book Antiqua" w:hAnsi="Book Antiqua"/>
          <w:lang w:val="en-US"/>
        </w:rPr>
        <w:t xml:space="preserve"> emerges to be a challenge not only for the attending physician, but also for </w:t>
      </w:r>
      <w:r w:rsidR="0098597F" w:rsidRPr="0057248A">
        <w:rPr>
          <w:rFonts w:ascii="Book Antiqua" w:hAnsi="Book Antiqua"/>
          <w:lang w:val="en-US"/>
        </w:rPr>
        <w:t xml:space="preserve">the </w:t>
      </w:r>
      <w:r w:rsidRPr="0057248A">
        <w:rPr>
          <w:rFonts w:ascii="Book Antiqua" w:hAnsi="Book Antiqua"/>
          <w:lang w:val="en-US"/>
        </w:rPr>
        <w:t xml:space="preserve">radiologist: Wang </w:t>
      </w:r>
      <w:r w:rsidRPr="0057248A">
        <w:rPr>
          <w:rFonts w:ascii="Book Antiqua" w:hAnsi="Book Antiqua"/>
          <w:i/>
          <w:lang w:val="en-US"/>
        </w:rPr>
        <w:t>et al</w:t>
      </w:r>
      <w:r w:rsidR="00BF17EB" w:rsidRPr="0057248A">
        <w:rPr>
          <w:rFonts w:ascii="Book Antiqua" w:hAnsi="Book Antiqua"/>
          <w:vertAlign w:val="superscript"/>
          <w:lang w:val="en-US"/>
        </w:rPr>
        <w:fldChar w:fldCharType="begin" w:fldLock="1"/>
      </w:r>
      <w:r w:rsidR="00BF17EB" w:rsidRPr="0057248A">
        <w:rPr>
          <w:rFonts w:ascii="Book Antiqua" w:hAnsi="Book Antiqua"/>
          <w:vertAlign w:val="superscript"/>
          <w:lang w:val="en-US"/>
        </w:rPr>
        <w:instrText>ADDIN CSL_CITATION {"citationItems":[{"id":"ITEM-1","itemData":{"DOI":"10.2214/AJR.16.17770","ISSN":"15463141","abstract":"OBJECTIVE. The purpose of this article is to review the mechanisms of action of immune checkpoint inhibitors in the treatment of non–small cell lung cancer (NSCLC), highlight imaging manifestations of common adverse events, and discuss new criteria for using imaging to assess unique treatment response patterns. CONCLUSION. Immune checkpoint inhibitor therapy is a breakthrough in cancer treatment that has shown unprecedented success when used for a variety of malignancies. In recent phase 3 clinical trials for NSCLC, monoclonal antibodies that target the programmed death–1 (PD-1) receptor and its ligand PD-L1 (i.e., the PD-1/PD-L1 axis) were associated with better overall survival in head-to-head comparisons with conventional cytotoxic chemotherapy. On the strength of the results of these trials, the PD-1 inhibitors nivolumab and pembrolizumab and the PD-L1 inhibitor atezolizumab recently received regulatory approval by the U.S. Food and Drug Administration for the treatment of advanced NSCLC. Because of t...","author":[{"dropping-particle":"","family":"Wang","given":"Gary X.","non-dropping-particle":"","parse-names":false,"suffix":""},{"dropping-particle":"","family":"Guo","given":"Lan Qian","non-dropping-particle":"","parse-names":false,"suffix":""},{"dropping-particle":"","family":"Gainor","given":"Justin F.","non-dropping-particle":"","parse-names":false,"suffix":""},{"dropping-particle":"","family":"Fintelmann","given":"Florian J.","non-dropping-particle":"","parse-names":false,"suffix":""}],"container-title":"American Journal of Roentgenology","id":"ITEM-1","issue":"3","issued":{"date-parts":[["2017"]]},"page":"567-575","title":"Immune checkpoint inhibitors in lung cancer: Imaging considerations","type":"article-journal","volume":"209"},"uris":["http://www.mendeley.com/documents/?uuid=59a6c71c-ca87-430e-8314-742f584953a9"]}],"mendeley":{"formattedCitation":"(20)","plainTextFormattedCitation":"(20)","previouslyFormattedCitation":"(20)"},"properties":{"noteIndex":0},"schema":"https://github.com/citation-style-language/schema/raw/master/csl-citation.json"}</w:instrText>
      </w:r>
      <w:r w:rsidR="00BF17EB" w:rsidRPr="0057248A">
        <w:rPr>
          <w:rFonts w:ascii="Book Antiqua" w:hAnsi="Book Antiqua"/>
          <w:vertAlign w:val="superscript"/>
          <w:lang w:val="en-US"/>
        </w:rPr>
        <w:fldChar w:fldCharType="separate"/>
      </w:r>
      <w:r w:rsidR="00BF17EB" w:rsidRPr="0057248A">
        <w:rPr>
          <w:rFonts w:ascii="Book Antiqua" w:hAnsi="Book Antiqua"/>
          <w:noProof/>
          <w:vertAlign w:val="superscript"/>
          <w:lang w:val="en-US"/>
        </w:rPr>
        <w:t>[20]</w:t>
      </w:r>
      <w:r w:rsidR="00BF17EB" w:rsidRPr="0057248A">
        <w:rPr>
          <w:rFonts w:ascii="Book Antiqua" w:hAnsi="Book Antiqua"/>
          <w:vertAlign w:val="superscript"/>
          <w:lang w:val="en-US"/>
        </w:rPr>
        <w:fldChar w:fldCharType="end"/>
      </w:r>
      <w:r w:rsidRPr="0057248A">
        <w:rPr>
          <w:rFonts w:ascii="Book Antiqua" w:hAnsi="Book Antiqua"/>
          <w:lang w:val="en-US"/>
        </w:rPr>
        <w:t xml:space="preserve"> describe the two main differences between the </w:t>
      </w:r>
      <w:proofErr w:type="spellStart"/>
      <w:r w:rsidRPr="0057248A">
        <w:rPr>
          <w:rFonts w:ascii="Book Antiqua" w:hAnsi="Book Antiqua"/>
          <w:lang w:val="en-US"/>
        </w:rPr>
        <w:t>i</w:t>
      </w:r>
      <w:r w:rsidR="00446B01" w:rsidRPr="0057248A">
        <w:rPr>
          <w:rFonts w:ascii="Book Antiqua" w:hAnsi="Book Antiqua"/>
          <w:lang w:val="en-US"/>
        </w:rPr>
        <w:t>r</w:t>
      </w:r>
      <w:proofErr w:type="spellEnd"/>
      <w:r w:rsidR="00446B01" w:rsidRPr="0057248A">
        <w:rPr>
          <w:rFonts w:ascii="Book Antiqua" w:hAnsi="Book Antiqua"/>
          <w:lang w:val="en-US"/>
        </w:rPr>
        <w:t>-</w:t>
      </w:r>
      <w:r w:rsidRPr="0057248A">
        <w:rPr>
          <w:rFonts w:ascii="Book Antiqua" w:hAnsi="Book Antiqua"/>
          <w:lang w:val="en-US"/>
        </w:rPr>
        <w:t xml:space="preserve">RC and the RECIST </w:t>
      </w:r>
      <w:r w:rsidR="00446B01" w:rsidRPr="0057248A">
        <w:rPr>
          <w:rFonts w:ascii="Book Antiqua" w:hAnsi="Book Antiqua"/>
          <w:lang w:val="en-US"/>
        </w:rPr>
        <w:t>system: On the one hand, new les</w:t>
      </w:r>
      <w:r w:rsidR="00EA6F76" w:rsidRPr="0057248A">
        <w:rPr>
          <w:rFonts w:ascii="Book Antiqua" w:hAnsi="Book Antiqua"/>
          <w:lang w:val="en-US"/>
        </w:rPr>
        <w:t>i</w:t>
      </w:r>
      <w:r w:rsidR="00446B01" w:rsidRPr="0057248A">
        <w:rPr>
          <w:rFonts w:ascii="Book Antiqua" w:hAnsi="Book Antiqua"/>
          <w:lang w:val="en-US"/>
        </w:rPr>
        <w:t xml:space="preserve">ons need to be </w:t>
      </w:r>
      <w:r w:rsidR="00446B01" w:rsidRPr="0057248A">
        <w:rPr>
          <w:rFonts w:ascii="Book Antiqua" w:hAnsi="Book Antiqua"/>
          <w:lang w:val="en-US"/>
        </w:rPr>
        <w:lastRenderedPageBreak/>
        <w:t>interpreted taking into consideration the total tumor burden. On the other hand, this increase in total tumor burden has to be controlled and confirmed at least four weeks after the first event indicating possible progression</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{"citationItems":[{"id":"ITEM-1","itemData":{"DOI":"10.2214/AJR.16.17770","ISSN":"15463141","abstract":"OBJECTIVE. The purpose of this article is to review the mechanisms of action of immune checkpoint inhibitors in the treatment of non–small cell lung cancer (NSCLC), highlight imaging manifestations of common adverse events, and discuss new criteria for using imaging to assess unique treatment response patterns. CONCLUSION. Immune checkpoint inhibitor therapy is a breakthrough in cancer treatment that has shown unprecedented success when used for a variety of malignancies. In recent phase 3 clinical trials for NSCLC, monoclonal antibodies that target the programmed death–1 (PD-1) receptor and its ligand PD-L1 (i.e., the PD-1/PD-L1 axis) were associated with better overall survival in head-to-head comparisons with conventional cytotoxic chemotherapy. On the strength of the results of these trials, the PD-1 inhibitors nivolumab and pembrolizumab and the PD-L1 inhibitor atezolizumab recently received regulatory approval by the U.S. Food and Drug Administration for the treatment of advanced NSCLC. Because of t...","author":[{"dropping-particle":"","family":"Wang","given":"Gary X.","non-dropping-particle":"","parse-names":false,"suffix":""},{"dropping-particle":"","family":"Guo","given":"Lan Qian","non-dropping-particle":"","parse-names":false,"suffix":""},{"dropping-particle":"","family":"Gainor","given":"Justin F.","non-dropping-particle":"","parse-names":false,"suffix":""},{"dropping-particle":"","family":"Fintelmann","given":"Florian J.","non-dropping-particle":"","parse-names":false,"suffix":""}],"container-title":"American Journal of Roentgenology","id":"ITEM-1","issue":"3","issued":{"date-parts":[["2017"]]},"page":"567-575","title":"Immune checkpoint inhibitors in lung cancer: Imaging considerations","type":"article-journal","volume":"209"},"uris":["http://www.mendeley.com/documents/?uuid=59a6c71c-ca87-430e-8314-742f584953a9"]}],"mendeley":{"formattedCitation":"(20)","plainTextFormattedCitation":"(20)","previouslyFormattedCitation":"(20)"},"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[20]</w:t>
      </w:r>
      <w:r w:rsidR="006A1BFE" w:rsidRPr="0057248A">
        <w:rPr>
          <w:rFonts w:ascii="Book Antiqua" w:hAnsi="Book Antiqua"/>
          <w:vertAlign w:val="superscript"/>
          <w:lang w:val="en-US"/>
        </w:rPr>
        <w:fldChar w:fldCharType="end"/>
      </w:r>
      <w:r w:rsidR="00446B01" w:rsidRPr="0057248A">
        <w:rPr>
          <w:rFonts w:ascii="Book Antiqua" w:hAnsi="Book Antiqua"/>
          <w:lang w:val="en-US"/>
        </w:rPr>
        <w:t>.</w:t>
      </w:r>
    </w:p>
    <w:p w14:paraId="108C271A" w14:textId="4EAFBB4F" w:rsidR="00EF6658" w:rsidRPr="0057248A" w:rsidRDefault="00EF6658"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If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is not as unambiguous as in our case, ultimately only follow-up imaging can help differentiate between pseudo- and real progression</w:t>
      </w:r>
      <w:r w:rsidR="00A53076" w:rsidRPr="0057248A">
        <w:rPr>
          <w:rFonts w:ascii="Book Antiqua" w:hAnsi="Book Antiqua"/>
          <w:lang w:val="en-US"/>
        </w:rPr>
        <w:t xml:space="preserve"> as shown in </w:t>
      </w:r>
      <w:r w:rsidR="00F66EAD" w:rsidRPr="0057248A">
        <w:rPr>
          <w:rFonts w:ascii="Book Antiqua" w:hAnsi="Book Antiqua"/>
          <w:lang w:val="en-US"/>
        </w:rPr>
        <w:t>T</w:t>
      </w:r>
      <w:r w:rsidR="00A53076" w:rsidRPr="0057248A">
        <w:rPr>
          <w:rFonts w:ascii="Book Antiqua" w:hAnsi="Book Antiqua"/>
          <w:lang w:val="en-US"/>
        </w:rPr>
        <w:t>able 1</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{"citationItems":[{"id":"ITEM-1","itemData":{"DOI":"10.1148/rg.2017170085","ISSN":"0271-5333","abstract":"Immune checkpoint inhibitors are a new class of cancer therapeutics that have demonstrated striking successes in a rapid series of clinical trials. Consequently, these drugs have dramatically increased in clinical use since being first approved for advanced melanoma in 2011. Current indications in addition to melanoma are non-small cell lung cancer, head and neck squamous cell carcinoma, renal cell carcinoma, urothelial carcinoma, and classical Hodgkin lymphoma. A small subset of patients treated with immune checkpoint inhibitors undergoes an atypical treatment response pattern termed pseudoprogression: New or enlarging lesions appear after initiation of therapy, thereby mimicking tumor progression, followed by an eventual decrease in total tumor burden. Traditional response standards applied at the time of initial increase in tumor burden can falsely designate this as treatment failure and could lead to inappropriate termination of therapy. Currently, when new or enlarging lesions are observed with immune checkpoint inhibitors, only follow-up imaging can help distinguish patients with pseudoprogression from the large majority in whom this observation represents true treatment failure. Furthermore, the unique mechanism of immune checkpoint inhibitors can cause a distinct set of adverse events related to autoimmunity, which can be severe or life threatening. Given the central role of imaging in cancer care, radiologists must be knowledgeable about immune checkpoint inhibitors to correctly assess treatment response and expeditiously diagnose treatment-related complications. The authors review the molecular mechanisms and clinical applications of immune checkpoint inhibitors, the current strategy to distinguish pseudoprogression from progression, and the imaging appearances of common immune-related adverse events. ©RSNA, 2017.","author":[{"dropping-particle":"","family":"Wang","given":"Gary X.","non-dropping-particle":"","parse-names":false,"suffix":""},{"dropping-particle":"","family":"Kurra","given":"Vikram","non-dropping-particle":"","parse-names":false,"suffix":""},{"dropping-particle":"","family":"Gainor","given":"Justin F.","non-dropping-particle":"","parse-names":false,"suffix":""},{"dropping-particle":"","family":"Sullivan","given":"Ryan J.","non-dropping-particle":"","parse-names":false,"suffix":""},{"dropping-particle":"","family":"Flaherty","given":"Keith T.","non-dropping-particle":"","parse-names":false,"suffix":""},{"dropping-particle":"","family":"Lee","given":"Susanna I.","non-dropping-particle":"","parse-names":false,"suffix":""},{"dropping-particle":"","family":"Fintelmann","given":"Florian J.","non-dropping-particle":"","parse-names":false,"suffix":""}],"container-title":"RadioGraphics","id":"ITEM-1","issue":"1","issued":{"date-parts":[["2017"]]},"page":"2132-2144","title":"Immune Checkpoint Inhibitor Cancer Therapy: Spectrum of Imaging Findings","type":"article-journal","volume":"37"},"uris":["http://www.mendeley.com/documents/?uuid=7b74a6d2-578d-4eca-b3a9-eb22016c557e"]}],"mendeley":{"formattedCitation":"(21)","plainTextFormattedCitation":"(21)","previouslyFormattedCitation":"(21)"},"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[21]</w:t>
      </w:r>
      <w:r w:rsidR="006A1BFE" w:rsidRPr="0057248A">
        <w:rPr>
          <w:rFonts w:ascii="Book Antiqua" w:hAnsi="Book Antiqua"/>
          <w:vertAlign w:val="superscript"/>
          <w:lang w:val="en-US"/>
        </w:rPr>
        <w:fldChar w:fldCharType="end"/>
      </w:r>
      <w:r w:rsidRPr="0057248A">
        <w:rPr>
          <w:rFonts w:ascii="Book Antiqua" w:hAnsi="Book Antiqua"/>
          <w:lang w:val="en-US"/>
        </w:rPr>
        <w:t>.</w:t>
      </w:r>
      <w:r w:rsidR="006A1BFE" w:rsidRPr="0057248A">
        <w:rPr>
          <w:rFonts w:ascii="Book Antiqua" w:hAnsi="Book Antiqua"/>
          <w:lang w:val="en-US"/>
        </w:rPr>
        <w:t xml:space="preserve"> </w:t>
      </w:r>
    </w:p>
    <w:p w14:paraId="2DD50E8D" w14:textId="68C86717" w:rsidR="0098597F" w:rsidRPr="0057248A" w:rsidRDefault="00620981" w:rsidP="00685FD1">
      <w:pPr>
        <w:spacing w:line="360" w:lineRule="auto"/>
        <w:ind w:firstLineChars="100" w:firstLine="240"/>
        <w:jc w:val="both"/>
        <w:rPr>
          <w:rFonts w:ascii="Book Antiqua" w:hAnsi="Book Antiqua"/>
          <w:b/>
          <w:lang w:val="en-US"/>
        </w:rPr>
      </w:pPr>
      <w:proofErr w:type="spellStart"/>
      <w:r w:rsidRPr="0057248A">
        <w:rPr>
          <w:rFonts w:ascii="Book Antiqua" w:hAnsi="Book Antiqua"/>
          <w:lang w:val="en-US"/>
        </w:rPr>
        <w:t>Imafuku</w:t>
      </w:r>
      <w:proofErr w:type="spellEnd"/>
      <w:r w:rsidRPr="0057248A">
        <w:rPr>
          <w:rFonts w:ascii="Book Antiqua" w:hAnsi="Book Antiqua"/>
          <w:lang w:val="en-US"/>
        </w:rPr>
        <w:t xml:space="preserve"> </w:t>
      </w:r>
      <w:r w:rsidRPr="0057248A">
        <w:rPr>
          <w:rFonts w:ascii="Book Antiqua" w:hAnsi="Book Antiqua"/>
          <w:i/>
          <w:lang w:val="en-US"/>
        </w:rPr>
        <w:t xml:space="preserve">et </w:t>
      </w:r>
      <w:proofErr w:type="gramStart"/>
      <w:r w:rsidRPr="0057248A">
        <w:rPr>
          <w:rFonts w:ascii="Book Antiqua" w:hAnsi="Book Antiqua"/>
          <w:i/>
          <w:lang w:val="en-US"/>
        </w:rPr>
        <w:t>al</w:t>
      </w:r>
      <w:r w:rsidR="006A1BFE" w:rsidRPr="0057248A">
        <w:rPr>
          <w:rFonts w:ascii="Book Antiqua" w:hAnsi="Book Antiqua"/>
          <w:vertAlign w:val="superscript"/>
          <w:lang w:val="en-US"/>
        </w:rPr>
        <w:t>[</w:t>
      </w:r>
      <w:proofErr w:type="gramEnd"/>
      <w:r w:rsidR="006A1BFE" w:rsidRPr="0057248A">
        <w:rPr>
          <w:rFonts w:ascii="Book Antiqua" w:hAnsi="Book Antiqua"/>
          <w:vertAlign w:val="superscript"/>
          <w:lang w:val="en-US"/>
        </w:rPr>
        <w:t>22]</w:t>
      </w:r>
      <w:r w:rsidRPr="0057248A">
        <w:rPr>
          <w:rFonts w:ascii="Book Antiqua" w:hAnsi="Book Antiqua"/>
          <w:lang w:val="en-US"/>
        </w:rPr>
        <w:t xml:space="preserve"> </w:t>
      </w:r>
      <w:r w:rsidR="0076596D" w:rsidRPr="0057248A">
        <w:rPr>
          <w:rFonts w:ascii="Book Antiqua" w:hAnsi="Book Antiqua"/>
          <w:lang w:val="en-US"/>
        </w:rPr>
        <w:t xml:space="preserve">report </w:t>
      </w:r>
      <w:r w:rsidRPr="0057248A">
        <w:rPr>
          <w:rFonts w:ascii="Book Antiqua" w:hAnsi="Book Antiqua"/>
          <w:lang w:val="en-US"/>
        </w:rPr>
        <w:t xml:space="preserve">on two cases of melanoma patients treated with </w:t>
      </w:r>
      <w:proofErr w:type="spellStart"/>
      <w:r w:rsidRPr="0057248A">
        <w:rPr>
          <w:rFonts w:ascii="Book Antiqua" w:hAnsi="Book Antiqua"/>
          <w:lang w:val="en-US"/>
        </w:rPr>
        <w:t>nivolumab</w:t>
      </w:r>
      <w:proofErr w:type="spellEnd"/>
      <w:r w:rsidRPr="0057248A">
        <w:rPr>
          <w:rFonts w:ascii="Book Antiqua" w:hAnsi="Book Antiqua"/>
          <w:lang w:val="en-US"/>
        </w:rPr>
        <w:t xml:space="preserve"> who experienced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They performed sonographic imaging and </w:t>
      </w:r>
      <w:r w:rsidR="00FE3496" w:rsidRPr="0057248A">
        <w:rPr>
          <w:rFonts w:ascii="Book Antiqua" w:hAnsi="Book Antiqua"/>
          <w:lang w:val="en-US"/>
        </w:rPr>
        <w:t xml:space="preserve">computed tomography (CT) </w:t>
      </w:r>
      <w:r w:rsidRPr="0057248A">
        <w:rPr>
          <w:rFonts w:ascii="Book Antiqua" w:hAnsi="Book Antiqua"/>
          <w:lang w:val="en-US"/>
        </w:rPr>
        <w:t>scans on both patients and found that the CT scan</w:t>
      </w:r>
      <w:r w:rsidR="00BC608B" w:rsidRPr="0057248A">
        <w:rPr>
          <w:rFonts w:ascii="Book Antiqua" w:hAnsi="Book Antiqua"/>
          <w:lang w:val="en-US"/>
        </w:rPr>
        <w:t>s</w:t>
      </w:r>
      <w:r w:rsidRPr="0057248A">
        <w:rPr>
          <w:rFonts w:ascii="Book Antiqua" w:hAnsi="Book Antiqua"/>
          <w:lang w:val="en-US"/>
        </w:rPr>
        <w:t xml:space="preserve"> </w:t>
      </w:r>
      <w:r w:rsidR="006A1BFE" w:rsidRPr="0057248A">
        <w:rPr>
          <w:rFonts w:ascii="Book Antiqua" w:hAnsi="Book Antiqua"/>
          <w:lang w:val="en-US"/>
        </w:rPr>
        <w:t>-</w:t>
      </w:r>
      <w:r w:rsidRPr="0057248A">
        <w:rPr>
          <w:rFonts w:ascii="Book Antiqua" w:hAnsi="Book Antiqua"/>
          <w:lang w:val="en-US"/>
        </w:rPr>
        <w:t xml:space="preserve"> in contrary to the sonographic imaging of the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w:t>
      </w:r>
      <w:r w:rsidR="006A1BFE" w:rsidRPr="0057248A">
        <w:rPr>
          <w:rFonts w:ascii="Book Antiqua" w:hAnsi="Book Antiqua"/>
          <w:lang w:val="en-US"/>
        </w:rPr>
        <w:t>-</w:t>
      </w:r>
      <w:r w:rsidRPr="0057248A">
        <w:rPr>
          <w:rFonts w:ascii="Book Antiqua" w:hAnsi="Book Antiqua"/>
          <w:lang w:val="en-US"/>
        </w:rPr>
        <w:t xml:space="preserve"> w</w:t>
      </w:r>
      <w:r w:rsidR="00BC608B" w:rsidRPr="0057248A">
        <w:rPr>
          <w:rFonts w:ascii="Book Antiqua" w:hAnsi="Book Antiqua"/>
          <w:lang w:val="en-US"/>
        </w:rPr>
        <w:t>ere</w:t>
      </w:r>
      <w:r w:rsidRPr="0057248A">
        <w:rPr>
          <w:rFonts w:ascii="Book Antiqua" w:hAnsi="Book Antiqua"/>
          <w:lang w:val="en-US"/>
        </w:rPr>
        <w:t xml:space="preserve"> not able to detect an association between tumor size and tumor blood flow. Interestingly, they describe that the </w:t>
      </w:r>
      <w:r w:rsidR="0076596D" w:rsidRPr="0057248A">
        <w:rPr>
          <w:rFonts w:ascii="Book Antiqua" w:hAnsi="Book Antiqua"/>
          <w:lang w:val="en-US"/>
        </w:rPr>
        <w:t xml:space="preserve">lesions caused by </w:t>
      </w:r>
      <w:proofErr w:type="spellStart"/>
      <w:r w:rsidR="0076596D" w:rsidRPr="0057248A">
        <w:rPr>
          <w:rFonts w:ascii="Book Antiqua" w:hAnsi="Book Antiqua"/>
          <w:lang w:val="en-US"/>
        </w:rPr>
        <w:t>pseudoprogression</w:t>
      </w:r>
      <w:proofErr w:type="spellEnd"/>
      <w:r w:rsidRPr="0057248A">
        <w:rPr>
          <w:rFonts w:ascii="Book Antiqua" w:hAnsi="Book Antiqua"/>
          <w:lang w:val="en-US"/>
        </w:rPr>
        <w:t xml:space="preserve"> grew while simultaneously the blood flow within the lesion dropped. They therefore </w:t>
      </w:r>
      <w:r w:rsidR="0076596D" w:rsidRPr="0057248A">
        <w:rPr>
          <w:rFonts w:ascii="Book Antiqua" w:hAnsi="Book Antiqua"/>
          <w:lang w:val="en-US"/>
        </w:rPr>
        <w:t>believe</w:t>
      </w:r>
      <w:r w:rsidRPr="0057248A">
        <w:rPr>
          <w:rFonts w:ascii="Book Antiqua" w:hAnsi="Book Antiqua"/>
          <w:lang w:val="en-US"/>
        </w:rPr>
        <w:t xml:space="preserve"> that sonographic imaging could  be helpful in differentiating between pseudo- and real progression, which is intriguing </w:t>
      </w:r>
      <w:r w:rsidR="0076596D" w:rsidRPr="0057248A">
        <w:rPr>
          <w:rFonts w:ascii="Book Antiqua" w:hAnsi="Book Antiqua"/>
          <w:lang w:val="en-US"/>
        </w:rPr>
        <w:t>because</w:t>
      </w:r>
      <w:r w:rsidRPr="0057248A">
        <w:rPr>
          <w:rFonts w:ascii="Book Antiqua" w:hAnsi="Book Antiqua"/>
          <w:lang w:val="en-US"/>
        </w:rPr>
        <w:t xml:space="preserve"> CT</w:t>
      </w:r>
      <w:r w:rsidR="006A1BFE" w:rsidRPr="0057248A">
        <w:rPr>
          <w:rFonts w:ascii="Book Antiqua" w:hAnsi="Book Antiqua"/>
          <w:lang w:val="en-US"/>
        </w:rPr>
        <w:t>-</w:t>
      </w:r>
      <w:r w:rsidRPr="0057248A">
        <w:rPr>
          <w:rFonts w:ascii="Book Antiqua" w:hAnsi="Book Antiqua"/>
          <w:lang w:val="en-US"/>
        </w:rPr>
        <w:t>imaging</w:t>
      </w:r>
      <w:r w:rsidR="0076596D" w:rsidRPr="0057248A">
        <w:rPr>
          <w:rFonts w:ascii="Book Antiqua" w:hAnsi="Book Antiqua"/>
          <w:lang w:val="en-US"/>
        </w:rPr>
        <w:t xml:space="preserve"> </w:t>
      </w:r>
      <w:r w:rsidR="006A1BFE" w:rsidRPr="0057248A">
        <w:rPr>
          <w:rFonts w:ascii="Book Antiqua" w:hAnsi="Book Antiqua"/>
          <w:lang w:val="en-US"/>
        </w:rPr>
        <w:t>-</w:t>
      </w:r>
      <w:r w:rsidR="0076596D" w:rsidRPr="0057248A">
        <w:rPr>
          <w:rFonts w:ascii="Book Antiqua" w:hAnsi="Book Antiqua"/>
          <w:lang w:val="en-US"/>
        </w:rPr>
        <w:t xml:space="preserve"> especially if it has to be performed several times as the </w:t>
      </w:r>
      <w:proofErr w:type="spellStart"/>
      <w:r w:rsidR="0076596D" w:rsidRPr="0057248A">
        <w:rPr>
          <w:rFonts w:ascii="Book Antiqua" w:hAnsi="Book Antiqua"/>
          <w:lang w:val="en-US"/>
        </w:rPr>
        <w:t>ir</w:t>
      </w:r>
      <w:proofErr w:type="spellEnd"/>
      <w:r w:rsidR="0076596D" w:rsidRPr="0057248A">
        <w:rPr>
          <w:rFonts w:ascii="Book Antiqua" w:hAnsi="Book Antiqua"/>
          <w:lang w:val="en-US"/>
        </w:rPr>
        <w:t>-RECIST requests -</w:t>
      </w:r>
      <w:r w:rsidRPr="0057248A">
        <w:rPr>
          <w:rFonts w:ascii="Book Antiqua" w:hAnsi="Book Antiqua"/>
          <w:lang w:val="en-US"/>
        </w:rPr>
        <w:t xml:space="preserve"> puts the oftentimes heavily pretreated patients at risk</w:t>
      </w:r>
      <w:r w:rsidR="006A1BFE" w:rsidRPr="0057248A">
        <w:rPr>
          <w:rFonts w:ascii="Book Antiqua" w:hAnsi="Book Antiqua"/>
          <w:b/>
          <w:vertAlign w:val="superscript"/>
          <w:lang w:val="en-US"/>
        </w:rPr>
        <w:fldChar w:fldCharType="begin" w:fldLock="1"/>
      </w:r>
      <w:r w:rsidR="006A1BFE" w:rsidRPr="0057248A">
        <w:rPr>
          <w:rFonts w:ascii="Book Antiqua" w:hAnsi="Book Antiqua"/>
          <w:b/>
          <w:vertAlign w:val="superscript"/>
          <w:lang w:val="en-US"/>
        </w:rPr>
        <w:instrText>ADDIN CSL_CITATION {"citationItems":[{"id":"ITEM-1","itemData":{"abstract":"'Pseudoprogression' is often seen in patients with melanomas who are treated with immune checkpoint inhibitors such as nivolumab or ipilimumab. We sometimes evaluate metastatic lesions by imaging tests such as computed tomography (CT) or positron emission tomography-CT. 'Pseudoprogression' usually occurs upon the initial administration, which may make it difficult for the physician to determine the disease condition. In our two cases of metastatic melanoma treated with nivolumab (antiprogrammed cell death-1 antibody), we examined the ultrasonography (US) of target lesions that could be accessed from the body surface, such as those of the regional lymph node or subcutaneous metastasis. In both cases, the US revealed a lesion approximately 10% greater in size after 40-50 days of nivolumab administration, even though the blood flow inside the tumour was reduced by about 20% within 50 days. From about 100 days after blood flow reduction was detected by US, the tumours began to decrease in size. However, contrast CT was unable to detect the association between tumour size and tumour blood flow. The present cases suggest that US could be a powerful tool for differentiating between 'pseudoprogression' and real progressive disease in patients treated with cancer immunotherapies such as those involving immune checkpoint inhibitors. The misdiagnosis of progressive disease can lead to unnecessary alterations to the current treatment. Therefore, the US findings in our study could be clinically useful and educational for physicians.","author":[{"dropping-particle":"","family":"Imafuku S, Hata H, Kitamura S, Yanagi T","given":"Shimizu H","non-dropping-particle":"","parse-names":false,"suffix":""}],"container-title":"Br J Dermatol","id":"ITEM-1","issue":"6","issued":{"date-parts":[["2017"]]},"page":"1726-1731","title":"Ultrasonographic findings can identify 'pseudoprogression' under nivolumab therapy.","type":"article-journal","volume":"177"},"uris":["http://www.mendeley.com/documents/?uuid=0c846216-e7a0-43ec-bc10-ca04777a23c0"]}],"mendeley":{"formattedCitation":"(22)","plainTextFormattedCitation":"(22)","previouslyFormattedCitation":"(22)"},"properties":{"noteIndex":0},"schema":"https://github.com/citation-style-language/schema/raw/master/csl-citation.json"}</w:instrText>
      </w:r>
      <w:r w:rsidR="006A1BFE" w:rsidRPr="0057248A">
        <w:rPr>
          <w:rFonts w:ascii="Book Antiqua" w:hAnsi="Book Antiqua"/>
          <w:b/>
          <w:vertAlign w:val="superscript"/>
          <w:lang w:val="en-US"/>
        </w:rPr>
        <w:fldChar w:fldCharType="separate"/>
      </w:r>
      <w:r w:rsidR="006A1BFE" w:rsidRPr="0057248A">
        <w:rPr>
          <w:rFonts w:ascii="Book Antiqua" w:hAnsi="Book Antiqua"/>
          <w:noProof/>
          <w:vertAlign w:val="superscript"/>
          <w:lang w:val="en-US"/>
        </w:rPr>
        <w:t>[22]</w:t>
      </w:r>
      <w:r w:rsidR="006A1BFE" w:rsidRPr="0057248A">
        <w:rPr>
          <w:rFonts w:ascii="Book Antiqua" w:hAnsi="Book Antiqua"/>
          <w:b/>
          <w:vertAlign w:val="superscript"/>
          <w:lang w:val="en-US"/>
        </w:rPr>
        <w:fldChar w:fldCharType="end"/>
      </w:r>
      <w:r w:rsidRPr="0057248A">
        <w:rPr>
          <w:rFonts w:ascii="Book Antiqua" w:hAnsi="Book Antiqua"/>
          <w:lang w:val="en-US"/>
        </w:rPr>
        <w:t>.</w:t>
      </w:r>
    </w:p>
    <w:p w14:paraId="5231CE21" w14:textId="3EAD8FFF" w:rsidR="00731F30" w:rsidRPr="0057248A" w:rsidRDefault="00731F30" w:rsidP="00685FD1">
      <w:pPr>
        <w:spacing w:line="360" w:lineRule="auto"/>
        <w:ind w:firstLineChars="100" w:firstLine="240"/>
        <w:jc w:val="both"/>
        <w:rPr>
          <w:rFonts w:ascii="Book Antiqua" w:hAnsi="Book Antiqua"/>
          <w:lang w:val="en-US"/>
        </w:rPr>
      </w:pPr>
      <w:r w:rsidRPr="0057248A">
        <w:rPr>
          <w:rFonts w:ascii="Book Antiqua" w:hAnsi="Book Antiqua"/>
          <w:lang w:val="en-US"/>
        </w:rPr>
        <w:t>The patient discussed in this report is BRCA 1 positive. This mutation possibly results in a high mutational load linked to higher treatment success similar to patients with Lynch Syndrome</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{"citationItems":[{"id":"ITEM-1","itemData":{"DOI":"10.1056/NEJMoa1500596.PD-1","author":[{"dropping-particle":"","family":"Le","given":"D T","non-dropping-particle":"","parse-names":false,"suffix":""},{"dropping-particle":"","family":"Uram","given":"J N","non-dropping-particle":"","parse-names":false,"suffix":""},{"dropping-particle":"","family":"Wang","given":"H","non-dropping-particle":"","parse-names":false,"suffix":""},{"dropping-particle":"","family":"Bartlett","given":"B R","non-dropping-particle":"","parse-names":false,"suffix":""},{"dropping-particle":"","family":"Kemberling","given":"H","non-dropping-particle":"","parse-names":false,"suffix":""},{"dropping-particle":"","family":"Eyring","given":"A D","non-dropping-particle":"","parse-names":false,"suffix":""},{"dropping-particle":"","family":"Skora","given":"A D","non-dropping-particle":"","parse-names":false,"suffix":""},{"dropping-particle":"","family":"Azad","given":"N S","non-dropping-particle":"","parse-names":false,"suffix":""},{"dropping-particle":"","family":"Laheru","given":"D","non-dropping-particle":"","parse-names":false,"suffix":""},{"dropping-particle":"","family":"Biedrzycki","given":"B","non-dropping-particle":"","parse-names":false,"suffix":""},{"dropping-particle":"","family":"Donehower","given":"R C","non-dropping-particle":"","parse-names":false,"suffix":""},{"dropping-particle":"","family":"Zaheer","given":"A","non-dropping-particle":"","parse-names":false,"suffix":""},{"dropping-particle":"","family":"Fisher","given":"G A","non-dropping-particle":"","parse-names":false,"suffix":""},{"dropping-particle":"","family":"Lee","given":"J J","non-dropping-particle":"","parse-names":false,"suffix":""},{"dropping-particle":"","family":"Duffy","given":"S M","non-dropping-particle":"","parse-names":false,"suffix":""},{"dropping-particle":"","family":"Goldberg","given":"R M","non-dropping-particle":"","parse-names":false,"suffix":""},{"dropping-particle":"","family":"Koshiji","given":"M","non-dropping-particle":"","parse-names":false,"suffix":""},{"dropping-particle":"","family":"Bhaijee","given":"F","non-dropping-particle":"","parse-names":false,"suffix":""},{"dropping-particle":"","family":"Hruban","given":"R H","non-dropping-particle":"","parse-names":false,"suffix":""},{"dropping-particle":"","family":"Wood","given":"L D","non-dropping-particle":"","parse-names":false,"suffix":""},{"dropping-particle":"","family":"Cuka","given":"N","non-dropping-particle":"","parse-names":false,"suffix":""},{"dropping-particle":"","family":"Pardoll","given":"D M","non-dropping-particle":"","parse-names":false,"suffix":""},{"dropping-particle":"","family":"Papadopoulos","given":"N","non-dropping-particle":"","parse-names":false,"suffix":""},{"dropping-particle":"","family":"Kinzler","given":"K W","non-dropping-particle":"","parse-names":false,"suffix":""},{"dropping-particle":"","family":"Cornish","given":"T C","non-dropping-particle":"","parse-names":false,"suffix":""},{"dropping-particle":"","family":"Taube","given":"J M","non-dropping-particle":"","parse-names":false,"suffix":""},{"dropping-particle":"","family":"Anders","given":"R A","non-dropping-particle":"","parse-names":false,"suffix":""},{"dropping-particle":"","family":"Eshleman","given":"J R","non-dropping-particle":"","parse-names":false,"suffix":""},{"dropping-particle":"","family":"Vogelstein","given":"B","non-dropping-particle":"","parse-names":false,"suffix":""},{"dropping-particle":"","family":"Diaz","given":"L A","non-dropping-particle":"","parse-names":false,"suffix":""}],"container-title":"N Engl J Med","id":"ITEM-1","issue":"26","issued":{"date-parts":[["2015"]]},"page":"2509-2520","title":"PD-1 Blockade in Tumors with Mismatch-Repair Deficiency","type":"article-journal","volume":"372"},"uris":["http://www.mendeley.com/documents/?uuid=14b5e33b-6032-4a4c-8e4f-7e47a4c8c127"]}],"mendeley":{"formattedCitation":"(10)","plainTextFormattedCitation":"(10)","previouslyFormattedCitation":"(10)"},"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[10]</w:t>
      </w:r>
      <w:r w:rsidR="006A1BFE" w:rsidRPr="0057248A">
        <w:rPr>
          <w:rFonts w:ascii="Book Antiqua" w:hAnsi="Book Antiqua"/>
          <w:vertAlign w:val="superscript"/>
          <w:lang w:val="en-US"/>
        </w:rPr>
        <w:fldChar w:fldCharType="end"/>
      </w:r>
      <w:r w:rsidRPr="0057248A">
        <w:rPr>
          <w:rFonts w:ascii="Book Antiqua" w:hAnsi="Book Antiqua"/>
          <w:lang w:val="en-US"/>
        </w:rPr>
        <w:t>. We hypoth</w:t>
      </w:r>
      <w:r w:rsidR="00F66EAD" w:rsidRPr="0057248A">
        <w:rPr>
          <w:rFonts w:ascii="Book Antiqua" w:hAnsi="Book Antiqua"/>
          <w:lang w:val="en-US"/>
        </w:rPr>
        <w:t>es</w:t>
      </w:r>
      <w:r w:rsidRPr="0057248A">
        <w:rPr>
          <w:rFonts w:ascii="Book Antiqua" w:hAnsi="Book Antiqua"/>
          <w:lang w:val="en-US"/>
        </w:rPr>
        <w:t>i</w:t>
      </w:r>
      <w:r w:rsidR="00FA21EA" w:rsidRPr="0057248A">
        <w:rPr>
          <w:rFonts w:ascii="Book Antiqua" w:hAnsi="Book Antiqua"/>
          <w:lang w:val="en-US"/>
        </w:rPr>
        <w:t>z</w:t>
      </w:r>
      <w:r w:rsidRPr="0057248A">
        <w:rPr>
          <w:rFonts w:ascii="Book Antiqua" w:hAnsi="Book Antiqua"/>
          <w:lang w:val="en-US"/>
        </w:rPr>
        <w:t>e that a higher immunogenic profile not only leads to higher rates of treatment succe</w:t>
      </w:r>
      <w:r w:rsidR="00394D6A" w:rsidRPr="0057248A">
        <w:rPr>
          <w:rFonts w:ascii="Book Antiqua" w:hAnsi="Book Antiqua"/>
          <w:lang w:val="en-US"/>
        </w:rPr>
        <w:t>s</w:t>
      </w:r>
      <w:r w:rsidRPr="0057248A">
        <w:rPr>
          <w:rFonts w:ascii="Book Antiqua" w:hAnsi="Book Antiqua"/>
          <w:lang w:val="en-US"/>
        </w:rPr>
        <w:t xml:space="preserve">s but </w:t>
      </w:r>
      <w:r w:rsidR="00394D6A" w:rsidRPr="0057248A">
        <w:rPr>
          <w:rFonts w:ascii="Book Antiqua" w:hAnsi="Book Antiqua"/>
          <w:lang w:val="en-US"/>
        </w:rPr>
        <w:t xml:space="preserve">subsequently also results in higher rates of </w:t>
      </w:r>
      <w:proofErr w:type="spellStart"/>
      <w:r w:rsidR="00394D6A" w:rsidRPr="0057248A">
        <w:rPr>
          <w:rFonts w:ascii="Book Antiqua" w:hAnsi="Book Antiqua"/>
          <w:lang w:val="en-US"/>
        </w:rPr>
        <w:t>pseudoprogression</w:t>
      </w:r>
      <w:proofErr w:type="spellEnd"/>
      <w:r w:rsidR="00394D6A" w:rsidRPr="0057248A">
        <w:rPr>
          <w:rFonts w:ascii="Book Antiqua" w:hAnsi="Book Antiqua"/>
          <w:lang w:val="en-US"/>
        </w:rPr>
        <w:t xml:space="preserve">. Further investigation on </w:t>
      </w:r>
      <w:r w:rsidR="006654EE" w:rsidRPr="0057248A">
        <w:rPr>
          <w:rFonts w:ascii="Book Antiqua" w:hAnsi="Book Antiqua"/>
          <w:lang w:val="en-US"/>
        </w:rPr>
        <w:t xml:space="preserve">patient selection, especially </w:t>
      </w:r>
      <w:r w:rsidR="006654EE" w:rsidRPr="0057248A">
        <w:rPr>
          <w:rFonts w:ascii="Book Antiqua" w:hAnsi="Book Antiqua"/>
          <w:i/>
          <w:lang w:val="en-US"/>
        </w:rPr>
        <w:t>BRCA</w:t>
      </w:r>
      <w:r w:rsidR="006654EE" w:rsidRPr="0057248A">
        <w:rPr>
          <w:rFonts w:ascii="Book Antiqua" w:hAnsi="Book Antiqua"/>
          <w:lang w:val="en-US"/>
        </w:rPr>
        <w:t xml:space="preserve"> mutation and its underlying mechanism is crucial to fully understand </w:t>
      </w:r>
      <w:r w:rsidR="004F5C77" w:rsidRPr="0057248A">
        <w:rPr>
          <w:rFonts w:ascii="Book Antiqua" w:hAnsi="Book Antiqua"/>
          <w:lang w:val="en-US"/>
        </w:rPr>
        <w:t>CIT and</w:t>
      </w:r>
      <w:r w:rsidR="00BB67CA" w:rsidRPr="0057248A">
        <w:rPr>
          <w:rFonts w:ascii="Book Antiqua" w:hAnsi="Book Antiqua"/>
          <w:lang w:val="en-US"/>
        </w:rPr>
        <w:t xml:space="preserve"> </w:t>
      </w:r>
      <w:proofErr w:type="spellStart"/>
      <w:r w:rsidR="004F5C77" w:rsidRPr="0057248A">
        <w:rPr>
          <w:rFonts w:ascii="Book Antiqua" w:hAnsi="Book Antiqua"/>
          <w:lang w:val="en-US"/>
        </w:rPr>
        <w:t>pseudoprogression</w:t>
      </w:r>
      <w:proofErr w:type="spellEnd"/>
      <w:r w:rsidR="006654EE" w:rsidRPr="0057248A">
        <w:rPr>
          <w:rFonts w:ascii="Book Antiqua" w:hAnsi="Book Antiqua"/>
          <w:lang w:val="en-US"/>
        </w:rPr>
        <w:t>.</w:t>
      </w:r>
    </w:p>
    <w:p w14:paraId="60B22773" w14:textId="431D0EA2"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Apart from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another new phenomenon was noticed with the introduction of </w:t>
      </w:r>
      <w:proofErr w:type="spellStart"/>
      <w:r w:rsidRPr="0057248A">
        <w:rPr>
          <w:rFonts w:ascii="Book Antiqua" w:hAnsi="Book Antiqua"/>
          <w:lang w:val="en-US"/>
        </w:rPr>
        <w:t>immunooncologic</w:t>
      </w:r>
      <w:proofErr w:type="spellEnd"/>
      <w:r w:rsidRPr="0057248A">
        <w:rPr>
          <w:rFonts w:ascii="Book Antiqua" w:hAnsi="Book Antiqua"/>
          <w:lang w:val="en-US"/>
        </w:rPr>
        <w:t xml:space="preserve"> agents: It is notable that the progression free survival (PFS) under CIT is oftentimes not significantly lengthened: The patients relapse after a similar time compared to those who did not receive CIT, but surprisingly the overall survival (OS) of CIT patients is often prolonged. This is remarkable as the majority of other agents prolong the PFS while the OS remains unchanged.</w:t>
      </w:r>
    </w:p>
    <w:p w14:paraId="2DA04BC8" w14:textId="4CC738A3"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lastRenderedPageBreak/>
        <w:t xml:space="preserve">The better OS in CIT patients indicates that the number of unreported cases of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might be a lot higher than the 4% suggested by </w:t>
      </w:r>
      <w:proofErr w:type="spellStart"/>
      <w:r w:rsidRPr="0057248A">
        <w:rPr>
          <w:rFonts w:ascii="Book Antiqua" w:hAnsi="Book Antiqua"/>
          <w:lang w:val="en-US"/>
        </w:rPr>
        <w:t>Chiou</w:t>
      </w:r>
      <w:proofErr w:type="spellEnd"/>
      <w:r w:rsidRPr="0057248A">
        <w:rPr>
          <w:rFonts w:ascii="Book Antiqua" w:hAnsi="Book Antiqua"/>
          <w:lang w:val="en-US"/>
        </w:rPr>
        <w:t xml:space="preserve"> </w:t>
      </w:r>
      <w:r w:rsidRPr="0057248A">
        <w:rPr>
          <w:rFonts w:ascii="Book Antiqua" w:hAnsi="Book Antiqua"/>
          <w:i/>
          <w:lang w:val="en-US"/>
        </w:rPr>
        <w:t>et al</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{"citationItems":[{"id":"ITEM-1","itemData":{"author":[{"dropping-particle":"","family":"Chiou","given":"Victoria L","non-dropping-particle":"","parse-names":false,"suffix":""},{"dropping-particle":"","family":"Burotto","given":"Mauricio","non-dropping-particle":"","parse-names":false,"suffix":""}],"container-title":"Journal of Clinical Oncology","id":"ITEM-1","issue":"31","issued":{"date-parts":[["2015"]]},"page":"3541-3542","title":"Pseudoprogression and Immune-Related Response in Solid Tumors","type":"article-journal","volume":"33"},"uris":["http://www.mendeley.com/documents/?uuid=177ad374-6552-437a-8505-c20364903c7c"]}],"mendeley":{"formattedCitation":"(6)","plainTextFormattedCitation":"(6)","previouslyFormattedCitation":"(6)"},"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[6]</w:t>
      </w:r>
      <w:r w:rsidR="006A1BFE" w:rsidRPr="0057248A">
        <w:rPr>
          <w:rFonts w:ascii="Book Antiqua" w:hAnsi="Book Antiqua"/>
          <w:vertAlign w:val="superscript"/>
          <w:lang w:val="en-US"/>
        </w:rPr>
        <w:fldChar w:fldCharType="end"/>
      </w:r>
      <w:r w:rsidRPr="0057248A">
        <w:rPr>
          <w:rFonts w:ascii="Book Antiqua" w:hAnsi="Book Antiqua"/>
          <w:lang w:val="en-US"/>
        </w:rPr>
        <w:t xml:space="preserve">. The prolonged OS could possibly be explained by patients, who had a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that was wrongly diagnosed as a real progression. It could be hypothesized, that even though these patients received a shortened CIT treatment, they profited from it, which resulted in a benefit of the OS.</w:t>
      </w:r>
    </w:p>
    <w:p w14:paraId="545B12D4" w14:textId="6E7B9940" w:rsidR="00422BEA" w:rsidRPr="0057248A" w:rsidRDefault="00422BEA" w:rsidP="00685FD1">
      <w:pPr>
        <w:spacing w:line="360" w:lineRule="auto"/>
        <w:ind w:firstLineChars="100" w:firstLine="240"/>
        <w:jc w:val="both"/>
        <w:rPr>
          <w:rFonts w:ascii="Book Antiqua" w:hAnsi="Book Antiqua"/>
          <w:lang w:val="en-US"/>
        </w:rPr>
      </w:pPr>
      <w:proofErr w:type="spellStart"/>
      <w:r w:rsidRPr="0057248A">
        <w:rPr>
          <w:rFonts w:ascii="Book Antiqua" w:hAnsi="Book Antiqua"/>
          <w:lang w:val="en-US"/>
        </w:rPr>
        <w:t>Tanizaki</w:t>
      </w:r>
      <w:proofErr w:type="spellEnd"/>
      <w:r w:rsidRPr="0057248A">
        <w:rPr>
          <w:rFonts w:ascii="Book Antiqua" w:hAnsi="Book Antiqua"/>
          <w:lang w:val="en-US"/>
        </w:rPr>
        <w:t xml:space="preserve"> </w:t>
      </w:r>
      <w:r w:rsidRPr="0057248A">
        <w:rPr>
          <w:rFonts w:ascii="Book Antiqua" w:hAnsi="Book Antiqua"/>
          <w:i/>
          <w:lang w:val="en-US"/>
        </w:rPr>
        <w:t>et al</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{"citationItems":[{"id":"ITEM-1","itemData":{"DOI":"10.1016/j.lungcan.2016.10.014","ISSN":"1872-8332","PMID":"27987588","abstract":"The recent approval of nivolumab and other immune-checkpoint inhibitors for the treatment of certain solid tumors including non-small cell lung cancer (NSCLC) has transformed cancer therapy. However, it will be important to characterize effects of such agents not seen with classical cytotoxic drugs or other targeted therapeutics. We here report two cases of NSCLC showing so-called pseudoprogression during nivolumab treatment. In both cases, imaging assessment revealed that liver metastatic lesions initially progressed but subsequently shrank during continuous nivolumab administration, with treatment also resulting in a decline in serum levels of carcinoembryonic antigen. Histological evaluation of the liver metastatic lesion of one case after regression revealed fibrotic tissue containing infiltrated lymphocytes positive for CD3, CD4, or CD8 but no viable tumor cells, suggestive of a durable immune reaction even after a pathological complete response. Given the increasing use of immune-checkpoint inhibitors in patients with NSCLC or other solid tumors, further clinical evaluation and pathological assessment are warranted to provide a better understanding of such pseudoprogression.","author":[{"dropping-particle":"","family":"Tanizaki","given":"Junko","non-dropping-particle":"","parse-names":false,"suffix":""},{"dropping-particle":"","family":"Hayashi","given":"Hidetoshi","non-dropping-particle":"","parse-names":false,"suffix":""},{"dropping-particle":"","family":"Kimura","given":"Masatomo","non-dropping-particle":"","parse-names":false,"suffix":""},{"dropping-particle":"","family":"Tanaka","given":"Kaoru","non-dropping-particle":"","parse-names":false,"suffix":""},{"dropping-particle":"","family":"Takeda","given":"Masayuki","non-dropping-particle":"","parse-names":false,"suffix":""},{"dropping-particle":"","family":"Shimizu","given":"Shigeki","non-dropping-particle":"","parse-names":false,"suffix":""},{"dropping-particle":"","family":"Ito","given":"Akihiko","non-dropping-particle":"","parse-names":false,"suffix":""},{"dropping-particle":"","family":"Nakagawa","given":"Kazuhiko","non-dropping-particle":"","parse-names":false,"suffix":""}],"container-title":"Lung cancer (Amsterdam, Netherlands)","id":"ITEM-1","issued":{"date-parts":[["2016"]]},"page":"44-48","publisher":"Elsevier","title":"Report of two cases of pseudoprogression in patients with non-small cell lung cancer treated with nivolumab-including histological analysis of one case after tumor regression.","type":"article-journal","volume":"102"},"uris":["http://www.mendeley.com/documents/?uuid=3629f933-c14d-3496-94c8-48758fc9941e"]}],"mendeley":{"formattedCitation":"(23)","plainTextFormattedCitation":"(23)","previouslyFormattedCitation":"(23)"},"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[23]</w:t>
      </w:r>
      <w:r w:rsidR="006A1BFE" w:rsidRPr="0057248A">
        <w:rPr>
          <w:rFonts w:ascii="Book Antiqua" w:hAnsi="Book Antiqua"/>
          <w:vertAlign w:val="superscript"/>
          <w:lang w:val="en-US"/>
        </w:rPr>
        <w:fldChar w:fldCharType="end"/>
      </w:r>
      <w:r w:rsidRPr="0057248A">
        <w:rPr>
          <w:rFonts w:ascii="Book Antiqua" w:hAnsi="Book Antiqua"/>
          <w:lang w:val="en-US"/>
        </w:rPr>
        <w:t xml:space="preserve"> show another interesting aspect of the durable immune reaction after CIT: They report on a Non-small-call-lung-cancer patient, whose histological evaluation of a liver metastasis showed no viable tumor cells but fibrotic tissue infiltrated by CD 3, 4 and 8 positive lymphocytes.</w:t>
      </w:r>
    </w:p>
    <w:p w14:paraId="733990A2" w14:textId="11D4B29D"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Tumor markers c</w:t>
      </w:r>
      <w:r w:rsidR="00655A58" w:rsidRPr="0057248A">
        <w:rPr>
          <w:rFonts w:ascii="Book Antiqua" w:hAnsi="Book Antiqua"/>
          <w:lang w:val="en-US"/>
        </w:rPr>
        <w:t>an</w:t>
      </w:r>
      <w:r w:rsidRPr="0057248A">
        <w:rPr>
          <w:rFonts w:ascii="Book Antiqua" w:hAnsi="Book Antiqua"/>
          <w:lang w:val="en-US"/>
        </w:rPr>
        <w:t xml:space="preserve"> be used as an additional source of information to differentiate between real and </w:t>
      </w:r>
      <w:proofErr w:type="spellStart"/>
      <w:r w:rsidRPr="0057248A">
        <w:rPr>
          <w:rFonts w:ascii="Book Antiqua" w:hAnsi="Book Antiqua"/>
          <w:lang w:val="en-US"/>
        </w:rPr>
        <w:t>pseudoprogression</w:t>
      </w:r>
      <w:proofErr w:type="spellEnd"/>
      <w:r w:rsidRPr="0057248A">
        <w:rPr>
          <w:rFonts w:ascii="Book Antiqua" w:hAnsi="Book Antiqua"/>
          <w:lang w:val="en-US"/>
        </w:rPr>
        <w:t>, but - as any inflammatory process can lead to a rise of the tumor marker - a moderate increase of the tumor marker occurs in both pseudo and real progression. A rapid increase of tumor markers suggest</w:t>
      </w:r>
      <w:r w:rsidR="00655A58" w:rsidRPr="0057248A">
        <w:rPr>
          <w:rFonts w:ascii="Book Antiqua" w:hAnsi="Book Antiqua"/>
          <w:lang w:val="en-US"/>
        </w:rPr>
        <w:t>s</w:t>
      </w:r>
      <w:r w:rsidRPr="0057248A">
        <w:rPr>
          <w:rFonts w:ascii="Book Antiqua" w:hAnsi="Book Antiqua"/>
          <w:lang w:val="en-US"/>
        </w:rPr>
        <w:t xml:space="preserve"> a real progression as the more likely diagnosis.</w:t>
      </w:r>
      <w:r w:rsidRPr="0057248A">
        <w:rPr>
          <w:rStyle w:val="a4"/>
          <w:rFonts w:ascii="Book Antiqua" w:hAnsi="Book Antiqua"/>
          <w:sz w:val="24"/>
          <w:szCs w:val="24"/>
          <w:lang w:val="en-US"/>
        </w:rPr>
        <w:t xml:space="preserve"> </w:t>
      </w:r>
      <w:r w:rsidRPr="0057248A">
        <w:rPr>
          <w:rFonts w:ascii="Book Antiqua" w:hAnsi="Book Antiqua"/>
          <w:lang w:val="en-US"/>
        </w:rPr>
        <w:t>But further predictive makers for the response to immune-checkpoint inhibitors are needed.</w:t>
      </w:r>
    </w:p>
    <w:p w14:paraId="47C9A77E" w14:textId="1589F748" w:rsidR="00411EC8" w:rsidRPr="0057248A" w:rsidRDefault="00411EC8"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Interestingly, interleukine-8 levels (IL-8) were shown to decrease during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and increase during progression. Although this was only shown in three cases so far, IL-8 monitoring might be a promising and helpful tool in the future to differentiate between pseudo- and real progression</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{"citationItems":[{"id":"ITEM-1","itemData":{"DOI":"10.1093/annonc/mdx190","ISSN":"15698041","abstract":"Background Surrogate biomarkers of efficacy are needed for anti-PD1/PD-L1 therapy, given the existence of delayed responses and pseudo-progressions. We evaluated changes in serum IL-8 levels as a biomarker of response to anti-PD-1 blockade in melanoma and non-small-cell lung cancer (NSCLC) patients. Patients and methods Metastatic melanoma and NSCLC patients treated with nivolumab or pembrolizumab alone or nivolumab plus ipilimumab were studied. Serum was collected at baseline; at 2-4 weeks after the first dose; and at the time-points of response evaluation. Serum IL-8 levels were determined by sandwich ELISA. Changes in serum IL-8 levels were compared with the Wilcoxon test and their strength of association with response was assessed with the Mann-Whitney test. Accuracy of changes in IL-8 levels to predict response was estimated using receiver operation characteristics curves. Results Twenty-nine melanoma patients treated with nivolumab or pembrolizumab were studied. In responding patients, serum IL-8 levels significantly decreased between baseline and best response (P &lt;0.001), and significantly increased upon progression (P = 0.004). In non-responders, IL-8 levels significantly increased between baseline and progression (P = 0.013). Early changes in serum IL-8 levels (2-4 weeks after treatment initiation) were strongly associated with response (P &lt;0.001). These observations were validated in 19 NSCLC patients treated with nivolumab or pembrolizumab (P = 0.001), and in 15 melanoma patients treated with nivolumab plus ipilimumab (P &lt;0.001). Early decreases in serum IL-8 levels were associated with longer overall survival in melanoma (P = 0.001) and NSCLC (P = 0.015) patients. Serum IL-8 levels also correctly reflected true response in three cancer patients presenting pseudoprogression. Conclusions Changes in serum IL-8 levels could be used to monitor and predict clinical benefit from immune checkpoint blockade in melanoma and NSCLC patients.","author":[{"dropping-particle":"","family":"Sanmamed","given":"M. F.","non-dropping-particle":"","parse-names":false,"suffix":""},{"dropping-particle":"","family":"Perez-Gracia","given":"J. L.","non-dropping-particle":"","parse-names":false,"suffix":""},{"dropping-particle":"","family":"Schalper","given":"K. A.","non-dropping-particle":"","parse-names":false,"suffix":""},{"dropping-particle":"","family":"Fusco","given":"J. P.","non-dropping-particle":"","parse-names":false,"suffix":""},{"dropping-particle":"","family":"Gonzalez","given":"A.","non-dropping-particle":"","parse-names":false,"suffix":""},{"dropping-particle":"","family":"Rodriguez-Ruiz","given":"M. E.","non-dropping-particle":"","parse-names":false,"suffix":""},{"dropping-particle":"","family":"Oñate","given":"C.","non-dropping-particle":"","parse-names":false,"suffix":""},{"dropping-particle":"","family":"Perez","given":"G.","non-dropping-particle":"","parse-names":false,"suffix":""},{"dropping-particle":"","family":"Alfaro","given":"C.","non-dropping-particle":"","parse-names":false,"suffix":""},{"dropping-particle":"","family":"Martín-Algarra","given":"S.","non-dropping-particle":"","parse-names":false,"suffix":""},{"dropping-particle":"","family":"Andueza","given":"M. P.","non-dropping-particle":"","parse-names":false,"suffix":""},{"dropping-particle":"","family":"Gurpide","given":"A.","non-dropping-particle":"","parse-names":false,"suffix":""},{"dropping-particle":"","family":"Morgado","given":"M.","non-dropping-particle":"","parse-names":false,"suffix":""},{"dropping-particle":"","family":"Wang","given":"J.","non-dropping-particle":"","parse-names":false,"suffix":""},{"dropping-particle":"","family":"Bacchiocchi","given":"A.","non-dropping-particle":"","parse-names":false,"suffix":""},{"dropping-particle":"","family":"Halaban","given":"R.","non-dropping-particle":"","parse-names":false,"suffix":""},{"dropping-particle":"","family":"Kluger","given":"H.","non-dropping-particle":"","parse-names":false,"suffix":""},{"dropping-particle":"","family":"Chen","given":"L.","non-dropping-particle":"","parse-names":false,"suffix":""},{"dropping-particle":"","family":"Sznol","given":"M.","non-dropping-particle":"","parse-names":false,"suffix":""},{"dropping-particle":"","family":"Melero","given":"Ignacio","non-dropping-particle":"","parse-names":false,"suffix":""}],"container-title":"Annals of Oncology","id":"ITEM-1","issue":"8","issued":{"date-parts":[["2017"]]},"page":"1988-1995","title":"Changes in serum interleukin-8 (IL-8) levels reflect and predict response to anti-PD-1 treatment in melanoma and non-small-cell lung cancer patients","type":"article-journal","volume":"28"},"uris":["http://www.mendeley.com/documents/?uuid=0c7dc239-356e-47cd-b416-710d7541467c"]}],"mendeley":{"formattedCitation":"(24)","plainTextFormattedCitation":"(24)","previouslyFormattedCitation":"(24)"},"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[24]</w:t>
      </w:r>
      <w:r w:rsidR="006A1BFE" w:rsidRPr="0057248A">
        <w:rPr>
          <w:rFonts w:ascii="Book Antiqua" w:hAnsi="Book Antiqua"/>
          <w:vertAlign w:val="superscript"/>
          <w:lang w:val="en-US"/>
        </w:rPr>
        <w:fldChar w:fldCharType="end"/>
      </w:r>
      <w:r w:rsidRPr="0057248A">
        <w:rPr>
          <w:rFonts w:ascii="Book Antiqua" w:hAnsi="Book Antiqua"/>
          <w:lang w:val="en-US"/>
        </w:rPr>
        <w:t>.</w:t>
      </w:r>
    </w:p>
    <w:p w14:paraId="688BBB7C" w14:textId="77777777"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From the pathologic point of view, the overall number of TILS could be evaluated to that aspect. </w:t>
      </w:r>
    </w:p>
    <w:p w14:paraId="53A473FE" w14:textId="329F953F"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Pathologic evaluation of PD-L1 remains very challenging. PD-L1 is a positive prognostic marker in ovarian carcinoma, while the predictive value for therapy response still remains doubtful</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{"citationItems":[{"id":"ITEM-1","itemData":{"author":[{"dropping-particle":"","family":"Darb-esfahani","given":"Silvia","non-dropping-particle":"","parse-names":false,"suffix":""},{"dropping-particle":"","family":"Kunze","given":"Catarina Alisa","non-dropping-particle":"","parse-names":false,"suffix":""},{"dropping-particle":"","family":"Kulbe","given":"Hagen","non-dropping-particle":"","parse-names":false,"suffix":""},{"dropping-particle":"","family":"Sehouli","given":"Jalid","non-dropping-particle":"","parse-names":false,"suffix":""},{"dropping-particle":"","family":"Wienert","given":"Stephan","non-dropping-particle":"","parse-names":false,"suffix":""},{"dropping-particle":"","family":"Lindner","given":"Judith","non-dropping-particle":"","parse-names":false,"suffix":""},{"dropping-particle":"","family":"Budczies","given":"Jan","non-dropping-particle":"","parse-names":false,"suffix":""},{"dropping-particle":"","family":"Bockmayr","given":"Michael","non-dropping-particle":"","parse-names":false,"suffix":""},{"dropping-particle":"","family":"Denkert","given":"Carsten","non-dropping-particle":"","parse-names":false,"suffix":""},{"dropping-particle":"","family":"Braicu","given":"Ioana","non-dropping-particle":"","parse-names":false,"suffix":""},{"dropping-particle":"","family":"Jöhrens","given":"Korinna","non-dropping-particle":"","parse-names":false,"suffix":""}],"container-title":"Oncotarget","id":"ITEM-1","issue":"2","issued":{"date-parts":[["2016"]]},"page":"1486-1499","title":"Prognostic impact of programmed cell death-1 ( PD-1 ) and PD-ligand 1 ( PD-L1 ) expression in cancer cells and tumor- infiltrating lymphocytes in ovarian high grade serous carcinoma","type":"article-journal","volume":"7"},"uris":["http://www.mendeley.com/documents/?uuid=849288ff-bdf6-408e-9813-70614f1ee983"]}],"mendeley":{"formattedCitation":"(19)","plainTextFormattedCitation":"(19)","previouslyFormattedCitation":"(19)"},"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[19]</w:t>
      </w:r>
      <w:r w:rsidR="006A1BFE" w:rsidRPr="0057248A">
        <w:rPr>
          <w:rFonts w:ascii="Book Antiqua" w:hAnsi="Book Antiqua"/>
          <w:vertAlign w:val="superscript"/>
          <w:lang w:val="en-US"/>
        </w:rPr>
        <w:fldChar w:fldCharType="end"/>
      </w:r>
      <w:r w:rsidRPr="0057248A">
        <w:rPr>
          <w:rFonts w:ascii="Book Antiqua" w:hAnsi="Book Antiqua"/>
          <w:lang w:val="en-US"/>
        </w:rPr>
        <w:t>. Therefore, the pathologic report usually includes the percentage of PD-L1 positive tumor cells, defined as cells with a strong membranous staining of PD-L1</w:t>
      </w:r>
      <w:r w:rsidR="006A1BFE" w:rsidRPr="0057248A">
        <w:rPr>
          <w:rFonts w:ascii="Book Antiqua" w:hAnsi="Book Antiqua"/>
          <w:lang w:val="en-US"/>
        </w:rPr>
        <w:t xml:space="preserve"> </w:t>
      </w:r>
      <w:r w:rsidRPr="0057248A">
        <w:rPr>
          <w:rFonts w:ascii="Book Antiqua" w:hAnsi="Book Antiqua"/>
          <w:lang w:val="en-US"/>
        </w:rPr>
        <w:t>(</w:t>
      </w:r>
      <w:r w:rsidR="006A1BFE" w:rsidRPr="0057248A">
        <w:rPr>
          <w:rFonts w:ascii="Book Antiqua" w:hAnsi="Book Antiqua"/>
          <w:lang w:val="en-US"/>
        </w:rPr>
        <w:t xml:space="preserve">Figure </w:t>
      </w:r>
      <w:r w:rsidRPr="0057248A">
        <w:rPr>
          <w:rFonts w:ascii="Book Antiqua" w:hAnsi="Book Antiqua"/>
          <w:lang w:val="en-US"/>
        </w:rPr>
        <w:t>2A). Cytoplasmic staining of tumor cells is considered artificial (</w:t>
      </w:r>
      <w:r w:rsidR="006A1BFE" w:rsidRPr="0057248A">
        <w:rPr>
          <w:rFonts w:ascii="Book Antiqua" w:hAnsi="Book Antiqua"/>
          <w:lang w:val="en-US"/>
        </w:rPr>
        <w:t xml:space="preserve">Figure </w:t>
      </w:r>
      <w:r w:rsidRPr="0057248A">
        <w:rPr>
          <w:rFonts w:ascii="Book Antiqua" w:hAnsi="Book Antiqua"/>
          <w:lang w:val="en-US"/>
        </w:rPr>
        <w:t>2B). A special problem consists in tumor infiltrating immune cells (TILS). Immune cells often express some PD-L1 - either membranous or cytoplasmic (</w:t>
      </w:r>
      <w:r w:rsidR="006A1BFE" w:rsidRPr="0057248A">
        <w:rPr>
          <w:rFonts w:ascii="Book Antiqua" w:hAnsi="Book Antiqua"/>
          <w:lang w:val="en-US"/>
        </w:rPr>
        <w:t xml:space="preserve">Figure </w:t>
      </w:r>
      <w:r w:rsidRPr="0057248A">
        <w:rPr>
          <w:rFonts w:ascii="Book Antiqua" w:hAnsi="Book Antiqua"/>
          <w:lang w:val="en-US"/>
        </w:rPr>
        <w:t>2C) - and can easily be confused with tumor cells if being intermingled as TILS.</w:t>
      </w:r>
    </w:p>
    <w:p w14:paraId="6702AFFD" w14:textId="77777777"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Our patient showed positive TILS in the pretreatment biopsy.</w:t>
      </w:r>
    </w:p>
    <w:p w14:paraId="6D265925" w14:textId="77777777"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lastRenderedPageBreak/>
        <w:t>Considering these strict criteria, our patient was negative for PD-L1 expression before treatment with nivolumab (biopsy from 2012) and showed some 3% of PD-L1 positive tumor cells in the re-biopsy (2016) after treatment. Therefore, the absence of sufficient PD-L1 expression in the pre-treatment biopsy was not predictive for a negative therapy effect. Surprisingly, the tumor cells showed a positive rate of 3% after the treatment.</w:t>
      </w:r>
    </w:p>
    <w:p w14:paraId="7336D148" w14:textId="52DCB9A5"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Although </w:t>
      </w:r>
      <w:r w:rsidR="001F5840" w:rsidRPr="0057248A">
        <w:rPr>
          <w:rFonts w:ascii="Book Antiqua" w:hAnsi="Book Antiqua"/>
          <w:lang w:val="en-US"/>
        </w:rPr>
        <w:t>n</w:t>
      </w:r>
      <w:r w:rsidRPr="0057248A">
        <w:rPr>
          <w:rFonts w:ascii="Book Antiqua" w:hAnsi="Book Antiqua"/>
          <w:lang w:val="en-US"/>
        </w:rPr>
        <w:t>ivolumab inhibits immune checkpoints (especially PD-L1), a pretreatment evaluation is not yet required for treatment.</w:t>
      </w:r>
      <w:r w:rsidR="007C7C0A" w:rsidRPr="0057248A">
        <w:rPr>
          <w:rFonts w:ascii="Book Antiqua" w:hAnsi="Book Antiqua"/>
          <w:lang w:val="en-US"/>
        </w:rPr>
        <w:t xml:space="preserve"> Unfortunately, no pretreatment biomarker has been found, but it is likely that it will be necessary to </w:t>
      </w:r>
      <w:r w:rsidR="00885D2D" w:rsidRPr="0057248A">
        <w:rPr>
          <w:rFonts w:ascii="Book Antiqua" w:hAnsi="Book Antiqua"/>
          <w:lang w:val="en-US"/>
        </w:rPr>
        <w:t>also take into consideration factors like</w:t>
      </w:r>
      <w:r w:rsidR="007C7C0A" w:rsidRPr="0057248A">
        <w:rPr>
          <w:rFonts w:ascii="Book Antiqua" w:hAnsi="Book Antiqua"/>
          <w:lang w:val="en-US"/>
        </w:rPr>
        <w:t xml:space="preserve"> tumor genomic studies of mutational load</w:t>
      </w:r>
      <w:r w:rsidR="00885D2D" w:rsidRPr="0057248A">
        <w:rPr>
          <w:rFonts w:ascii="Book Antiqua" w:hAnsi="Book Antiqua"/>
          <w:lang w:val="en-US"/>
        </w:rPr>
        <w:t xml:space="preserve"> and </w:t>
      </w:r>
      <w:r w:rsidR="007C7C0A" w:rsidRPr="0057248A">
        <w:rPr>
          <w:rFonts w:ascii="Book Antiqua" w:hAnsi="Book Antiqua"/>
          <w:lang w:val="en-US"/>
        </w:rPr>
        <w:t>studies of T</w:t>
      </w:r>
      <w:r w:rsidR="00885D2D" w:rsidRPr="0057248A">
        <w:rPr>
          <w:rFonts w:ascii="Book Antiqua" w:hAnsi="Book Antiqua"/>
          <w:lang w:val="en-US"/>
        </w:rPr>
        <w:t>-cell receptors</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{"citationItems":[{"id":"ITEM-1","itemData":{"DOI":"10.1002/jmri.25711.PET/MRI","abstract":"Cancer immunotherapy may become a major treatment backbone in many cancers over the next decade. There are numerous immune cell types found in cancers and many components of an immune reaction to cancer. Thus the tumor has many strategies to evade an immune response. It has been proposed that four different types of tumor microenvironment exist based on the presence or absence of tumor infiltrating lymphocytes and programmed death-ligand 1 (PD-L1) expression. We review this stratification and the latest in a series of results that shed light on new approaches for rationally designing ideal combination cancer therapies based on tumor immunology. Keywords","author":[{"dropping-particle":"","family":"Teng","given":"Michele W. L.","non-dropping-particle":"","parse-names":false,"suffix":""},{"dropping-particle":"","family":"Ngiow","given":"Shin Foong","non-dropping-particle":"","parse-names":false,"suffix":""},{"dropping-particle":"","family":"Ribas","given":"Antoni","non-dropping-particle":"","parse-names":false,"suffix":""},{"dropping-particle":"","family":"Smyth","given":"Mark J.","non-dropping-particle":"","parse-names":false,"suffix":""}],"container-title":"Cancer Res","id":"ITEM-1","issue":"1","issued":{"date-parts":[["2015"]]},"page":"2139–2145","title":"Classifying cancers based on T cell infiltration and PD-L1 Michele","type":"article-journal","volume":"75"},"uris":["http://www.mendeley.com/documents/?uuid=1581618c-8b25-4363-b1b7-a7f371fe136e"]}],"mendeley":{"formattedCitation":"(25)","plainTextFormattedCitation":"(25)","previouslyFormattedCitation":"(25)"},"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[25]</w:t>
      </w:r>
      <w:r w:rsidR="006A1BFE" w:rsidRPr="0057248A">
        <w:rPr>
          <w:rFonts w:ascii="Book Antiqua" w:hAnsi="Book Antiqua"/>
          <w:vertAlign w:val="superscript"/>
          <w:lang w:val="en-US"/>
        </w:rPr>
        <w:fldChar w:fldCharType="end"/>
      </w:r>
      <w:r w:rsidR="00885D2D" w:rsidRPr="0057248A">
        <w:rPr>
          <w:rFonts w:ascii="Book Antiqua" w:hAnsi="Book Antiqua"/>
          <w:lang w:val="en-US"/>
        </w:rPr>
        <w:t xml:space="preserve">. </w:t>
      </w:r>
      <w:r w:rsidRPr="0057248A">
        <w:rPr>
          <w:rFonts w:ascii="Book Antiqua" w:hAnsi="Book Antiqua"/>
          <w:lang w:val="en-US"/>
        </w:rPr>
        <w:t>Further research is necessary to include pathologic findings as reliable markers for predictive therapeutic effects.</w:t>
      </w:r>
    </w:p>
    <w:p w14:paraId="4A36CA20" w14:textId="7ACAADA1" w:rsidR="00F66EAD" w:rsidRPr="0057248A" w:rsidRDefault="00F66EAD"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CIT imposes many opportunities </w:t>
      </w:r>
      <w:r w:rsidR="006A071C" w:rsidRPr="0057248A">
        <w:rPr>
          <w:rFonts w:ascii="Book Antiqua" w:hAnsi="Book Antiqua"/>
          <w:lang w:val="en-US"/>
        </w:rPr>
        <w:t>o</w:t>
      </w:r>
      <w:r w:rsidRPr="0057248A">
        <w:rPr>
          <w:rFonts w:ascii="Book Antiqua" w:hAnsi="Book Antiqua"/>
          <w:lang w:val="en-US"/>
        </w:rPr>
        <w:t xml:space="preserve">n </w:t>
      </w:r>
      <w:r w:rsidR="003772AB" w:rsidRPr="0057248A">
        <w:rPr>
          <w:rFonts w:ascii="Book Antiqua" w:hAnsi="Book Antiqua"/>
          <w:lang w:val="en-US"/>
        </w:rPr>
        <w:t>oncologic</w:t>
      </w:r>
      <w:r w:rsidRPr="0057248A">
        <w:rPr>
          <w:rFonts w:ascii="Book Antiqua" w:hAnsi="Book Antiqua"/>
          <w:lang w:val="en-US"/>
        </w:rPr>
        <w:t xml:space="preserve"> treatment, but also challenges our current understanding of </w:t>
      </w:r>
      <w:r w:rsidR="003772AB" w:rsidRPr="0057248A">
        <w:rPr>
          <w:rFonts w:ascii="Book Antiqua" w:hAnsi="Book Antiqua"/>
          <w:lang w:val="en-US"/>
        </w:rPr>
        <w:t xml:space="preserve">cancer: The occurrence of </w:t>
      </w:r>
      <w:proofErr w:type="spellStart"/>
      <w:r w:rsidR="003772AB" w:rsidRPr="0057248A">
        <w:rPr>
          <w:rFonts w:ascii="Book Antiqua" w:hAnsi="Book Antiqua"/>
          <w:lang w:val="en-US"/>
        </w:rPr>
        <w:t>pseudoprogression</w:t>
      </w:r>
      <w:proofErr w:type="spellEnd"/>
      <w:r w:rsidR="003772AB" w:rsidRPr="0057248A">
        <w:rPr>
          <w:rFonts w:ascii="Book Antiqua" w:hAnsi="Book Antiqua"/>
          <w:lang w:val="en-US"/>
        </w:rPr>
        <w:t xml:space="preserve"> shows that we have to think outside the box in order to use CIT to its full potential: For decades, our understanding of cancer treatment was mainly based on data from cytotoxic agents and our definition</w:t>
      </w:r>
      <w:r w:rsidR="00502AD2" w:rsidRPr="0057248A">
        <w:rPr>
          <w:rFonts w:ascii="Book Antiqua" w:hAnsi="Book Antiqua"/>
          <w:lang w:val="en-US"/>
        </w:rPr>
        <w:t xml:space="preserve">s and statistical analysis are based on this knowledge. However, as it was necessary to introduce the </w:t>
      </w:r>
      <w:proofErr w:type="spellStart"/>
      <w:r w:rsidR="00502AD2" w:rsidRPr="0057248A">
        <w:rPr>
          <w:rFonts w:ascii="Book Antiqua" w:hAnsi="Book Antiqua"/>
          <w:lang w:val="en-US"/>
        </w:rPr>
        <w:t>ir</w:t>
      </w:r>
      <w:proofErr w:type="spellEnd"/>
      <w:r w:rsidR="00502AD2" w:rsidRPr="0057248A">
        <w:rPr>
          <w:rFonts w:ascii="Book Antiqua" w:hAnsi="Book Antiqua"/>
          <w:lang w:val="en-US"/>
        </w:rPr>
        <w:t xml:space="preserve">-RECIST criteria in order to meet the novel requirements of CIT, it will likewise be necessary to adapt our statistical analysis. Possible methods to </w:t>
      </w:r>
      <w:r w:rsidR="006A071C" w:rsidRPr="0057248A">
        <w:rPr>
          <w:rFonts w:ascii="Book Antiqua" w:hAnsi="Book Antiqua"/>
          <w:lang w:val="en-US"/>
        </w:rPr>
        <w:t>better incorporate</w:t>
      </w:r>
      <w:r w:rsidR="00502AD2" w:rsidRPr="0057248A">
        <w:rPr>
          <w:rFonts w:ascii="Book Antiqua" w:hAnsi="Book Antiqua"/>
          <w:lang w:val="en-US"/>
        </w:rPr>
        <w:t xml:space="preserve"> </w:t>
      </w:r>
      <w:proofErr w:type="spellStart"/>
      <w:r w:rsidR="00502AD2" w:rsidRPr="0057248A">
        <w:rPr>
          <w:rFonts w:ascii="Book Antiqua" w:hAnsi="Book Antiqua"/>
          <w:lang w:val="en-US"/>
        </w:rPr>
        <w:t>pseudopro</w:t>
      </w:r>
      <w:r w:rsidR="006A071C" w:rsidRPr="0057248A">
        <w:rPr>
          <w:rFonts w:ascii="Book Antiqua" w:hAnsi="Book Antiqua"/>
          <w:lang w:val="en-US"/>
        </w:rPr>
        <w:t>gression</w:t>
      </w:r>
      <w:proofErr w:type="spellEnd"/>
      <w:r w:rsidR="006A071C" w:rsidRPr="0057248A">
        <w:rPr>
          <w:rFonts w:ascii="Book Antiqua" w:hAnsi="Book Antiqua"/>
          <w:lang w:val="en-US"/>
        </w:rPr>
        <w:t xml:space="preserve"> and additional new phenomena into statistics might include time-specific endpoints, immune-related endpoints, restricted mean survival time or generalized pairwise comparison</w:t>
      </w:r>
      <w:r w:rsidR="006A1BFE" w:rsidRPr="0057248A">
        <w:rPr>
          <w:rFonts w:ascii="Book Antiqua" w:hAnsi="Book Antiqua"/>
          <w:vertAlign w:val="superscript"/>
          <w:lang w:val="en-US"/>
        </w:rPr>
        <w:fldChar w:fldCharType="begin" w:fldLock="1"/>
      </w:r>
      <w:r w:rsidR="006A1BFE" w:rsidRPr="0057248A">
        <w:rPr>
          <w:rFonts w:ascii="Book Antiqua" w:hAnsi="Book Antiqua"/>
          <w:vertAlign w:val="superscript"/>
          <w:lang w:val="en-US"/>
        </w:rPr>
        <w:instrText>ADDIN CSL_CITATION {"citationItems":[{"id":"ITEM-1","itemData":{"DOI":"10.1002/pst.1835","abstract":"Immuno-oncology has emerged as an exciting new approach to cancer treat- ment. Common immunotherapy approaches include cancer vaccine, effec- tor cell therapy, and T-cell–stimulating antibody. Checkpoint inhibitors such as cytotoxic T lymphocyte–associated antigen 4 and programmed death-1/L1 antagonists have shown promising results in multiple indications in solid tumors and hematology. However, the mechanisms of action of these novel drugs pose unique statistical challenges in the accurate evaluation of clinical safety and efficacy, including late-onset toxicity, dose optimization, evaluation of combination agents, pseudoprogression, and delayed and lasting clinical activ- ity. Traditional statistical methodsmay not be the most accurate or efficient. It is highly desirable to develop the most suitable statistical methodologies and tools to efficiently investigate cancer immunotherapies. In this paper, we summarize these issues and discuss alternative methods to meet the challenges in the clin- ical development of these novel agents. For safety evaluation and dose-finding trials, we recommend the use of a time-to-event model-based design to han- dle late toxicities, a simple 3-step procedure for dose optimization, and flexible rule-based or model-based designs forprobability endpoint, the restrictedmean survival time, the generalized pairwise comparison method, the immune-related response criteria, and the weighted log-rank or weighted Kaplan-Meier test. The benefits and limitations of these methods are discussed, and some recommendations are provided for applied researchers to implement these methods in clinical practice. KEYWORDS combination agents. For efficacy evalua- tion, we discuss alternative endpoints/designs/tests including the time-specific","author":[{"dropping-particle":"","family":"Huang","given":"Bo","non-dropping-particle":"","parse-names":false,"suffix":""}],"container-title":"Pharmaceutical Statistics","id":"ITEM-1","issued":{"date-parts":[["2018"]]},"page":"49-60","title":"Some statistical considerations in the clinical development of cancer immunotherapies","type":"article-journal","volume":"17"},"uris":["http://www.mendeley.com/documents/?uuid=84f815f7-6767-4082-b25d-95b69139509a"]}],"mendeley":{"formattedCitation":"(26)","plainTextFormattedCitation":"(26)","previouslyFormattedCitation":"(26)"},"properties":{"noteIndex":0},"schema":"https://github.com/citation-style-language/schema/raw/master/csl-citation.json"}</w:instrText>
      </w:r>
      <w:r w:rsidR="006A1BFE" w:rsidRPr="0057248A">
        <w:rPr>
          <w:rFonts w:ascii="Book Antiqua" w:hAnsi="Book Antiqua"/>
          <w:vertAlign w:val="superscript"/>
          <w:lang w:val="en-US"/>
        </w:rPr>
        <w:fldChar w:fldCharType="separate"/>
      </w:r>
      <w:r w:rsidR="006A1BFE" w:rsidRPr="0057248A">
        <w:rPr>
          <w:rFonts w:ascii="Book Antiqua" w:hAnsi="Book Antiqua"/>
          <w:noProof/>
          <w:vertAlign w:val="superscript"/>
          <w:lang w:val="en-US"/>
        </w:rPr>
        <w:t>[26]</w:t>
      </w:r>
      <w:r w:rsidR="006A1BFE" w:rsidRPr="0057248A">
        <w:rPr>
          <w:rFonts w:ascii="Book Antiqua" w:hAnsi="Book Antiqua"/>
          <w:vertAlign w:val="superscript"/>
          <w:lang w:val="en-US"/>
        </w:rPr>
        <w:fldChar w:fldCharType="end"/>
      </w:r>
      <w:r w:rsidR="006A071C" w:rsidRPr="0057248A">
        <w:rPr>
          <w:rFonts w:ascii="Book Antiqua" w:hAnsi="Book Antiqua"/>
          <w:lang w:val="en-US"/>
        </w:rPr>
        <w:t>.</w:t>
      </w:r>
    </w:p>
    <w:p w14:paraId="5582B3A7" w14:textId="00922151"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As both-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and real progression- present with an increase in tumor size, the only certain way to differentiate between them is the occurrence of infiltrating growth. While the increase of tumor size in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can be explained by benign growth due to immune cell infiltration and edema, only malign growth of a real progression has the ability to infiltrate other tissues. This way to differentiate between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and real progression is vividly illustrated in our case report.</w:t>
      </w:r>
      <w:r w:rsidR="00655A58" w:rsidRPr="0057248A">
        <w:rPr>
          <w:rFonts w:ascii="Book Antiqua" w:hAnsi="Book Antiqua"/>
          <w:lang w:val="en-US"/>
        </w:rPr>
        <w:t xml:space="preserve"> A limitation of </w:t>
      </w:r>
      <w:r w:rsidR="0055283F" w:rsidRPr="0057248A">
        <w:rPr>
          <w:rFonts w:ascii="Book Antiqua" w:hAnsi="Book Antiqua"/>
          <w:lang w:val="en-US"/>
        </w:rPr>
        <w:t>our</w:t>
      </w:r>
      <w:r w:rsidR="00655A58" w:rsidRPr="0057248A">
        <w:rPr>
          <w:rFonts w:ascii="Book Antiqua" w:hAnsi="Book Antiqua"/>
          <w:lang w:val="en-US"/>
        </w:rPr>
        <w:t xml:space="preserve"> case report is the lack of imaging</w:t>
      </w:r>
      <w:r w:rsidR="0055283F" w:rsidRPr="0057248A">
        <w:rPr>
          <w:rFonts w:ascii="Book Antiqua" w:hAnsi="Book Antiqua"/>
          <w:lang w:val="en-US"/>
        </w:rPr>
        <w:t xml:space="preserve"> of the left groin after </w:t>
      </w:r>
      <w:proofErr w:type="spellStart"/>
      <w:r w:rsidR="0055283F" w:rsidRPr="0057248A">
        <w:rPr>
          <w:rFonts w:ascii="Book Antiqua" w:hAnsi="Book Antiqua"/>
          <w:lang w:val="en-US"/>
        </w:rPr>
        <w:t>pseudoprogression</w:t>
      </w:r>
      <w:proofErr w:type="spellEnd"/>
      <w:r w:rsidR="0055283F" w:rsidRPr="0057248A">
        <w:rPr>
          <w:rFonts w:ascii="Book Antiqua" w:hAnsi="Book Antiqua"/>
          <w:lang w:val="en-US"/>
        </w:rPr>
        <w:t>.</w:t>
      </w:r>
    </w:p>
    <w:p w14:paraId="573B3204" w14:textId="060F42DB"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lastRenderedPageBreak/>
        <w:t>Although checkpoint inhibitor therapy is one of the most promising anti-tumor treatments yet, many questions remain unanswered:</w:t>
      </w:r>
      <w:r w:rsidR="006A1BFE" w:rsidRPr="0057248A">
        <w:rPr>
          <w:rFonts w:ascii="Book Antiqua" w:eastAsia="宋体" w:hAnsi="Book Antiqua"/>
          <w:lang w:val="en-US" w:eastAsia="zh-CN"/>
        </w:rPr>
        <w:t xml:space="preserve"> </w:t>
      </w:r>
      <w:r w:rsidRPr="0057248A">
        <w:rPr>
          <w:rFonts w:ascii="Book Antiqua" w:hAnsi="Book Antiqua"/>
          <w:lang w:val="en-US"/>
        </w:rPr>
        <w:t xml:space="preserve">How long does the stabilizing effect after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last?</w:t>
      </w:r>
      <w:r w:rsidR="006A1BFE" w:rsidRPr="0057248A">
        <w:rPr>
          <w:rFonts w:ascii="Book Antiqua" w:eastAsia="宋体" w:hAnsi="Book Antiqua"/>
          <w:lang w:val="en-US" w:eastAsia="zh-CN"/>
        </w:rPr>
        <w:t xml:space="preserve"> </w:t>
      </w:r>
      <w:r w:rsidRPr="0057248A">
        <w:rPr>
          <w:rFonts w:ascii="Book Antiqua" w:hAnsi="Book Antiqua"/>
          <w:lang w:val="en-US"/>
        </w:rPr>
        <w:t xml:space="preserve">Is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a predictor for progression or remission?</w:t>
      </w:r>
      <w:r w:rsidR="006A1BFE" w:rsidRPr="0057248A">
        <w:rPr>
          <w:rFonts w:ascii="Book Antiqua" w:eastAsia="宋体" w:hAnsi="Book Antiqua"/>
          <w:lang w:val="en-US" w:eastAsia="zh-CN"/>
        </w:rPr>
        <w:t xml:space="preserve"> </w:t>
      </w:r>
      <w:r w:rsidRPr="0057248A">
        <w:rPr>
          <w:rFonts w:ascii="Book Antiqua" w:hAnsi="Book Antiqua"/>
          <w:lang w:val="en-US"/>
        </w:rPr>
        <w:t xml:space="preserve">Which symptoms are associated with </w:t>
      </w:r>
      <w:proofErr w:type="spellStart"/>
      <w:r w:rsidRPr="0057248A">
        <w:rPr>
          <w:rFonts w:ascii="Book Antiqua" w:hAnsi="Book Antiqua"/>
          <w:lang w:val="en-US"/>
        </w:rPr>
        <w:t>pseudoprogression</w:t>
      </w:r>
      <w:proofErr w:type="spellEnd"/>
      <w:r w:rsidRPr="0057248A">
        <w:rPr>
          <w:rFonts w:ascii="Book Antiqua" w:hAnsi="Book Antiqua"/>
          <w:lang w:val="en-US"/>
        </w:rPr>
        <w:t>?</w:t>
      </w:r>
    </w:p>
    <w:p w14:paraId="6C884264" w14:textId="1284742C" w:rsidR="00F727DF" w:rsidRPr="0057248A" w:rsidRDefault="00F727DF"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Further studies are necessary to fully characterize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not only </w:t>
      </w:r>
      <w:proofErr w:type="spellStart"/>
      <w:r w:rsidRPr="0057248A">
        <w:rPr>
          <w:rFonts w:ascii="Book Antiqua" w:hAnsi="Book Antiqua"/>
          <w:lang w:val="en-US"/>
        </w:rPr>
        <w:t>translationally</w:t>
      </w:r>
      <w:proofErr w:type="spellEnd"/>
      <w:r w:rsidRPr="0057248A">
        <w:rPr>
          <w:rFonts w:ascii="Book Antiqua" w:hAnsi="Book Antiqua"/>
          <w:lang w:val="en-US"/>
        </w:rPr>
        <w:t xml:space="preserve"> but also clinically and to understand its symptoms and clinical outcome.</w:t>
      </w:r>
    </w:p>
    <w:p w14:paraId="4267EA9E" w14:textId="77777777" w:rsidR="00F727DF" w:rsidRPr="0057248A" w:rsidRDefault="00F727DF" w:rsidP="00685FD1">
      <w:pPr>
        <w:spacing w:line="360" w:lineRule="auto"/>
        <w:jc w:val="both"/>
        <w:rPr>
          <w:rFonts w:ascii="Book Antiqua" w:hAnsi="Book Antiqua"/>
          <w:b/>
          <w:lang w:val="en-US"/>
        </w:rPr>
      </w:pPr>
    </w:p>
    <w:p w14:paraId="27A085A5" w14:textId="77777777" w:rsidR="00F727DF" w:rsidRPr="0057248A" w:rsidRDefault="00F727DF" w:rsidP="00685FD1">
      <w:pPr>
        <w:spacing w:line="360" w:lineRule="auto"/>
        <w:jc w:val="both"/>
        <w:rPr>
          <w:rFonts w:ascii="Book Antiqua" w:hAnsi="Book Antiqua"/>
          <w:b/>
          <w:lang w:val="en-US"/>
        </w:rPr>
      </w:pPr>
      <w:r w:rsidRPr="0057248A">
        <w:rPr>
          <w:rFonts w:ascii="Book Antiqua" w:hAnsi="Book Antiqua"/>
          <w:b/>
          <w:lang w:val="en-US"/>
        </w:rPr>
        <w:t>CONCLUSION</w:t>
      </w:r>
    </w:p>
    <w:p w14:paraId="60817C04" w14:textId="6B2C806E" w:rsidR="00F727DF" w:rsidRPr="0057248A" w:rsidRDefault="00F727DF" w:rsidP="00685FD1">
      <w:pPr>
        <w:spacing w:line="360" w:lineRule="auto"/>
        <w:jc w:val="both"/>
        <w:rPr>
          <w:rFonts w:ascii="Book Antiqua" w:hAnsi="Book Antiqua"/>
          <w:lang w:val="en-US"/>
        </w:rPr>
      </w:pPr>
      <w:r w:rsidRPr="0057248A">
        <w:rPr>
          <w:rFonts w:ascii="Book Antiqua" w:hAnsi="Book Antiqua"/>
          <w:lang w:val="en-US"/>
        </w:rPr>
        <w:t xml:space="preserve">This case illustrates not only pseudo-, but also real progression and vividly shows the main difference between the two: Only real progression has the ability to infiltrate other tissues. While the appearance of new lesions as well as the increase in size of a known lesion can be due to </w:t>
      </w:r>
      <w:proofErr w:type="spellStart"/>
      <w:r w:rsidRPr="0057248A">
        <w:rPr>
          <w:rFonts w:ascii="Book Antiqua" w:hAnsi="Book Antiqua"/>
          <w:lang w:val="en-US"/>
        </w:rPr>
        <w:t>pseudoprogression</w:t>
      </w:r>
      <w:proofErr w:type="spellEnd"/>
      <w:r w:rsidRPr="0057248A">
        <w:rPr>
          <w:rFonts w:ascii="Book Antiqua" w:hAnsi="Book Antiqua"/>
          <w:lang w:val="en-US"/>
        </w:rPr>
        <w:t>, the new manifestation of infiltrative disease (such as the rectum infiltration in our case) is bound to be caused by real progression.</w:t>
      </w:r>
    </w:p>
    <w:p w14:paraId="0A29A6D7" w14:textId="77777777" w:rsidR="009455BA" w:rsidRPr="0057248A" w:rsidRDefault="009455BA"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Risk factors for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and guidelines to diagnose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have yet to be investigated to ensure both the physician and the patient of the safety and efficacy of checkpoint-inhibition.</w:t>
      </w:r>
    </w:p>
    <w:p w14:paraId="519382C9" w14:textId="11C7EAE7" w:rsidR="00F727DF" w:rsidRPr="0057248A" w:rsidRDefault="009455BA" w:rsidP="00685FD1">
      <w:pPr>
        <w:spacing w:line="360" w:lineRule="auto"/>
        <w:ind w:firstLineChars="100" w:firstLine="240"/>
        <w:jc w:val="both"/>
        <w:rPr>
          <w:rFonts w:ascii="Book Antiqua" w:hAnsi="Book Antiqua"/>
          <w:lang w:val="en-US"/>
        </w:rPr>
      </w:pPr>
      <w:r w:rsidRPr="0057248A">
        <w:rPr>
          <w:rFonts w:ascii="Book Antiqua" w:hAnsi="Book Antiqua"/>
          <w:lang w:val="en-US"/>
        </w:rPr>
        <w:t xml:space="preserve">When in doubt whether a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has occurred, we suggest cautious continuation of checkpoint-inhibition paired with corticoids to lower adverse effects if necessary. Increased investigation of this phenomenon is crucial to improve the management of checkpoint-inhibitors such as </w:t>
      </w:r>
      <w:r w:rsidR="001F5840" w:rsidRPr="0057248A">
        <w:rPr>
          <w:rFonts w:ascii="Book Antiqua" w:hAnsi="Book Antiqua"/>
          <w:lang w:val="en-US"/>
        </w:rPr>
        <w:t>n</w:t>
      </w:r>
      <w:r w:rsidRPr="0057248A">
        <w:rPr>
          <w:rFonts w:ascii="Book Antiqua" w:hAnsi="Book Antiqua"/>
          <w:lang w:val="en-US"/>
        </w:rPr>
        <w:t>ivolumab.</w:t>
      </w:r>
    </w:p>
    <w:p w14:paraId="4A0E43F0" w14:textId="77777777" w:rsidR="00187CB8" w:rsidRPr="0057248A" w:rsidRDefault="00187CB8" w:rsidP="00685FD1">
      <w:pPr>
        <w:spacing w:line="360" w:lineRule="auto"/>
        <w:jc w:val="both"/>
        <w:rPr>
          <w:rFonts w:ascii="Book Antiqua" w:hAnsi="Book Antiqua"/>
          <w:b/>
          <w:lang w:val="en-US"/>
        </w:rPr>
      </w:pPr>
    </w:p>
    <w:p w14:paraId="03D23615" w14:textId="08C16847" w:rsidR="009455BA" w:rsidRPr="0057248A" w:rsidRDefault="009455BA" w:rsidP="00685FD1">
      <w:pPr>
        <w:spacing w:line="360" w:lineRule="auto"/>
        <w:jc w:val="both"/>
        <w:rPr>
          <w:rFonts w:ascii="Book Antiqua" w:hAnsi="Book Antiqua"/>
          <w:b/>
          <w:lang w:val="en-US"/>
        </w:rPr>
      </w:pPr>
      <w:r w:rsidRPr="0057248A">
        <w:rPr>
          <w:rFonts w:ascii="Book Antiqua" w:hAnsi="Book Antiqua"/>
          <w:b/>
          <w:lang w:val="en-US"/>
        </w:rPr>
        <w:t>REFERENCES</w:t>
      </w:r>
    </w:p>
    <w:p w14:paraId="56E3936C"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1 </w:t>
      </w:r>
      <w:proofErr w:type="spellStart"/>
      <w:r w:rsidRPr="0057248A">
        <w:rPr>
          <w:rFonts w:ascii="Book Antiqua" w:hAnsi="Book Antiqua"/>
          <w:b/>
          <w:lang w:val="en-US"/>
        </w:rPr>
        <w:t>Abiko</w:t>
      </w:r>
      <w:proofErr w:type="spellEnd"/>
      <w:r w:rsidRPr="0057248A">
        <w:rPr>
          <w:rFonts w:ascii="Book Antiqua" w:hAnsi="Book Antiqua"/>
          <w:b/>
          <w:lang w:val="en-US"/>
        </w:rPr>
        <w:t xml:space="preserve"> K</w:t>
      </w:r>
      <w:r w:rsidRPr="0057248A">
        <w:rPr>
          <w:rFonts w:ascii="Book Antiqua" w:hAnsi="Book Antiqua"/>
          <w:lang w:val="en-US"/>
        </w:rPr>
        <w:t xml:space="preserve">, </w:t>
      </w:r>
      <w:proofErr w:type="spellStart"/>
      <w:r w:rsidRPr="0057248A">
        <w:rPr>
          <w:rFonts w:ascii="Book Antiqua" w:hAnsi="Book Antiqua"/>
          <w:lang w:val="en-US"/>
        </w:rPr>
        <w:t>Mandai</w:t>
      </w:r>
      <w:proofErr w:type="spellEnd"/>
      <w:r w:rsidRPr="0057248A">
        <w:rPr>
          <w:rFonts w:ascii="Book Antiqua" w:hAnsi="Book Antiqua"/>
          <w:lang w:val="en-US"/>
        </w:rPr>
        <w:t xml:space="preserve"> M, </w:t>
      </w:r>
      <w:proofErr w:type="spellStart"/>
      <w:r w:rsidRPr="0057248A">
        <w:rPr>
          <w:rFonts w:ascii="Book Antiqua" w:hAnsi="Book Antiqua"/>
          <w:lang w:val="en-US"/>
        </w:rPr>
        <w:t>Hamanishi</w:t>
      </w:r>
      <w:proofErr w:type="spellEnd"/>
      <w:r w:rsidRPr="0057248A">
        <w:rPr>
          <w:rFonts w:ascii="Book Antiqua" w:hAnsi="Book Antiqua"/>
          <w:lang w:val="en-US"/>
        </w:rPr>
        <w:t xml:space="preserve"> J, Yoshioka Y, Matsumura N, Baba T, Yamaguchi K, Murakami R, Yamamoto A, </w:t>
      </w:r>
      <w:proofErr w:type="spellStart"/>
      <w:r w:rsidRPr="0057248A">
        <w:rPr>
          <w:rFonts w:ascii="Book Antiqua" w:hAnsi="Book Antiqua"/>
          <w:lang w:val="en-US"/>
        </w:rPr>
        <w:t>Kharma</w:t>
      </w:r>
      <w:proofErr w:type="spellEnd"/>
      <w:r w:rsidRPr="0057248A">
        <w:rPr>
          <w:rFonts w:ascii="Book Antiqua" w:hAnsi="Book Antiqua"/>
          <w:lang w:val="en-US"/>
        </w:rPr>
        <w:t xml:space="preserve"> B, </w:t>
      </w:r>
      <w:proofErr w:type="spellStart"/>
      <w:r w:rsidRPr="0057248A">
        <w:rPr>
          <w:rFonts w:ascii="Book Antiqua" w:hAnsi="Book Antiqua"/>
          <w:lang w:val="en-US"/>
        </w:rPr>
        <w:t>Kosaka</w:t>
      </w:r>
      <w:proofErr w:type="spellEnd"/>
      <w:r w:rsidRPr="0057248A">
        <w:rPr>
          <w:rFonts w:ascii="Book Antiqua" w:hAnsi="Book Antiqua"/>
          <w:lang w:val="en-US"/>
        </w:rPr>
        <w:t xml:space="preserve"> K, </w:t>
      </w:r>
      <w:proofErr w:type="spellStart"/>
      <w:r w:rsidRPr="0057248A">
        <w:rPr>
          <w:rFonts w:ascii="Book Antiqua" w:hAnsi="Book Antiqua"/>
          <w:lang w:val="en-US"/>
        </w:rPr>
        <w:t>Konishi</w:t>
      </w:r>
      <w:proofErr w:type="spellEnd"/>
      <w:r w:rsidRPr="0057248A">
        <w:rPr>
          <w:rFonts w:ascii="Book Antiqua" w:hAnsi="Book Antiqua"/>
          <w:lang w:val="en-US"/>
        </w:rPr>
        <w:t xml:space="preserve"> I. PD-L1 on tumor cells is induced in ascites and promotes peritoneal dissemination of ovarian cancer through CTL dysfunction. </w:t>
      </w:r>
      <w:r w:rsidRPr="0057248A">
        <w:rPr>
          <w:rFonts w:ascii="Book Antiqua" w:hAnsi="Book Antiqua"/>
          <w:i/>
          <w:lang w:val="en-US"/>
        </w:rPr>
        <w:t>Clin Cancer Res</w:t>
      </w:r>
      <w:r w:rsidRPr="0057248A">
        <w:rPr>
          <w:rFonts w:ascii="Book Antiqua" w:hAnsi="Book Antiqua"/>
          <w:lang w:val="en-US"/>
        </w:rPr>
        <w:t xml:space="preserve"> 2013; </w:t>
      </w:r>
      <w:r w:rsidRPr="0057248A">
        <w:rPr>
          <w:rFonts w:ascii="Book Antiqua" w:hAnsi="Book Antiqua"/>
          <w:b/>
          <w:lang w:val="en-US"/>
        </w:rPr>
        <w:t>19</w:t>
      </w:r>
      <w:r w:rsidRPr="0057248A">
        <w:rPr>
          <w:rFonts w:ascii="Book Antiqua" w:hAnsi="Book Antiqua"/>
          <w:lang w:val="en-US"/>
        </w:rPr>
        <w:t>: 1363-1374 [PMID: 23340297 DOI: 10.1158/1078-0432.CCR-12-2199]</w:t>
      </w:r>
    </w:p>
    <w:p w14:paraId="739B8CC5"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2 </w:t>
      </w:r>
      <w:proofErr w:type="spellStart"/>
      <w:r w:rsidRPr="0057248A">
        <w:rPr>
          <w:rFonts w:ascii="Book Antiqua" w:hAnsi="Book Antiqua"/>
          <w:b/>
          <w:lang w:val="en-US"/>
        </w:rPr>
        <w:t>Mittica</w:t>
      </w:r>
      <w:proofErr w:type="spellEnd"/>
      <w:r w:rsidRPr="0057248A">
        <w:rPr>
          <w:rFonts w:ascii="Book Antiqua" w:hAnsi="Book Antiqua"/>
          <w:b/>
          <w:lang w:val="en-US"/>
        </w:rPr>
        <w:t xml:space="preserve"> G</w:t>
      </w:r>
      <w:r w:rsidRPr="0057248A">
        <w:rPr>
          <w:rFonts w:ascii="Book Antiqua" w:hAnsi="Book Antiqua"/>
          <w:lang w:val="en-US"/>
        </w:rPr>
        <w:t xml:space="preserve">, </w:t>
      </w:r>
      <w:proofErr w:type="spellStart"/>
      <w:r w:rsidRPr="0057248A">
        <w:rPr>
          <w:rFonts w:ascii="Book Antiqua" w:hAnsi="Book Antiqua"/>
          <w:lang w:val="en-US"/>
        </w:rPr>
        <w:t>Genta</w:t>
      </w:r>
      <w:proofErr w:type="spellEnd"/>
      <w:r w:rsidRPr="0057248A">
        <w:rPr>
          <w:rFonts w:ascii="Book Antiqua" w:hAnsi="Book Antiqua"/>
          <w:lang w:val="en-US"/>
        </w:rPr>
        <w:t xml:space="preserve"> S, </w:t>
      </w:r>
      <w:proofErr w:type="spellStart"/>
      <w:r w:rsidRPr="0057248A">
        <w:rPr>
          <w:rFonts w:ascii="Book Antiqua" w:hAnsi="Book Antiqua"/>
          <w:lang w:val="en-US"/>
        </w:rPr>
        <w:t>Aglietta</w:t>
      </w:r>
      <w:proofErr w:type="spellEnd"/>
      <w:r w:rsidRPr="0057248A">
        <w:rPr>
          <w:rFonts w:ascii="Book Antiqua" w:hAnsi="Book Antiqua"/>
          <w:lang w:val="en-US"/>
        </w:rPr>
        <w:t xml:space="preserve"> M, </w:t>
      </w:r>
      <w:proofErr w:type="spellStart"/>
      <w:r w:rsidRPr="0057248A">
        <w:rPr>
          <w:rFonts w:ascii="Book Antiqua" w:hAnsi="Book Antiqua"/>
          <w:lang w:val="en-US"/>
        </w:rPr>
        <w:t>Valabrega</w:t>
      </w:r>
      <w:proofErr w:type="spellEnd"/>
      <w:r w:rsidRPr="0057248A">
        <w:rPr>
          <w:rFonts w:ascii="Book Antiqua" w:hAnsi="Book Antiqua"/>
          <w:lang w:val="en-US"/>
        </w:rPr>
        <w:t xml:space="preserve"> G. Immune Checkpoint Inhibitors: A New Opportunity in the Treatment of Ovarian Cancer? </w:t>
      </w:r>
      <w:r w:rsidRPr="0057248A">
        <w:rPr>
          <w:rFonts w:ascii="Book Antiqua" w:hAnsi="Book Antiqua"/>
          <w:i/>
          <w:lang w:val="en-US"/>
        </w:rPr>
        <w:t>Int J Mol Sci</w:t>
      </w:r>
      <w:r w:rsidRPr="0057248A">
        <w:rPr>
          <w:rFonts w:ascii="Book Antiqua" w:hAnsi="Book Antiqua"/>
          <w:lang w:val="en-US"/>
        </w:rPr>
        <w:t xml:space="preserve"> 2016; </w:t>
      </w:r>
      <w:r w:rsidRPr="0057248A">
        <w:rPr>
          <w:rFonts w:ascii="Book Antiqua" w:hAnsi="Book Antiqua"/>
          <w:b/>
          <w:lang w:val="en-US"/>
        </w:rPr>
        <w:t>17</w:t>
      </w:r>
      <w:r w:rsidRPr="0057248A">
        <w:rPr>
          <w:rFonts w:ascii="Book Antiqua" w:hAnsi="Book Antiqua"/>
          <w:lang w:val="en-US"/>
        </w:rPr>
        <w:t>:  [PMID: 27447625 DOI: 10.3390/ijms17071169]</w:t>
      </w:r>
    </w:p>
    <w:p w14:paraId="3174490B"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lastRenderedPageBreak/>
        <w:t xml:space="preserve">3 </w:t>
      </w:r>
      <w:r w:rsidRPr="0057248A">
        <w:rPr>
          <w:rFonts w:ascii="Book Antiqua" w:hAnsi="Book Antiqua"/>
          <w:b/>
          <w:lang w:val="en-US"/>
        </w:rPr>
        <w:t>Freeman GJ</w:t>
      </w:r>
      <w:r w:rsidRPr="0057248A">
        <w:rPr>
          <w:rFonts w:ascii="Book Antiqua" w:hAnsi="Book Antiqua"/>
          <w:lang w:val="en-US"/>
        </w:rPr>
        <w:t xml:space="preserve">, Long AJ, Iwai Y, Bourque K, </w:t>
      </w:r>
      <w:proofErr w:type="spellStart"/>
      <w:r w:rsidRPr="0057248A">
        <w:rPr>
          <w:rFonts w:ascii="Book Antiqua" w:hAnsi="Book Antiqua"/>
          <w:lang w:val="en-US"/>
        </w:rPr>
        <w:t>Chernova</w:t>
      </w:r>
      <w:proofErr w:type="spellEnd"/>
      <w:r w:rsidRPr="0057248A">
        <w:rPr>
          <w:rFonts w:ascii="Book Antiqua" w:hAnsi="Book Antiqua"/>
          <w:lang w:val="en-US"/>
        </w:rPr>
        <w:t xml:space="preserve"> T, Nishimura H, Fitz LJ, </w:t>
      </w:r>
      <w:proofErr w:type="spellStart"/>
      <w:r w:rsidRPr="0057248A">
        <w:rPr>
          <w:rFonts w:ascii="Book Antiqua" w:hAnsi="Book Antiqua"/>
          <w:lang w:val="en-US"/>
        </w:rPr>
        <w:t>Malenkovich</w:t>
      </w:r>
      <w:proofErr w:type="spellEnd"/>
      <w:r w:rsidRPr="0057248A">
        <w:rPr>
          <w:rFonts w:ascii="Book Antiqua" w:hAnsi="Book Antiqua"/>
          <w:lang w:val="en-US"/>
        </w:rPr>
        <w:t xml:space="preserve"> N, Okazaki T, Byrne MC, Horton HF, </w:t>
      </w:r>
      <w:proofErr w:type="spellStart"/>
      <w:r w:rsidRPr="0057248A">
        <w:rPr>
          <w:rFonts w:ascii="Book Antiqua" w:hAnsi="Book Antiqua"/>
          <w:lang w:val="en-US"/>
        </w:rPr>
        <w:t>Fouser</w:t>
      </w:r>
      <w:proofErr w:type="spellEnd"/>
      <w:r w:rsidRPr="0057248A">
        <w:rPr>
          <w:rFonts w:ascii="Book Antiqua" w:hAnsi="Book Antiqua"/>
          <w:lang w:val="en-US"/>
        </w:rPr>
        <w:t xml:space="preserve"> L, Carter L, Ling V, Bowman MR, </w:t>
      </w:r>
      <w:proofErr w:type="spellStart"/>
      <w:r w:rsidRPr="0057248A">
        <w:rPr>
          <w:rFonts w:ascii="Book Antiqua" w:hAnsi="Book Antiqua"/>
          <w:lang w:val="en-US"/>
        </w:rPr>
        <w:t>Carreno</w:t>
      </w:r>
      <w:proofErr w:type="spellEnd"/>
      <w:r w:rsidRPr="0057248A">
        <w:rPr>
          <w:rFonts w:ascii="Book Antiqua" w:hAnsi="Book Antiqua"/>
          <w:lang w:val="en-US"/>
        </w:rPr>
        <w:t xml:space="preserve"> BM, Collins M, Wood CR, </w:t>
      </w:r>
      <w:proofErr w:type="spellStart"/>
      <w:r w:rsidRPr="0057248A">
        <w:rPr>
          <w:rFonts w:ascii="Book Antiqua" w:hAnsi="Book Antiqua"/>
          <w:lang w:val="en-US"/>
        </w:rPr>
        <w:t>Honjo</w:t>
      </w:r>
      <w:proofErr w:type="spellEnd"/>
      <w:r w:rsidRPr="0057248A">
        <w:rPr>
          <w:rFonts w:ascii="Book Antiqua" w:hAnsi="Book Antiqua"/>
          <w:lang w:val="en-US"/>
        </w:rPr>
        <w:t xml:space="preserve"> T. Engagement of the PD-1 immunoinhibitory receptor by a novel B7 family member leads to negative regulation of lymphocyte activation. </w:t>
      </w:r>
      <w:r w:rsidRPr="0057248A">
        <w:rPr>
          <w:rFonts w:ascii="Book Antiqua" w:hAnsi="Book Antiqua"/>
          <w:i/>
          <w:lang w:val="en-US"/>
        </w:rPr>
        <w:t>J Exp Med</w:t>
      </w:r>
      <w:r w:rsidRPr="0057248A">
        <w:rPr>
          <w:rFonts w:ascii="Book Antiqua" w:hAnsi="Book Antiqua"/>
          <w:lang w:val="en-US"/>
        </w:rPr>
        <w:t xml:space="preserve"> 2000; </w:t>
      </w:r>
      <w:r w:rsidRPr="0057248A">
        <w:rPr>
          <w:rFonts w:ascii="Book Antiqua" w:hAnsi="Book Antiqua"/>
          <w:b/>
          <w:lang w:val="en-US"/>
        </w:rPr>
        <w:t>192</w:t>
      </w:r>
      <w:r w:rsidRPr="0057248A">
        <w:rPr>
          <w:rFonts w:ascii="Book Antiqua" w:hAnsi="Book Antiqua"/>
          <w:lang w:val="en-US"/>
        </w:rPr>
        <w:t>: 1027-1034 [PMID: 11015443 DOI: 10.1084/jem.192.7.1027]</w:t>
      </w:r>
    </w:p>
    <w:p w14:paraId="5522FEFD"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4 </w:t>
      </w:r>
      <w:r w:rsidRPr="0057248A">
        <w:rPr>
          <w:rFonts w:ascii="Book Antiqua" w:hAnsi="Book Antiqua"/>
          <w:b/>
          <w:lang w:val="en-US"/>
        </w:rPr>
        <w:t>Francisco LM</w:t>
      </w:r>
      <w:r w:rsidRPr="0057248A">
        <w:rPr>
          <w:rFonts w:ascii="Book Antiqua" w:hAnsi="Book Antiqua"/>
          <w:lang w:val="en-US"/>
        </w:rPr>
        <w:t xml:space="preserve">, Salinas VH, Brown KE, </w:t>
      </w:r>
      <w:proofErr w:type="spellStart"/>
      <w:r w:rsidRPr="0057248A">
        <w:rPr>
          <w:rFonts w:ascii="Book Antiqua" w:hAnsi="Book Antiqua"/>
          <w:lang w:val="en-US"/>
        </w:rPr>
        <w:t>Vanguri</w:t>
      </w:r>
      <w:proofErr w:type="spellEnd"/>
      <w:r w:rsidRPr="0057248A">
        <w:rPr>
          <w:rFonts w:ascii="Book Antiqua" w:hAnsi="Book Antiqua"/>
          <w:lang w:val="en-US"/>
        </w:rPr>
        <w:t xml:space="preserve"> VK, Freeman GJ, </w:t>
      </w:r>
      <w:proofErr w:type="spellStart"/>
      <w:r w:rsidRPr="0057248A">
        <w:rPr>
          <w:rFonts w:ascii="Book Antiqua" w:hAnsi="Book Antiqua"/>
          <w:lang w:val="en-US"/>
        </w:rPr>
        <w:t>Kuchroo</w:t>
      </w:r>
      <w:proofErr w:type="spellEnd"/>
      <w:r w:rsidRPr="0057248A">
        <w:rPr>
          <w:rFonts w:ascii="Book Antiqua" w:hAnsi="Book Antiqua"/>
          <w:lang w:val="en-US"/>
        </w:rPr>
        <w:t xml:space="preserve"> VK, Sharpe AH. PD-L1 regulates the development, maintenance, and function of induced regulatory T cells. </w:t>
      </w:r>
      <w:r w:rsidRPr="0057248A">
        <w:rPr>
          <w:rFonts w:ascii="Book Antiqua" w:hAnsi="Book Antiqua"/>
          <w:i/>
          <w:lang w:val="en-US"/>
        </w:rPr>
        <w:t>J Exp Med</w:t>
      </w:r>
      <w:r w:rsidRPr="0057248A">
        <w:rPr>
          <w:rFonts w:ascii="Book Antiqua" w:hAnsi="Book Antiqua"/>
          <w:lang w:val="en-US"/>
        </w:rPr>
        <w:t xml:space="preserve"> 2009; </w:t>
      </w:r>
      <w:r w:rsidRPr="0057248A">
        <w:rPr>
          <w:rFonts w:ascii="Book Antiqua" w:hAnsi="Book Antiqua"/>
          <w:b/>
          <w:lang w:val="en-US"/>
        </w:rPr>
        <w:t>206</w:t>
      </w:r>
      <w:r w:rsidRPr="0057248A">
        <w:rPr>
          <w:rFonts w:ascii="Book Antiqua" w:hAnsi="Book Antiqua"/>
          <w:lang w:val="en-US"/>
        </w:rPr>
        <w:t>: 3015-3029 [PMID: 20008522 DOI: 10.1084/jem.20090847]</w:t>
      </w:r>
    </w:p>
    <w:p w14:paraId="3A9D2181"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5 </w:t>
      </w:r>
      <w:r w:rsidRPr="0057248A">
        <w:rPr>
          <w:rFonts w:ascii="Book Antiqua" w:hAnsi="Book Antiqua"/>
          <w:b/>
          <w:lang w:val="en-US"/>
        </w:rPr>
        <w:t>Taneja SS</w:t>
      </w:r>
      <w:r w:rsidRPr="0057248A">
        <w:rPr>
          <w:rFonts w:ascii="Book Antiqua" w:hAnsi="Book Antiqua"/>
          <w:lang w:val="en-US"/>
        </w:rPr>
        <w:t xml:space="preserve">. Re: Antitumor activity and safety of tivozanib (AV-951) in a phase II randomized discontinuation trial in patients with renal cell carcinoma. </w:t>
      </w:r>
      <w:r w:rsidRPr="0057248A">
        <w:rPr>
          <w:rFonts w:ascii="Book Antiqua" w:hAnsi="Book Antiqua"/>
          <w:i/>
          <w:lang w:val="en-US"/>
        </w:rPr>
        <w:t xml:space="preserve">J </w:t>
      </w:r>
      <w:proofErr w:type="spellStart"/>
      <w:r w:rsidRPr="0057248A">
        <w:rPr>
          <w:rFonts w:ascii="Book Antiqua" w:hAnsi="Book Antiqua"/>
          <w:i/>
          <w:lang w:val="en-US"/>
        </w:rPr>
        <w:t>Urol</w:t>
      </w:r>
      <w:proofErr w:type="spellEnd"/>
      <w:r w:rsidRPr="0057248A">
        <w:rPr>
          <w:rFonts w:ascii="Book Antiqua" w:hAnsi="Book Antiqua"/>
          <w:lang w:val="en-US"/>
        </w:rPr>
        <w:t xml:space="preserve"> 2012; </w:t>
      </w:r>
      <w:r w:rsidRPr="0057248A">
        <w:rPr>
          <w:rFonts w:ascii="Book Antiqua" w:hAnsi="Book Antiqua"/>
          <w:b/>
          <w:lang w:val="en-US"/>
        </w:rPr>
        <w:t>188</w:t>
      </w:r>
      <w:r w:rsidRPr="0057248A">
        <w:rPr>
          <w:rFonts w:ascii="Book Antiqua" w:hAnsi="Book Antiqua"/>
          <w:lang w:val="en-US"/>
        </w:rPr>
        <w:t>: 2149-2150 [PMID: 23141221 DOI: 10.1016/j.juro.2012.08.170]</w:t>
      </w:r>
    </w:p>
    <w:p w14:paraId="391B136D"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6 </w:t>
      </w:r>
      <w:proofErr w:type="spellStart"/>
      <w:r w:rsidRPr="0057248A">
        <w:rPr>
          <w:rFonts w:ascii="Book Antiqua" w:hAnsi="Book Antiqua"/>
          <w:b/>
          <w:lang w:val="en-US"/>
        </w:rPr>
        <w:t>Chiou</w:t>
      </w:r>
      <w:proofErr w:type="spellEnd"/>
      <w:r w:rsidRPr="0057248A">
        <w:rPr>
          <w:rFonts w:ascii="Book Antiqua" w:hAnsi="Book Antiqua"/>
          <w:b/>
          <w:lang w:val="en-US"/>
        </w:rPr>
        <w:t xml:space="preserve"> VL</w:t>
      </w:r>
      <w:r w:rsidRPr="0057248A">
        <w:rPr>
          <w:rFonts w:ascii="Book Antiqua" w:hAnsi="Book Antiqua"/>
          <w:lang w:val="en-US"/>
        </w:rPr>
        <w:t xml:space="preserve">, </w:t>
      </w:r>
      <w:proofErr w:type="spellStart"/>
      <w:r w:rsidRPr="0057248A">
        <w:rPr>
          <w:rFonts w:ascii="Book Antiqua" w:hAnsi="Book Antiqua"/>
          <w:lang w:val="en-US"/>
        </w:rPr>
        <w:t>Burotto</w:t>
      </w:r>
      <w:proofErr w:type="spellEnd"/>
      <w:r w:rsidRPr="0057248A">
        <w:rPr>
          <w:rFonts w:ascii="Book Antiqua" w:hAnsi="Book Antiqua"/>
          <w:lang w:val="en-US"/>
        </w:rPr>
        <w:t xml:space="preserve"> M.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and Immune-Related Response in Solid Tumors. </w:t>
      </w:r>
      <w:r w:rsidRPr="0057248A">
        <w:rPr>
          <w:rFonts w:ascii="Book Antiqua" w:hAnsi="Book Antiqua"/>
          <w:i/>
          <w:lang w:val="en-US"/>
        </w:rPr>
        <w:t>J Clin Oncol</w:t>
      </w:r>
      <w:r w:rsidRPr="0057248A">
        <w:rPr>
          <w:rFonts w:ascii="Book Antiqua" w:hAnsi="Book Antiqua"/>
          <w:lang w:val="en-US"/>
        </w:rPr>
        <w:t xml:space="preserve"> 2015; </w:t>
      </w:r>
      <w:r w:rsidRPr="0057248A">
        <w:rPr>
          <w:rFonts w:ascii="Book Antiqua" w:hAnsi="Book Antiqua"/>
          <w:b/>
          <w:lang w:val="en-US"/>
        </w:rPr>
        <w:t>33</w:t>
      </w:r>
      <w:r w:rsidRPr="0057248A">
        <w:rPr>
          <w:rFonts w:ascii="Book Antiqua" w:hAnsi="Book Antiqua"/>
          <w:lang w:val="en-US"/>
        </w:rPr>
        <w:t>: 3541-3543 [PMID: 26261262 DOI: 10.1200/JCO.2015.61.6870]</w:t>
      </w:r>
    </w:p>
    <w:p w14:paraId="5EC513F6"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7 </w:t>
      </w:r>
      <w:proofErr w:type="spellStart"/>
      <w:r w:rsidRPr="0057248A">
        <w:rPr>
          <w:rFonts w:ascii="Book Antiqua" w:hAnsi="Book Antiqua"/>
          <w:b/>
          <w:lang w:val="en-US"/>
        </w:rPr>
        <w:t>Hamanishi</w:t>
      </w:r>
      <w:proofErr w:type="spellEnd"/>
      <w:r w:rsidRPr="0057248A">
        <w:rPr>
          <w:rFonts w:ascii="Book Antiqua" w:hAnsi="Book Antiqua"/>
          <w:b/>
          <w:lang w:val="en-US"/>
        </w:rPr>
        <w:t xml:space="preserve"> J</w:t>
      </w:r>
      <w:r w:rsidRPr="0057248A">
        <w:rPr>
          <w:rFonts w:ascii="Book Antiqua" w:hAnsi="Book Antiqua"/>
          <w:lang w:val="en-US"/>
        </w:rPr>
        <w:t xml:space="preserve">, </w:t>
      </w:r>
      <w:proofErr w:type="spellStart"/>
      <w:r w:rsidRPr="0057248A">
        <w:rPr>
          <w:rFonts w:ascii="Book Antiqua" w:hAnsi="Book Antiqua"/>
          <w:lang w:val="en-US"/>
        </w:rPr>
        <w:t>Mandai</w:t>
      </w:r>
      <w:proofErr w:type="spellEnd"/>
      <w:r w:rsidRPr="0057248A">
        <w:rPr>
          <w:rFonts w:ascii="Book Antiqua" w:hAnsi="Book Antiqua"/>
          <w:lang w:val="en-US"/>
        </w:rPr>
        <w:t xml:space="preserve"> M, Ikeda T, Minami M, Kawaguchi A, Murayama T, Kanai M, Mori Y, Matsumoto S, </w:t>
      </w:r>
      <w:proofErr w:type="spellStart"/>
      <w:r w:rsidRPr="0057248A">
        <w:rPr>
          <w:rFonts w:ascii="Book Antiqua" w:hAnsi="Book Antiqua"/>
          <w:lang w:val="en-US"/>
        </w:rPr>
        <w:t>Chikuma</w:t>
      </w:r>
      <w:proofErr w:type="spellEnd"/>
      <w:r w:rsidRPr="0057248A">
        <w:rPr>
          <w:rFonts w:ascii="Book Antiqua" w:hAnsi="Book Antiqua"/>
          <w:lang w:val="en-US"/>
        </w:rPr>
        <w:t xml:space="preserve"> S, Matsumura N, </w:t>
      </w:r>
      <w:proofErr w:type="spellStart"/>
      <w:r w:rsidRPr="0057248A">
        <w:rPr>
          <w:rFonts w:ascii="Book Antiqua" w:hAnsi="Book Antiqua"/>
          <w:lang w:val="en-US"/>
        </w:rPr>
        <w:t>Abiko</w:t>
      </w:r>
      <w:proofErr w:type="spellEnd"/>
      <w:r w:rsidRPr="0057248A">
        <w:rPr>
          <w:rFonts w:ascii="Book Antiqua" w:hAnsi="Book Antiqua"/>
          <w:lang w:val="en-US"/>
        </w:rPr>
        <w:t xml:space="preserve"> K, Baba T, Yamaguchi K, Ueda A, </w:t>
      </w:r>
      <w:proofErr w:type="spellStart"/>
      <w:r w:rsidRPr="0057248A">
        <w:rPr>
          <w:rFonts w:ascii="Book Antiqua" w:hAnsi="Book Antiqua"/>
          <w:lang w:val="en-US"/>
        </w:rPr>
        <w:t>Hosoe</w:t>
      </w:r>
      <w:proofErr w:type="spellEnd"/>
      <w:r w:rsidRPr="0057248A">
        <w:rPr>
          <w:rFonts w:ascii="Book Antiqua" w:hAnsi="Book Antiqua"/>
          <w:lang w:val="en-US"/>
        </w:rPr>
        <w:t xml:space="preserve"> Y, Morita S, </w:t>
      </w:r>
      <w:proofErr w:type="spellStart"/>
      <w:r w:rsidRPr="0057248A">
        <w:rPr>
          <w:rFonts w:ascii="Book Antiqua" w:hAnsi="Book Antiqua"/>
          <w:lang w:val="en-US"/>
        </w:rPr>
        <w:t>Yokode</w:t>
      </w:r>
      <w:proofErr w:type="spellEnd"/>
      <w:r w:rsidRPr="0057248A">
        <w:rPr>
          <w:rFonts w:ascii="Book Antiqua" w:hAnsi="Book Antiqua"/>
          <w:lang w:val="en-US"/>
        </w:rPr>
        <w:t xml:space="preserve"> M, Shimizu A, </w:t>
      </w:r>
      <w:proofErr w:type="spellStart"/>
      <w:r w:rsidRPr="0057248A">
        <w:rPr>
          <w:rFonts w:ascii="Book Antiqua" w:hAnsi="Book Antiqua"/>
          <w:lang w:val="en-US"/>
        </w:rPr>
        <w:t>Honjo</w:t>
      </w:r>
      <w:proofErr w:type="spellEnd"/>
      <w:r w:rsidRPr="0057248A">
        <w:rPr>
          <w:rFonts w:ascii="Book Antiqua" w:hAnsi="Book Antiqua"/>
          <w:lang w:val="en-US"/>
        </w:rPr>
        <w:t xml:space="preserve"> T, </w:t>
      </w:r>
      <w:proofErr w:type="spellStart"/>
      <w:r w:rsidRPr="0057248A">
        <w:rPr>
          <w:rFonts w:ascii="Book Antiqua" w:hAnsi="Book Antiqua"/>
          <w:lang w:val="en-US"/>
        </w:rPr>
        <w:t>Konishi</w:t>
      </w:r>
      <w:proofErr w:type="spellEnd"/>
      <w:r w:rsidRPr="0057248A">
        <w:rPr>
          <w:rFonts w:ascii="Book Antiqua" w:hAnsi="Book Antiqua"/>
          <w:lang w:val="en-US"/>
        </w:rPr>
        <w:t xml:space="preserve"> I. Safety and Antitumor Activity of Anti-PD-1 Antibody, Nivolumab, in Patients With Platinum-Resistant Ovarian Cancer. </w:t>
      </w:r>
      <w:r w:rsidRPr="0057248A">
        <w:rPr>
          <w:rFonts w:ascii="Book Antiqua" w:hAnsi="Book Antiqua"/>
          <w:i/>
          <w:lang w:val="en-US"/>
        </w:rPr>
        <w:t>J Clin Oncol</w:t>
      </w:r>
      <w:r w:rsidRPr="0057248A">
        <w:rPr>
          <w:rFonts w:ascii="Book Antiqua" w:hAnsi="Book Antiqua"/>
          <w:lang w:val="en-US"/>
        </w:rPr>
        <w:t xml:space="preserve"> 2015; </w:t>
      </w:r>
      <w:r w:rsidRPr="0057248A">
        <w:rPr>
          <w:rFonts w:ascii="Book Antiqua" w:hAnsi="Book Antiqua"/>
          <w:b/>
          <w:lang w:val="en-US"/>
        </w:rPr>
        <w:t>33</w:t>
      </w:r>
      <w:r w:rsidRPr="0057248A">
        <w:rPr>
          <w:rFonts w:ascii="Book Antiqua" w:hAnsi="Book Antiqua"/>
          <w:lang w:val="en-US"/>
        </w:rPr>
        <w:t>: 4015-4022 [PMID: 26351349 DOI: 10.1200/JCO.2015.62.3397]</w:t>
      </w:r>
    </w:p>
    <w:p w14:paraId="499BBCA0"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8 </w:t>
      </w:r>
      <w:proofErr w:type="spellStart"/>
      <w:r w:rsidRPr="0057248A">
        <w:rPr>
          <w:rFonts w:ascii="Book Antiqua" w:hAnsi="Book Antiqua"/>
          <w:b/>
          <w:lang w:val="en-US"/>
        </w:rPr>
        <w:t>Pietzner</w:t>
      </w:r>
      <w:proofErr w:type="spellEnd"/>
      <w:r w:rsidRPr="0057248A">
        <w:rPr>
          <w:rFonts w:ascii="Book Antiqua" w:hAnsi="Book Antiqua"/>
          <w:b/>
          <w:lang w:val="en-US"/>
        </w:rPr>
        <w:t xml:space="preserve"> K</w:t>
      </w:r>
      <w:r w:rsidRPr="0057248A">
        <w:rPr>
          <w:rFonts w:ascii="Book Antiqua" w:hAnsi="Book Antiqua"/>
          <w:lang w:val="en-US"/>
        </w:rPr>
        <w:t xml:space="preserve">, Nasser S, </w:t>
      </w:r>
      <w:proofErr w:type="spellStart"/>
      <w:r w:rsidRPr="0057248A">
        <w:rPr>
          <w:rFonts w:ascii="Book Antiqua" w:hAnsi="Book Antiqua"/>
          <w:lang w:val="en-US"/>
        </w:rPr>
        <w:t>Alavi</w:t>
      </w:r>
      <w:proofErr w:type="spellEnd"/>
      <w:r w:rsidRPr="0057248A">
        <w:rPr>
          <w:rFonts w:ascii="Book Antiqua" w:hAnsi="Book Antiqua"/>
          <w:lang w:val="en-US"/>
        </w:rPr>
        <w:t xml:space="preserve"> S, </w:t>
      </w:r>
      <w:proofErr w:type="spellStart"/>
      <w:r w:rsidRPr="0057248A">
        <w:rPr>
          <w:rFonts w:ascii="Book Antiqua" w:hAnsi="Book Antiqua"/>
          <w:lang w:val="en-US"/>
        </w:rPr>
        <w:t>Darb-Esfahani</w:t>
      </w:r>
      <w:proofErr w:type="spellEnd"/>
      <w:r w:rsidRPr="0057248A">
        <w:rPr>
          <w:rFonts w:ascii="Book Antiqua" w:hAnsi="Book Antiqua"/>
          <w:lang w:val="en-US"/>
        </w:rPr>
        <w:t xml:space="preserve"> S, </w:t>
      </w:r>
      <w:proofErr w:type="spellStart"/>
      <w:r w:rsidRPr="0057248A">
        <w:rPr>
          <w:rFonts w:ascii="Book Antiqua" w:hAnsi="Book Antiqua"/>
          <w:lang w:val="en-US"/>
        </w:rPr>
        <w:t>Passler</w:t>
      </w:r>
      <w:proofErr w:type="spellEnd"/>
      <w:r w:rsidRPr="0057248A">
        <w:rPr>
          <w:rFonts w:ascii="Book Antiqua" w:hAnsi="Book Antiqua"/>
          <w:lang w:val="en-US"/>
        </w:rPr>
        <w:t xml:space="preserve"> M, </w:t>
      </w:r>
      <w:proofErr w:type="spellStart"/>
      <w:r w:rsidRPr="0057248A">
        <w:rPr>
          <w:rFonts w:ascii="Book Antiqua" w:hAnsi="Book Antiqua"/>
          <w:lang w:val="en-US"/>
        </w:rPr>
        <w:t>Muallem</w:t>
      </w:r>
      <w:proofErr w:type="spellEnd"/>
      <w:r w:rsidRPr="0057248A">
        <w:rPr>
          <w:rFonts w:ascii="Book Antiqua" w:hAnsi="Book Antiqua"/>
          <w:lang w:val="en-US"/>
        </w:rPr>
        <w:t xml:space="preserve"> MZ, </w:t>
      </w:r>
      <w:proofErr w:type="spellStart"/>
      <w:r w:rsidRPr="0057248A">
        <w:rPr>
          <w:rFonts w:ascii="Book Antiqua" w:hAnsi="Book Antiqua"/>
          <w:lang w:val="en-US"/>
        </w:rPr>
        <w:t>Sehouli</w:t>
      </w:r>
      <w:proofErr w:type="spellEnd"/>
      <w:r w:rsidRPr="0057248A">
        <w:rPr>
          <w:rFonts w:ascii="Book Antiqua" w:hAnsi="Book Antiqua"/>
          <w:lang w:val="en-US"/>
        </w:rPr>
        <w:t xml:space="preserve"> J. Checkpoint-inhibition in ovarian cancer: rising star or just a dream? </w:t>
      </w:r>
      <w:r w:rsidRPr="0057248A">
        <w:rPr>
          <w:rFonts w:ascii="Book Antiqua" w:hAnsi="Book Antiqua"/>
          <w:i/>
          <w:lang w:val="en-US"/>
        </w:rPr>
        <w:t xml:space="preserve">J </w:t>
      </w:r>
      <w:proofErr w:type="spellStart"/>
      <w:r w:rsidRPr="0057248A">
        <w:rPr>
          <w:rFonts w:ascii="Book Antiqua" w:hAnsi="Book Antiqua"/>
          <w:i/>
          <w:lang w:val="en-US"/>
        </w:rPr>
        <w:t>Gynecol</w:t>
      </w:r>
      <w:proofErr w:type="spellEnd"/>
      <w:r w:rsidRPr="0057248A">
        <w:rPr>
          <w:rFonts w:ascii="Book Antiqua" w:hAnsi="Book Antiqua"/>
          <w:i/>
          <w:lang w:val="en-US"/>
        </w:rPr>
        <w:t xml:space="preserve"> </w:t>
      </w:r>
      <w:proofErr w:type="spellStart"/>
      <w:r w:rsidRPr="0057248A">
        <w:rPr>
          <w:rFonts w:ascii="Book Antiqua" w:hAnsi="Book Antiqua"/>
          <w:i/>
          <w:lang w:val="en-US"/>
        </w:rPr>
        <w:t>Oncol</w:t>
      </w:r>
      <w:proofErr w:type="spellEnd"/>
      <w:r w:rsidRPr="0057248A">
        <w:rPr>
          <w:rFonts w:ascii="Book Antiqua" w:hAnsi="Book Antiqua"/>
          <w:lang w:val="en-US"/>
        </w:rPr>
        <w:t xml:space="preserve"> 2018; </w:t>
      </w:r>
      <w:r w:rsidRPr="0057248A">
        <w:rPr>
          <w:rFonts w:ascii="Book Antiqua" w:hAnsi="Book Antiqua"/>
          <w:b/>
          <w:lang w:val="en-US"/>
        </w:rPr>
        <w:t>29</w:t>
      </w:r>
      <w:r w:rsidRPr="0057248A">
        <w:rPr>
          <w:rFonts w:ascii="Book Antiqua" w:hAnsi="Book Antiqua"/>
          <w:lang w:val="en-US"/>
        </w:rPr>
        <w:t>: e93 [PMID: 30207101 DOI: 10.3802/jgo.2018.29.e93]</w:t>
      </w:r>
    </w:p>
    <w:p w14:paraId="76A0346B"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9 </w:t>
      </w:r>
      <w:r w:rsidRPr="0057248A">
        <w:rPr>
          <w:rFonts w:ascii="Book Antiqua" w:hAnsi="Book Antiqua"/>
          <w:b/>
          <w:lang w:val="en-US"/>
        </w:rPr>
        <w:t>Rizvi NA</w:t>
      </w:r>
      <w:r w:rsidRPr="0057248A">
        <w:rPr>
          <w:rFonts w:ascii="Book Antiqua" w:hAnsi="Book Antiqua"/>
          <w:lang w:val="en-US"/>
        </w:rPr>
        <w:t xml:space="preserve">, Hellmann MD, Snyder A, </w:t>
      </w:r>
      <w:proofErr w:type="spellStart"/>
      <w:r w:rsidRPr="0057248A">
        <w:rPr>
          <w:rFonts w:ascii="Book Antiqua" w:hAnsi="Book Antiqua"/>
          <w:lang w:val="en-US"/>
        </w:rPr>
        <w:t>Kvistborg</w:t>
      </w:r>
      <w:proofErr w:type="spellEnd"/>
      <w:r w:rsidRPr="0057248A">
        <w:rPr>
          <w:rFonts w:ascii="Book Antiqua" w:hAnsi="Book Antiqua"/>
          <w:lang w:val="en-US"/>
        </w:rPr>
        <w:t xml:space="preserve"> P, Makarov V, Havel JJ, Lee W, Yuan J, Wong P, Ho TS, Miller ML, </w:t>
      </w:r>
      <w:proofErr w:type="spellStart"/>
      <w:r w:rsidRPr="0057248A">
        <w:rPr>
          <w:rFonts w:ascii="Book Antiqua" w:hAnsi="Book Antiqua"/>
          <w:lang w:val="en-US"/>
        </w:rPr>
        <w:t>Rekhtman</w:t>
      </w:r>
      <w:proofErr w:type="spellEnd"/>
      <w:r w:rsidRPr="0057248A">
        <w:rPr>
          <w:rFonts w:ascii="Book Antiqua" w:hAnsi="Book Antiqua"/>
          <w:lang w:val="en-US"/>
        </w:rPr>
        <w:t xml:space="preserve"> N, Moreira AL, Ibrahim F, </w:t>
      </w:r>
      <w:proofErr w:type="spellStart"/>
      <w:r w:rsidRPr="0057248A">
        <w:rPr>
          <w:rFonts w:ascii="Book Antiqua" w:hAnsi="Book Antiqua"/>
          <w:lang w:val="en-US"/>
        </w:rPr>
        <w:t>Bruggeman</w:t>
      </w:r>
      <w:proofErr w:type="spellEnd"/>
      <w:r w:rsidRPr="0057248A">
        <w:rPr>
          <w:rFonts w:ascii="Book Antiqua" w:hAnsi="Book Antiqua"/>
          <w:lang w:val="en-US"/>
        </w:rPr>
        <w:t xml:space="preserve"> C, </w:t>
      </w:r>
      <w:proofErr w:type="spellStart"/>
      <w:r w:rsidRPr="0057248A">
        <w:rPr>
          <w:rFonts w:ascii="Book Antiqua" w:hAnsi="Book Antiqua"/>
          <w:lang w:val="en-US"/>
        </w:rPr>
        <w:t>Gasmi</w:t>
      </w:r>
      <w:proofErr w:type="spellEnd"/>
      <w:r w:rsidRPr="0057248A">
        <w:rPr>
          <w:rFonts w:ascii="Book Antiqua" w:hAnsi="Book Antiqua"/>
          <w:lang w:val="en-US"/>
        </w:rPr>
        <w:t xml:space="preserve"> B, </w:t>
      </w:r>
      <w:proofErr w:type="spellStart"/>
      <w:r w:rsidRPr="0057248A">
        <w:rPr>
          <w:rFonts w:ascii="Book Antiqua" w:hAnsi="Book Antiqua"/>
          <w:lang w:val="en-US"/>
        </w:rPr>
        <w:t>Zappasodi</w:t>
      </w:r>
      <w:proofErr w:type="spellEnd"/>
      <w:r w:rsidRPr="0057248A">
        <w:rPr>
          <w:rFonts w:ascii="Book Antiqua" w:hAnsi="Book Antiqua"/>
          <w:lang w:val="en-US"/>
        </w:rPr>
        <w:t xml:space="preserve"> R, Maeda Y, Sander C, </w:t>
      </w:r>
      <w:proofErr w:type="spellStart"/>
      <w:r w:rsidRPr="0057248A">
        <w:rPr>
          <w:rFonts w:ascii="Book Antiqua" w:hAnsi="Book Antiqua"/>
          <w:lang w:val="en-US"/>
        </w:rPr>
        <w:t>Garon</w:t>
      </w:r>
      <w:proofErr w:type="spellEnd"/>
      <w:r w:rsidRPr="0057248A">
        <w:rPr>
          <w:rFonts w:ascii="Book Antiqua" w:hAnsi="Book Antiqua"/>
          <w:lang w:val="en-US"/>
        </w:rPr>
        <w:t xml:space="preserve"> EB, </w:t>
      </w:r>
      <w:proofErr w:type="spellStart"/>
      <w:r w:rsidRPr="0057248A">
        <w:rPr>
          <w:rFonts w:ascii="Book Antiqua" w:hAnsi="Book Antiqua"/>
          <w:lang w:val="en-US"/>
        </w:rPr>
        <w:t>Merghoub</w:t>
      </w:r>
      <w:proofErr w:type="spellEnd"/>
      <w:r w:rsidRPr="0057248A">
        <w:rPr>
          <w:rFonts w:ascii="Book Antiqua" w:hAnsi="Book Antiqua"/>
          <w:lang w:val="en-US"/>
        </w:rPr>
        <w:t xml:space="preserve"> T, </w:t>
      </w:r>
      <w:proofErr w:type="spellStart"/>
      <w:r w:rsidRPr="0057248A">
        <w:rPr>
          <w:rFonts w:ascii="Book Antiqua" w:hAnsi="Book Antiqua"/>
          <w:lang w:val="en-US"/>
        </w:rPr>
        <w:t>Wolchok</w:t>
      </w:r>
      <w:proofErr w:type="spellEnd"/>
      <w:r w:rsidRPr="0057248A">
        <w:rPr>
          <w:rFonts w:ascii="Book Antiqua" w:hAnsi="Book Antiqua"/>
          <w:lang w:val="en-US"/>
        </w:rPr>
        <w:t xml:space="preserve"> JD, Schumacher TN, Chan TA. Cancer immunology. Mutational landscape determines sensitivity to PD-1 blockade in non-small cell lung cancer. </w:t>
      </w:r>
      <w:r w:rsidRPr="0057248A">
        <w:rPr>
          <w:rFonts w:ascii="Book Antiqua" w:hAnsi="Book Antiqua"/>
          <w:i/>
          <w:lang w:val="en-US"/>
        </w:rPr>
        <w:t>Science</w:t>
      </w:r>
      <w:r w:rsidRPr="0057248A">
        <w:rPr>
          <w:rFonts w:ascii="Book Antiqua" w:hAnsi="Book Antiqua"/>
          <w:lang w:val="en-US"/>
        </w:rPr>
        <w:t xml:space="preserve"> 2015; </w:t>
      </w:r>
      <w:r w:rsidRPr="0057248A">
        <w:rPr>
          <w:rFonts w:ascii="Book Antiqua" w:hAnsi="Book Antiqua"/>
          <w:b/>
          <w:lang w:val="en-US"/>
        </w:rPr>
        <w:t>348</w:t>
      </w:r>
      <w:r w:rsidRPr="0057248A">
        <w:rPr>
          <w:rFonts w:ascii="Book Antiqua" w:hAnsi="Book Antiqua"/>
          <w:lang w:val="en-US"/>
        </w:rPr>
        <w:t>: 124-128 [PMID: 25765070 DOI: 10.1126/science.aaa1348]</w:t>
      </w:r>
    </w:p>
    <w:p w14:paraId="7B07D518"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lastRenderedPageBreak/>
        <w:t xml:space="preserve">10 </w:t>
      </w:r>
      <w:r w:rsidRPr="0057248A">
        <w:rPr>
          <w:rFonts w:ascii="Book Antiqua" w:hAnsi="Book Antiqua"/>
          <w:b/>
          <w:lang w:val="en-US"/>
        </w:rPr>
        <w:t>Le DT</w:t>
      </w:r>
      <w:r w:rsidRPr="0057248A">
        <w:rPr>
          <w:rFonts w:ascii="Book Antiqua" w:hAnsi="Book Antiqua"/>
          <w:lang w:val="en-US"/>
        </w:rPr>
        <w:t xml:space="preserve">, </w:t>
      </w:r>
      <w:proofErr w:type="spellStart"/>
      <w:r w:rsidRPr="0057248A">
        <w:rPr>
          <w:rFonts w:ascii="Book Antiqua" w:hAnsi="Book Antiqua"/>
          <w:lang w:val="en-US"/>
        </w:rPr>
        <w:t>Uram</w:t>
      </w:r>
      <w:proofErr w:type="spellEnd"/>
      <w:r w:rsidRPr="0057248A">
        <w:rPr>
          <w:rFonts w:ascii="Book Antiqua" w:hAnsi="Book Antiqua"/>
          <w:lang w:val="en-US"/>
        </w:rPr>
        <w:t xml:space="preserve"> JN, Wang H, Bartlett BR, </w:t>
      </w:r>
      <w:proofErr w:type="spellStart"/>
      <w:r w:rsidRPr="0057248A">
        <w:rPr>
          <w:rFonts w:ascii="Book Antiqua" w:hAnsi="Book Antiqua"/>
          <w:lang w:val="en-US"/>
        </w:rPr>
        <w:t>Kemberling</w:t>
      </w:r>
      <w:proofErr w:type="spellEnd"/>
      <w:r w:rsidRPr="0057248A">
        <w:rPr>
          <w:rFonts w:ascii="Book Antiqua" w:hAnsi="Book Antiqua"/>
          <w:lang w:val="en-US"/>
        </w:rPr>
        <w:t xml:space="preserve"> H, </w:t>
      </w:r>
      <w:proofErr w:type="spellStart"/>
      <w:r w:rsidRPr="0057248A">
        <w:rPr>
          <w:rFonts w:ascii="Book Antiqua" w:hAnsi="Book Antiqua"/>
          <w:lang w:val="en-US"/>
        </w:rPr>
        <w:t>Eyring</w:t>
      </w:r>
      <w:proofErr w:type="spellEnd"/>
      <w:r w:rsidRPr="0057248A">
        <w:rPr>
          <w:rFonts w:ascii="Book Antiqua" w:hAnsi="Book Antiqua"/>
          <w:lang w:val="en-US"/>
        </w:rPr>
        <w:t xml:space="preserve"> AD, </w:t>
      </w:r>
      <w:proofErr w:type="spellStart"/>
      <w:r w:rsidRPr="0057248A">
        <w:rPr>
          <w:rFonts w:ascii="Book Antiqua" w:hAnsi="Book Antiqua"/>
          <w:lang w:val="en-US"/>
        </w:rPr>
        <w:t>Skora</w:t>
      </w:r>
      <w:proofErr w:type="spellEnd"/>
      <w:r w:rsidRPr="0057248A">
        <w:rPr>
          <w:rFonts w:ascii="Book Antiqua" w:hAnsi="Book Antiqua"/>
          <w:lang w:val="en-US"/>
        </w:rPr>
        <w:t xml:space="preserve"> AD, </w:t>
      </w:r>
      <w:proofErr w:type="spellStart"/>
      <w:r w:rsidRPr="0057248A">
        <w:rPr>
          <w:rFonts w:ascii="Book Antiqua" w:hAnsi="Book Antiqua"/>
          <w:lang w:val="en-US"/>
        </w:rPr>
        <w:t>Luber</w:t>
      </w:r>
      <w:proofErr w:type="spellEnd"/>
      <w:r w:rsidRPr="0057248A">
        <w:rPr>
          <w:rFonts w:ascii="Book Antiqua" w:hAnsi="Book Antiqua"/>
          <w:lang w:val="en-US"/>
        </w:rPr>
        <w:t xml:space="preserve"> BS, Azad NS, </w:t>
      </w:r>
      <w:proofErr w:type="spellStart"/>
      <w:r w:rsidRPr="0057248A">
        <w:rPr>
          <w:rFonts w:ascii="Book Antiqua" w:hAnsi="Book Antiqua"/>
          <w:lang w:val="en-US"/>
        </w:rPr>
        <w:t>Laheru</w:t>
      </w:r>
      <w:proofErr w:type="spellEnd"/>
      <w:r w:rsidRPr="0057248A">
        <w:rPr>
          <w:rFonts w:ascii="Book Antiqua" w:hAnsi="Book Antiqua"/>
          <w:lang w:val="en-US"/>
        </w:rPr>
        <w:t xml:space="preserve"> D, </w:t>
      </w:r>
      <w:proofErr w:type="spellStart"/>
      <w:r w:rsidRPr="0057248A">
        <w:rPr>
          <w:rFonts w:ascii="Book Antiqua" w:hAnsi="Book Antiqua"/>
          <w:lang w:val="en-US"/>
        </w:rPr>
        <w:t>Biedrzycki</w:t>
      </w:r>
      <w:proofErr w:type="spellEnd"/>
      <w:r w:rsidRPr="0057248A">
        <w:rPr>
          <w:rFonts w:ascii="Book Antiqua" w:hAnsi="Book Antiqua"/>
          <w:lang w:val="en-US"/>
        </w:rPr>
        <w:t xml:space="preserve"> B, </w:t>
      </w:r>
      <w:proofErr w:type="spellStart"/>
      <w:r w:rsidRPr="0057248A">
        <w:rPr>
          <w:rFonts w:ascii="Book Antiqua" w:hAnsi="Book Antiqua"/>
          <w:lang w:val="en-US"/>
        </w:rPr>
        <w:t>Donehower</w:t>
      </w:r>
      <w:proofErr w:type="spellEnd"/>
      <w:r w:rsidRPr="0057248A">
        <w:rPr>
          <w:rFonts w:ascii="Book Antiqua" w:hAnsi="Book Antiqua"/>
          <w:lang w:val="en-US"/>
        </w:rPr>
        <w:t xml:space="preserve"> RC, </w:t>
      </w:r>
      <w:proofErr w:type="spellStart"/>
      <w:r w:rsidRPr="0057248A">
        <w:rPr>
          <w:rFonts w:ascii="Book Antiqua" w:hAnsi="Book Antiqua"/>
          <w:lang w:val="en-US"/>
        </w:rPr>
        <w:t>Zaheer</w:t>
      </w:r>
      <w:proofErr w:type="spellEnd"/>
      <w:r w:rsidRPr="0057248A">
        <w:rPr>
          <w:rFonts w:ascii="Book Antiqua" w:hAnsi="Book Antiqua"/>
          <w:lang w:val="en-US"/>
        </w:rPr>
        <w:t xml:space="preserve"> A, Fisher GA, </w:t>
      </w:r>
      <w:proofErr w:type="spellStart"/>
      <w:r w:rsidRPr="0057248A">
        <w:rPr>
          <w:rFonts w:ascii="Book Antiqua" w:hAnsi="Book Antiqua"/>
          <w:lang w:val="en-US"/>
        </w:rPr>
        <w:t>Crocenzi</w:t>
      </w:r>
      <w:proofErr w:type="spellEnd"/>
      <w:r w:rsidRPr="0057248A">
        <w:rPr>
          <w:rFonts w:ascii="Book Antiqua" w:hAnsi="Book Antiqua"/>
          <w:lang w:val="en-US"/>
        </w:rPr>
        <w:t xml:space="preserve"> TS, Lee JJ, Duffy SM, Goldberg RM, de la </w:t>
      </w:r>
      <w:proofErr w:type="spellStart"/>
      <w:r w:rsidRPr="0057248A">
        <w:rPr>
          <w:rFonts w:ascii="Book Antiqua" w:hAnsi="Book Antiqua"/>
          <w:lang w:val="en-US"/>
        </w:rPr>
        <w:t>Chapelle</w:t>
      </w:r>
      <w:proofErr w:type="spellEnd"/>
      <w:r w:rsidRPr="0057248A">
        <w:rPr>
          <w:rFonts w:ascii="Book Antiqua" w:hAnsi="Book Antiqua"/>
          <w:lang w:val="en-US"/>
        </w:rPr>
        <w:t xml:space="preserve"> A, </w:t>
      </w:r>
      <w:proofErr w:type="spellStart"/>
      <w:r w:rsidRPr="0057248A">
        <w:rPr>
          <w:rFonts w:ascii="Book Antiqua" w:hAnsi="Book Antiqua"/>
          <w:lang w:val="en-US"/>
        </w:rPr>
        <w:t>Koshiji</w:t>
      </w:r>
      <w:proofErr w:type="spellEnd"/>
      <w:r w:rsidRPr="0057248A">
        <w:rPr>
          <w:rFonts w:ascii="Book Antiqua" w:hAnsi="Book Antiqua"/>
          <w:lang w:val="en-US"/>
        </w:rPr>
        <w:t xml:space="preserve"> M, </w:t>
      </w:r>
      <w:proofErr w:type="spellStart"/>
      <w:r w:rsidRPr="0057248A">
        <w:rPr>
          <w:rFonts w:ascii="Book Antiqua" w:hAnsi="Book Antiqua"/>
          <w:lang w:val="en-US"/>
        </w:rPr>
        <w:t>Bhaijee</w:t>
      </w:r>
      <w:proofErr w:type="spellEnd"/>
      <w:r w:rsidRPr="0057248A">
        <w:rPr>
          <w:rFonts w:ascii="Book Antiqua" w:hAnsi="Book Antiqua"/>
          <w:lang w:val="en-US"/>
        </w:rPr>
        <w:t xml:space="preserve"> F, Huebner T, </w:t>
      </w:r>
      <w:proofErr w:type="spellStart"/>
      <w:r w:rsidRPr="0057248A">
        <w:rPr>
          <w:rFonts w:ascii="Book Antiqua" w:hAnsi="Book Antiqua"/>
          <w:lang w:val="en-US"/>
        </w:rPr>
        <w:t>Hruban</w:t>
      </w:r>
      <w:proofErr w:type="spellEnd"/>
      <w:r w:rsidRPr="0057248A">
        <w:rPr>
          <w:rFonts w:ascii="Book Antiqua" w:hAnsi="Book Antiqua"/>
          <w:lang w:val="en-US"/>
        </w:rPr>
        <w:t xml:space="preserve"> RH, Wood LD, </w:t>
      </w:r>
      <w:proofErr w:type="spellStart"/>
      <w:r w:rsidRPr="0057248A">
        <w:rPr>
          <w:rFonts w:ascii="Book Antiqua" w:hAnsi="Book Antiqua"/>
          <w:lang w:val="en-US"/>
        </w:rPr>
        <w:t>Cuka</w:t>
      </w:r>
      <w:proofErr w:type="spellEnd"/>
      <w:r w:rsidRPr="0057248A">
        <w:rPr>
          <w:rFonts w:ascii="Book Antiqua" w:hAnsi="Book Antiqua"/>
          <w:lang w:val="en-US"/>
        </w:rPr>
        <w:t xml:space="preserve"> N, </w:t>
      </w:r>
      <w:proofErr w:type="spellStart"/>
      <w:r w:rsidRPr="0057248A">
        <w:rPr>
          <w:rFonts w:ascii="Book Antiqua" w:hAnsi="Book Antiqua"/>
          <w:lang w:val="en-US"/>
        </w:rPr>
        <w:t>Pardoll</w:t>
      </w:r>
      <w:proofErr w:type="spellEnd"/>
      <w:r w:rsidRPr="0057248A">
        <w:rPr>
          <w:rFonts w:ascii="Book Antiqua" w:hAnsi="Book Antiqua"/>
          <w:lang w:val="en-US"/>
        </w:rPr>
        <w:t xml:space="preserve"> DM, Papadopoulos N, </w:t>
      </w:r>
      <w:proofErr w:type="spellStart"/>
      <w:r w:rsidRPr="0057248A">
        <w:rPr>
          <w:rFonts w:ascii="Book Antiqua" w:hAnsi="Book Antiqua"/>
          <w:lang w:val="en-US"/>
        </w:rPr>
        <w:t>Kinzler</w:t>
      </w:r>
      <w:proofErr w:type="spellEnd"/>
      <w:r w:rsidRPr="0057248A">
        <w:rPr>
          <w:rFonts w:ascii="Book Antiqua" w:hAnsi="Book Antiqua"/>
          <w:lang w:val="en-US"/>
        </w:rPr>
        <w:t xml:space="preserve"> KW, Zhou S, Cornish TC, Taube JM, Anders RA, Eshleman JR, Vogelstein B, Diaz LA Jr. PD-1 Blockade in Tumors with Mismatch-Repair Deficiency. </w:t>
      </w:r>
      <w:r w:rsidRPr="0057248A">
        <w:rPr>
          <w:rFonts w:ascii="Book Antiqua" w:hAnsi="Book Antiqua"/>
          <w:i/>
          <w:lang w:val="en-US"/>
        </w:rPr>
        <w:t xml:space="preserve">N </w:t>
      </w:r>
      <w:proofErr w:type="spellStart"/>
      <w:r w:rsidRPr="0057248A">
        <w:rPr>
          <w:rFonts w:ascii="Book Antiqua" w:hAnsi="Book Antiqua"/>
          <w:i/>
          <w:lang w:val="en-US"/>
        </w:rPr>
        <w:t>Engl</w:t>
      </w:r>
      <w:proofErr w:type="spellEnd"/>
      <w:r w:rsidRPr="0057248A">
        <w:rPr>
          <w:rFonts w:ascii="Book Antiqua" w:hAnsi="Book Antiqua"/>
          <w:i/>
          <w:lang w:val="en-US"/>
        </w:rPr>
        <w:t xml:space="preserve"> J Med</w:t>
      </w:r>
      <w:r w:rsidRPr="0057248A">
        <w:rPr>
          <w:rFonts w:ascii="Book Antiqua" w:hAnsi="Book Antiqua"/>
          <w:lang w:val="en-US"/>
        </w:rPr>
        <w:t xml:space="preserve"> 2015; </w:t>
      </w:r>
      <w:r w:rsidRPr="0057248A">
        <w:rPr>
          <w:rFonts w:ascii="Book Antiqua" w:hAnsi="Book Antiqua"/>
          <w:b/>
          <w:lang w:val="en-US"/>
        </w:rPr>
        <w:t>372</w:t>
      </w:r>
      <w:r w:rsidRPr="0057248A">
        <w:rPr>
          <w:rFonts w:ascii="Book Antiqua" w:hAnsi="Book Antiqua"/>
          <w:lang w:val="en-US"/>
        </w:rPr>
        <w:t>: 2509-2520 [PMID: 26028255 DOI: 10.1056/NEJMoa1500596]</w:t>
      </w:r>
    </w:p>
    <w:p w14:paraId="7686ED08"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11 </w:t>
      </w:r>
      <w:r w:rsidRPr="0057248A">
        <w:rPr>
          <w:rFonts w:ascii="Book Antiqua" w:hAnsi="Book Antiqua"/>
          <w:b/>
          <w:lang w:val="en-US"/>
        </w:rPr>
        <w:t>Patel AB</w:t>
      </w:r>
      <w:r w:rsidRPr="0057248A">
        <w:rPr>
          <w:rFonts w:ascii="Book Antiqua" w:hAnsi="Book Antiqua"/>
          <w:lang w:val="en-US"/>
        </w:rPr>
        <w:t xml:space="preserve">, </w:t>
      </w:r>
      <w:proofErr w:type="spellStart"/>
      <w:r w:rsidRPr="0057248A">
        <w:rPr>
          <w:rFonts w:ascii="Book Antiqua" w:hAnsi="Book Antiqua"/>
          <w:lang w:val="en-US"/>
        </w:rPr>
        <w:t>Pacha</w:t>
      </w:r>
      <w:proofErr w:type="spellEnd"/>
      <w:r w:rsidRPr="0057248A">
        <w:rPr>
          <w:rFonts w:ascii="Book Antiqua" w:hAnsi="Book Antiqua"/>
          <w:lang w:val="en-US"/>
        </w:rPr>
        <w:t xml:space="preserve"> O. Skin Reactions to Immune Checkpoint Inhibitors. </w:t>
      </w:r>
      <w:r w:rsidRPr="0057248A">
        <w:rPr>
          <w:rFonts w:ascii="Book Antiqua" w:hAnsi="Book Antiqua"/>
          <w:i/>
          <w:lang w:val="en-US"/>
        </w:rPr>
        <w:t>Adv Exp Med Biol</w:t>
      </w:r>
      <w:r w:rsidRPr="0057248A">
        <w:rPr>
          <w:rFonts w:ascii="Book Antiqua" w:hAnsi="Book Antiqua"/>
          <w:lang w:val="en-US"/>
        </w:rPr>
        <w:t xml:space="preserve"> 2017; </w:t>
      </w:r>
      <w:r w:rsidRPr="0057248A">
        <w:rPr>
          <w:rFonts w:ascii="Book Antiqua" w:hAnsi="Book Antiqua"/>
          <w:b/>
          <w:lang w:val="en-US"/>
        </w:rPr>
        <w:t>995</w:t>
      </w:r>
      <w:r w:rsidRPr="0057248A">
        <w:rPr>
          <w:rFonts w:ascii="Book Antiqua" w:hAnsi="Book Antiqua"/>
          <w:lang w:val="en-US"/>
        </w:rPr>
        <w:t>: 175-184 [PMID: 28321818 DOI: 10.1007/978-3-319-53156-4_9]</w:t>
      </w:r>
    </w:p>
    <w:p w14:paraId="31403ABA"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12 </w:t>
      </w:r>
      <w:proofErr w:type="spellStart"/>
      <w:r w:rsidRPr="0057248A">
        <w:rPr>
          <w:rFonts w:ascii="Book Antiqua" w:hAnsi="Book Antiqua"/>
          <w:b/>
          <w:lang w:val="en-US"/>
        </w:rPr>
        <w:t>Wolchok</w:t>
      </w:r>
      <w:proofErr w:type="spellEnd"/>
      <w:r w:rsidRPr="0057248A">
        <w:rPr>
          <w:rFonts w:ascii="Book Antiqua" w:hAnsi="Book Antiqua"/>
          <w:b/>
          <w:lang w:val="en-US"/>
        </w:rPr>
        <w:t xml:space="preserve"> JD</w:t>
      </w:r>
      <w:r w:rsidRPr="0057248A">
        <w:rPr>
          <w:rFonts w:ascii="Book Antiqua" w:hAnsi="Book Antiqua"/>
          <w:lang w:val="en-US"/>
        </w:rPr>
        <w:t xml:space="preserve">, </w:t>
      </w:r>
      <w:proofErr w:type="spellStart"/>
      <w:r w:rsidRPr="0057248A">
        <w:rPr>
          <w:rFonts w:ascii="Book Antiqua" w:hAnsi="Book Antiqua"/>
          <w:lang w:val="en-US"/>
        </w:rPr>
        <w:t>Hoos</w:t>
      </w:r>
      <w:proofErr w:type="spellEnd"/>
      <w:r w:rsidRPr="0057248A">
        <w:rPr>
          <w:rFonts w:ascii="Book Antiqua" w:hAnsi="Book Antiqua"/>
          <w:lang w:val="en-US"/>
        </w:rPr>
        <w:t xml:space="preserve"> A, </w:t>
      </w:r>
      <w:proofErr w:type="spellStart"/>
      <w:r w:rsidRPr="0057248A">
        <w:rPr>
          <w:rFonts w:ascii="Book Antiqua" w:hAnsi="Book Antiqua"/>
          <w:lang w:val="en-US"/>
        </w:rPr>
        <w:t>O'Day</w:t>
      </w:r>
      <w:proofErr w:type="spellEnd"/>
      <w:r w:rsidRPr="0057248A">
        <w:rPr>
          <w:rFonts w:ascii="Book Antiqua" w:hAnsi="Book Antiqua"/>
          <w:lang w:val="en-US"/>
        </w:rPr>
        <w:t xml:space="preserve"> S, Weber JS, Hamid O, </w:t>
      </w:r>
      <w:proofErr w:type="spellStart"/>
      <w:r w:rsidRPr="0057248A">
        <w:rPr>
          <w:rFonts w:ascii="Book Antiqua" w:hAnsi="Book Antiqua"/>
          <w:lang w:val="en-US"/>
        </w:rPr>
        <w:t>Lebbé</w:t>
      </w:r>
      <w:proofErr w:type="spellEnd"/>
      <w:r w:rsidRPr="0057248A">
        <w:rPr>
          <w:rFonts w:ascii="Book Antiqua" w:hAnsi="Book Antiqua"/>
          <w:lang w:val="en-US"/>
        </w:rPr>
        <w:t xml:space="preserve"> C, </w:t>
      </w:r>
      <w:proofErr w:type="spellStart"/>
      <w:r w:rsidRPr="0057248A">
        <w:rPr>
          <w:rFonts w:ascii="Book Antiqua" w:hAnsi="Book Antiqua"/>
          <w:lang w:val="en-US"/>
        </w:rPr>
        <w:t>Maio</w:t>
      </w:r>
      <w:proofErr w:type="spellEnd"/>
      <w:r w:rsidRPr="0057248A">
        <w:rPr>
          <w:rFonts w:ascii="Book Antiqua" w:hAnsi="Book Antiqua"/>
          <w:lang w:val="en-US"/>
        </w:rPr>
        <w:t xml:space="preserve"> M, Binder M, </w:t>
      </w:r>
      <w:proofErr w:type="spellStart"/>
      <w:r w:rsidRPr="0057248A">
        <w:rPr>
          <w:rFonts w:ascii="Book Antiqua" w:hAnsi="Book Antiqua"/>
          <w:lang w:val="en-US"/>
        </w:rPr>
        <w:t>Bohnsack</w:t>
      </w:r>
      <w:proofErr w:type="spellEnd"/>
      <w:r w:rsidRPr="0057248A">
        <w:rPr>
          <w:rFonts w:ascii="Book Antiqua" w:hAnsi="Book Antiqua"/>
          <w:lang w:val="en-US"/>
        </w:rPr>
        <w:t xml:space="preserve"> O, Nichol G, Humphrey R, Hodi FS. Guidelines for the evaluation of immune therapy activity in solid tumors: immune-related response criteria. </w:t>
      </w:r>
      <w:r w:rsidRPr="0057248A">
        <w:rPr>
          <w:rFonts w:ascii="Book Antiqua" w:hAnsi="Book Antiqua"/>
          <w:i/>
          <w:lang w:val="en-US"/>
        </w:rPr>
        <w:t>Clin Cancer Res</w:t>
      </w:r>
      <w:r w:rsidRPr="0057248A">
        <w:rPr>
          <w:rFonts w:ascii="Book Antiqua" w:hAnsi="Book Antiqua"/>
          <w:lang w:val="en-US"/>
        </w:rPr>
        <w:t xml:space="preserve"> 2009; </w:t>
      </w:r>
      <w:r w:rsidRPr="0057248A">
        <w:rPr>
          <w:rFonts w:ascii="Book Antiqua" w:hAnsi="Book Antiqua"/>
          <w:b/>
          <w:lang w:val="en-US"/>
        </w:rPr>
        <w:t>15</w:t>
      </w:r>
      <w:r w:rsidRPr="0057248A">
        <w:rPr>
          <w:rFonts w:ascii="Book Antiqua" w:hAnsi="Book Antiqua"/>
          <w:lang w:val="en-US"/>
        </w:rPr>
        <w:t>: 7412-7420 [PMID: 19934295 DOI: 10.1158/1078-0432.CCR-09-1624]</w:t>
      </w:r>
    </w:p>
    <w:p w14:paraId="0819BDED"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13 </w:t>
      </w:r>
      <w:proofErr w:type="spellStart"/>
      <w:r w:rsidRPr="0057248A">
        <w:rPr>
          <w:rFonts w:ascii="Book Antiqua" w:hAnsi="Book Antiqua"/>
          <w:b/>
          <w:lang w:val="en-US"/>
        </w:rPr>
        <w:t>Soria</w:t>
      </w:r>
      <w:proofErr w:type="spellEnd"/>
      <w:r w:rsidRPr="0057248A">
        <w:rPr>
          <w:rFonts w:ascii="Book Antiqua" w:hAnsi="Book Antiqua"/>
          <w:b/>
          <w:lang w:val="en-US"/>
        </w:rPr>
        <w:t xml:space="preserve"> F</w:t>
      </w:r>
      <w:r w:rsidRPr="0057248A">
        <w:rPr>
          <w:rFonts w:ascii="Book Antiqua" w:hAnsi="Book Antiqua"/>
          <w:lang w:val="en-US"/>
        </w:rPr>
        <w:t xml:space="preserve">, </w:t>
      </w:r>
      <w:proofErr w:type="spellStart"/>
      <w:r w:rsidRPr="0057248A">
        <w:rPr>
          <w:rFonts w:ascii="Book Antiqua" w:hAnsi="Book Antiqua"/>
          <w:lang w:val="en-US"/>
        </w:rPr>
        <w:t>Beleni</w:t>
      </w:r>
      <w:proofErr w:type="spellEnd"/>
      <w:r w:rsidRPr="0057248A">
        <w:rPr>
          <w:rFonts w:ascii="Book Antiqua" w:hAnsi="Book Antiqua"/>
          <w:lang w:val="en-US"/>
        </w:rPr>
        <w:t xml:space="preserve"> AI, </w:t>
      </w:r>
      <w:proofErr w:type="spellStart"/>
      <w:r w:rsidRPr="0057248A">
        <w:rPr>
          <w:rFonts w:ascii="Book Antiqua" w:hAnsi="Book Antiqua"/>
          <w:lang w:val="en-US"/>
        </w:rPr>
        <w:t>D'Andrea</w:t>
      </w:r>
      <w:proofErr w:type="spellEnd"/>
      <w:r w:rsidRPr="0057248A">
        <w:rPr>
          <w:rFonts w:ascii="Book Antiqua" w:hAnsi="Book Antiqua"/>
          <w:lang w:val="en-US"/>
        </w:rPr>
        <w:t xml:space="preserve"> D, Resch I, Gust KM, </w:t>
      </w:r>
      <w:proofErr w:type="spellStart"/>
      <w:r w:rsidRPr="0057248A">
        <w:rPr>
          <w:rFonts w:ascii="Book Antiqua" w:hAnsi="Book Antiqua"/>
          <w:lang w:val="en-US"/>
        </w:rPr>
        <w:t>Gontero</w:t>
      </w:r>
      <w:proofErr w:type="spellEnd"/>
      <w:r w:rsidRPr="0057248A">
        <w:rPr>
          <w:rFonts w:ascii="Book Antiqua" w:hAnsi="Book Antiqua"/>
          <w:lang w:val="en-US"/>
        </w:rPr>
        <w:t xml:space="preserve"> P, </w:t>
      </w:r>
      <w:proofErr w:type="spellStart"/>
      <w:r w:rsidRPr="0057248A">
        <w:rPr>
          <w:rFonts w:ascii="Book Antiqua" w:hAnsi="Book Antiqua"/>
          <w:lang w:val="en-US"/>
        </w:rPr>
        <w:t>Shariat</w:t>
      </w:r>
      <w:proofErr w:type="spellEnd"/>
      <w:r w:rsidRPr="0057248A">
        <w:rPr>
          <w:rFonts w:ascii="Book Antiqua" w:hAnsi="Book Antiqua"/>
          <w:lang w:val="en-US"/>
        </w:rPr>
        <w:t xml:space="preserve"> SF.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and </w:t>
      </w:r>
      <w:proofErr w:type="spellStart"/>
      <w:r w:rsidRPr="0057248A">
        <w:rPr>
          <w:rFonts w:ascii="Book Antiqua" w:hAnsi="Book Antiqua"/>
          <w:lang w:val="en-US"/>
        </w:rPr>
        <w:t>hyperprogression</w:t>
      </w:r>
      <w:proofErr w:type="spellEnd"/>
      <w:r w:rsidRPr="0057248A">
        <w:rPr>
          <w:rFonts w:ascii="Book Antiqua" w:hAnsi="Book Antiqua"/>
          <w:lang w:val="en-US"/>
        </w:rPr>
        <w:t xml:space="preserve"> during immune checkpoint inhibitor therapy for urothelial and kidney cancer. </w:t>
      </w:r>
      <w:r w:rsidRPr="0057248A">
        <w:rPr>
          <w:rFonts w:ascii="Book Antiqua" w:hAnsi="Book Antiqua"/>
          <w:i/>
          <w:lang w:val="en-US"/>
        </w:rPr>
        <w:t xml:space="preserve">World J </w:t>
      </w:r>
      <w:proofErr w:type="spellStart"/>
      <w:r w:rsidRPr="0057248A">
        <w:rPr>
          <w:rFonts w:ascii="Book Antiqua" w:hAnsi="Book Antiqua"/>
          <w:i/>
          <w:lang w:val="en-US"/>
        </w:rPr>
        <w:t>Urol</w:t>
      </w:r>
      <w:proofErr w:type="spellEnd"/>
      <w:r w:rsidRPr="0057248A">
        <w:rPr>
          <w:rFonts w:ascii="Book Antiqua" w:hAnsi="Book Antiqua"/>
          <w:lang w:val="en-US"/>
        </w:rPr>
        <w:t xml:space="preserve"> 2018; </w:t>
      </w:r>
      <w:r w:rsidRPr="0057248A">
        <w:rPr>
          <w:rFonts w:ascii="Book Antiqua" w:hAnsi="Book Antiqua"/>
          <w:b/>
          <w:lang w:val="en-US"/>
        </w:rPr>
        <w:t>36</w:t>
      </w:r>
      <w:r w:rsidRPr="0057248A">
        <w:rPr>
          <w:rFonts w:ascii="Book Antiqua" w:hAnsi="Book Antiqua"/>
          <w:lang w:val="en-US"/>
        </w:rPr>
        <w:t>: 1703-1709 [PMID: 29549485 DOI: 10.1007/s00345-018-2264-0]</w:t>
      </w:r>
    </w:p>
    <w:p w14:paraId="5E97E418"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14 </w:t>
      </w:r>
      <w:proofErr w:type="spellStart"/>
      <w:r w:rsidRPr="0057248A">
        <w:rPr>
          <w:rFonts w:ascii="Book Antiqua" w:hAnsi="Book Antiqua"/>
          <w:b/>
          <w:lang w:val="en-US"/>
        </w:rPr>
        <w:t>Hodi</w:t>
      </w:r>
      <w:proofErr w:type="spellEnd"/>
      <w:r w:rsidRPr="0057248A">
        <w:rPr>
          <w:rFonts w:ascii="Book Antiqua" w:hAnsi="Book Antiqua"/>
          <w:b/>
          <w:lang w:val="en-US"/>
        </w:rPr>
        <w:t xml:space="preserve"> FS</w:t>
      </w:r>
      <w:r w:rsidRPr="0057248A">
        <w:rPr>
          <w:rFonts w:ascii="Book Antiqua" w:hAnsi="Book Antiqua"/>
          <w:lang w:val="en-US"/>
        </w:rPr>
        <w:t xml:space="preserve">, </w:t>
      </w:r>
      <w:proofErr w:type="spellStart"/>
      <w:r w:rsidRPr="0057248A">
        <w:rPr>
          <w:rFonts w:ascii="Book Antiqua" w:hAnsi="Book Antiqua"/>
          <w:lang w:val="en-US"/>
        </w:rPr>
        <w:t>Hwu</w:t>
      </w:r>
      <w:proofErr w:type="spellEnd"/>
      <w:r w:rsidRPr="0057248A">
        <w:rPr>
          <w:rFonts w:ascii="Book Antiqua" w:hAnsi="Book Antiqua"/>
          <w:lang w:val="en-US"/>
        </w:rPr>
        <w:t xml:space="preserve"> WJ, </w:t>
      </w:r>
      <w:proofErr w:type="spellStart"/>
      <w:r w:rsidRPr="0057248A">
        <w:rPr>
          <w:rFonts w:ascii="Book Antiqua" w:hAnsi="Book Antiqua"/>
          <w:lang w:val="en-US"/>
        </w:rPr>
        <w:t>Kefford</w:t>
      </w:r>
      <w:proofErr w:type="spellEnd"/>
      <w:r w:rsidRPr="0057248A">
        <w:rPr>
          <w:rFonts w:ascii="Book Antiqua" w:hAnsi="Book Antiqua"/>
          <w:lang w:val="en-US"/>
        </w:rPr>
        <w:t xml:space="preserve"> R, Weber JS, </w:t>
      </w:r>
      <w:proofErr w:type="spellStart"/>
      <w:r w:rsidRPr="0057248A">
        <w:rPr>
          <w:rFonts w:ascii="Book Antiqua" w:hAnsi="Book Antiqua"/>
          <w:lang w:val="en-US"/>
        </w:rPr>
        <w:t>Daud</w:t>
      </w:r>
      <w:proofErr w:type="spellEnd"/>
      <w:r w:rsidRPr="0057248A">
        <w:rPr>
          <w:rFonts w:ascii="Book Antiqua" w:hAnsi="Book Antiqua"/>
          <w:lang w:val="en-US"/>
        </w:rPr>
        <w:t xml:space="preserve"> A, Hamid O, </w:t>
      </w:r>
      <w:proofErr w:type="spellStart"/>
      <w:r w:rsidRPr="0057248A">
        <w:rPr>
          <w:rFonts w:ascii="Book Antiqua" w:hAnsi="Book Antiqua"/>
          <w:lang w:val="en-US"/>
        </w:rPr>
        <w:t>Patnaik</w:t>
      </w:r>
      <w:proofErr w:type="spellEnd"/>
      <w:r w:rsidRPr="0057248A">
        <w:rPr>
          <w:rFonts w:ascii="Book Antiqua" w:hAnsi="Book Antiqua"/>
          <w:lang w:val="en-US"/>
        </w:rPr>
        <w:t xml:space="preserve"> A, </w:t>
      </w:r>
      <w:proofErr w:type="spellStart"/>
      <w:r w:rsidRPr="0057248A">
        <w:rPr>
          <w:rFonts w:ascii="Book Antiqua" w:hAnsi="Book Antiqua"/>
          <w:lang w:val="en-US"/>
        </w:rPr>
        <w:t>Ribas</w:t>
      </w:r>
      <w:proofErr w:type="spellEnd"/>
      <w:r w:rsidRPr="0057248A">
        <w:rPr>
          <w:rFonts w:ascii="Book Antiqua" w:hAnsi="Book Antiqua"/>
          <w:lang w:val="en-US"/>
        </w:rPr>
        <w:t xml:space="preserve"> A, Robert C, Gangadhar TC, Joshua AM, Hersey P, </w:t>
      </w:r>
      <w:proofErr w:type="spellStart"/>
      <w:r w:rsidRPr="0057248A">
        <w:rPr>
          <w:rFonts w:ascii="Book Antiqua" w:hAnsi="Book Antiqua"/>
          <w:lang w:val="en-US"/>
        </w:rPr>
        <w:t>Dronca</w:t>
      </w:r>
      <w:proofErr w:type="spellEnd"/>
      <w:r w:rsidRPr="0057248A">
        <w:rPr>
          <w:rFonts w:ascii="Book Antiqua" w:hAnsi="Book Antiqua"/>
          <w:lang w:val="en-US"/>
        </w:rPr>
        <w:t xml:space="preserve"> R, Joseph R, </w:t>
      </w:r>
      <w:proofErr w:type="spellStart"/>
      <w:r w:rsidRPr="0057248A">
        <w:rPr>
          <w:rFonts w:ascii="Book Antiqua" w:hAnsi="Book Antiqua"/>
          <w:lang w:val="en-US"/>
        </w:rPr>
        <w:t>Hille</w:t>
      </w:r>
      <w:proofErr w:type="spellEnd"/>
      <w:r w:rsidRPr="0057248A">
        <w:rPr>
          <w:rFonts w:ascii="Book Antiqua" w:hAnsi="Book Antiqua"/>
          <w:lang w:val="en-US"/>
        </w:rPr>
        <w:t xml:space="preserve"> D, </w:t>
      </w:r>
      <w:proofErr w:type="spellStart"/>
      <w:r w:rsidRPr="0057248A">
        <w:rPr>
          <w:rFonts w:ascii="Book Antiqua" w:hAnsi="Book Antiqua"/>
          <w:lang w:val="en-US"/>
        </w:rPr>
        <w:t>Xue</w:t>
      </w:r>
      <w:proofErr w:type="spellEnd"/>
      <w:r w:rsidRPr="0057248A">
        <w:rPr>
          <w:rFonts w:ascii="Book Antiqua" w:hAnsi="Book Antiqua"/>
          <w:lang w:val="en-US"/>
        </w:rPr>
        <w:t xml:space="preserve"> D, Li XN, Kang SP, Ebbinghaus S, </w:t>
      </w:r>
      <w:proofErr w:type="spellStart"/>
      <w:r w:rsidRPr="0057248A">
        <w:rPr>
          <w:rFonts w:ascii="Book Antiqua" w:hAnsi="Book Antiqua"/>
          <w:lang w:val="en-US"/>
        </w:rPr>
        <w:t>Perrone</w:t>
      </w:r>
      <w:proofErr w:type="spellEnd"/>
      <w:r w:rsidRPr="0057248A">
        <w:rPr>
          <w:rFonts w:ascii="Book Antiqua" w:hAnsi="Book Antiqua"/>
          <w:lang w:val="en-US"/>
        </w:rPr>
        <w:t xml:space="preserve"> A, </w:t>
      </w:r>
      <w:proofErr w:type="spellStart"/>
      <w:r w:rsidRPr="0057248A">
        <w:rPr>
          <w:rFonts w:ascii="Book Antiqua" w:hAnsi="Book Antiqua"/>
          <w:lang w:val="en-US"/>
        </w:rPr>
        <w:t>Wolchok</w:t>
      </w:r>
      <w:proofErr w:type="spellEnd"/>
      <w:r w:rsidRPr="0057248A">
        <w:rPr>
          <w:rFonts w:ascii="Book Antiqua" w:hAnsi="Book Antiqua"/>
          <w:lang w:val="en-US"/>
        </w:rPr>
        <w:t xml:space="preserve"> JD. Evaluation of Immune-Related Response Criteria and RECIST v1.1 in Patients </w:t>
      </w:r>
      <w:proofErr w:type="gramStart"/>
      <w:r w:rsidRPr="0057248A">
        <w:rPr>
          <w:rFonts w:ascii="Book Antiqua" w:hAnsi="Book Antiqua"/>
          <w:lang w:val="en-US"/>
        </w:rPr>
        <w:t>With Advanced Melanoma Treated With</w:t>
      </w:r>
      <w:proofErr w:type="gramEnd"/>
      <w:r w:rsidRPr="0057248A">
        <w:rPr>
          <w:rFonts w:ascii="Book Antiqua" w:hAnsi="Book Antiqua"/>
          <w:lang w:val="en-US"/>
        </w:rPr>
        <w:t xml:space="preserve"> Pembrolizumab. </w:t>
      </w:r>
      <w:r w:rsidRPr="0057248A">
        <w:rPr>
          <w:rFonts w:ascii="Book Antiqua" w:hAnsi="Book Antiqua"/>
          <w:i/>
          <w:lang w:val="en-US"/>
        </w:rPr>
        <w:t>J Clin Oncol</w:t>
      </w:r>
      <w:r w:rsidRPr="0057248A">
        <w:rPr>
          <w:rFonts w:ascii="Book Antiqua" w:hAnsi="Book Antiqua"/>
          <w:lang w:val="en-US"/>
        </w:rPr>
        <w:t xml:space="preserve"> 2016; </w:t>
      </w:r>
      <w:r w:rsidRPr="0057248A">
        <w:rPr>
          <w:rFonts w:ascii="Book Antiqua" w:hAnsi="Book Antiqua"/>
          <w:b/>
          <w:lang w:val="en-US"/>
        </w:rPr>
        <w:t>34</w:t>
      </w:r>
      <w:r w:rsidRPr="0057248A">
        <w:rPr>
          <w:rFonts w:ascii="Book Antiqua" w:hAnsi="Book Antiqua"/>
          <w:lang w:val="en-US"/>
        </w:rPr>
        <w:t>: 1510-1517 [PMID: 26951310 DOI: 10.1200/JCO.2015.64.0391]</w:t>
      </w:r>
    </w:p>
    <w:p w14:paraId="04165300"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15 </w:t>
      </w:r>
      <w:r w:rsidRPr="0057248A">
        <w:rPr>
          <w:rFonts w:ascii="Book Antiqua" w:hAnsi="Book Antiqua"/>
          <w:b/>
          <w:lang w:val="en-US"/>
        </w:rPr>
        <w:t>Ozaki Y</w:t>
      </w:r>
      <w:r w:rsidRPr="0057248A">
        <w:rPr>
          <w:rFonts w:ascii="Book Antiqua" w:hAnsi="Book Antiqua"/>
          <w:lang w:val="en-US"/>
        </w:rPr>
        <w:t xml:space="preserve">, Shindoh J, Miura Y, Nakajima H, Oki R, Uchiyama M, Masuda J, </w:t>
      </w:r>
      <w:proofErr w:type="spellStart"/>
      <w:r w:rsidRPr="0057248A">
        <w:rPr>
          <w:rFonts w:ascii="Book Antiqua" w:hAnsi="Book Antiqua"/>
          <w:lang w:val="en-US"/>
        </w:rPr>
        <w:t>Kinowaki</w:t>
      </w:r>
      <w:proofErr w:type="spellEnd"/>
      <w:r w:rsidRPr="0057248A">
        <w:rPr>
          <w:rFonts w:ascii="Book Antiqua" w:hAnsi="Book Antiqua"/>
          <w:lang w:val="en-US"/>
        </w:rPr>
        <w:t xml:space="preserve"> K, </w:t>
      </w:r>
      <w:proofErr w:type="spellStart"/>
      <w:r w:rsidRPr="0057248A">
        <w:rPr>
          <w:rFonts w:ascii="Book Antiqua" w:hAnsi="Book Antiqua"/>
          <w:lang w:val="en-US"/>
        </w:rPr>
        <w:t>Kondoh</w:t>
      </w:r>
      <w:proofErr w:type="spellEnd"/>
      <w:r w:rsidRPr="0057248A">
        <w:rPr>
          <w:rFonts w:ascii="Book Antiqua" w:hAnsi="Book Antiqua"/>
          <w:lang w:val="en-US"/>
        </w:rPr>
        <w:t xml:space="preserve"> C, Tanabe Y, Tanaka T, </w:t>
      </w:r>
      <w:proofErr w:type="spellStart"/>
      <w:r w:rsidRPr="0057248A">
        <w:rPr>
          <w:rFonts w:ascii="Book Antiqua" w:hAnsi="Book Antiqua"/>
          <w:lang w:val="en-US"/>
        </w:rPr>
        <w:t>Haruta</w:t>
      </w:r>
      <w:proofErr w:type="spellEnd"/>
      <w:r w:rsidRPr="0057248A">
        <w:rPr>
          <w:rFonts w:ascii="Book Antiqua" w:hAnsi="Book Antiqua"/>
          <w:lang w:val="en-US"/>
        </w:rPr>
        <w:t xml:space="preserve"> S, Ueno M, Kitano S, </w:t>
      </w:r>
      <w:proofErr w:type="spellStart"/>
      <w:r w:rsidRPr="0057248A">
        <w:rPr>
          <w:rFonts w:ascii="Book Antiqua" w:hAnsi="Book Antiqua"/>
          <w:lang w:val="en-US"/>
        </w:rPr>
        <w:t>Fujii</w:t>
      </w:r>
      <w:proofErr w:type="spellEnd"/>
      <w:r w:rsidRPr="0057248A">
        <w:rPr>
          <w:rFonts w:ascii="Book Antiqua" w:hAnsi="Book Antiqua"/>
          <w:lang w:val="en-US"/>
        </w:rPr>
        <w:t xml:space="preserve"> T, </w:t>
      </w:r>
      <w:proofErr w:type="spellStart"/>
      <w:r w:rsidRPr="0057248A">
        <w:rPr>
          <w:rFonts w:ascii="Book Antiqua" w:hAnsi="Book Antiqua"/>
          <w:lang w:val="en-US"/>
        </w:rPr>
        <w:t>Udagawa</w:t>
      </w:r>
      <w:proofErr w:type="spellEnd"/>
      <w:r w:rsidRPr="0057248A">
        <w:rPr>
          <w:rFonts w:ascii="Book Antiqua" w:hAnsi="Book Antiqua"/>
          <w:lang w:val="en-US"/>
        </w:rPr>
        <w:t xml:space="preserve"> H, Takano T. Serial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of metastatic malignant melanoma in a patient treated with nivolumab: a case report. </w:t>
      </w:r>
      <w:r w:rsidRPr="0057248A">
        <w:rPr>
          <w:rFonts w:ascii="Book Antiqua" w:hAnsi="Book Antiqua"/>
          <w:i/>
          <w:lang w:val="en-US"/>
        </w:rPr>
        <w:t>BMC Cancer</w:t>
      </w:r>
      <w:r w:rsidRPr="0057248A">
        <w:rPr>
          <w:rFonts w:ascii="Book Antiqua" w:hAnsi="Book Antiqua"/>
          <w:lang w:val="en-US"/>
        </w:rPr>
        <w:t xml:space="preserve"> 2017; </w:t>
      </w:r>
      <w:r w:rsidRPr="0057248A">
        <w:rPr>
          <w:rFonts w:ascii="Book Antiqua" w:hAnsi="Book Antiqua"/>
          <w:b/>
          <w:lang w:val="en-US"/>
        </w:rPr>
        <w:t>17</w:t>
      </w:r>
      <w:r w:rsidRPr="0057248A">
        <w:rPr>
          <w:rFonts w:ascii="Book Antiqua" w:hAnsi="Book Antiqua"/>
          <w:lang w:val="en-US"/>
        </w:rPr>
        <w:t>: 778 [PMID: 29162045 DOI: 10.1186/s12885-017-3785-4]</w:t>
      </w:r>
    </w:p>
    <w:p w14:paraId="677AD827"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16 </w:t>
      </w:r>
      <w:r w:rsidRPr="0057248A">
        <w:rPr>
          <w:rFonts w:ascii="Book Antiqua" w:hAnsi="Book Antiqua"/>
          <w:b/>
          <w:lang w:val="en-US"/>
        </w:rPr>
        <w:t>Phan GQ</w:t>
      </w:r>
      <w:r w:rsidRPr="0057248A">
        <w:rPr>
          <w:rFonts w:ascii="Book Antiqua" w:hAnsi="Book Antiqua"/>
          <w:lang w:val="en-US"/>
        </w:rPr>
        <w:t xml:space="preserve">, Yang JC, Sherry RM, </w:t>
      </w:r>
      <w:proofErr w:type="spellStart"/>
      <w:r w:rsidRPr="0057248A">
        <w:rPr>
          <w:rFonts w:ascii="Book Antiqua" w:hAnsi="Book Antiqua"/>
          <w:lang w:val="en-US"/>
        </w:rPr>
        <w:t>Hwu</w:t>
      </w:r>
      <w:proofErr w:type="spellEnd"/>
      <w:r w:rsidRPr="0057248A">
        <w:rPr>
          <w:rFonts w:ascii="Book Antiqua" w:hAnsi="Book Antiqua"/>
          <w:lang w:val="en-US"/>
        </w:rPr>
        <w:t xml:space="preserve"> P, </w:t>
      </w:r>
      <w:proofErr w:type="spellStart"/>
      <w:r w:rsidRPr="0057248A">
        <w:rPr>
          <w:rFonts w:ascii="Book Antiqua" w:hAnsi="Book Antiqua"/>
          <w:lang w:val="en-US"/>
        </w:rPr>
        <w:t>Topalian</w:t>
      </w:r>
      <w:proofErr w:type="spellEnd"/>
      <w:r w:rsidRPr="0057248A">
        <w:rPr>
          <w:rFonts w:ascii="Book Antiqua" w:hAnsi="Book Antiqua"/>
          <w:lang w:val="en-US"/>
        </w:rPr>
        <w:t xml:space="preserve"> SL, </w:t>
      </w:r>
      <w:proofErr w:type="spellStart"/>
      <w:r w:rsidRPr="0057248A">
        <w:rPr>
          <w:rFonts w:ascii="Book Antiqua" w:hAnsi="Book Antiqua"/>
          <w:lang w:val="en-US"/>
        </w:rPr>
        <w:t>Schwartzentruber</w:t>
      </w:r>
      <w:proofErr w:type="spellEnd"/>
      <w:r w:rsidRPr="0057248A">
        <w:rPr>
          <w:rFonts w:ascii="Book Antiqua" w:hAnsi="Book Antiqua"/>
          <w:lang w:val="en-US"/>
        </w:rPr>
        <w:t xml:space="preserve"> DJ, </w:t>
      </w:r>
      <w:proofErr w:type="spellStart"/>
      <w:r w:rsidRPr="0057248A">
        <w:rPr>
          <w:rFonts w:ascii="Book Antiqua" w:hAnsi="Book Antiqua"/>
          <w:lang w:val="en-US"/>
        </w:rPr>
        <w:t>Restifo</w:t>
      </w:r>
      <w:proofErr w:type="spellEnd"/>
      <w:r w:rsidRPr="0057248A">
        <w:rPr>
          <w:rFonts w:ascii="Book Antiqua" w:hAnsi="Book Antiqua"/>
          <w:lang w:val="en-US"/>
        </w:rPr>
        <w:t xml:space="preserve"> NP, Haworth LR, </w:t>
      </w:r>
      <w:proofErr w:type="spellStart"/>
      <w:r w:rsidRPr="0057248A">
        <w:rPr>
          <w:rFonts w:ascii="Book Antiqua" w:hAnsi="Book Antiqua"/>
          <w:lang w:val="en-US"/>
        </w:rPr>
        <w:t>Seipp</w:t>
      </w:r>
      <w:proofErr w:type="spellEnd"/>
      <w:r w:rsidRPr="0057248A">
        <w:rPr>
          <w:rFonts w:ascii="Book Antiqua" w:hAnsi="Book Antiqua"/>
          <w:lang w:val="en-US"/>
        </w:rPr>
        <w:t xml:space="preserve"> CA, Freezer LJ, Morton KE, </w:t>
      </w:r>
      <w:proofErr w:type="spellStart"/>
      <w:r w:rsidRPr="0057248A">
        <w:rPr>
          <w:rFonts w:ascii="Book Antiqua" w:hAnsi="Book Antiqua"/>
          <w:lang w:val="en-US"/>
        </w:rPr>
        <w:t>Mavroukakis</w:t>
      </w:r>
      <w:proofErr w:type="spellEnd"/>
      <w:r w:rsidRPr="0057248A">
        <w:rPr>
          <w:rFonts w:ascii="Book Antiqua" w:hAnsi="Book Antiqua"/>
          <w:lang w:val="en-US"/>
        </w:rPr>
        <w:t xml:space="preserve"> SA, </w:t>
      </w:r>
      <w:proofErr w:type="spellStart"/>
      <w:r w:rsidRPr="0057248A">
        <w:rPr>
          <w:rFonts w:ascii="Book Antiqua" w:hAnsi="Book Antiqua"/>
          <w:lang w:val="en-US"/>
        </w:rPr>
        <w:t>Duray</w:t>
      </w:r>
      <w:proofErr w:type="spellEnd"/>
      <w:r w:rsidRPr="0057248A">
        <w:rPr>
          <w:rFonts w:ascii="Book Antiqua" w:hAnsi="Book Antiqua"/>
          <w:lang w:val="en-US"/>
        </w:rPr>
        <w:t xml:space="preserve"> PH, Steinberg SM, Allison JP, Davis TA, Rosenberg SA. Cancer regression and autoimmunity induced by cytotoxic T lymphocyte-associated antigen 4 blockade in </w:t>
      </w:r>
      <w:r w:rsidRPr="0057248A">
        <w:rPr>
          <w:rFonts w:ascii="Book Antiqua" w:hAnsi="Book Antiqua"/>
          <w:lang w:val="en-US"/>
        </w:rPr>
        <w:lastRenderedPageBreak/>
        <w:t xml:space="preserve">patients with metastatic melanoma. </w:t>
      </w:r>
      <w:proofErr w:type="spellStart"/>
      <w:r w:rsidRPr="0057248A">
        <w:rPr>
          <w:rFonts w:ascii="Book Antiqua" w:hAnsi="Book Antiqua"/>
          <w:i/>
          <w:lang w:val="en-US"/>
        </w:rPr>
        <w:t>Proc</w:t>
      </w:r>
      <w:proofErr w:type="spellEnd"/>
      <w:r w:rsidRPr="0057248A">
        <w:rPr>
          <w:rFonts w:ascii="Book Antiqua" w:hAnsi="Book Antiqua"/>
          <w:i/>
          <w:lang w:val="en-US"/>
        </w:rPr>
        <w:t xml:space="preserve"> </w:t>
      </w:r>
      <w:proofErr w:type="spellStart"/>
      <w:r w:rsidRPr="0057248A">
        <w:rPr>
          <w:rFonts w:ascii="Book Antiqua" w:hAnsi="Book Antiqua"/>
          <w:i/>
          <w:lang w:val="en-US"/>
        </w:rPr>
        <w:t>Natl</w:t>
      </w:r>
      <w:proofErr w:type="spellEnd"/>
      <w:r w:rsidRPr="0057248A">
        <w:rPr>
          <w:rFonts w:ascii="Book Antiqua" w:hAnsi="Book Antiqua"/>
          <w:i/>
          <w:lang w:val="en-US"/>
        </w:rPr>
        <w:t xml:space="preserve"> </w:t>
      </w:r>
      <w:proofErr w:type="spellStart"/>
      <w:r w:rsidRPr="0057248A">
        <w:rPr>
          <w:rFonts w:ascii="Book Antiqua" w:hAnsi="Book Antiqua"/>
          <w:i/>
          <w:lang w:val="en-US"/>
        </w:rPr>
        <w:t>Acad</w:t>
      </w:r>
      <w:proofErr w:type="spellEnd"/>
      <w:r w:rsidRPr="0057248A">
        <w:rPr>
          <w:rFonts w:ascii="Book Antiqua" w:hAnsi="Book Antiqua"/>
          <w:i/>
          <w:lang w:val="en-US"/>
        </w:rPr>
        <w:t xml:space="preserve"> </w:t>
      </w:r>
      <w:proofErr w:type="spellStart"/>
      <w:r w:rsidRPr="0057248A">
        <w:rPr>
          <w:rFonts w:ascii="Book Antiqua" w:hAnsi="Book Antiqua"/>
          <w:i/>
          <w:lang w:val="en-US"/>
        </w:rPr>
        <w:t>Sci</w:t>
      </w:r>
      <w:proofErr w:type="spellEnd"/>
      <w:r w:rsidRPr="0057248A">
        <w:rPr>
          <w:rFonts w:ascii="Book Antiqua" w:hAnsi="Book Antiqua"/>
          <w:i/>
          <w:lang w:val="en-US"/>
        </w:rPr>
        <w:t xml:space="preserve"> U S A</w:t>
      </w:r>
      <w:r w:rsidRPr="0057248A">
        <w:rPr>
          <w:rFonts w:ascii="Book Antiqua" w:hAnsi="Book Antiqua"/>
          <w:lang w:val="en-US"/>
        </w:rPr>
        <w:t xml:space="preserve"> 2003; </w:t>
      </w:r>
      <w:r w:rsidRPr="0057248A">
        <w:rPr>
          <w:rFonts w:ascii="Book Antiqua" w:hAnsi="Book Antiqua"/>
          <w:b/>
          <w:lang w:val="en-US"/>
        </w:rPr>
        <w:t>100</w:t>
      </w:r>
      <w:r w:rsidRPr="0057248A">
        <w:rPr>
          <w:rFonts w:ascii="Book Antiqua" w:hAnsi="Book Antiqua"/>
          <w:lang w:val="en-US"/>
        </w:rPr>
        <w:t>: 8372-8377 [PMID: 12826605 DOI: 10.1073/pnas.1533209100]</w:t>
      </w:r>
    </w:p>
    <w:p w14:paraId="6EC33000"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17 </w:t>
      </w:r>
      <w:proofErr w:type="spellStart"/>
      <w:r w:rsidRPr="0057248A">
        <w:rPr>
          <w:rFonts w:ascii="Book Antiqua" w:hAnsi="Book Antiqua"/>
          <w:b/>
          <w:lang w:val="en-US"/>
        </w:rPr>
        <w:t>Saenger</w:t>
      </w:r>
      <w:proofErr w:type="spellEnd"/>
      <w:r w:rsidRPr="0057248A">
        <w:rPr>
          <w:rFonts w:ascii="Book Antiqua" w:hAnsi="Book Antiqua"/>
          <w:b/>
          <w:lang w:val="en-US"/>
        </w:rPr>
        <w:t xml:space="preserve"> YM</w:t>
      </w:r>
      <w:r w:rsidRPr="0057248A">
        <w:rPr>
          <w:rFonts w:ascii="Book Antiqua" w:hAnsi="Book Antiqua"/>
          <w:lang w:val="en-US"/>
        </w:rPr>
        <w:t xml:space="preserve">, </w:t>
      </w:r>
      <w:proofErr w:type="spellStart"/>
      <w:r w:rsidRPr="0057248A">
        <w:rPr>
          <w:rFonts w:ascii="Book Antiqua" w:hAnsi="Book Antiqua"/>
          <w:lang w:val="en-US"/>
        </w:rPr>
        <w:t>Wolchok</w:t>
      </w:r>
      <w:proofErr w:type="spellEnd"/>
      <w:r w:rsidRPr="0057248A">
        <w:rPr>
          <w:rFonts w:ascii="Book Antiqua" w:hAnsi="Book Antiqua"/>
          <w:lang w:val="en-US"/>
        </w:rPr>
        <w:t xml:space="preserve"> JD. The heterogeneity of the kinetics of response to ipilimumab in metastatic melanoma: patient cases. </w:t>
      </w:r>
      <w:r w:rsidRPr="0057248A">
        <w:rPr>
          <w:rFonts w:ascii="Book Antiqua" w:hAnsi="Book Antiqua"/>
          <w:i/>
          <w:lang w:val="en-US"/>
        </w:rPr>
        <w:t xml:space="preserve">Cancer </w:t>
      </w:r>
      <w:proofErr w:type="spellStart"/>
      <w:r w:rsidRPr="0057248A">
        <w:rPr>
          <w:rFonts w:ascii="Book Antiqua" w:hAnsi="Book Antiqua"/>
          <w:i/>
          <w:lang w:val="en-US"/>
        </w:rPr>
        <w:t>Immun</w:t>
      </w:r>
      <w:proofErr w:type="spellEnd"/>
      <w:r w:rsidRPr="0057248A">
        <w:rPr>
          <w:rFonts w:ascii="Book Antiqua" w:hAnsi="Book Antiqua"/>
          <w:lang w:val="en-US"/>
        </w:rPr>
        <w:t xml:space="preserve"> 2008; </w:t>
      </w:r>
      <w:r w:rsidRPr="0057248A">
        <w:rPr>
          <w:rFonts w:ascii="Book Antiqua" w:hAnsi="Book Antiqua"/>
          <w:b/>
          <w:lang w:val="en-US"/>
        </w:rPr>
        <w:t>8</w:t>
      </w:r>
      <w:r w:rsidRPr="0057248A">
        <w:rPr>
          <w:rFonts w:ascii="Book Antiqua" w:hAnsi="Book Antiqua"/>
          <w:lang w:val="en-US"/>
        </w:rPr>
        <w:t>: 1 [PMID: 18198818]</w:t>
      </w:r>
    </w:p>
    <w:p w14:paraId="5115560D" w14:textId="5667E305"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18 </w:t>
      </w:r>
      <w:r w:rsidRPr="0057248A">
        <w:rPr>
          <w:rFonts w:ascii="Book Antiqua" w:hAnsi="Book Antiqua"/>
          <w:b/>
          <w:lang w:val="en-US"/>
        </w:rPr>
        <w:t>Vikram K,</w:t>
      </w:r>
      <w:r w:rsidRPr="0057248A">
        <w:rPr>
          <w:rFonts w:ascii="Book Antiqua" w:hAnsi="Book Antiqua"/>
          <w:lang w:val="en-US"/>
        </w:rPr>
        <w:t xml:space="preserve"> Sullivan RJ, </w:t>
      </w:r>
      <w:proofErr w:type="spellStart"/>
      <w:r w:rsidRPr="0057248A">
        <w:rPr>
          <w:rFonts w:ascii="Book Antiqua" w:hAnsi="Book Antiqua"/>
          <w:lang w:val="en-US"/>
        </w:rPr>
        <w:t>Gainor</w:t>
      </w:r>
      <w:proofErr w:type="spellEnd"/>
      <w:r w:rsidRPr="0057248A">
        <w:rPr>
          <w:rFonts w:ascii="Book Antiqua" w:hAnsi="Book Antiqua"/>
          <w:lang w:val="en-US"/>
        </w:rPr>
        <w:t xml:space="preserve"> JF, </w:t>
      </w:r>
      <w:proofErr w:type="spellStart"/>
      <w:r w:rsidRPr="0057248A">
        <w:rPr>
          <w:rFonts w:ascii="Book Antiqua" w:hAnsi="Book Antiqua"/>
          <w:lang w:val="en-US"/>
        </w:rPr>
        <w:t>Hodi</w:t>
      </w:r>
      <w:proofErr w:type="spellEnd"/>
      <w:r w:rsidRPr="0057248A">
        <w:rPr>
          <w:rFonts w:ascii="Book Antiqua" w:hAnsi="Book Antiqua"/>
          <w:lang w:val="en-US"/>
        </w:rPr>
        <w:t xml:space="preserve"> FS, Gandhi L, </w:t>
      </w:r>
      <w:proofErr w:type="spellStart"/>
      <w:r w:rsidRPr="0057248A">
        <w:rPr>
          <w:rFonts w:ascii="Book Antiqua" w:hAnsi="Book Antiqua"/>
          <w:lang w:val="en-US"/>
        </w:rPr>
        <w:t>Sadow</w:t>
      </w:r>
      <w:proofErr w:type="spellEnd"/>
      <w:r w:rsidRPr="0057248A">
        <w:rPr>
          <w:rFonts w:ascii="Book Antiqua" w:hAnsi="Book Antiqua"/>
          <w:lang w:val="en-US"/>
        </w:rPr>
        <w:t xml:space="preserve"> CA, Harris GJ, Flaherty K, Lee S.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in cancer immunotherapy: Rates, time course and patient outcomes. </w:t>
      </w:r>
      <w:r w:rsidRPr="0057248A">
        <w:rPr>
          <w:rFonts w:ascii="Book Antiqua" w:hAnsi="Book Antiqua"/>
          <w:i/>
          <w:lang w:val="en-US"/>
        </w:rPr>
        <w:t>J Clin Oncol</w:t>
      </w:r>
      <w:r w:rsidRPr="0057248A">
        <w:rPr>
          <w:rFonts w:ascii="Book Antiqua" w:hAnsi="Book Antiqua"/>
          <w:lang w:val="en-US"/>
        </w:rPr>
        <w:t xml:space="preserve"> 2016; </w:t>
      </w:r>
      <w:r w:rsidRPr="0057248A">
        <w:rPr>
          <w:rFonts w:ascii="Book Antiqua" w:hAnsi="Book Antiqua"/>
          <w:b/>
          <w:lang w:val="en-US"/>
        </w:rPr>
        <w:t>34</w:t>
      </w:r>
      <w:r w:rsidRPr="0057248A">
        <w:rPr>
          <w:rFonts w:ascii="Book Antiqua" w:hAnsi="Book Antiqua"/>
          <w:lang w:val="en-US"/>
        </w:rPr>
        <w:t>: 6580–6580 [DOI: 10.1200/JCO.2016.34.15_suppl.6580]</w:t>
      </w:r>
    </w:p>
    <w:p w14:paraId="3A9319D9"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19 </w:t>
      </w:r>
      <w:proofErr w:type="spellStart"/>
      <w:r w:rsidRPr="0057248A">
        <w:rPr>
          <w:rFonts w:ascii="Book Antiqua" w:hAnsi="Book Antiqua"/>
          <w:b/>
          <w:lang w:val="en-US"/>
        </w:rPr>
        <w:t>Darb-Esfahani</w:t>
      </w:r>
      <w:proofErr w:type="spellEnd"/>
      <w:r w:rsidRPr="0057248A">
        <w:rPr>
          <w:rFonts w:ascii="Book Antiqua" w:hAnsi="Book Antiqua"/>
          <w:b/>
          <w:lang w:val="en-US"/>
        </w:rPr>
        <w:t xml:space="preserve"> S</w:t>
      </w:r>
      <w:r w:rsidRPr="0057248A">
        <w:rPr>
          <w:rFonts w:ascii="Book Antiqua" w:hAnsi="Book Antiqua"/>
          <w:lang w:val="en-US"/>
        </w:rPr>
        <w:t xml:space="preserve">, </w:t>
      </w:r>
      <w:proofErr w:type="spellStart"/>
      <w:r w:rsidRPr="0057248A">
        <w:rPr>
          <w:rFonts w:ascii="Book Antiqua" w:hAnsi="Book Antiqua"/>
          <w:lang w:val="en-US"/>
        </w:rPr>
        <w:t>Kunze</w:t>
      </w:r>
      <w:proofErr w:type="spellEnd"/>
      <w:r w:rsidRPr="0057248A">
        <w:rPr>
          <w:rFonts w:ascii="Book Antiqua" w:hAnsi="Book Antiqua"/>
          <w:lang w:val="en-US"/>
        </w:rPr>
        <w:t xml:space="preserve"> CA, </w:t>
      </w:r>
      <w:proofErr w:type="spellStart"/>
      <w:r w:rsidRPr="0057248A">
        <w:rPr>
          <w:rFonts w:ascii="Book Antiqua" w:hAnsi="Book Antiqua"/>
          <w:lang w:val="en-US"/>
        </w:rPr>
        <w:t>Kulbe</w:t>
      </w:r>
      <w:proofErr w:type="spellEnd"/>
      <w:r w:rsidRPr="0057248A">
        <w:rPr>
          <w:rFonts w:ascii="Book Antiqua" w:hAnsi="Book Antiqua"/>
          <w:lang w:val="en-US"/>
        </w:rPr>
        <w:t xml:space="preserve"> H, </w:t>
      </w:r>
      <w:proofErr w:type="spellStart"/>
      <w:r w:rsidRPr="0057248A">
        <w:rPr>
          <w:rFonts w:ascii="Book Antiqua" w:hAnsi="Book Antiqua"/>
          <w:lang w:val="en-US"/>
        </w:rPr>
        <w:t>Sehouli</w:t>
      </w:r>
      <w:proofErr w:type="spellEnd"/>
      <w:r w:rsidRPr="0057248A">
        <w:rPr>
          <w:rFonts w:ascii="Book Antiqua" w:hAnsi="Book Antiqua"/>
          <w:lang w:val="en-US"/>
        </w:rPr>
        <w:t xml:space="preserve"> J, </w:t>
      </w:r>
      <w:proofErr w:type="spellStart"/>
      <w:r w:rsidRPr="0057248A">
        <w:rPr>
          <w:rFonts w:ascii="Book Antiqua" w:hAnsi="Book Antiqua"/>
          <w:lang w:val="en-US"/>
        </w:rPr>
        <w:t>Wienert</w:t>
      </w:r>
      <w:proofErr w:type="spellEnd"/>
      <w:r w:rsidRPr="0057248A">
        <w:rPr>
          <w:rFonts w:ascii="Book Antiqua" w:hAnsi="Book Antiqua"/>
          <w:lang w:val="en-US"/>
        </w:rPr>
        <w:t xml:space="preserve"> S, Lindner J, </w:t>
      </w:r>
      <w:proofErr w:type="spellStart"/>
      <w:r w:rsidRPr="0057248A">
        <w:rPr>
          <w:rFonts w:ascii="Book Antiqua" w:hAnsi="Book Antiqua"/>
          <w:lang w:val="en-US"/>
        </w:rPr>
        <w:t>Budczies</w:t>
      </w:r>
      <w:proofErr w:type="spellEnd"/>
      <w:r w:rsidRPr="0057248A">
        <w:rPr>
          <w:rFonts w:ascii="Book Antiqua" w:hAnsi="Book Antiqua"/>
          <w:lang w:val="en-US"/>
        </w:rPr>
        <w:t xml:space="preserve"> J, </w:t>
      </w:r>
      <w:proofErr w:type="spellStart"/>
      <w:r w:rsidRPr="0057248A">
        <w:rPr>
          <w:rFonts w:ascii="Book Antiqua" w:hAnsi="Book Antiqua"/>
          <w:lang w:val="en-US"/>
        </w:rPr>
        <w:t>Bockmayr</w:t>
      </w:r>
      <w:proofErr w:type="spellEnd"/>
      <w:r w:rsidRPr="0057248A">
        <w:rPr>
          <w:rFonts w:ascii="Book Antiqua" w:hAnsi="Book Antiqua"/>
          <w:lang w:val="en-US"/>
        </w:rPr>
        <w:t xml:space="preserve"> M, </w:t>
      </w:r>
      <w:proofErr w:type="spellStart"/>
      <w:r w:rsidRPr="0057248A">
        <w:rPr>
          <w:rFonts w:ascii="Book Antiqua" w:hAnsi="Book Antiqua"/>
          <w:lang w:val="en-US"/>
        </w:rPr>
        <w:t>Dietel</w:t>
      </w:r>
      <w:proofErr w:type="spellEnd"/>
      <w:r w:rsidRPr="0057248A">
        <w:rPr>
          <w:rFonts w:ascii="Book Antiqua" w:hAnsi="Book Antiqua"/>
          <w:lang w:val="en-US"/>
        </w:rPr>
        <w:t xml:space="preserve"> M, </w:t>
      </w:r>
      <w:proofErr w:type="spellStart"/>
      <w:r w:rsidRPr="0057248A">
        <w:rPr>
          <w:rFonts w:ascii="Book Antiqua" w:hAnsi="Book Antiqua"/>
          <w:lang w:val="en-US"/>
        </w:rPr>
        <w:t>Denkert</w:t>
      </w:r>
      <w:proofErr w:type="spellEnd"/>
      <w:r w:rsidRPr="0057248A">
        <w:rPr>
          <w:rFonts w:ascii="Book Antiqua" w:hAnsi="Book Antiqua"/>
          <w:lang w:val="en-US"/>
        </w:rPr>
        <w:t xml:space="preserve"> C, </w:t>
      </w:r>
      <w:proofErr w:type="spellStart"/>
      <w:r w:rsidRPr="0057248A">
        <w:rPr>
          <w:rFonts w:ascii="Book Antiqua" w:hAnsi="Book Antiqua"/>
          <w:lang w:val="en-US"/>
        </w:rPr>
        <w:t>Braicu</w:t>
      </w:r>
      <w:proofErr w:type="spellEnd"/>
      <w:r w:rsidRPr="0057248A">
        <w:rPr>
          <w:rFonts w:ascii="Book Antiqua" w:hAnsi="Book Antiqua"/>
          <w:lang w:val="en-US"/>
        </w:rPr>
        <w:t xml:space="preserve"> I, </w:t>
      </w:r>
      <w:proofErr w:type="spellStart"/>
      <w:r w:rsidRPr="0057248A">
        <w:rPr>
          <w:rFonts w:ascii="Book Antiqua" w:hAnsi="Book Antiqua"/>
          <w:lang w:val="en-US"/>
        </w:rPr>
        <w:t>Jöhrens</w:t>
      </w:r>
      <w:proofErr w:type="spellEnd"/>
      <w:r w:rsidRPr="0057248A">
        <w:rPr>
          <w:rFonts w:ascii="Book Antiqua" w:hAnsi="Book Antiqua"/>
          <w:lang w:val="en-US"/>
        </w:rPr>
        <w:t xml:space="preserve"> K. Prognostic impact of programmed cell death-1 (PD-1) and PD-ligand 1 (PD-L1) expression in cancer cells and tumor-infiltrating lymphocytes in ovarian high grade serous carcinoma. </w:t>
      </w:r>
      <w:proofErr w:type="spellStart"/>
      <w:r w:rsidRPr="0057248A">
        <w:rPr>
          <w:rFonts w:ascii="Book Antiqua" w:hAnsi="Book Antiqua"/>
          <w:i/>
          <w:lang w:val="en-US"/>
        </w:rPr>
        <w:t>Oncotarget</w:t>
      </w:r>
      <w:proofErr w:type="spellEnd"/>
      <w:r w:rsidRPr="0057248A">
        <w:rPr>
          <w:rFonts w:ascii="Book Antiqua" w:hAnsi="Book Antiqua"/>
          <w:lang w:val="en-US"/>
        </w:rPr>
        <w:t xml:space="preserve"> 2016; </w:t>
      </w:r>
      <w:r w:rsidRPr="0057248A">
        <w:rPr>
          <w:rFonts w:ascii="Book Antiqua" w:hAnsi="Book Antiqua"/>
          <w:b/>
          <w:lang w:val="en-US"/>
        </w:rPr>
        <w:t>7</w:t>
      </w:r>
      <w:r w:rsidRPr="0057248A">
        <w:rPr>
          <w:rFonts w:ascii="Book Antiqua" w:hAnsi="Book Antiqua"/>
          <w:lang w:val="en-US"/>
        </w:rPr>
        <w:t>: 1486-1499 [PMID: 26625204 DOI: 10.18632/oncotarget.6429]</w:t>
      </w:r>
    </w:p>
    <w:p w14:paraId="38536D9A"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20 </w:t>
      </w:r>
      <w:r w:rsidRPr="0057248A">
        <w:rPr>
          <w:rFonts w:ascii="Book Antiqua" w:hAnsi="Book Antiqua"/>
          <w:b/>
          <w:lang w:val="en-US"/>
        </w:rPr>
        <w:t>Wang GX</w:t>
      </w:r>
      <w:r w:rsidRPr="0057248A">
        <w:rPr>
          <w:rFonts w:ascii="Book Antiqua" w:hAnsi="Book Antiqua"/>
          <w:lang w:val="en-US"/>
        </w:rPr>
        <w:t xml:space="preserve">, </w:t>
      </w:r>
      <w:proofErr w:type="spellStart"/>
      <w:r w:rsidRPr="0057248A">
        <w:rPr>
          <w:rFonts w:ascii="Book Antiqua" w:hAnsi="Book Antiqua"/>
          <w:lang w:val="en-US"/>
        </w:rPr>
        <w:t>Guo</w:t>
      </w:r>
      <w:proofErr w:type="spellEnd"/>
      <w:r w:rsidRPr="0057248A">
        <w:rPr>
          <w:rFonts w:ascii="Book Antiqua" w:hAnsi="Book Antiqua"/>
          <w:lang w:val="en-US"/>
        </w:rPr>
        <w:t xml:space="preserve"> LQ, </w:t>
      </w:r>
      <w:proofErr w:type="spellStart"/>
      <w:r w:rsidRPr="0057248A">
        <w:rPr>
          <w:rFonts w:ascii="Book Antiqua" w:hAnsi="Book Antiqua"/>
          <w:lang w:val="en-US"/>
        </w:rPr>
        <w:t>Gainor</w:t>
      </w:r>
      <w:proofErr w:type="spellEnd"/>
      <w:r w:rsidRPr="0057248A">
        <w:rPr>
          <w:rFonts w:ascii="Book Antiqua" w:hAnsi="Book Antiqua"/>
          <w:lang w:val="en-US"/>
        </w:rPr>
        <w:t xml:space="preserve"> JF, </w:t>
      </w:r>
      <w:proofErr w:type="spellStart"/>
      <w:r w:rsidRPr="0057248A">
        <w:rPr>
          <w:rFonts w:ascii="Book Antiqua" w:hAnsi="Book Antiqua"/>
          <w:lang w:val="en-US"/>
        </w:rPr>
        <w:t>Fintelmann</w:t>
      </w:r>
      <w:proofErr w:type="spellEnd"/>
      <w:r w:rsidRPr="0057248A">
        <w:rPr>
          <w:rFonts w:ascii="Book Antiqua" w:hAnsi="Book Antiqua"/>
          <w:lang w:val="en-US"/>
        </w:rPr>
        <w:t xml:space="preserve"> FJ. Immune Checkpoint Inhibitors in Lung Cancer: Imaging Considerations. </w:t>
      </w:r>
      <w:r w:rsidRPr="0057248A">
        <w:rPr>
          <w:rFonts w:ascii="Book Antiqua" w:hAnsi="Book Antiqua"/>
          <w:i/>
          <w:lang w:val="en-US"/>
        </w:rPr>
        <w:t xml:space="preserve">AJR Am J </w:t>
      </w:r>
      <w:proofErr w:type="spellStart"/>
      <w:r w:rsidRPr="0057248A">
        <w:rPr>
          <w:rFonts w:ascii="Book Antiqua" w:hAnsi="Book Antiqua"/>
          <w:i/>
          <w:lang w:val="en-US"/>
        </w:rPr>
        <w:t>Roentgenol</w:t>
      </w:r>
      <w:proofErr w:type="spellEnd"/>
      <w:r w:rsidRPr="0057248A">
        <w:rPr>
          <w:rFonts w:ascii="Book Antiqua" w:hAnsi="Book Antiqua"/>
          <w:lang w:val="en-US"/>
        </w:rPr>
        <w:t xml:space="preserve"> 2017; </w:t>
      </w:r>
      <w:r w:rsidRPr="0057248A">
        <w:rPr>
          <w:rFonts w:ascii="Book Antiqua" w:hAnsi="Book Antiqua"/>
          <w:b/>
          <w:lang w:val="en-US"/>
        </w:rPr>
        <w:t>209</w:t>
      </w:r>
      <w:r w:rsidRPr="0057248A">
        <w:rPr>
          <w:rFonts w:ascii="Book Antiqua" w:hAnsi="Book Antiqua"/>
          <w:lang w:val="en-US"/>
        </w:rPr>
        <w:t>: 567-575 [PMID: 28657846 DOI: 10.2214/AJR.16.17770]</w:t>
      </w:r>
    </w:p>
    <w:p w14:paraId="73A089A1"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21 </w:t>
      </w:r>
      <w:r w:rsidRPr="0057248A">
        <w:rPr>
          <w:rFonts w:ascii="Book Antiqua" w:hAnsi="Book Antiqua"/>
          <w:b/>
          <w:lang w:val="en-US"/>
        </w:rPr>
        <w:t>Wang GX</w:t>
      </w:r>
      <w:r w:rsidRPr="0057248A">
        <w:rPr>
          <w:rFonts w:ascii="Book Antiqua" w:hAnsi="Book Antiqua"/>
          <w:lang w:val="en-US"/>
        </w:rPr>
        <w:t xml:space="preserve">, </w:t>
      </w:r>
      <w:proofErr w:type="spellStart"/>
      <w:r w:rsidRPr="0057248A">
        <w:rPr>
          <w:rFonts w:ascii="Book Antiqua" w:hAnsi="Book Antiqua"/>
          <w:lang w:val="en-US"/>
        </w:rPr>
        <w:t>Kurra</w:t>
      </w:r>
      <w:proofErr w:type="spellEnd"/>
      <w:r w:rsidRPr="0057248A">
        <w:rPr>
          <w:rFonts w:ascii="Book Antiqua" w:hAnsi="Book Antiqua"/>
          <w:lang w:val="en-US"/>
        </w:rPr>
        <w:t xml:space="preserve"> V, </w:t>
      </w:r>
      <w:proofErr w:type="spellStart"/>
      <w:r w:rsidRPr="0057248A">
        <w:rPr>
          <w:rFonts w:ascii="Book Antiqua" w:hAnsi="Book Antiqua"/>
          <w:lang w:val="en-US"/>
        </w:rPr>
        <w:t>Gainor</w:t>
      </w:r>
      <w:proofErr w:type="spellEnd"/>
      <w:r w:rsidRPr="0057248A">
        <w:rPr>
          <w:rFonts w:ascii="Book Antiqua" w:hAnsi="Book Antiqua"/>
          <w:lang w:val="en-US"/>
        </w:rPr>
        <w:t xml:space="preserve"> JF, Sullivan RJ, Flaherty KT, Lee SI, </w:t>
      </w:r>
      <w:proofErr w:type="spellStart"/>
      <w:r w:rsidRPr="0057248A">
        <w:rPr>
          <w:rFonts w:ascii="Book Antiqua" w:hAnsi="Book Antiqua"/>
          <w:lang w:val="en-US"/>
        </w:rPr>
        <w:t>Fintelmann</w:t>
      </w:r>
      <w:proofErr w:type="spellEnd"/>
      <w:r w:rsidRPr="0057248A">
        <w:rPr>
          <w:rFonts w:ascii="Book Antiqua" w:hAnsi="Book Antiqua"/>
          <w:lang w:val="en-US"/>
        </w:rPr>
        <w:t xml:space="preserve"> FJ. Immune Checkpoint Inhibitor Cancer Therapy: Spectrum of Imaging Findings. </w:t>
      </w:r>
      <w:proofErr w:type="spellStart"/>
      <w:r w:rsidRPr="0057248A">
        <w:rPr>
          <w:rFonts w:ascii="Book Antiqua" w:hAnsi="Book Antiqua"/>
          <w:i/>
          <w:lang w:val="en-US"/>
        </w:rPr>
        <w:t>Radiographics</w:t>
      </w:r>
      <w:proofErr w:type="spellEnd"/>
      <w:r w:rsidRPr="0057248A">
        <w:rPr>
          <w:rFonts w:ascii="Book Antiqua" w:hAnsi="Book Antiqua"/>
          <w:lang w:val="en-US"/>
        </w:rPr>
        <w:t xml:space="preserve"> 2017; </w:t>
      </w:r>
      <w:r w:rsidRPr="0057248A">
        <w:rPr>
          <w:rFonts w:ascii="Book Antiqua" w:hAnsi="Book Antiqua"/>
          <w:b/>
          <w:lang w:val="en-US"/>
        </w:rPr>
        <w:t>37</w:t>
      </w:r>
      <w:r w:rsidRPr="0057248A">
        <w:rPr>
          <w:rFonts w:ascii="Book Antiqua" w:hAnsi="Book Antiqua"/>
          <w:lang w:val="en-US"/>
        </w:rPr>
        <w:t>: 2132-2144 [PMID: 29131763 DOI: 10.1148/rg.2017170085]</w:t>
      </w:r>
    </w:p>
    <w:p w14:paraId="70CCD9C6"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22 </w:t>
      </w:r>
      <w:proofErr w:type="spellStart"/>
      <w:r w:rsidRPr="0057248A">
        <w:rPr>
          <w:rFonts w:ascii="Book Antiqua" w:hAnsi="Book Antiqua"/>
          <w:b/>
          <w:lang w:val="en-US"/>
        </w:rPr>
        <w:t>Imafuku</w:t>
      </w:r>
      <w:proofErr w:type="spellEnd"/>
      <w:r w:rsidRPr="0057248A">
        <w:rPr>
          <w:rFonts w:ascii="Book Antiqua" w:hAnsi="Book Antiqua"/>
          <w:b/>
          <w:lang w:val="en-US"/>
        </w:rPr>
        <w:t xml:space="preserve"> K</w:t>
      </w:r>
      <w:r w:rsidRPr="0057248A">
        <w:rPr>
          <w:rFonts w:ascii="Book Antiqua" w:hAnsi="Book Antiqua"/>
          <w:lang w:val="en-US"/>
        </w:rPr>
        <w:t xml:space="preserve">, </w:t>
      </w:r>
      <w:proofErr w:type="spellStart"/>
      <w:r w:rsidRPr="0057248A">
        <w:rPr>
          <w:rFonts w:ascii="Book Antiqua" w:hAnsi="Book Antiqua"/>
          <w:lang w:val="en-US"/>
        </w:rPr>
        <w:t>Hata</w:t>
      </w:r>
      <w:proofErr w:type="spellEnd"/>
      <w:r w:rsidRPr="0057248A">
        <w:rPr>
          <w:rFonts w:ascii="Book Antiqua" w:hAnsi="Book Antiqua"/>
          <w:lang w:val="en-US"/>
        </w:rPr>
        <w:t xml:space="preserve"> H, Kitamura S, </w:t>
      </w:r>
      <w:proofErr w:type="spellStart"/>
      <w:r w:rsidRPr="0057248A">
        <w:rPr>
          <w:rFonts w:ascii="Book Antiqua" w:hAnsi="Book Antiqua"/>
          <w:lang w:val="en-US"/>
        </w:rPr>
        <w:t>Yanagi</w:t>
      </w:r>
      <w:proofErr w:type="spellEnd"/>
      <w:r w:rsidRPr="0057248A">
        <w:rPr>
          <w:rFonts w:ascii="Book Antiqua" w:hAnsi="Book Antiqua"/>
          <w:lang w:val="en-US"/>
        </w:rPr>
        <w:t xml:space="preserve"> T, Shimizu H. Ultrasonographic findings can identify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under </w:t>
      </w:r>
      <w:proofErr w:type="spellStart"/>
      <w:r w:rsidRPr="0057248A">
        <w:rPr>
          <w:rFonts w:ascii="Book Antiqua" w:hAnsi="Book Antiqua"/>
          <w:lang w:val="en-US"/>
        </w:rPr>
        <w:t>nivolumab</w:t>
      </w:r>
      <w:proofErr w:type="spellEnd"/>
      <w:r w:rsidRPr="0057248A">
        <w:rPr>
          <w:rFonts w:ascii="Book Antiqua" w:hAnsi="Book Antiqua"/>
          <w:lang w:val="en-US"/>
        </w:rPr>
        <w:t xml:space="preserve"> therapy. </w:t>
      </w:r>
      <w:r w:rsidRPr="0057248A">
        <w:rPr>
          <w:rFonts w:ascii="Book Antiqua" w:hAnsi="Book Antiqua"/>
          <w:i/>
          <w:lang w:val="en-US"/>
        </w:rPr>
        <w:t>Br J Dermatol</w:t>
      </w:r>
      <w:r w:rsidRPr="0057248A">
        <w:rPr>
          <w:rFonts w:ascii="Book Antiqua" w:hAnsi="Book Antiqua"/>
          <w:lang w:val="en-US"/>
        </w:rPr>
        <w:t xml:space="preserve"> 2017; </w:t>
      </w:r>
      <w:r w:rsidRPr="0057248A">
        <w:rPr>
          <w:rFonts w:ascii="Book Antiqua" w:hAnsi="Book Antiqua"/>
          <w:b/>
          <w:lang w:val="en-US"/>
        </w:rPr>
        <w:t>177</w:t>
      </w:r>
      <w:r w:rsidRPr="0057248A">
        <w:rPr>
          <w:rFonts w:ascii="Book Antiqua" w:hAnsi="Book Antiqua"/>
          <w:lang w:val="en-US"/>
        </w:rPr>
        <w:t>: 1726-1731 [PMID: 27873302 DOI: 10.1111/bjd.15198]</w:t>
      </w:r>
    </w:p>
    <w:p w14:paraId="7DCB7D88"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23 </w:t>
      </w:r>
      <w:proofErr w:type="spellStart"/>
      <w:r w:rsidRPr="0057248A">
        <w:rPr>
          <w:rFonts w:ascii="Book Antiqua" w:hAnsi="Book Antiqua"/>
          <w:b/>
          <w:lang w:val="en-US"/>
        </w:rPr>
        <w:t>Tanizaki</w:t>
      </w:r>
      <w:proofErr w:type="spellEnd"/>
      <w:r w:rsidRPr="0057248A">
        <w:rPr>
          <w:rFonts w:ascii="Book Antiqua" w:hAnsi="Book Antiqua"/>
          <w:b/>
          <w:lang w:val="en-US"/>
        </w:rPr>
        <w:t xml:space="preserve"> J</w:t>
      </w:r>
      <w:r w:rsidRPr="0057248A">
        <w:rPr>
          <w:rFonts w:ascii="Book Antiqua" w:hAnsi="Book Antiqua"/>
          <w:lang w:val="en-US"/>
        </w:rPr>
        <w:t xml:space="preserve">, Hayashi H, Kimura M, Tanaka K, Takeda M, Shimizu S, Ito A, Nakagawa K. Report of two cases of </w:t>
      </w:r>
      <w:proofErr w:type="spellStart"/>
      <w:r w:rsidRPr="0057248A">
        <w:rPr>
          <w:rFonts w:ascii="Book Antiqua" w:hAnsi="Book Antiqua"/>
          <w:lang w:val="en-US"/>
        </w:rPr>
        <w:t>pseudoprogression</w:t>
      </w:r>
      <w:proofErr w:type="spellEnd"/>
      <w:r w:rsidRPr="0057248A">
        <w:rPr>
          <w:rFonts w:ascii="Book Antiqua" w:hAnsi="Book Antiqua"/>
          <w:lang w:val="en-US"/>
        </w:rPr>
        <w:t xml:space="preserve"> in patients with non-small cell lung cancer treated with nivolumab-including histological analysis of one case after tumor regression. </w:t>
      </w:r>
      <w:r w:rsidRPr="0057248A">
        <w:rPr>
          <w:rFonts w:ascii="Book Antiqua" w:hAnsi="Book Antiqua"/>
          <w:i/>
          <w:lang w:val="en-US"/>
        </w:rPr>
        <w:t>Lung Cancer</w:t>
      </w:r>
      <w:r w:rsidRPr="0057248A">
        <w:rPr>
          <w:rFonts w:ascii="Book Antiqua" w:hAnsi="Book Antiqua"/>
          <w:lang w:val="en-US"/>
        </w:rPr>
        <w:t xml:space="preserve"> 2016; </w:t>
      </w:r>
      <w:r w:rsidRPr="0057248A">
        <w:rPr>
          <w:rFonts w:ascii="Book Antiqua" w:hAnsi="Book Antiqua"/>
          <w:b/>
          <w:lang w:val="en-US"/>
        </w:rPr>
        <w:t>102</w:t>
      </w:r>
      <w:r w:rsidRPr="0057248A">
        <w:rPr>
          <w:rFonts w:ascii="Book Antiqua" w:hAnsi="Book Antiqua"/>
          <w:lang w:val="en-US"/>
        </w:rPr>
        <w:t>: 44-48 [PMID: 27987588 DOI: 10.1016/j.lungcan.2016.10.014]</w:t>
      </w:r>
    </w:p>
    <w:p w14:paraId="029BCD4F"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24 </w:t>
      </w:r>
      <w:proofErr w:type="spellStart"/>
      <w:r w:rsidRPr="0057248A">
        <w:rPr>
          <w:rFonts w:ascii="Book Antiqua" w:hAnsi="Book Antiqua"/>
          <w:b/>
          <w:lang w:val="en-US"/>
        </w:rPr>
        <w:t>Sanmamed</w:t>
      </w:r>
      <w:proofErr w:type="spellEnd"/>
      <w:r w:rsidRPr="0057248A">
        <w:rPr>
          <w:rFonts w:ascii="Book Antiqua" w:hAnsi="Book Antiqua"/>
          <w:b/>
          <w:lang w:val="en-US"/>
        </w:rPr>
        <w:t xml:space="preserve"> MF</w:t>
      </w:r>
      <w:r w:rsidRPr="0057248A">
        <w:rPr>
          <w:rFonts w:ascii="Book Antiqua" w:hAnsi="Book Antiqua"/>
          <w:lang w:val="en-US"/>
        </w:rPr>
        <w:t>, Perez-</w:t>
      </w:r>
      <w:proofErr w:type="spellStart"/>
      <w:r w:rsidRPr="0057248A">
        <w:rPr>
          <w:rFonts w:ascii="Book Antiqua" w:hAnsi="Book Antiqua"/>
          <w:lang w:val="en-US"/>
        </w:rPr>
        <w:t>Gracia</w:t>
      </w:r>
      <w:proofErr w:type="spellEnd"/>
      <w:r w:rsidRPr="0057248A">
        <w:rPr>
          <w:rFonts w:ascii="Book Antiqua" w:hAnsi="Book Antiqua"/>
          <w:lang w:val="en-US"/>
        </w:rPr>
        <w:t xml:space="preserve"> JL, </w:t>
      </w:r>
      <w:proofErr w:type="spellStart"/>
      <w:r w:rsidRPr="0057248A">
        <w:rPr>
          <w:rFonts w:ascii="Book Antiqua" w:hAnsi="Book Antiqua"/>
          <w:lang w:val="en-US"/>
        </w:rPr>
        <w:t>Schalper</w:t>
      </w:r>
      <w:proofErr w:type="spellEnd"/>
      <w:r w:rsidRPr="0057248A">
        <w:rPr>
          <w:rFonts w:ascii="Book Antiqua" w:hAnsi="Book Antiqua"/>
          <w:lang w:val="en-US"/>
        </w:rPr>
        <w:t xml:space="preserve"> KA, Fusco JP, Gonzalez A, Rodriguez-Ruiz ME, </w:t>
      </w:r>
      <w:proofErr w:type="spellStart"/>
      <w:r w:rsidRPr="0057248A">
        <w:rPr>
          <w:rFonts w:ascii="Book Antiqua" w:hAnsi="Book Antiqua"/>
          <w:lang w:val="en-US"/>
        </w:rPr>
        <w:t>Oñate</w:t>
      </w:r>
      <w:proofErr w:type="spellEnd"/>
      <w:r w:rsidRPr="0057248A">
        <w:rPr>
          <w:rFonts w:ascii="Book Antiqua" w:hAnsi="Book Antiqua"/>
          <w:lang w:val="en-US"/>
        </w:rPr>
        <w:t xml:space="preserve"> C, Perez G, Alfaro C, Martín-</w:t>
      </w:r>
      <w:proofErr w:type="spellStart"/>
      <w:r w:rsidRPr="0057248A">
        <w:rPr>
          <w:rFonts w:ascii="Book Antiqua" w:hAnsi="Book Antiqua"/>
          <w:lang w:val="en-US"/>
        </w:rPr>
        <w:t>Algarra</w:t>
      </w:r>
      <w:proofErr w:type="spellEnd"/>
      <w:r w:rsidRPr="0057248A">
        <w:rPr>
          <w:rFonts w:ascii="Book Antiqua" w:hAnsi="Book Antiqua"/>
          <w:lang w:val="en-US"/>
        </w:rPr>
        <w:t xml:space="preserve"> S, </w:t>
      </w:r>
      <w:proofErr w:type="spellStart"/>
      <w:r w:rsidRPr="0057248A">
        <w:rPr>
          <w:rFonts w:ascii="Book Antiqua" w:hAnsi="Book Antiqua"/>
          <w:lang w:val="en-US"/>
        </w:rPr>
        <w:t>Andueza</w:t>
      </w:r>
      <w:proofErr w:type="spellEnd"/>
      <w:r w:rsidRPr="0057248A">
        <w:rPr>
          <w:rFonts w:ascii="Book Antiqua" w:hAnsi="Book Antiqua"/>
          <w:lang w:val="en-US"/>
        </w:rPr>
        <w:t xml:space="preserve"> MP, </w:t>
      </w:r>
      <w:proofErr w:type="spellStart"/>
      <w:r w:rsidRPr="0057248A">
        <w:rPr>
          <w:rFonts w:ascii="Book Antiqua" w:hAnsi="Book Antiqua"/>
          <w:lang w:val="en-US"/>
        </w:rPr>
        <w:t>Gurpide</w:t>
      </w:r>
      <w:proofErr w:type="spellEnd"/>
      <w:r w:rsidRPr="0057248A">
        <w:rPr>
          <w:rFonts w:ascii="Book Antiqua" w:hAnsi="Book Antiqua"/>
          <w:lang w:val="en-US"/>
        </w:rPr>
        <w:t xml:space="preserve"> A, </w:t>
      </w:r>
      <w:proofErr w:type="spellStart"/>
      <w:r w:rsidRPr="0057248A">
        <w:rPr>
          <w:rFonts w:ascii="Book Antiqua" w:hAnsi="Book Antiqua"/>
          <w:lang w:val="en-US"/>
        </w:rPr>
        <w:t>Morgado</w:t>
      </w:r>
      <w:proofErr w:type="spellEnd"/>
      <w:r w:rsidRPr="0057248A">
        <w:rPr>
          <w:rFonts w:ascii="Book Antiqua" w:hAnsi="Book Antiqua"/>
          <w:lang w:val="en-US"/>
        </w:rPr>
        <w:t xml:space="preserve"> M, Wang J, </w:t>
      </w:r>
      <w:proofErr w:type="spellStart"/>
      <w:r w:rsidRPr="0057248A">
        <w:rPr>
          <w:rFonts w:ascii="Book Antiqua" w:hAnsi="Book Antiqua"/>
          <w:lang w:val="en-US"/>
        </w:rPr>
        <w:t>Bacchiocchi</w:t>
      </w:r>
      <w:proofErr w:type="spellEnd"/>
      <w:r w:rsidRPr="0057248A">
        <w:rPr>
          <w:rFonts w:ascii="Book Antiqua" w:hAnsi="Book Antiqua"/>
          <w:lang w:val="en-US"/>
        </w:rPr>
        <w:t xml:space="preserve"> A, </w:t>
      </w:r>
      <w:proofErr w:type="spellStart"/>
      <w:r w:rsidRPr="0057248A">
        <w:rPr>
          <w:rFonts w:ascii="Book Antiqua" w:hAnsi="Book Antiqua"/>
          <w:lang w:val="en-US"/>
        </w:rPr>
        <w:t>Halaban</w:t>
      </w:r>
      <w:proofErr w:type="spellEnd"/>
      <w:r w:rsidRPr="0057248A">
        <w:rPr>
          <w:rFonts w:ascii="Book Antiqua" w:hAnsi="Book Antiqua"/>
          <w:lang w:val="en-US"/>
        </w:rPr>
        <w:t xml:space="preserve"> R, Kluger H, Chen L, </w:t>
      </w:r>
      <w:proofErr w:type="spellStart"/>
      <w:r w:rsidRPr="0057248A">
        <w:rPr>
          <w:rFonts w:ascii="Book Antiqua" w:hAnsi="Book Antiqua"/>
          <w:lang w:val="en-US"/>
        </w:rPr>
        <w:t>Sznol</w:t>
      </w:r>
      <w:proofErr w:type="spellEnd"/>
      <w:r w:rsidRPr="0057248A">
        <w:rPr>
          <w:rFonts w:ascii="Book Antiqua" w:hAnsi="Book Antiqua"/>
          <w:lang w:val="en-US"/>
        </w:rPr>
        <w:t xml:space="preserve"> M, </w:t>
      </w:r>
      <w:proofErr w:type="spellStart"/>
      <w:r w:rsidRPr="0057248A">
        <w:rPr>
          <w:rFonts w:ascii="Book Antiqua" w:hAnsi="Book Antiqua"/>
          <w:lang w:val="en-US"/>
        </w:rPr>
        <w:t>Melero</w:t>
      </w:r>
      <w:proofErr w:type="spellEnd"/>
      <w:r w:rsidRPr="0057248A">
        <w:rPr>
          <w:rFonts w:ascii="Book Antiqua" w:hAnsi="Book Antiqua"/>
          <w:lang w:val="en-US"/>
        </w:rPr>
        <w:t xml:space="preserve"> I. Changes in serum interleukin-8 (IL-8) levels reflect and predict response to anti-PD-1 </w:t>
      </w:r>
      <w:r w:rsidRPr="0057248A">
        <w:rPr>
          <w:rFonts w:ascii="Book Antiqua" w:hAnsi="Book Antiqua"/>
          <w:lang w:val="en-US"/>
        </w:rPr>
        <w:lastRenderedPageBreak/>
        <w:t xml:space="preserve">treatment in melanoma and non-small-cell lung cancer patients. </w:t>
      </w:r>
      <w:r w:rsidRPr="0057248A">
        <w:rPr>
          <w:rFonts w:ascii="Book Antiqua" w:hAnsi="Book Antiqua"/>
          <w:i/>
          <w:lang w:val="en-US"/>
        </w:rPr>
        <w:t>Ann Oncol</w:t>
      </w:r>
      <w:r w:rsidRPr="0057248A">
        <w:rPr>
          <w:rFonts w:ascii="Book Antiqua" w:hAnsi="Book Antiqua"/>
          <w:lang w:val="en-US"/>
        </w:rPr>
        <w:t xml:space="preserve"> 2017; </w:t>
      </w:r>
      <w:r w:rsidRPr="0057248A">
        <w:rPr>
          <w:rFonts w:ascii="Book Antiqua" w:hAnsi="Book Antiqua"/>
          <w:b/>
          <w:lang w:val="en-US"/>
        </w:rPr>
        <w:t>28</w:t>
      </w:r>
      <w:r w:rsidRPr="0057248A">
        <w:rPr>
          <w:rFonts w:ascii="Book Antiqua" w:hAnsi="Book Antiqua"/>
          <w:lang w:val="en-US"/>
        </w:rPr>
        <w:t>: 1988-1995 [PMID: 28595336 DOI: 10.1093/</w:t>
      </w:r>
      <w:proofErr w:type="spellStart"/>
      <w:r w:rsidRPr="0057248A">
        <w:rPr>
          <w:rFonts w:ascii="Book Antiqua" w:hAnsi="Book Antiqua"/>
          <w:lang w:val="en-US"/>
        </w:rPr>
        <w:t>annonc</w:t>
      </w:r>
      <w:proofErr w:type="spellEnd"/>
      <w:r w:rsidRPr="0057248A">
        <w:rPr>
          <w:rFonts w:ascii="Book Antiqua" w:hAnsi="Book Antiqua"/>
          <w:lang w:val="en-US"/>
        </w:rPr>
        <w:t>/mdx190]</w:t>
      </w:r>
    </w:p>
    <w:p w14:paraId="2E200FC4"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25 </w:t>
      </w:r>
      <w:proofErr w:type="spellStart"/>
      <w:r w:rsidRPr="0057248A">
        <w:rPr>
          <w:rFonts w:ascii="Book Antiqua" w:hAnsi="Book Antiqua"/>
          <w:b/>
          <w:lang w:val="en-US"/>
        </w:rPr>
        <w:t>Teng</w:t>
      </w:r>
      <w:proofErr w:type="spellEnd"/>
      <w:r w:rsidRPr="0057248A">
        <w:rPr>
          <w:rFonts w:ascii="Book Antiqua" w:hAnsi="Book Antiqua"/>
          <w:b/>
          <w:lang w:val="en-US"/>
        </w:rPr>
        <w:t xml:space="preserve"> MW</w:t>
      </w:r>
      <w:r w:rsidRPr="0057248A">
        <w:rPr>
          <w:rFonts w:ascii="Book Antiqua" w:hAnsi="Book Antiqua"/>
          <w:lang w:val="en-US"/>
        </w:rPr>
        <w:t xml:space="preserve">, </w:t>
      </w:r>
      <w:proofErr w:type="spellStart"/>
      <w:r w:rsidRPr="0057248A">
        <w:rPr>
          <w:rFonts w:ascii="Book Antiqua" w:hAnsi="Book Antiqua"/>
          <w:lang w:val="en-US"/>
        </w:rPr>
        <w:t>Ngiow</w:t>
      </w:r>
      <w:proofErr w:type="spellEnd"/>
      <w:r w:rsidRPr="0057248A">
        <w:rPr>
          <w:rFonts w:ascii="Book Antiqua" w:hAnsi="Book Antiqua"/>
          <w:lang w:val="en-US"/>
        </w:rPr>
        <w:t xml:space="preserve"> SF, </w:t>
      </w:r>
      <w:proofErr w:type="spellStart"/>
      <w:r w:rsidRPr="0057248A">
        <w:rPr>
          <w:rFonts w:ascii="Book Antiqua" w:hAnsi="Book Antiqua"/>
          <w:lang w:val="en-US"/>
        </w:rPr>
        <w:t>Ribas</w:t>
      </w:r>
      <w:proofErr w:type="spellEnd"/>
      <w:r w:rsidRPr="0057248A">
        <w:rPr>
          <w:rFonts w:ascii="Book Antiqua" w:hAnsi="Book Antiqua"/>
          <w:lang w:val="en-US"/>
        </w:rPr>
        <w:t xml:space="preserve"> A, Smyth MJ. Classifying Cancers Based on T-cell Infiltration and PD-L1. </w:t>
      </w:r>
      <w:r w:rsidRPr="0057248A">
        <w:rPr>
          <w:rFonts w:ascii="Book Antiqua" w:hAnsi="Book Antiqua"/>
          <w:i/>
          <w:lang w:val="en-US"/>
        </w:rPr>
        <w:t>Cancer Res</w:t>
      </w:r>
      <w:r w:rsidRPr="0057248A">
        <w:rPr>
          <w:rFonts w:ascii="Book Antiqua" w:hAnsi="Book Antiqua"/>
          <w:lang w:val="en-US"/>
        </w:rPr>
        <w:t xml:space="preserve"> 2015; </w:t>
      </w:r>
      <w:r w:rsidRPr="0057248A">
        <w:rPr>
          <w:rFonts w:ascii="Book Antiqua" w:hAnsi="Book Antiqua"/>
          <w:b/>
          <w:lang w:val="en-US"/>
        </w:rPr>
        <w:t>75</w:t>
      </w:r>
      <w:r w:rsidRPr="0057248A">
        <w:rPr>
          <w:rFonts w:ascii="Book Antiqua" w:hAnsi="Book Antiqua"/>
          <w:lang w:val="en-US"/>
        </w:rPr>
        <w:t>: 2139-2145 [PMID: 25977340 DOI: 10.1158/0008-5472.CAN-15-0255]</w:t>
      </w:r>
    </w:p>
    <w:p w14:paraId="1F09914C" w14:textId="77777777" w:rsidR="00685FD1" w:rsidRPr="0057248A" w:rsidRDefault="00685FD1" w:rsidP="00685FD1">
      <w:pPr>
        <w:spacing w:line="360" w:lineRule="auto"/>
        <w:jc w:val="both"/>
        <w:rPr>
          <w:rFonts w:ascii="Book Antiqua" w:hAnsi="Book Antiqua"/>
          <w:lang w:val="en-US"/>
        </w:rPr>
      </w:pPr>
      <w:r w:rsidRPr="0057248A">
        <w:rPr>
          <w:rFonts w:ascii="Book Antiqua" w:hAnsi="Book Antiqua"/>
          <w:lang w:val="en-US"/>
        </w:rPr>
        <w:t xml:space="preserve">26 </w:t>
      </w:r>
      <w:r w:rsidRPr="0057248A">
        <w:rPr>
          <w:rFonts w:ascii="Book Antiqua" w:hAnsi="Book Antiqua"/>
          <w:b/>
          <w:lang w:val="en-US"/>
        </w:rPr>
        <w:t>Huang B</w:t>
      </w:r>
      <w:r w:rsidRPr="0057248A">
        <w:rPr>
          <w:rFonts w:ascii="Book Antiqua" w:hAnsi="Book Antiqua"/>
          <w:lang w:val="en-US"/>
        </w:rPr>
        <w:t xml:space="preserve">. Some statistical considerations in the clinical development of cancer immunotherapies. </w:t>
      </w:r>
      <w:r w:rsidRPr="0057248A">
        <w:rPr>
          <w:rFonts w:ascii="Book Antiqua" w:hAnsi="Book Antiqua"/>
          <w:i/>
          <w:lang w:val="en-US"/>
        </w:rPr>
        <w:t>Pharm Stat</w:t>
      </w:r>
      <w:r w:rsidRPr="0057248A">
        <w:rPr>
          <w:rFonts w:ascii="Book Antiqua" w:hAnsi="Book Antiqua"/>
          <w:lang w:val="en-US"/>
        </w:rPr>
        <w:t xml:space="preserve"> 2018; </w:t>
      </w:r>
      <w:r w:rsidRPr="0057248A">
        <w:rPr>
          <w:rFonts w:ascii="Book Antiqua" w:hAnsi="Book Antiqua"/>
          <w:b/>
          <w:lang w:val="en-US"/>
        </w:rPr>
        <w:t>17</w:t>
      </w:r>
      <w:r w:rsidRPr="0057248A">
        <w:rPr>
          <w:rFonts w:ascii="Book Antiqua" w:hAnsi="Book Antiqua"/>
          <w:lang w:val="en-US"/>
        </w:rPr>
        <w:t>: 49-60 [PMID: 29098766 DOI: 10.1002/pst.1835]</w:t>
      </w:r>
    </w:p>
    <w:p w14:paraId="06AC6E5C" w14:textId="77777777" w:rsidR="00F727DF" w:rsidRPr="0057248A" w:rsidRDefault="00F727DF" w:rsidP="00685FD1">
      <w:pPr>
        <w:spacing w:line="360" w:lineRule="auto"/>
        <w:jc w:val="both"/>
        <w:rPr>
          <w:rFonts w:ascii="Book Antiqua" w:hAnsi="Book Antiqua"/>
          <w:lang w:val="en-US"/>
        </w:rPr>
      </w:pPr>
    </w:p>
    <w:p w14:paraId="756EE2BE" w14:textId="0F68BE2A" w:rsidR="009C3E9B" w:rsidRPr="0057248A" w:rsidRDefault="009C3E9B" w:rsidP="00FD47EC">
      <w:pPr>
        <w:suppressAutoHyphens/>
        <w:wordWrap w:val="0"/>
        <w:spacing w:line="360" w:lineRule="auto"/>
        <w:ind w:right="120"/>
        <w:jc w:val="right"/>
        <w:rPr>
          <w:rFonts w:ascii="Book Antiqua" w:hAnsi="Book Antiqua" w:cs="Mangal"/>
          <w:b/>
          <w:bCs/>
          <w:kern w:val="2"/>
          <w:lang w:val="it-IT" w:bidi="hi-IN"/>
        </w:rPr>
      </w:pPr>
      <w:bookmarkStart w:id="205" w:name="OLE_LINK480"/>
      <w:bookmarkStart w:id="206" w:name="OLE_LINK502"/>
      <w:bookmarkStart w:id="207" w:name="OLE_LINK2181"/>
      <w:bookmarkStart w:id="208" w:name="OLE_LINK2182"/>
      <w:bookmarkStart w:id="209" w:name="OLE_LINK2183"/>
      <w:bookmarkStart w:id="210" w:name="OLE_LINK1021"/>
      <w:bookmarkStart w:id="211" w:name="OLE_LINK1022"/>
      <w:bookmarkStart w:id="212" w:name="OLE_LINK1023"/>
      <w:bookmarkStart w:id="213" w:name="OLE_LINK1064"/>
      <w:bookmarkStart w:id="214" w:name="OLE_LINK1065"/>
      <w:bookmarkStart w:id="215" w:name="OLE_LINK1156"/>
      <w:bookmarkStart w:id="216" w:name="OLE_LINK1157"/>
      <w:bookmarkStart w:id="217" w:name="OLE_LINK1158"/>
      <w:bookmarkStart w:id="218" w:name="OLE_LINK1159"/>
      <w:bookmarkStart w:id="219" w:name="OLE_LINK1185"/>
      <w:bookmarkStart w:id="220" w:name="OLE_LINK958"/>
      <w:bookmarkStart w:id="221" w:name="OLE_LINK959"/>
      <w:bookmarkStart w:id="222" w:name="OLE_LINK962"/>
      <w:bookmarkStart w:id="223" w:name="OLE_LINK1127"/>
      <w:bookmarkStart w:id="224" w:name="OLE_LINK945"/>
      <w:bookmarkStart w:id="225" w:name="OLE_LINK946"/>
      <w:bookmarkStart w:id="226" w:name="OLE_LINK947"/>
      <w:bookmarkStart w:id="227" w:name="OLE_LINK987"/>
      <w:bookmarkStart w:id="228" w:name="OLE_LINK1035"/>
      <w:bookmarkStart w:id="229" w:name="OLE_LINK1036"/>
      <w:bookmarkStart w:id="230" w:name="OLE_LINK1037"/>
      <w:bookmarkStart w:id="231" w:name="OLE_LINK1038"/>
      <w:bookmarkStart w:id="232" w:name="OLE_LINK1039"/>
      <w:bookmarkStart w:id="233" w:name="OLE_LINK1040"/>
      <w:bookmarkStart w:id="234" w:name="OLE_LINK1041"/>
      <w:bookmarkStart w:id="235" w:name="OLE_LINK1042"/>
      <w:bookmarkStart w:id="236" w:name="OLE_LINK1043"/>
      <w:bookmarkStart w:id="237" w:name="OLE_LINK1044"/>
      <w:bookmarkStart w:id="238" w:name="OLE_LINK1071"/>
      <w:bookmarkStart w:id="239" w:name="OLE_LINK1072"/>
      <w:bookmarkStart w:id="240" w:name="OLE_LINK968"/>
      <w:bookmarkStart w:id="241" w:name="OLE_LINK1260"/>
      <w:bookmarkStart w:id="242" w:name="OLE_LINK1261"/>
      <w:bookmarkStart w:id="243" w:name="OLE_LINK1264"/>
      <w:bookmarkStart w:id="244" w:name="OLE_LINK1265"/>
      <w:bookmarkStart w:id="245" w:name="OLE_LINK1266"/>
      <w:bookmarkStart w:id="246" w:name="OLE_LINK1282"/>
      <w:bookmarkStart w:id="247" w:name="OLE_LINK1800"/>
      <w:bookmarkStart w:id="248" w:name="OLE_LINK1801"/>
      <w:bookmarkStart w:id="249" w:name="OLE_LINK1802"/>
      <w:bookmarkStart w:id="250" w:name="OLE_LINK1803"/>
      <w:bookmarkStart w:id="251" w:name="OLE_LINK1843"/>
      <w:bookmarkStart w:id="252" w:name="OLE_LINK1844"/>
      <w:bookmarkStart w:id="253" w:name="OLE_LINK1845"/>
      <w:bookmarkStart w:id="254" w:name="OLE_LINK1636"/>
      <w:bookmarkStart w:id="255" w:name="OLE_LINK1755"/>
      <w:bookmarkStart w:id="256" w:name="OLE_LINK1806"/>
      <w:bookmarkStart w:id="257" w:name="OLE_LINK1807"/>
      <w:bookmarkStart w:id="258" w:name="OLE_LINK1811"/>
      <w:bookmarkStart w:id="259" w:name="OLE_LINK1812"/>
      <w:bookmarkStart w:id="260" w:name="OLE_LINK1813"/>
      <w:bookmarkStart w:id="261" w:name="OLE_LINK1962"/>
      <w:bookmarkStart w:id="262" w:name="OLE_LINK1963"/>
      <w:bookmarkStart w:id="263" w:name="OLE_LINK1964"/>
      <w:bookmarkStart w:id="264" w:name="OLE_LINK2162"/>
      <w:bookmarkStart w:id="265" w:name="OLE_LINK2198"/>
      <w:bookmarkStart w:id="266" w:name="OLE_LINK2199"/>
      <w:bookmarkStart w:id="267" w:name="OLE_LINK2200"/>
      <w:bookmarkStart w:id="268" w:name="OLE_LINK2090"/>
      <w:r w:rsidRPr="0057248A">
        <w:rPr>
          <w:rFonts w:ascii="Book Antiqua" w:eastAsia="Lucida Sans Unicode" w:hAnsi="Book Antiqua" w:cs="Arial"/>
          <w:b/>
          <w:noProof/>
          <w:kern w:val="2"/>
          <w:lang w:val="it-IT" w:eastAsia="hi-IN" w:bidi="hi-IN"/>
        </w:rPr>
        <w:t>P-Reviewer</w:t>
      </w:r>
      <w:r w:rsidRPr="0057248A">
        <w:rPr>
          <w:rFonts w:ascii="Book Antiqua" w:hAnsi="Book Antiqua" w:cs="Arial"/>
          <w:b/>
          <w:noProof/>
          <w:kern w:val="2"/>
          <w:lang w:val="it-IT" w:bidi="hi-IN"/>
        </w:rPr>
        <w:t>:</w:t>
      </w:r>
      <w:r w:rsidRPr="0057248A">
        <w:rPr>
          <w:rFonts w:ascii="Book Antiqua" w:eastAsia="Lucida Sans Unicode" w:hAnsi="Book Antiqua" w:cs="Mangal"/>
          <w:bCs/>
          <w:kern w:val="2"/>
          <w:lang w:val="it-IT" w:eastAsia="hi-IN" w:bidi="hi-IN"/>
        </w:rPr>
        <w:t xml:space="preserve"> </w:t>
      </w:r>
      <w:proofErr w:type="spellStart"/>
      <w:r w:rsidRPr="0057248A">
        <w:rPr>
          <w:rFonts w:ascii="Book Antiqua" w:hAnsi="Book Antiqua"/>
          <w:lang w:val="en-US"/>
        </w:rPr>
        <w:t>Karatza</w:t>
      </w:r>
      <w:proofErr w:type="spellEnd"/>
      <w:r w:rsidRPr="0057248A">
        <w:rPr>
          <w:rFonts w:ascii="Book Antiqua" w:hAnsi="Book Antiqua"/>
          <w:lang w:val="en-US"/>
        </w:rPr>
        <w:t xml:space="preserve"> AA</w:t>
      </w:r>
      <w:r w:rsidRPr="0057248A">
        <w:rPr>
          <w:rFonts w:ascii="Book Antiqua" w:eastAsia="Lucida Sans Unicode" w:hAnsi="Book Antiqua" w:cs="Mangal"/>
          <w:bCs/>
          <w:kern w:val="2"/>
          <w:lang w:val="it-IT" w:eastAsia="hi-IN" w:bidi="hi-IN"/>
        </w:rPr>
        <w:t xml:space="preserve"> </w:t>
      </w:r>
      <w:r w:rsidRPr="0057248A">
        <w:rPr>
          <w:rFonts w:ascii="Book Antiqua" w:eastAsia="Lucida Sans Unicode" w:hAnsi="Book Antiqua" w:cs="Mangal"/>
          <w:b/>
          <w:bCs/>
          <w:kern w:val="2"/>
          <w:lang w:val="it-IT" w:eastAsia="hi-IN" w:bidi="hi-IN"/>
        </w:rPr>
        <w:t>S-Editor</w:t>
      </w:r>
      <w:r w:rsidRPr="0057248A">
        <w:rPr>
          <w:rFonts w:ascii="Book Antiqua" w:hAnsi="Book Antiqua" w:cs="Mangal"/>
          <w:b/>
          <w:bCs/>
          <w:kern w:val="2"/>
          <w:lang w:val="it-IT" w:bidi="hi-IN"/>
        </w:rPr>
        <w:t>:</w:t>
      </w:r>
      <w:r w:rsidRPr="0057248A">
        <w:rPr>
          <w:rFonts w:ascii="Book Antiqua" w:eastAsia="Lucida Sans Unicode" w:hAnsi="Book Antiqua" w:cs="Mangal"/>
          <w:bCs/>
          <w:kern w:val="2"/>
          <w:lang w:val="it-IT" w:eastAsia="hi-IN" w:bidi="hi-IN"/>
        </w:rPr>
        <w:t xml:space="preserve"> </w:t>
      </w:r>
      <w:r w:rsidRPr="0057248A">
        <w:rPr>
          <w:rFonts w:ascii="Book Antiqua" w:hAnsi="Book Antiqua" w:cs="Mangal"/>
          <w:bCs/>
          <w:kern w:val="2"/>
          <w:lang w:val="it-IT" w:bidi="hi-IN"/>
        </w:rPr>
        <w:t>Dou Y</w:t>
      </w:r>
      <w:r w:rsidRPr="0057248A">
        <w:rPr>
          <w:rFonts w:ascii="Book Antiqua" w:eastAsia="Lucida Sans Unicode" w:hAnsi="Book Antiqua" w:cs="Mangal"/>
          <w:b/>
          <w:bCs/>
          <w:kern w:val="2"/>
          <w:lang w:val="it-IT" w:eastAsia="hi-IN" w:bidi="hi-IN"/>
        </w:rPr>
        <w:t xml:space="preserve"> L-Editor</w:t>
      </w:r>
      <w:r w:rsidRPr="0057248A">
        <w:rPr>
          <w:rFonts w:ascii="Book Antiqua" w:hAnsi="Book Antiqua" w:cs="Mangal"/>
          <w:b/>
          <w:bCs/>
          <w:kern w:val="2"/>
          <w:lang w:val="it-IT" w:bidi="hi-IN"/>
        </w:rPr>
        <w:t>:</w:t>
      </w:r>
      <w:r w:rsidR="00FD47EC">
        <w:rPr>
          <w:rFonts w:ascii="Book Antiqua" w:hAnsi="Book Antiqua" w:cs="Mangal"/>
          <w:b/>
          <w:bCs/>
          <w:kern w:val="2"/>
          <w:lang w:val="it-IT" w:bidi="hi-IN"/>
        </w:rPr>
        <w:t xml:space="preserve"> </w:t>
      </w:r>
      <w:r w:rsidR="00FD47EC" w:rsidRPr="00FD47EC">
        <w:rPr>
          <w:rFonts w:ascii="Book Antiqua" w:hAnsi="Book Antiqua" w:cs="Mangal"/>
          <w:bCs/>
          <w:kern w:val="2"/>
          <w:lang w:val="it-IT" w:bidi="hi-IN"/>
        </w:rPr>
        <w:t>A</w:t>
      </w:r>
      <w:r w:rsidR="00FD47EC">
        <w:rPr>
          <w:rFonts w:ascii="Book Antiqua" w:hAnsi="Book Antiqua" w:cs="Mangal"/>
          <w:b/>
          <w:bCs/>
          <w:kern w:val="2"/>
          <w:lang w:val="it-IT" w:bidi="hi-IN"/>
        </w:rPr>
        <w:t xml:space="preserve"> </w:t>
      </w:r>
      <w:r w:rsidRPr="0057248A">
        <w:rPr>
          <w:rFonts w:ascii="Book Antiqua" w:eastAsia="Lucida Sans Unicode" w:hAnsi="Book Antiqua" w:cs="Mangal"/>
          <w:b/>
          <w:bCs/>
          <w:kern w:val="2"/>
          <w:lang w:val="it-IT" w:eastAsia="hi-IN" w:bidi="hi-IN"/>
        </w:rPr>
        <w:t xml:space="preserve"> E-Editor</w:t>
      </w:r>
      <w:r w:rsidRPr="0057248A">
        <w:rPr>
          <w:rFonts w:ascii="Book Antiqua" w:hAnsi="Book Antiqua" w:cs="Mangal"/>
          <w:b/>
          <w:bCs/>
          <w:kern w:val="2"/>
          <w:lang w:val="it-IT" w:bidi="hi-IN"/>
        </w:rPr>
        <w:t>:</w:t>
      </w:r>
      <w:r w:rsidR="00FD47EC">
        <w:rPr>
          <w:rFonts w:ascii="Book Antiqua" w:hAnsi="Book Antiqua" w:cs="Mangal"/>
          <w:b/>
          <w:bCs/>
          <w:kern w:val="2"/>
          <w:lang w:val="it-IT" w:bidi="hi-IN"/>
        </w:rPr>
        <w:t xml:space="preserve"> </w:t>
      </w:r>
      <w:bookmarkStart w:id="269" w:name="_GoBack"/>
      <w:r w:rsidR="00FD47EC" w:rsidRPr="00FD47EC">
        <w:rPr>
          <w:rFonts w:ascii="Book Antiqua" w:hAnsi="Book Antiqua" w:cs="Mangal"/>
          <w:bCs/>
          <w:kern w:val="2"/>
          <w:lang w:val="it-IT" w:bidi="hi-IN"/>
        </w:rPr>
        <w:t>Ma YJ</w:t>
      </w:r>
      <w:bookmarkEnd w:id="269"/>
    </w:p>
    <w:p w14:paraId="39FD8451" w14:textId="77777777" w:rsidR="009C3E9B" w:rsidRPr="0057248A" w:rsidRDefault="009C3E9B" w:rsidP="009C3E9B">
      <w:pPr>
        <w:widowControl w:val="0"/>
        <w:shd w:val="clear" w:color="auto" w:fill="FFFFFF"/>
        <w:spacing w:line="360" w:lineRule="auto"/>
        <w:jc w:val="both"/>
        <w:rPr>
          <w:rFonts w:ascii="Book Antiqua" w:hAnsi="Book Antiqua" w:cs="Helvetica"/>
          <w:b/>
          <w:kern w:val="2"/>
          <w:lang w:val="en-US"/>
        </w:rPr>
      </w:pPr>
      <w:r w:rsidRPr="0057248A">
        <w:rPr>
          <w:rFonts w:ascii="Book Antiqua" w:hAnsi="Book Antiqua" w:cs="Helvetica"/>
          <w:b/>
          <w:kern w:val="2"/>
          <w:lang w:val="en-US"/>
        </w:rPr>
        <w:t xml:space="preserve">Specialty type: </w:t>
      </w:r>
      <w:r w:rsidRPr="0057248A">
        <w:rPr>
          <w:rFonts w:ascii="Book Antiqua" w:eastAsia="微软雅黑" w:hAnsi="Book Antiqua" w:cs="宋体"/>
          <w:lang w:val="en-US"/>
        </w:rPr>
        <w:t>Medicine, Research and Experimental</w:t>
      </w:r>
    </w:p>
    <w:p w14:paraId="4DC9E37A" w14:textId="34AA0B84" w:rsidR="009C3E9B" w:rsidRPr="0057248A" w:rsidRDefault="009C3E9B" w:rsidP="009C3E9B">
      <w:pPr>
        <w:widowControl w:val="0"/>
        <w:shd w:val="clear" w:color="auto" w:fill="FFFFFF"/>
        <w:spacing w:line="360" w:lineRule="auto"/>
        <w:jc w:val="both"/>
        <w:rPr>
          <w:rFonts w:ascii="Book Antiqua" w:hAnsi="Book Antiqua" w:cs="Helvetica"/>
          <w:b/>
          <w:kern w:val="2"/>
          <w:lang w:val="en-US"/>
        </w:rPr>
      </w:pPr>
      <w:r w:rsidRPr="0057248A">
        <w:rPr>
          <w:rFonts w:ascii="Book Antiqua" w:hAnsi="Book Antiqua" w:cs="Helvetica"/>
          <w:b/>
          <w:kern w:val="2"/>
          <w:lang w:val="en-US"/>
        </w:rPr>
        <w:t xml:space="preserve">Country of origin: </w:t>
      </w:r>
      <w:r w:rsidRPr="0057248A">
        <w:rPr>
          <w:rFonts w:ascii="Book Antiqua" w:hAnsi="Book Antiqua" w:cs="Helvetica"/>
          <w:kern w:val="2"/>
          <w:lang w:val="en-US"/>
        </w:rPr>
        <w:t>Germany</w:t>
      </w:r>
    </w:p>
    <w:p w14:paraId="5528A72C" w14:textId="77777777" w:rsidR="009C3E9B" w:rsidRPr="0057248A" w:rsidRDefault="009C3E9B" w:rsidP="009C3E9B">
      <w:pPr>
        <w:widowControl w:val="0"/>
        <w:shd w:val="clear" w:color="auto" w:fill="FFFFFF"/>
        <w:spacing w:line="360" w:lineRule="auto"/>
        <w:jc w:val="both"/>
        <w:rPr>
          <w:rFonts w:ascii="Book Antiqua" w:hAnsi="Book Antiqua" w:cs="Helvetica"/>
          <w:b/>
          <w:kern w:val="2"/>
          <w:lang w:val="en-US"/>
        </w:rPr>
      </w:pPr>
      <w:r w:rsidRPr="0057248A">
        <w:rPr>
          <w:rFonts w:ascii="Book Antiqua" w:hAnsi="Book Antiqua" w:cs="Helvetica"/>
          <w:b/>
          <w:kern w:val="2"/>
          <w:lang w:val="en-US"/>
        </w:rPr>
        <w:t>Peer-review report classification</w:t>
      </w:r>
    </w:p>
    <w:p w14:paraId="13A21363" w14:textId="3611DAEC" w:rsidR="009C3E9B" w:rsidRPr="0057248A" w:rsidRDefault="009C3E9B" w:rsidP="009C3E9B">
      <w:pPr>
        <w:widowControl w:val="0"/>
        <w:shd w:val="clear" w:color="auto" w:fill="FFFFFF"/>
        <w:spacing w:line="360" w:lineRule="auto"/>
        <w:jc w:val="both"/>
        <w:rPr>
          <w:rFonts w:ascii="Book Antiqua" w:hAnsi="Book Antiqua" w:cs="Helvetica"/>
          <w:kern w:val="2"/>
          <w:lang w:val="en-US"/>
        </w:rPr>
      </w:pPr>
      <w:r w:rsidRPr="0057248A">
        <w:rPr>
          <w:rFonts w:ascii="Book Antiqua" w:hAnsi="Book Antiqua" w:cs="Helvetica"/>
          <w:kern w:val="2"/>
          <w:lang w:val="en-US"/>
        </w:rPr>
        <w:t>Grade A (Excellent): 0</w:t>
      </w:r>
    </w:p>
    <w:p w14:paraId="4BCE6C9E" w14:textId="64FAEF86" w:rsidR="009C3E9B" w:rsidRPr="0057248A" w:rsidRDefault="009C3E9B" w:rsidP="009C3E9B">
      <w:pPr>
        <w:widowControl w:val="0"/>
        <w:shd w:val="clear" w:color="auto" w:fill="FFFFFF"/>
        <w:spacing w:line="360" w:lineRule="auto"/>
        <w:jc w:val="both"/>
        <w:rPr>
          <w:rFonts w:ascii="Book Antiqua" w:hAnsi="Book Antiqua" w:cs="Helvetica"/>
          <w:kern w:val="2"/>
          <w:lang w:val="en-US"/>
        </w:rPr>
      </w:pPr>
      <w:r w:rsidRPr="0057248A">
        <w:rPr>
          <w:rFonts w:ascii="Book Antiqua" w:hAnsi="Book Antiqua" w:cs="Helvetica"/>
          <w:kern w:val="2"/>
          <w:lang w:val="en-US"/>
        </w:rPr>
        <w:t>Grade B (Very good): B</w:t>
      </w:r>
    </w:p>
    <w:p w14:paraId="4929D751" w14:textId="77777777" w:rsidR="009C3E9B" w:rsidRPr="0057248A" w:rsidRDefault="009C3E9B" w:rsidP="009C3E9B">
      <w:pPr>
        <w:widowControl w:val="0"/>
        <w:shd w:val="clear" w:color="auto" w:fill="FFFFFF"/>
        <w:spacing w:line="360" w:lineRule="auto"/>
        <w:jc w:val="both"/>
        <w:rPr>
          <w:rFonts w:ascii="Book Antiqua" w:hAnsi="Book Antiqua" w:cs="Helvetica"/>
          <w:kern w:val="2"/>
          <w:lang w:val="en-US"/>
        </w:rPr>
      </w:pPr>
      <w:r w:rsidRPr="0057248A">
        <w:rPr>
          <w:rFonts w:ascii="Book Antiqua" w:hAnsi="Book Antiqua" w:cs="Helvetica"/>
          <w:kern w:val="2"/>
          <w:lang w:val="en-US"/>
        </w:rPr>
        <w:t>Grade C (Good): 0</w:t>
      </w:r>
    </w:p>
    <w:p w14:paraId="65362A2C" w14:textId="77777777" w:rsidR="009C3E9B" w:rsidRPr="0057248A" w:rsidRDefault="009C3E9B" w:rsidP="009C3E9B">
      <w:pPr>
        <w:widowControl w:val="0"/>
        <w:shd w:val="clear" w:color="auto" w:fill="FFFFFF"/>
        <w:spacing w:line="360" w:lineRule="auto"/>
        <w:jc w:val="both"/>
        <w:rPr>
          <w:rFonts w:ascii="Book Antiqua" w:hAnsi="Book Antiqua" w:cs="Helvetica"/>
          <w:kern w:val="2"/>
          <w:lang w:val="en-US"/>
        </w:rPr>
      </w:pPr>
      <w:r w:rsidRPr="0057248A">
        <w:rPr>
          <w:rFonts w:ascii="Book Antiqua" w:hAnsi="Book Antiqua" w:cs="Helvetica"/>
          <w:kern w:val="2"/>
          <w:lang w:val="en-US"/>
        </w:rPr>
        <w:t xml:space="preserve">Grade D (Fair): </w:t>
      </w:r>
      <w:bookmarkEnd w:id="205"/>
      <w:bookmarkEnd w:id="206"/>
      <w:r w:rsidRPr="0057248A">
        <w:rPr>
          <w:rFonts w:ascii="Book Antiqua" w:hAnsi="Book Antiqua" w:cs="Helvetica"/>
          <w:kern w:val="2"/>
          <w:lang w:val="en-US"/>
        </w:rPr>
        <w:t>0</w:t>
      </w:r>
    </w:p>
    <w:p w14:paraId="47E878F8" w14:textId="3FEA8B67" w:rsidR="00A80593" w:rsidRPr="0057248A" w:rsidRDefault="009C3E9B" w:rsidP="009C3E9B">
      <w:pPr>
        <w:widowControl w:val="0"/>
        <w:shd w:val="clear" w:color="auto" w:fill="FFFFFF"/>
        <w:spacing w:line="360" w:lineRule="auto"/>
        <w:jc w:val="both"/>
        <w:rPr>
          <w:rFonts w:ascii="Book Antiqua" w:hAnsi="Book Antiqua" w:cs="Helvetica"/>
          <w:kern w:val="2"/>
        </w:rPr>
      </w:pPr>
      <w:r w:rsidRPr="0057248A">
        <w:rPr>
          <w:rFonts w:ascii="Book Antiqua" w:hAnsi="Book Antiqua" w:cs="Helvetica"/>
          <w:kern w:val="2"/>
        </w:rPr>
        <w:t>Grade E (Poor): 0</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39B83344" w14:textId="77777777" w:rsidR="00685FD1" w:rsidRPr="0057248A" w:rsidRDefault="00685FD1">
      <w:pPr>
        <w:rPr>
          <w:rFonts w:ascii="Book Antiqua" w:hAnsi="Book Antiqua"/>
          <w:b/>
          <w:lang w:val="en-US"/>
        </w:rPr>
      </w:pPr>
      <w:r w:rsidRPr="0057248A">
        <w:rPr>
          <w:rFonts w:ascii="Book Antiqua" w:hAnsi="Book Antiqua"/>
          <w:b/>
          <w:lang w:val="en-US"/>
        </w:rPr>
        <w:br w:type="page"/>
      </w:r>
    </w:p>
    <w:p w14:paraId="3ABDE9D3" w14:textId="581EB08A" w:rsidR="00A80593" w:rsidRPr="0057248A" w:rsidRDefault="00920B43" w:rsidP="00685FD1">
      <w:pPr>
        <w:spacing w:line="360" w:lineRule="auto"/>
        <w:jc w:val="both"/>
        <w:rPr>
          <w:rFonts w:ascii="Book Antiqua" w:hAnsi="Book Antiqua"/>
          <w:b/>
          <w:lang w:val="en-US"/>
        </w:rPr>
      </w:pPr>
      <w:r w:rsidRPr="0057248A">
        <w:rPr>
          <w:rFonts w:ascii="Book Antiqua" w:hAnsi="Book Antiqua"/>
          <w:b/>
          <w:lang w:val="en-US"/>
        </w:rPr>
        <w:lastRenderedPageBreak/>
        <w:t xml:space="preserve">Table 1 Main differences between RECIST 1.1 and </w:t>
      </w:r>
      <w:proofErr w:type="spellStart"/>
      <w:r w:rsidRPr="0057248A">
        <w:rPr>
          <w:rFonts w:ascii="Book Antiqua" w:hAnsi="Book Antiqua"/>
          <w:b/>
          <w:lang w:val="en-US"/>
        </w:rPr>
        <w:t>ir</w:t>
      </w:r>
      <w:proofErr w:type="spellEnd"/>
      <w:r w:rsidRPr="0057248A">
        <w:rPr>
          <w:rFonts w:ascii="Book Antiqua" w:hAnsi="Book Antiqua"/>
          <w:b/>
          <w:lang w:val="en-US"/>
        </w:rPr>
        <w:t xml:space="preserve">-RECIST, adapted from Wang </w:t>
      </w:r>
      <w:r w:rsidRPr="0057248A">
        <w:rPr>
          <w:rFonts w:ascii="Book Antiqua" w:hAnsi="Book Antiqua"/>
          <w:b/>
          <w:i/>
          <w:lang w:val="en-US"/>
        </w:rPr>
        <w:t xml:space="preserve">et </w:t>
      </w:r>
      <w:proofErr w:type="gramStart"/>
      <w:r w:rsidRPr="0057248A">
        <w:rPr>
          <w:rFonts w:ascii="Book Antiqua" w:hAnsi="Book Antiqua"/>
          <w:b/>
          <w:i/>
          <w:lang w:val="en-US"/>
        </w:rPr>
        <w:t>al</w:t>
      </w:r>
      <w:r w:rsidR="00685FD1" w:rsidRPr="0057248A">
        <w:rPr>
          <w:rFonts w:ascii="Book Antiqua" w:hAnsi="Book Antiqua"/>
          <w:b/>
          <w:vertAlign w:val="superscript"/>
          <w:lang w:val="en-US"/>
        </w:rPr>
        <w:t>[</w:t>
      </w:r>
      <w:proofErr w:type="gramEnd"/>
      <w:r w:rsidR="00685FD1" w:rsidRPr="0057248A">
        <w:rPr>
          <w:rFonts w:ascii="Book Antiqua" w:hAnsi="Book Antiqua"/>
          <w:b/>
          <w:vertAlign w:val="superscript"/>
          <w:lang w:val="en-US"/>
        </w:rPr>
        <w:t>21]</w:t>
      </w:r>
    </w:p>
    <w:tbl>
      <w:tblPr>
        <w:tblStyle w:val="ac"/>
        <w:tblW w:w="9923" w:type="dxa"/>
        <w:tblInd w:w="-2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977"/>
        <w:gridCol w:w="2784"/>
        <w:gridCol w:w="2749"/>
      </w:tblGrid>
      <w:tr w:rsidR="00685FD1" w:rsidRPr="0057248A" w14:paraId="15D550F4" w14:textId="7BCCB5BE" w:rsidTr="00BF17EB">
        <w:tc>
          <w:tcPr>
            <w:tcW w:w="1413" w:type="dxa"/>
            <w:tcBorders>
              <w:top w:val="single" w:sz="4" w:space="0" w:color="auto"/>
              <w:bottom w:val="single" w:sz="4" w:space="0" w:color="auto"/>
            </w:tcBorders>
          </w:tcPr>
          <w:p w14:paraId="4AF03946" w14:textId="77777777" w:rsidR="00685FD1" w:rsidRPr="0057248A" w:rsidRDefault="00685FD1" w:rsidP="00685FD1">
            <w:pPr>
              <w:spacing w:line="360" w:lineRule="auto"/>
              <w:jc w:val="both"/>
              <w:rPr>
                <w:rFonts w:ascii="Book Antiqua" w:hAnsi="Book Antiqua"/>
                <w:b/>
                <w:lang w:val="en-US"/>
              </w:rPr>
            </w:pPr>
          </w:p>
        </w:tc>
        <w:tc>
          <w:tcPr>
            <w:tcW w:w="2977" w:type="dxa"/>
            <w:tcBorders>
              <w:top w:val="single" w:sz="4" w:space="0" w:color="auto"/>
              <w:bottom w:val="single" w:sz="4" w:space="0" w:color="auto"/>
            </w:tcBorders>
          </w:tcPr>
          <w:p w14:paraId="7CD2036C" w14:textId="4218C7EB" w:rsidR="00685FD1" w:rsidRPr="0057248A" w:rsidRDefault="00685FD1" w:rsidP="00685FD1">
            <w:pPr>
              <w:spacing w:line="360" w:lineRule="auto"/>
              <w:jc w:val="both"/>
              <w:rPr>
                <w:rFonts w:ascii="Book Antiqua" w:eastAsia="宋体" w:hAnsi="Book Antiqua"/>
                <w:b/>
                <w:lang w:val="en-US" w:eastAsia="zh-CN"/>
              </w:rPr>
            </w:pPr>
            <w:r w:rsidRPr="0057248A">
              <w:rPr>
                <w:rFonts w:ascii="Book Antiqua" w:eastAsia="宋体" w:hAnsi="Book Antiqua"/>
                <w:b/>
                <w:lang w:val="en-US" w:eastAsia="zh-CN"/>
              </w:rPr>
              <w:t>Progression</w:t>
            </w:r>
          </w:p>
        </w:tc>
        <w:tc>
          <w:tcPr>
            <w:tcW w:w="2784" w:type="dxa"/>
            <w:tcBorders>
              <w:top w:val="single" w:sz="4" w:space="0" w:color="auto"/>
              <w:bottom w:val="single" w:sz="4" w:space="0" w:color="auto"/>
            </w:tcBorders>
          </w:tcPr>
          <w:p w14:paraId="1FDA5400" w14:textId="0A60EBB1" w:rsidR="00685FD1" w:rsidRPr="0057248A" w:rsidRDefault="00685FD1" w:rsidP="00685FD1">
            <w:pPr>
              <w:spacing w:line="360" w:lineRule="auto"/>
              <w:jc w:val="both"/>
              <w:rPr>
                <w:rFonts w:ascii="Book Antiqua" w:eastAsia="宋体" w:hAnsi="Book Antiqua"/>
                <w:b/>
                <w:lang w:val="en-US" w:eastAsia="zh-CN"/>
              </w:rPr>
            </w:pPr>
            <w:r w:rsidRPr="0057248A">
              <w:rPr>
                <w:rFonts w:ascii="Book Antiqua" w:eastAsia="宋体" w:hAnsi="Book Antiqua"/>
                <w:b/>
                <w:lang w:val="en-US" w:eastAsia="zh-CN"/>
              </w:rPr>
              <w:t>New measurable lesion</w:t>
            </w:r>
          </w:p>
        </w:tc>
        <w:tc>
          <w:tcPr>
            <w:tcW w:w="2749" w:type="dxa"/>
            <w:tcBorders>
              <w:top w:val="single" w:sz="4" w:space="0" w:color="auto"/>
              <w:bottom w:val="single" w:sz="4" w:space="0" w:color="auto"/>
            </w:tcBorders>
          </w:tcPr>
          <w:p w14:paraId="776529F7" w14:textId="0D4FEA20" w:rsidR="00685FD1" w:rsidRPr="0057248A" w:rsidRDefault="00685FD1" w:rsidP="00685FD1">
            <w:pPr>
              <w:spacing w:line="360" w:lineRule="auto"/>
              <w:jc w:val="both"/>
              <w:rPr>
                <w:rFonts w:ascii="Book Antiqua" w:eastAsia="宋体" w:hAnsi="Book Antiqua"/>
                <w:b/>
                <w:lang w:val="en-US" w:eastAsia="zh-CN"/>
              </w:rPr>
            </w:pPr>
            <w:r w:rsidRPr="0057248A">
              <w:rPr>
                <w:rFonts w:ascii="Book Antiqua" w:eastAsia="宋体" w:hAnsi="Book Antiqua"/>
                <w:b/>
                <w:lang w:val="en-US" w:eastAsia="zh-CN"/>
              </w:rPr>
              <w:t>New non measurable lesion</w:t>
            </w:r>
          </w:p>
        </w:tc>
      </w:tr>
      <w:tr w:rsidR="00685FD1" w:rsidRPr="0057248A" w14:paraId="2696B8C3" w14:textId="7F07D0F4" w:rsidTr="00BF17EB">
        <w:tc>
          <w:tcPr>
            <w:tcW w:w="1413" w:type="dxa"/>
            <w:tcBorders>
              <w:top w:val="single" w:sz="4" w:space="0" w:color="auto"/>
            </w:tcBorders>
          </w:tcPr>
          <w:p w14:paraId="338F6906" w14:textId="6D8AAF94" w:rsidR="00685FD1" w:rsidRPr="0057248A" w:rsidRDefault="00BF17EB" w:rsidP="00685FD1">
            <w:pPr>
              <w:spacing w:line="360" w:lineRule="auto"/>
              <w:jc w:val="both"/>
              <w:rPr>
                <w:rFonts w:ascii="Book Antiqua" w:eastAsia="宋体" w:hAnsi="Book Antiqua"/>
                <w:lang w:val="en-US" w:eastAsia="zh-CN"/>
              </w:rPr>
            </w:pPr>
            <w:r w:rsidRPr="0057248A">
              <w:rPr>
                <w:rFonts w:ascii="Book Antiqua" w:eastAsia="宋体" w:hAnsi="Book Antiqua"/>
                <w:lang w:val="en-US" w:eastAsia="zh-CN"/>
              </w:rPr>
              <w:t>R</w:t>
            </w:r>
            <w:r w:rsidR="00685FD1" w:rsidRPr="0057248A">
              <w:rPr>
                <w:rFonts w:ascii="Book Antiqua" w:eastAsia="宋体" w:hAnsi="Book Antiqua"/>
                <w:lang w:val="en-US" w:eastAsia="zh-CN"/>
              </w:rPr>
              <w:t>ECIST 1.1</w:t>
            </w:r>
          </w:p>
        </w:tc>
        <w:tc>
          <w:tcPr>
            <w:tcW w:w="2977" w:type="dxa"/>
            <w:tcBorders>
              <w:top w:val="single" w:sz="4" w:space="0" w:color="auto"/>
            </w:tcBorders>
          </w:tcPr>
          <w:p w14:paraId="1FBCD07E" w14:textId="177DACFE" w:rsidR="00685FD1" w:rsidRPr="0057248A" w:rsidRDefault="00BF17EB" w:rsidP="00685FD1">
            <w:pPr>
              <w:spacing w:line="360" w:lineRule="auto"/>
              <w:jc w:val="both"/>
              <w:rPr>
                <w:rFonts w:ascii="Book Antiqua" w:eastAsia="宋体" w:hAnsi="Book Antiqua"/>
                <w:lang w:val="en-US" w:eastAsia="zh-CN"/>
              </w:rPr>
            </w:pPr>
            <w:r w:rsidRPr="0057248A">
              <w:rPr>
                <w:rFonts w:ascii="Book Antiqua" w:eastAsia="宋体" w:hAnsi="Book Antiqua"/>
                <w:lang w:val="en-US" w:eastAsia="zh-CN"/>
              </w:rPr>
              <w:t>Increase in tumor burden on one examination</w:t>
            </w:r>
          </w:p>
        </w:tc>
        <w:tc>
          <w:tcPr>
            <w:tcW w:w="2784" w:type="dxa"/>
            <w:tcBorders>
              <w:top w:val="single" w:sz="4" w:space="0" w:color="auto"/>
            </w:tcBorders>
          </w:tcPr>
          <w:p w14:paraId="299725ED" w14:textId="16482C22" w:rsidR="00685FD1" w:rsidRPr="0057248A" w:rsidRDefault="00BF17EB" w:rsidP="00685FD1">
            <w:pPr>
              <w:spacing w:line="360" w:lineRule="auto"/>
              <w:jc w:val="both"/>
              <w:rPr>
                <w:rFonts w:ascii="Book Antiqua" w:eastAsia="宋体" w:hAnsi="Book Antiqua"/>
                <w:lang w:val="en-US" w:eastAsia="zh-CN"/>
              </w:rPr>
            </w:pPr>
            <w:r w:rsidRPr="0057248A">
              <w:rPr>
                <w:rFonts w:ascii="Book Antiqua" w:eastAsia="宋体" w:hAnsi="Book Antiqua"/>
                <w:lang w:val="en-US" w:eastAsia="zh-CN"/>
              </w:rPr>
              <w:t>Represent progressive disease</w:t>
            </w:r>
          </w:p>
        </w:tc>
        <w:tc>
          <w:tcPr>
            <w:tcW w:w="2749" w:type="dxa"/>
            <w:tcBorders>
              <w:top w:val="single" w:sz="4" w:space="0" w:color="auto"/>
            </w:tcBorders>
          </w:tcPr>
          <w:p w14:paraId="69E813F4" w14:textId="7B1CC52B" w:rsidR="00685FD1" w:rsidRPr="0057248A" w:rsidRDefault="00BF17EB" w:rsidP="00685FD1">
            <w:pPr>
              <w:spacing w:line="360" w:lineRule="auto"/>
              <w:jc w:val="both"/>
              <w:rPr>
                <w:rFonts w:ascii="Book Antiqua" w:eastAsia="宋体" w:hAnsi="Book Antiqua"/>
                <w:lang w:val="en-US" w:eastAsia="zh-CN"/>
              </w:rPr>
            </w:pPr>
            <w:r w:rsidRPr="0057248A">
              <w:rPr>
                <w:rFonts w:ascii="Book Antiqua" w:eastAsia="宋体" w:hAnsi="Book Antiqua"/>
                <w:lang w:val="en-US" w:eastAsia="zh-CN"/>
              </w:rPr>
              <w:t>Follow-up necessary</w:t>
            </w:r>
          </w:p>
        </w:tc>
      </w:tr>
      <w:tr w:rsidR="00685FD1" w:rsidRPr="0057248A" w14:paraId="7ABFAB48" w14:textId="07526677" w:rsidTr="00BF17EB">
        <w:tc>
          <w:tcPr>
            <w:tcW w:w="1413" w:type="dxa"/>
          </w:tcPr>
          <w:p w14:paraId="7F3AC523" w14:textId="79323A5B" w:rsidR="00685FD1" w:rsidRPr="0057248A" w:rsidRDefault="00BF17EB" w:rsidP="00685FD1">
            <w:pPr>
              <w:spacing w:line="360" w:lineRule="auto"/>
              <w:jc w:val="both"/>
              <w:rPr>
                <w:rFonts w:ascii="Book Antiqua" w:eastAsia="宋体" w:hAnsi="Book Antiqua"/>
                <w:lang w:val="en-US" w:eastAsia="zh-CN"/>
              </w:rPr>
            </w:pPr>
            <w:proofErr w:type="spellStart"/>
            <w:r w:rsidRPr="0057248A">
              <w:rPr>
                <w:rFonts w:ascii="Book Antiqua" w:eastAsia="宋体" w:hAnsi="Book Antiqua"/>
                <w:lang w:val="en-US" w:eastAsia="zh-CN"/>
              </w:rPr>
              <w:t>Ir</w:t>
            </w:r>
            <w:proofErr w:type="spellEnd"/>
            <w:r w:rsidRPr="0057248A">
              <w:rPr>
                <w:rFonts w:ascii="Book Antiqua" w:eastAsia="宋体" w:hAnsi="Book Antiqua"/>
                <w:lang w:val="en-US" w:eastAsia="zh-CN"/>
              </w:rPr>
              <w:t>- RECIST</w:t>
            </w:r>
          </w:p>
        </w:tc>
        <w:tc>
          <w:tcPr>
            <w:tcW w:w="2977" w:type="dxa"/>
          </w:tcPr>
          <w:p w14:paraId="0CA9C7AE" w14:textId="68291013" w:rsidR="00685FD1" w:rsidRPr="0057248A" w:rsidRDefault="00BF17EB" w:rsidP="00685FD1">
            <w:pPr>
              <w:spacing w:line="360" w:lineRule="auto"/>
              <w:jc w:val="both"/>
              <w:rPr>
                <w:rFonts w:ascii="Book Antiqua" w:hAnsi="Book Antiqua"/>
                <w:lang w:val="en-US" w:eastAsia="zh-CN"/>
              </w:rPr>
            </w:pPr>
            <w:r w:rsidRPr="0057248A">
              <w:rPr>
                <w:rFonts w:ascii="Book Antiqua" w:eastAsia="宋体" w:hAnsi="Book Antiqua"/>
                <w:lang w:val="en-US" w:eastAsia="zh-CN"/>
              </w:rPr>
              <w:t xml:space="preserve">Increase in tumor burden on two examinations </w:t>
            </w:r>
            <w:r w:rsidRPr="0057248A">
              <w:rPr>
                <w:rFonts w:ascii="Book Antiqua" w:eastAsia="宋体" w:hAnsi="Book Antiqua"/>
                <w:lang w:val="en-US" w:eastAsia="zh-CN"/>
              </w:rPr>
              <w:t>＞</w:t>
            </w:r>
            <w:r w:rsidRPr="0057248A">
              <w:rPr>
                <w:rFonts w:ascii="Book Antiqua" w:eastAsia="宋体" w:hAnsi="Book Antiqua"/>
                <w:lang w:val="en-US" w:eastAsia="zh-CN"/>
              </w:rPr>
              <w:t xml:space="preserve"> 4 </w:t>
            </w:r>
            <w:proofErr w:type="spellStart"/>
            <w:r w:rsidRPr="0057248A">
              <w:rPr>
                <w:rFonts w:ascii="Book Antiqua" w:eastAsia="宋体" w:hAnsi="Book Antiqua"/>
                <w:lang w:val="en-US" w:eastAsia="zh-CN"/>
              </w:rPr>
              <w:t>wk</w:t>
            </w:r>
            <w:proofErr w:type="spellEnd"/>
            <w:r w:rsidRPr="0057248A">
              <w:rPr>
                <w:rFonts w:ascii="Book Antiqua" w:eastAsia="宋体" w:hAnsi="Book Antiqua"/>
                <w:lang w:val="en-US" w:eastAsia="zh-CN"/>
              </w:rPr>
              <w:t xml:space="preserve"> apart</w:t>
            </w:r>
          </w:p>
        </w:tc>
        <w:tc>
          <w:tcPr>
            <w:tcW w:w="2784" w:type="dxa"/>
          </w:tcPr>
          <w:p w14:paraId="685E0A57" w14:textId="2AF0BA11" w:rsidR="00685FD1" w:rsidRPr="0057248A" w:rsidRDefault="00BF17EB" w:rsidP="00685FD1">
            <w:pPr>
              <w:spacing w:line="360" w:lineRule="auto"/>
              <w:jc w:val="both"/>
              <w:rPr>
                <w:rFonts w:ascii="Book Antiqua" w:eastAsia="宋体" w:hAnsi="Book Antiqua"/>
                <w:lang w:val="en-US" w:eastAsia="zh-CN"/>
              </w:rPr>
            </w:pPr>
            <w:r w:rsidRPr="0057248A">
              <w:rPr>
                <w:rFonts w:ascii="Book Antiqua" w:eastAsia="宋体" w:hAnsi="Book Antiqua"/>
                <w:lang w:val="en-US" w:eastAsia="zh-CN"/>
              </w:rPr>
              <w:t>Are incorporated into tumor burden</w:t>
            </w:r>
          </w:p>
        </w:tc>
        <w:tc>
          <w:tcPr>
            <w:tcW w:w="2749" w:type="dxa"/>
          </w:tcPr>
          <w:p w14:paraId="7F318924" w14:textId="2AB7E930" w:rsidR="00685FD1" w:rsidRPr="0057248A" w:rsidRDefault="00BF17EB" w:rsidP="00685FD1">
            <w:pPr>
              <w:spacing w:line="360" w:lineRule="auto"/>
              <w:jc w:val="both"/>
              <w:rPr>
                <w:rFonts w:ascii="Book Antiqua" w:eastAsia="宋体" w:hAnsi="Book Antiqua"/>
                <w:lang w:val="en-US" w:eastAsia="zh-CN"/>
              </w:rPr>
            </w:pPr>
            <w:r w:rsidRPr="0057248A">
              <w:rPr>
                <w:rFonts w:ascii="Book Antiqua" w:eastAsia="宋体" w:hAnsi="Book Antiqua"/>
                <w:lang w:val="en-US" w:eastAsia="zh-CN"/>
              </w:rPr>
              <w:t>Preclude complete response</w:t>
            </w:r>
          </w:p>
        </w:tc>
      </w:tr>
    </w:tbl>
    <w:p w14:paraId="35EFFD3D" w14:textId="66084D8C" w:rsidR="00C84E1D" w:rsidRPr="0057248A" w:rsidRDefault="00BF17EB" w:rsidP="00685FD1">
      <w:pPr>
        <w:spacing w:line="360" w:lineRule="auto"/>
        <w:jc w:val="both"/>
        <w:rPr>
          <w:rFonts w:ascii="Book Antiqua" w:hAnsi="Book Antiqua"/>
          <w:b/>
          <w:lang w:val="en-US"/>
        </w:rPr>
      </w:pPr>
      <w:r w:rsidRPr="0057248A">
        <w:rPr>
          <w:rFonts w:ascii="Book Antiqua" w:hAnsi="Book Antiqua"/>
          <w:lang w:val="en-US"/>
        </w:rPr>
        <w:t>RECIST: Response Evaluation Criteria in Solid Tumors.</w:t>
      </w:r>
    </w:p>
    <w:p w14:paraId="4416F456" w14:textId="77777777" w:rsidR="00685FD1" w:rsidRPr="0057248A" w:rsidRDefault="00685FD1">
      <w:pPr>
        <w:rPr>
          <w:rFonts w:ascii="Book Antiqua" w:hAnsi="Book Antiqua"/>
          <w:lang w:val="en-US"/>
        </w:rPr>
      </w:pPr>
      <w:r w:rsidRPr="0057248A">
        <w:rPr>
          <w:rFonts w:ascii="Book Antiqua" w:hAnsi="Book Antiqua"/>
          <w:lang w:val="en-US"/>
        </w:rPr>
        <w:br w:type="page"/>
      </w:r>
    </w:p>
    <w:p w14:paraId="5E4E1F5F" w14:textId="08551BC4" w:rsidR="00F727DF" w:rsidRPr="0057248A" w:rsidRDefault="00F727DF" w:rsidP="00685FD1">
      <w:pPr>
        <w:spacing w:line="360" w:lineRule="auto"/>
        <w:jc w:val="both"/>
        <w:rPr>
          <w:rFonts w:ascii="Book Antiqua" w:hAnsi="Book Antiqua"/>
          <w:lang w:val="en-US"/>
        </w:rPr>
      </w:pPr>
      <w:r w:rsidRPr="0057248A">
        <w:rPr>
          <w:rFonts w:ascii="Book Antiqua" w:hAnsi="Book Antiqua"/>
          <w:noProof/>
          <w:lang w:val="en-US" w:eastAsia="zh-CN"/>
        </w:rPr>
        <w:lastRenderedPageBreak/>
        <w:drawing>
          <wp:inline distT="0" distB="0" distL="0" distR="0" wp14:anchorId="70168588" wp14:editId="2B0D9324">
            <wp:extent cx="5756910" cy="2277110"/>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2277110"/>
                    </a:xfrm>
                    <a:prstGeom prst="rect">
                      <a:avLst/>
                    </a:prstGeom>
                  </pic:spPr>
                </pic:pic>
              </a:graphicData>
            </a:graphic>
          </wp:inline>
        </w:drawing>
      </w:r>
    </w:p>
    <w:p w14:paraId="3B8A0270" w14:textId="6793EE71" w:rsidR="00F727DF" w:rsidRPr="0057248A" w:rsidRDefault="00685FD1" w:rsidP="00685FD1">
      <w:pPr>
        <w:spacing w:line="360" w:lineRule="auto"/>
        <w:jc w:val="both"/>
        <w:rPr>
          <w:rFonts w:ascii="Book Antiqua" w:hAnsi="Book Antiqua"/>
          <w:b/>
          <w:lang w:val="en-US"/>
        </w:rPr>
      </w:pPr>
      <w:r w:rsidRPr="0057248A">
        <w:rPr>
          <w:rFonts w:ascii="Book Antiqua" w:hAnsi="Book Antiqua"/>
          <w:b/>
          <w:lang w:val="en-US"/>
        </w:rPr>
        <w:t xml:space="preserve">Figure 1 A schematic model of </w:t>
      </w:r>
      <w:proofErr w:type="spellStart"/>
      <w:r w:rsidRPr="0057248A">
        <w:rPr>
          <w:rFonts w:ascii="Book Antiqua" w:hAnsi="Book Antiqua"/>
          <w:b/>
          <w:lang w:val="en-US"/>
        </w:rPr>
        <w:t>pseudoprogression</w:t>
      </w:r>
      <w:proofErr w:type="spellEnd"/>
      <w:r w:rsidRPr="0057248A">
        <w:rPr>
          <w:rFonts w:ascii="Book Antiqua" w:hAnsi="Book Antiqua"/>
          <w:b/>
          <w:lang w:val="en-US"/>
        </w:rPr>
        <w:t xml:space="preserve"> in a lymph node.</w:t>
      </w:r>
      <w:r w:rsidRPr="0057248A">
        <w:rPr>
          <w:rFonts w:ascii="Book Antiqua" w:eastAsia="宋体" w:hAnsi="Book Antiqua"/>
          <w:b/>
          <w:lang w:val="en-US" w:eastAsia="zh-CN"/>
        </w:rPr>
        <w:t xml:space="preserve"> </w:t>
      </w:r>
      <w:r w:rsidR="00F727DF" w:rsidRPr="0057248A">
        <w:rPr>
          <w:rFonts w:ascii="Book Antiqua" w:hAnsi="Book Antiqua"/>
          <w:lang w:val="en-US"/>
        </w:rPr>
        <w:t>A: Healthy lymph node without infiltration</w:t>
      </w:r>
      <w:r w:rsidRPr="0057248A">
        <w:rPr>
          <w:rFonts w:ascii="Book Antiqua" w:hAnsi="Book Antiqua"/>
          <w:lang w:val="en-US"/>
        </w:rPr>
        <w:t xml:space="preserve">; </w:t>
      </w:r>
      <w:r w:rsidR="00F727DF" w:rsidRPr="0057248A">
        <w:rPr>
          <w:rFonts w:ascii="Book Antiqua" w:hAnsi="Book Antiqua"/>
          <w:lang w:val="en-US"/>
        </w:rPr>
        <w:t>B: Tumor cells infiltrating the tissue, which leads to growth</w:t>
      </w:r>
      <w:r w:rsidRPr="0057248A">
        <w:rPr>
          <w:rFonts w:ascii="Book Antiqua" w:hAnsi="Book Antiqua"/>
          <w:lang w:val="en-US"/>
        </w:rPr>
        <w:t xml:space="preserve">; </w:t>
      </w:r>
      <w:r w:rsidR="00F727DF" w:rsidRPr="0057248A">
        <w:rPr>
          <w:rFonts w:ascii="Book Antiqua" w:hAnsi="Book Antiqua"/>
          <w:lang w:val="en-US"/>
        </w:rPr>
        <w:t>C: Infiltration of tumor cells into a preexisting tumor cell conglomerate resulting in a further growth</w:t>
      </w:r>
      <w:r w:rsidRPr="0057248A">
        <w:rPr>
          <w:rFonts w:ascii="Book Antiqua" w:hAnsi="Book Antiqua"/>
          <w:lang w:val="en-US"/>
        </w:rPr>
        <w:t xml:space="preserve">; </w:t>
      </w:r>
      <w:r w:rsidR="00F727DF" w:rsidRPr="0057248A">
        <w:rPr>
          <w:rFonts w:ascii="Book Antiqua" w:hAnsi="Book Antiqua"/>
          <w:lang w:val="en-US"/>
        </w:rPr>
        <w:t>D: Immune cells and healthy tissue cells</w:t>
      </w:r>
      <w:r w:rsidRPr="0057248A">
        <w:rPr>
          <w:rFonts w:ascii="Book Antiqua" w:hAnsi="Book Antiqua"/>
          <w:lang w:val="en-US"/>
        </w:rPr>
        <w:t>.</w:t>
      </w:r>
    </w:p>
    <w:p w14:paraId="1822C10F" w14:textId="77777777" w:rsidR="00685FD1" w:rsidRPr="0057248A" w:rsidRDefault="00685FD1">
      <w:pPr>
        <w:rPr>
          <w:rFonts w:ascii="Book Antiqua" w:hAnsi="Book Antiqua"/>
          <w:lang w:val="en-US"/>
        </w:rPr>
      </w:pPr>
      <w:r w:rsidRPr="0057248A">
        <w:rPr>
          <w:rFonts w:ascii="Book Antiqua" w:hAnsi="Book Antiqua"/>
          <w:lang w:val="en-US"/>
        </w:rPr>
        <w:br w:type="page"/>
      </w:r>
    </w:p>
    <w:p w14:paraId="388C55DC" w14:textId="3252FF05" w:rsidR="00F727DF" w:rsidRPr="0057248A" w:rsidRDefault="0080604E" w:rsidP="00685FD1">
      <w:pPr>
        <w:spacing w:line="360" w:lineRule="auto"/>
        <w:jc w:val="both"/>
        <w:rPr>
          <w:rFonts w:ascii="Book Antiqua" w:hAnsi="Book Antiqua"/>
          <w:lang w:val="en-US"/>
        </w:rPr>
      </w:pPr>
      <w:r w:rsidRPr="0080604E">
        <w:rPr>
          <w:rFonts w:ascii="Book Antiqua" w:hAnsi="Book Antiqua"/>
          <w:noProof/>
          <w:lang w:val="en-US"/>
        </w:rPr>
        <w:object w:dxaOrig="12630" w:dyaOrig="8925" w14:anchorId="43062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0.8pt;height:324pt;mso-width-percent:0;mso-height-percent:0;mso-width-percent:0;mso-height-percent:0" o:ole="">
            <v:imagedata r:id="rId10" o:title=""/>
          </v:shape>
          <o:OLEObject Type="Embed" ProgID="AcroExch.Document.7" ShapeID="_x0000_i1025" DrawAspect="Content" ObjectID="_1625478995" r:id="rId11"/>
        </w:object>
      </w:r>
    </w:p>
    <w:p w14:paraId="18A1F3C3" w14:textId="312F452F" w:rsidR="00F727DF" w:rsidRPr="0057248A" w:rsidRDefault="00685FD1" w:rsidP="00685FD1">
      <w:pPr>
        <w:spacing w:line="360" w:lineRule="auto"/>
        <w:jc w:val="both"/>
        <w:rPr>
          <w:rFonts w:ascii="Book Antiqua" w:hAnsi="Book Antiqua"/>
          <w:b/>
          <w:lang w:val="en-US"/>
        </w:rPr>
      </w:pPr>
      <w:r w:rsidRPr="0057248A">
        <w:rPr>
          <w:rFonts w:ascii="Book Antiqua" w:hAnsi="Book Antiqua"/>
          <w:b/>
          <w:lang w:val="en-US"/>
        </w:rPr>
        <w:t xml:space="preserve">Figure 2 Posttreatment PD-L1 expression pattern in our patients’ high grade serous ovarian carcinoma and in tumor infiltrating lymphocytes. </w:t>
      </w:r>
      <w:r w:rsidR="00F727DF" w:rsidRPr="0057248A">
        <w:rPr>
          <w:rFonts w:ascii="Book Antiqua" w:hAnsi="Book Antiqua"/>
          <w:lang w:val="en-US"/>
        </w:rPr>
        <w:t>A: Tumor cell with strong positive membranous staining of PD-L1</w:t>
      </w:r>
      <w:r w:rsidRPr="0057248A">
        <w:rPr>
          <w:rFonts w:ascii="Book Antiqua" w:hAnsi="Book Antiqua"/>
          <w:lang w:val="en-US"/>
        </w:rPr>
        <w:t xml:space="preserve">; </w:t>
      </w:r>
      <w:r w:rsidR="00F727DF" w:rsidRPr="0057248A">
        <w:rPr>
          <w:rFonts w:ascii="Book Antiqua" w:hAnsi="Book Antiqua"/>
          <w:lang w:val="en-US"/>
        </w:rPr>
        <w:t>B: Tumor with artificial membranous and some cytoplasmatic staining of PD-L1 as well as some immune cells with PD-L1 expression</w:t>
      </w:r>
      <w:r w:rsidRPr="0057248A">
        <w:rPr>
          <w:rFonts w:ascii="Book Antiqua" w:hAnsi="Book Antiqua"/>
          <w:lang w:val="en-US"/>
        </w:rPr>
        <w:t xml:space="preserve">; </w:t>
      </w:r>
      <w:r w:rsidR="00F727DF" w:rsidRPr="0057248A">
        <w:rPr>
          <w:rFonts w:ascii="Book Antiqua" w:hAnsi="Book Antiqua"/>
          <w:lang w:val="en-US"/>
        </w:rPr>
        <w:t>C: For comparison: an example of PD-L1 staining in immune cells.</w:t>
      </w:r>
    </w:p>
    <w:p w14:paraId="4F75074E" w14:textId="77777777" w:rsidR="00685FD1" w:rsidRPr="0057248A" w:rsidRDefault="00685FD1">
      <w:pPr>
        <w:rPr>
          <w:rFonts w:ascii="Book Antiqua" w:hAnsi="Book Antiqua"/>
          <w:lang w:val="en-US"/>
        </w:rPr>
      </w:pPr>
      <w:r w:rsidRPr="0057248A">
        <w:rPr>
          <w:rFonts w:ascii="Book Antiqua" w:hAnsi="Book Antiqua"/>
          <w:lang w:val="en-US"/>
        </w:rPr>
        <w:br w:type="page"/>
      </w:r>
    </w:p>
    <w:p w14:paraId="18112F33" w14:textId="1F456CC1" w:rsidR="00F727DF" w:rsidRPr="0057248A" w:rsidRDefault="0080604E" w:rsidP="00685FD1">
      <w:pPr>
        <w:spacing w:line="360" w:lineRule="auto"/>
        <w:jc w:val="both"/>
        <w:rPr>
          <w:rFonts w:ascii="Book Antiqua" w:hAnsi="Book Antiqua"/>
          <w:lang w:val="en-US"/>
        </w:rPr>
      </w:pPr>
      <w:r w:rsidRPr="0080604E">
        <w:rPr>
          <w:rFonts w:ascii="Book Antiqua" w:hAnsi="Book Antiqua"/>
          <w:noProof/>
          <w:lang w:val="en-US"/>
        </w:rPr>
        <w:object w:dxaOrig="12630" w:dyaOrig="8925" w14:anchorId="6B730A2F">
          <v:shape id="_x0000_i1026" type="#_x0000_t75" alt="" style="width:482.4pt;height:338.4pt;mso-width-percent:0;mso-height-percent:0;mso-width-percent:0;mso-height-percent:0" o:ole="">
            <v:imagedata r:id="rId12" o:title=""/>
          </v:shape>
          <o:OLEObject Type="Embed" ProgID="AcroExch.Document.7" ShapeID="_x0000_i1026" DrawAspect="Content" ObjectID="_1625478996" r:id="rId13"/>
        </w:object>
      </w:r>
    </w:p>
    <w:p w14:paraId="032EEF8C" w14:textId="2C8ADBC8" w:rsidR="001E2459" w:rsidRPr="0057248A" w:rsidRDefault="00685FD1" w:rsidP="00685FD1">
      <w:pPr>
        <w:spacing w:line="360" w:lineRule="auto"/>
        <w:jc w:val="both"/>
        <w:rPr>
          <w:rFonts w:ascii="Book Antiqua" w:hAnsi="Book Antiqua"/>
          <w:b/>
          <w:lang w:val="en-US"/>
        </w:rPr>
      </w:pPr>
      <w:r w:rsidRPr="0057248A">
        <w:rPr>
          <w:rFonts w:ascii="Book Antiqua" w:hAnsi="Book Antiqua"/>
          <w:b/>
          <w:lang w:val="en-US"/>
        </w:rPr>
        <w:t>Figure 3 Tumor biopsy before and after treatment with nivolumab.</w:t>
      </w:r>
      <w:r w:rsidRPr="0057248A">
        <w:rPr>
          <w:rFonts w:ascii="Book Antiqua" w:eastAsia="宋体" w:hAnsi="Book Antiqua"/>
          <w:b/>
          <w:lang w:val="en-US" w:eastAsia="zh-CN"/>
        </w:rPr>
        <w:t xml:space="preserve"> </w:t>
      </w:r>
      <w:r w:rsidR="00F727DF" w:rsidRPr="0057248A">
        <w:rPr>
          <w:rFonts w:ascii="Book Antiqua" w:hAnsi="Book Antiqua"/>
          <w:lang w:val="en-US"/>
        </w:rPr>
        <w:t xml:space="preserve">A: Pretreatment tumor biopsy in 2012, HE-stain. Note the </w:t>
      </w:r>
      <w:proofErr w:type="spellStart"/>
      <w:r w:rsidR="00F727DF" w:rsidRPr="0057248A">
        <w:rPr>
          <w:rFonts w:ascii="Book Antiqua" w:hAnsi="Book Antiqua"/>
          <w:lang w:val="en-US"/>
        </w:rPr>
        <w:t>intratumoral</w:t>
      </w:r>
      <w:proofErr w:type="spellEnd"/>
      <w:r w:rsidR="00F727DF" w:rsidRPr="0057248A">
        <w:rPr>
          <w:rFonts w:ascii="Book Antiqua" w:hAnsi="Book Antiqua"/>
          <w:lang w:val="en-US"/>
        </w:rPr>
        <w:t xml:space="preserve"> lymphocytes (TILS)</w:t>
      </w:r>
      <w:r w:rsidRPr="0057248A">
        <w:rPr>
          <w:rFonts w:ascii="Book Antiqua" w:hAnsi="Book Antiqua"/>
          <w:lang w:val="en-US"/>
        </w:rPr>
        <w:t xml:space="preserve">; </w:t>
      </w:r>
      <w:r w:rsidR="00F727DF" w:rsidRPr="0057248A">
        <w:rPr>
          <w:rFonts w:ascii="Book Antiqua" w:hAnsi="Book Antiqua"/>
          <w:lang w:val="en-US"/>
        </w:rPr>
        <w:t xml:space="preserve">B: Posttreatment tumor biopsy of the high-grade serous carcinoma of the left colic flexure in 2016, HE-stain. Note reduced </w:t>
      </w:r>
      <w:proofErr w:type="spellStart"/>
      <w:r w:rsidR="00F727DF" w:rsidRPr="0057248A">
        <w:rPr>
          <w:rFonts w:ascii="Book Antiqua" w:hAnsi="Book Antiqua"/>
          <w:lang w:val="en-US"/>
        </w:rPr>
        <w:t>intratumoral</w:t>
      </w:r>
      <w:proofErr w:type="spellEnd"/>
      <w:r w:rsidR="00F727DF" w:rsidRPr="0057248A">
        <w:rPr>
          <w:rFonts w:ascii="Book Antiqua" w:hAnsi="Book Antiqua"/>
          <w:lang w:val="en-US"/>
        </w:rPr>
        <w:t xml:space="preserve"> lymphocytes</w:t>
      </w:r>
      <w:r w:rsidRPr="0057248A">
        <w:rPr>
          <w:rFonts w:ascii="Book Antiqua" w:hAnsi="Book Antiqua"/>
          <w:lang w:val="en-US"/>
        </w:rPr>
        <w:t>.</w:t>
      </w:r>
    </w:p>
    <w:p w14:paraId="66A41B66" w14:textId="496A7AFA" w:rsidR="0032560D" w:rsidRPr="0057248A" w:rsidRDefault="00685FD1" w:rsidP="00E76885">
      <w:pPr>
        <w:rPr>
          <w:rFonts w:ascii="Book Antiqua" w:hAnsi="Book Antiqua"/>
          <w:lang w:val="en-US"/>
        </w:rPr>
      </w:pPr>
      <w:r w:rsidRPr="0057248A">
        <w:rPr>
          <w:rFonts w:ascii="Book Antiqua" w:hAnsi="Book Antiqua"/>
          <w:lang w:val="en-US"/>
        </w:rPr>
        <w:br w:type="page"/>
      </w:r>
    </w:p>
    <w:p w14:paraId="6EB310A3" w14:textId="34AA85F9" w:rsidR="0032560D" w:rsidRPr="0057248A" w:rsidRDefault="0080604E" w:rsidP="00685FD1">
      <w:pPr>
        <w:spacing w:line="360" w:lineRule="auto"/>
        <w:jc w:val="both"/>
        <w:rPr>
          <w:rFonts w:ascii="Book Antiqua" w:hAnsi="Book Antiqua"/>
          <w:lang w:val="en-US"/>
        </w:rPr>
      </w:pPr>
      <w:r w:rsidRPr="0080604E">
        <w:rPr>
          <w:rFonts w:ascii="Book Antiqua" w:hAnsi="Book Antiqua"/>
          <w:noProof/>
          <w:lang w:val="en-US"/>
        </w:rPr>
        <w:object w:dxaOrig="12630" w:dyaOrig="8925" w14:anchorId="748A298F">
          <v:shape id="_x0000_i1027" type="#_x0000_t75" alt="" style="width:496.8pt;height:352.8pt;mso-width-percent:0;mso-height-percent:0;mso-width-percent:0;mso-height-percent:0" o:ole="">
            <v:imagedata r:id="rId14" o:title=""/>
          </v:shape>
          <o:OLEObject Type="Embed" ProgID="AcroExch.Document.7" ShapeID="_x0000_i1027" DrawAspect="Content" ObjectID="_1625478997" r:id="rId15"/>
        </w:object>
      </w:r>
    </w:p>
    <w:p w14:paraId="72C0A5FA" w14:textId="4DE93ABB" w:rsidR="00E76885" w:rsidRPr="0057248A" w:rsidRDefault="00E76885" w:rsidP="00685FD1">
      <w:pPr>
        <w:spacing w:line="360" w:lineRule="auto"/>
        <w:jc w:val="both"/>
        <w:rPr>
          <w:rFonts w:ascii="Book Antiqua" w:hAnsi="Book Antiqua"/>
          <w:b/>
          <w:lang w:val="en-GB"/>
        </w:rPr>
      </w:pPr>
    </w:p>
    <w:p w14:paraId="013C4300" w14:textId="48CAB484" w:rsidR="00D41774" w:rsidRPr="0057248A" w:rsidRDefault="00685FD1" w:rsidP="00685FD1">
      <w:pPr>
        <w:spacing w:line="360" w:lineRule="auto"/>
        <w:jc w:val="both"/>
        <w:rPr>
          <w:rFonts w:ascii="Book Antiqua" w:hAnsi="Book Antiqua"/>
          <w:b/>
          <w:lang w:val="en-GB"/>
        </w:rPr>
      </w:pPr>
      <w:r w:rsidRPr="0057248A">
        <w:rPr>
          <w:rFonts w:ascii="Book Antiqua" w:hAnsi="Book Antiqua"/>
          <w:b/>
          <w:lang w:val="en-GB"/>
        </w:rPr>
        <w:t xml:space="preserve">Figure 4 Biopsy of a lymph node after nivolumab treatment. </w:t>
      </w:r>
      <w:r w:rsidR="00422152" w:rsidRPr="0057248A">
        <w:rPr>
          <w:rFonts w:ascii="Book Antiqua" w:hAnsi="Book Antiqua"/>
          <w:lang w:val="en-US"/>
        </w:rPr>
        <w:t>Activation of a lymph node including increased Ki-67 positive interfollicular population</w:t>
      </w:r>
      <w:r w:rsidRPr="0057248A">
        <w:rPr>
          <w:rFonts w:ascii="Book Antiqua" w:hAnsi="Book Antiqua"/>
          <w:lang w:val="en-US"/>
        </w:rPr>
        <w:t>.</w:t>
      </w:r>
    </w:p>
    <w:sectPr w:rsidR="00D41774" w:rsidRPr="0057248A" w:rsidSect="007E23F0">
      <w:headerReference w:type="default" r:id="rId16"/>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92E8B0" w14:textId="77777777" w:rsidR="009736A6" w:rsidRDefault="009736A6" w:rsidP="002B5248">
      <w:r>
        <w:separator/>
      </w:r>
    </w:p>
  </w:endnote>
  <w:endnote w:type="continuationSeparator" w:id="0">
    <w:p w14:paraId="0A2507A3" w14:textId="77777777" w:rsidR="009736A6" w:rsidRDefault="009736A6" w:rsidP="002B5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Grande">
    <w:panose1 w:val="00000000000000000000"/>
    <w:charset w:val="00"/>
    <w:family w:val="auto"/>
    <w:pitch w:val="variable"/>
    <w:sig w:usb0="A1002AE7" w:usb1="C0000063" w:usb2="00000038" w:usb3="00000000" w:csb0="000000BF" w:csb1="00000000"/>
  </w:font>
  <w:font w:name="Helvetica Neue">
    <w:charset w:val="00"/>
    <w:family w:val="auto"/>
    <w:pitch w:val="variable"/>
    <w:sig w:usb0="E50002FF"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MS PGothic">
    <w:panose1 w:val="020B0600070205080204"/>
    <w:charset w:val="80"/>
    <w:family w:val="swiss"/>
    <w:pitch w:val="variable"/>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TimesNewRomanPS-BoldItalicMT">
    <w:charset w:val="00"/>
    <w:family w:val="auto"/>
    <w:pitch w:val="variable"/>
    <w:sig w:usb0="E0000AFF" w:usb1="00007843" w:usb2="00000001" w:usb3="00000000" w:csb0="000001BF" w:csb1="00000000"/>
  </w:font>
  <w:font w:name="宋体">
    <w:altName w:val="SimSun"/>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83A876" w14:textId="77777777" w:rsidR="009736A6" w:rsidRDefault="009736A6" w:rsidP="002B5248">
      <w:r>
        <w:separator/>
      </w:r>
    </w:p>
  </w:footnote>
  <w:footnote w:type="continuationSeparator" w:id="0">
    <w:p w14:paraId="7A93A1DE" w14:textId="77777777" w:rsidR="009736A6" w:rsidRDefault="009736A6" w:rsidP="002B52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691352"/>
      <w:docPartObj>
        <w:docPartGallery w:val="Page Numbers (Top of Page)"/>
        <w:docPartUnique/>
      </w:docPartObj>
    </w:sdtPr>
    <w:sdtEndPr/>
    <w:sdtContent>
      <w:p w14:paraId="2F5BEF46" w14:textId="239F4A08" w:rsidR="005A110F" w:rsidRDefault="005A110F">
        <w:pPr>
          <w:pStyle w:val="aa"/>
          <w:jc w:val="center"/>
        </w:pPr>
        <w:r>
          <w:fldChar w:fldCharType="begin"/>
        </w:r>
        <w:r>
          <w:instrText>PAGE   \* MERGEFORMAT</w:instrText>
        </w:r>
        <w:r>
          <w:fldChar w:fldCharType="separate"/>
        </w:r>
        <w:r w:rsidR="00FD47EC">
          <w:rPr>
            <w:noProof/>
          </w:rPr>
          <w:t>23</w:t>
        </w:r>
        <w:r>
          <w:fldChar w:fldCharType="end"/>
        </w:r>
      </w:p>
    </w:sdtContent>
  </w:sdt>
  <w:p w14:paraId="03BC000E" w14:textId="77777777" w:rsidR="005A110F" w:rsidRDefault="005A110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71C65"/>
    <w:multiLevelType w:val="hybridMultilevel"/>
    <w:tmpl w:val="E924A3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3572F25"/>
    <w:multiLevelType w:val="hybridMultilevel"/>
    <w:tmpl w:val="E924A3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00E724D"/>
    <w:multiLevelType w:val="hybridMultilevel"/>
    <w:tmpl w:val="D416DC54"/>
    <w:lvl w:ilvl="0" w:tplc="631A668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AEE0D25"/>
    <w:multiLevelType w:val="hybridMultilevel"/>
    <w:tmpl w:val="BC989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F146FF4"/>
    <w:multiLevelType w:val="hybridMultilevel"/>
    <w:tmpl w:val="E924A3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zh-CN" w:vendorID="64" w:dllVersion="0" w:nlCheck="1" w:checkStyle="1"/>
  <w:activeWritingStyle w:appName="MSWord" w:lang="pt-BR" w:vendorID="64" w:dllVersion="6" w:nlCheck="1" w:checkStyle="0"/>
  <w:activeWritingStyle w:appName="MSWord" w:lang="it-IT" w:vendorID="64" w:dllVersion="6" w:nlCheck="1" w:checkStyle="0"/>
  <w:activeWritingStyle w:appName="MSWord" w:lang="pt-BR"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8BE"/>
    <w:rsid w:val="00005196"/>
    <w:rsid w:val="00010FAA"/>
    <w:rsid w:val="000207DE"/>
    <w:rsid w:val="000361CF"/>
    <w:rsid w:val="0005062D"/>
    <w:rsid w:val="00051D5D"/>
    <w:rsid w:val="00054377"/>
    <w:rsid w:val="00057F1E"/>
    <w:rsid w:val="00067364"/>
    <w:rsid w:val="00067400"/>
    <w:rsid w:val="000776C8"/>
    <w:rsid w:val="000837FA"/>
    <w:rsid w:val="0008724A"/>
    <w:rsid w:val="00094646"/>
    <w:rsid w:val="000B13A8"/>
    <w:rsid w:val="000B2B9C"/>
    <w:rsid w:val="000B39C3"/>
    <w:rsid w:val="000B541B"/>
    <w:rsid w:val="000B74A2"/>
    <w:rsid w:val="000B789E"/>
    <w:rsid w:val="000C0247"/>
    <w:rsid w:val="000C20DD"/>
    <w:rsid w:val="000C24D9"/>
    <w:rsid w:val="000C42FD"/>
    <w:rsid w:val="000C49ED"/>
    <w:rsid w:val="000D11F3"/>
    <w:rsid w:val="000D2CB0"/>
    <w:rsid w:val="000D50B3"/>
    <w:rsid w:val="000E6A17"/>
    <w:rsid w:val="000F6743"/>
    <w:rsid w:val="00101893"/>
    <w:rsid w:val="001052B7"/>
    <w:rsid w:val="001133B2"/>
    <w:rsid w:val="0011563D"/>
    <w:rsid w:val="001215FE"/>
    <w:rsid w:val="00131AA8"/>
    <w:rsid w:val="00144805"/>
    <w:rsid w:val="001457EC"/>
    <w:rsid w:val="00147ADF"/>
    <w:rsid w:val="00154483"/>
    <w:rsid w:val="001675B4"/>
    <w:rsid w:val="001710B0"/>
    <w:rsid w:val="00172124"/>
    <w:rsid w:val="001746A0"/>
    <w:rsid w:val="00176FEA"/>
    <w:rsid w:val="00180684"/>
    <w:rsid w:val="001814FE"/>
    <w:rsid w:val="00187CB8"/>
    <w:rsid w:val="00193169"/>
    <w:rsid w:val="001A066A"/>
    <w:rsid w:val="001A5647"/>
    <w:rsid w:val="001A759A"/>
    <w:rsid w:val="001B0D92"/>
    <w:rsid w:val="001B6594"/>
    <w:rsid w:val="001C03FB"/>
    <w:rsid w:val="001C1B20"/>
    <w:rsid w:val="001C230F"/>
    <w:rsid w:val="001C3246"/>
    <w:rsid w:val="001C5F56"/>
    <w:rsid w:val="001C6C7A"/>
    <w:rsid w:val="001D6339"/>
    <w:rsid w:val="001E2459"/>
    <w:rsid w:val="001F15A2"/>
    <w:rsid w:val="001F5840"/>
    <w:rsid w:val="002044D7"/>
    <w:rsid w:val="00212528"/>
    <w:rsid w:val="00214C54"/>
    <w:rsid w:val="00216BB8"/>
    <w:rsid w:val="00222B2D"/>
    <w:rsid w:val="0022520E"/>
    <w:rsid w:val="00246AA1"/>
    <w:rsid w:val="002505F0"/>
    <w:rsid w:val="002532E6"/>
    <w:rsid w:val="00262411"/>
    <w:rsid w:val="002763DC"/>
    <w:rsid w:val="002778BD"/>
    <w:rsid w:val="002811A9"/>
    <w:rsid w:val="00285238"/>
    <w:rsid w:val="00290A1C"/>
    <w:rsid w:val="002B5248"/>
    <w:rsid w:val="002D7E3C"/>
    <w:rsid w:val="002E537C"/>
    <w:rsid w:val="002E7318"/>
    <w:rsid w:val="002E7CB9"/>
    <w:rsid w:val="002F6206"/>
    <w:rsid w:val="002F79C6"/>
    <w:rsid w:val="00304A93"/>
    <w:rsid w:val="0030637A"/>
    <w:rsid w:val="003104FB"/>
    <w:rsid w:val="00310E14"/>
    <w:rsid w:val="00316918"/>
    <w:rsid w:val="0031726D"/>
    <w:rsid w:val="0032560D"/>
    <w:rsid w:val="0032626E"/>
    <w:rsid w:val="00327849"/>
    <w:rsid w:val="0033406C"/>
    <w:rsid w:val="003361B9"/>
    <w:rsid w:val="00336612"/>
    <w:rsid w:val="0035050E"/>
    <w:rsid w:val="00352FE0"/>
    <w:rsid w:val="0036107C"/>
    <w:rsid w:val="00364C6D"/>
    <w:rsid w:val="00366C0C"/>
    <w:rsid w:val="00371C5C"/>
    <w:rsid w:val="003723FB"/>
    <w:rsid w:val="00374A36"/>
    <w:rsid w:val="003772AB"/>
    <w:rsid w:val="00380277"/>
    <w:rsid w:val="00384DDA"/>
    <w:rsid w:val="00393761"/>
    <w:rsid w:val="00394D6A"/>
    <w:rsid w:val="003958D6"/>
    <w:rsid w:val="00397219"/>
    <w:rsid w:val="00397E3A"/>
    <w:rsid w:val="003A0E1F"/>
    <w:rsid w:val="003B171F"/>
    <w:rsid w:val="003B2391"/>
    <w:rsid w:val="003C178F"/>
    <w:rsid w:val="003D2C9E"/>
    <w:rsid w:val="003D3FC6"/>
    <w:rsid w:val="003D598A"/>
    <w:rsid w:val="003D7582"/>
    <w:rsid w:val="003E405B"/>
    <w:rsid w:val="003E7FA9"/>
    <w:rsid w:val="003F047C"/>
    <w:rsid w:val="003F1B59"/>
    <w:rsid w:val="003F58AF"/>
    <w:rsid w:val="003F5FB3"/>
    <w:rsid w:val="003F74CC"/>
    <w:rsid w:val="004053C5"/>
    <w:rsid w:val="00406C7C"/>
    <w:rsid w:val="00411EC8"/>
    <w:rsid w:val="00422152"/>
    <w:rsid w:val="004222A1"/>
    <w:rsid w:val="00422BEA"/>
    <w:rsid w:val="0042710F"/>
    <w:rsid w:val="00427973"/>
    <w:rsid w:val="00446B01"/>
    <w:rsid w:val="00446C6C"/>
    <w:rsid w:val="00452810"/>
    <w:rsid w:val="00473AD2"/>
    <w:rsid w:val="00481283"/>
    <w:rsid w:val="00483C46"/>
    <w:rsid w:val="004861DA"/>
    <w:rsid w:val="00486D07"/>
    <w:rsid w:val="00490646"/>
    <w:rsid w:val="004929D1"/>
    <w:rsid w:val="00494266"/>
    <w:rsid w:val="004A5E76"/>
    <w:rsid w:val="004B66CA"/>
    <w:rsid w:val="004C09F5"/>
    <w:rsid w:val="004C2434"/>
    <w:rsid w:val="004C6ED5"/>
    <w:rsid w:val="004D0166"/>
    <w:rsid w:val="004D173B"/>
    <w:rsid w:val="004D456D"/>
    <w:rsid w:val="004D4755"/>
    <w:rsid w:val="004E392E"/>
    <w:rsid w:val="004E6499"/>
    <w:rsid w:val="004F292F"/>
    <w:rsid w:val="004F5C77"/>
    <w:rsid w:val="00500494"/>
    <w:rsid w:val="00502AD2"/>
    <w:rsid w:val="00511803"/>
    <w:rsid w:val="00511E88"/>
    <w:rsid w:val="00513127"/>
    <w:rsid w:val="0052109D"/>
    <w:rsid w:val="0052135D"/>
    <w:rsid w:val="005234CC"/>
    <w:rsid w:val="00523A9B"/>
    <w:rsid w:val="00532885"/>
    <w:rsid w:val="005351CD"/>
    <w:rsid w:val="00535275"/>
    <w:rsid w:val="0053735B"/>
    <w:rsid w:val="005423F3"/>
    <w:rsid w:val="00545EBE"/>
    <w:rsid w:val="00546E79"/>
    <w:rsid w:val="0055283F"/>
    <w:rsid w:val="005622DE"/>
    <w:rsid w:val="0056726F"/>
    <w:rsid w:val="005719EB"/>
    <w:rsid w:val="0057248A"/>
    <w:rsid w:val="005742D1"/>
    <w:rsid w:val="00577FDF"/>
    <w:rsid w:val="00586B49"/>
    <w:rsid w:val="00590E29"/>
    <w:rsid w:val="0059393B"/>
    <w:rsid w:val="005A110F"/>
    <w:rsid w:val="005A335D"/>
    <w:rsid w:val="005A68F5"/>
    <w:rsid w:val="005B2D3D"/>
    <w:rsid w:val="005B5889"/>
    <w:rsid w:val="005C6935"/>
    <w:rsid w:val="005D1EDF"/>
    <w:rsid w:val="005E56ED"/>
    <w:rsid w:val="005E6ECC"/>
    <w:rsid w:val="005E7D3D"/>
    <w:rsid w:val="005F0013"/>
    <w:rsid w:val="005F2C6B"/>
    <w:rsid w:val="005F3360"/>
    <w:rsid w:val="005F3CD1"/>
    <w:rsid w:val="00604440"/>
    <w:rsid w:val="006048D3"/>
    <w:rsid w:val="006204BA"/>
    <w:rsid w:val="00620981"/>
    <w:rsid w:val="00624769"/>
    <w:rsid w:val="00626ECC"/>
    <w:rsid w:val="006275E0"/>
    <w:rsid w:val="00637B90"/>
    <w:rsid w:val="006512B3"/>
    <w:rsid w:val="006517F1"/>
    <w:rsid w:val="00655A58"/>
    <w:rsid w:val="006654EE"/>
    <w:rsid w:val="006711B9"/>
    <w:rsid w:val="0068249E"/>
    <w:rsid w:val="00682513"/>
    <w:rsid w:val="00682AD3"/>
    <w:rsid w:val="00685FD1"/>
    <w:rsid w:val="00693C20"/>
    <w:rsid w:val="006A071C"/>
    <w:rsid w:val="006A0FA8"/>
    <w:rsid w:val="006A1BFE"/>
    <w:rsid w:val="006A499C"/>
    <w:rsid w:val="006A72E3"/>
    <w:rsid w:val="006B1EBD"/>
    <w:rsid w:val="006C101F"/>
    <w:rsid w:val="006C3C4C"/>
    <w:rsid w:val="006C4FE4"/>
    <w:rsid w:val="006C6579"/>
    <w:rsid w:val="006C6A7B"/>
    <w:rsid w:val="006D08BD"/>
    <w:rsid w:val="006D228D"/>
    <w:rsid w:val="006D79C8"/>
    <w:rsid w:val="006E0AF7"/>
    <w:rsid w:val="006E1DB2"/>
    <w:rsid w:val="006E673B"/>
    <w:rsid w:val="006F611C"/>
    <w:rsid w:val="006F6CC7"/>
    <w:rsid w:val="006F70AB"/>
    <w:rsid w:val="00701274"/>
    <w:rsid w:val="00706B74"/>
    <w:rsid w:val="007175F4"/>
    <w:rsid w:val="00724848"/>
    <w:rsid w:val="00727D59"/>
    <w:rsid w:val="00731F30"/>
    <w:rsid w:val="00735758"/>
    <w:rsid w:val="0074253A"/>
    <w:rsid w:val="00744B03"/>
    <w:rsid w:val="007450D0"/>
    <w:rsid w:val="0075581F"/>
    <w:rsid w:val="00762C39"/>
    <w:rsid w:val="0076594E"/>
    <w:rsid w:val="0076596D"/>
    <w:rsid w:val="0077514F"/>
    <w:rsid w:val="00782B25"/>
    <w:rsid w:val="00792FE1"/>
    <w:rsid w:val="00793F14"/>
    <w:rsid w:val="007A7458"/>
    <w:rsid w:val="007B3A0F"/>
    <w:rsid w:val="007B7E24"/>
    <w:rsid w:val="007C096F"/>
    <w:rsid w:val="007C38BF"/>
    <w:rsid w:val="007C7C0A"/>
    <w:rsid w:val="007D2D3F"/>
    <w:rsid w:val="007E23F0"/>
    <w:rsid w:val="007E79C9"/>
    <w:rsid w:val="00802E4E"/>
    <w:rsid w:val="0080604E"/>
    <w:rsid w:val="0081200B"/>
    <w:rsid w:val="008135B8"/>
    <w:rsid w:val="008167A0"/>
    <w:rsid w:val="00827E10"/>
    <w:rsid w:val="008339B5"/>
    <w:rsid w:val="00845610"/>
    <w:rsid w:val="008474B3"/>
    <w:rsid w:val="00856402"/>
    <w:rsid w:val="00856A1B"/>
    <w:rsid w:val="00862B87"/>
    <w:rsid w:val="00866963"/>
    <w:rsid w:val="00874D76"/>
    <w:rsid w:val="008750B0"/>
    <w:rsid w:val="00885A94"/>
    <w:rsid w:val="00885D2D"/>
    <w:rsid w:val="008868BE"/>
    <w:rsid w:val="00886A77"/>
    <w:rsid w:val="00886CAD"/>
    <w:rsid w:val="00895119"/>
    <w:rsid w:val="008955C2"/>
    <w:rsid w:val="008A0539"/>
    <w:rsid w:val="008B2335"/>
    <w:rsid w:val="008B3DDC"/>
    <w:rsid w:val="008B718F"/>
    <w:rsid w:val="008C33A4"/>
    <w:rsid w:val="008C33C5"/>
    <w:rsid w:val="008D36BA"/>
    <w:rsid w:val="008D695D"/>
    <w:rsid w:val="008E3295"/>
    <w:rsid w:val="008E334B"/>
    <w:rsid w:val="008E5A03"/>
    <w:rsid w:val="008F2D27"/>
    <w:rsid w:val="008F6D4F"/>
    <w:rsid w:val="008F7DDF"/>
    <w:rsid w:val="00901A25"/>
    <w:rsid w:val="009036B6"/>
    <w:rsid w:val="00906ADB"/>
    <w:rsid w:val="009150E3"/>
    <w:rsid w:val="00920B43"/>
    <w:rsid w:val="00922F91"/>
    <w:rsid w:val="00924353"/>
    <w:rsid w:val="00924C80"/>
    <w:rsid w:val="00926D2E"/>
    <w:rsid w:val="0093769D"/>
    <w:rsid w:val="00943CAE"/>
    <w:rsid w:val="009455BA"/>
    <w:rsid w:val="0094590B"/>
    <w:rsid w:val="00950623"/>
    <w:rsid w:val="0095205A"/>
    <w:rsid w:val="009539C8"/>
    <w:rsid w:val="009669C6"/>
    <w:rsid w:val="00972A69"/>
    <w:rsid w:val="009736A6"/>
    <w:rsid w:val="009774ED"/>
    <w:rsid w:val="00981D6A"/>
    <w:rsid w:val="0098597F"/>
    <w:rsid w:val="00986F36"/>
    <w:rsid w:val="0099261C"/>
    <w:rsid w:val="00994202"/>
    <w:rsid w:val="00996192"/>
    <w:rsid w:val="009A2491"/>
    <w:rsid w:val="009B2250"/>
    <w:rsid w:val="009B49AE"/>
    <w:rsid w:val="009B739F"/>
    <w:rsid w:val="009C3E9B"/>
    <w:rsid w:val="009E06EF"/>
    <w:rsid w:val="009E7081"/>
    <w:rsid w:val="009F0C4D"/>
    <w:rsid w:val="009F496C"/>
    <w:rsid w:val="00A0504F"/>
    <w:rsid w:val="00A064B5"/>
    <w:rsid w:val="00A16DDD"/>
    <w:rsid w:val="00A16ED4"/>
    <w:rsid w:val="00A203C5"/>
    <w:rsid w:val="00A23639"/>
    <w:rsid w:val="00A277ED"/>
    <w:rsid w:val="00A308E6"/>
    <w:rsid w:val="00A35692"/>
    <w:rsid w:val="00A36895"/>
    <w:rsid w:val="00A53076"/>
    <w:rsid w:val="00A54949"/>
    <w:rsid w:val="00A55829"/>
    <w:rsid w:val="00A57255"/>
    <w:rsid w:val="00A60D4C"/>
    <w:rsid w:val="00A63BBE"/>
    <w:rsid w:val="00A641F5"/>
    <w:rsid w:val="00A658E6"/>
    <w:rsid w:val="00A70FAB"/>
    <w:rsid w:val="00A766EB"/>
    <w:rsid w:val="00A778E3"/>
    <w:rsid w:val="00A80593"/>
    <w:rsid w:val="00A819CF"/>
    <w:rsid w:val="00A825BD"/>
    <w:rsid w:val="00A860C4"/>
    <w:rsid w:val="00A93AEE"/>
    <w:rsid w:val="00AA614C"/>
    <w:rsid w:val="00AC63B7"/>
    <w:rsid w:val="00AC7FCD"/>
    <w:rsid w:val="00AD582B"/>
    <w:rsid w:val="00AD76F7"/>
    <w:rsid w:val="00AE349D"/>
    <w:rsid w:val="00AE59C4"/>
    <w:rsid w:val="00B02253"/>
    <w:rsid w:val="00B02C06"/>
    <w:rsid w:val="00B0395B"/>
    <w:rsid w:val="00B04031"/>
    <w:rsid w:val="00B15A51"/>
    <w:rsid w:val="00B26EE6"/>
    <w:rsid w:val="00B326E1"/>
    <w:rsid w:val="00B326EE"/>
    <w:rsid w:val="00B33806"/>
    <w:rsid w:val="00B352B9"/>
    <w:rsid w:val="00B374F0"/>
    <w:rsid w:val="00B4607E"/>
    <w:rsid w:val="00B5151B"/>
    <w:rsid w:val="00B5321D"/>
    <w:rsid w:val="00B576DB"/>
    <w:rsid w:val="00B6258D"/>
    <w:rsid w:val="00B71B36"/>
    <w:rsid w:val="00B82B9F"/>
    <w:rsid w:val="00B86FF6"/>
    <w:rsid w:val="00B876C2"/>
    <w:rsid w:val="00B90ED0"/>
    <w:rsid w:val="00B93059"/>
    <w:rsid w:val="00B94CA6"/>
    <w:rsid w:val="00B97F2E"/>
    <w:rsid w:val="00BB67CA"/>
    <w:rsid w:val="00BB6862"/>
    <w:rsid w:val="00BC3546"/>
    <w:rsid w:val="00BC608B"/>
    <w:rsid w:val="00BD42EA"/>
    <w:rsid w:val="00BE1B5A"/>
    <w:rsid w:val="00BE6B34"/>
    <w:rsid w:val="00BF0D95"/>
    <w:rsid w:val="00BF17EB"/>
    <w:rsid w:val="00BF7D97"/>
    <w:rsid w:val="00C00549"/>
    <w:rsid w:val="00C01AAC"/>
    <w:rsid w:val="00C12A74"/>
    <w:rsid w:val="00C13A7E"/>
    <w:rsid w:val="00C1440C"/>
    <w:rsid w:val="00C162D7"/>
    <w:rsid w:val="00C210F8"/>
    <w:rsid w:val="00C34CBC"/>
    <w:rsid w:val="00C43038"/>
    <w:rsid w:val="00C46500"/>
    <w:rsid w:val="00C56C77"/>
    <w:rsid w:val="00C60532"/>
    <w:rsid w:val="00C665D1"/>
    <w:rsid w:val="00C66EC3"/>
    <w:rsid w:val="00C7614B"/>
    <w:rsid w:val="00C76E10"/>
    <w:rsid w:val="00C77141"/>
    <w:rsid w:val="00C77810"/>
    <w:rsid w:val="00C84E1D"/>
    <w:rsid w:val="00C86727"/>
    <w:rsid w:val="00C92618"/>
    <w:rsid w:val="00C92B61"/>
    <w:rsid w:val="00C97112"/>
    <w:rsid w:val="00CA111C"/>
    <w:rsid w:val="00CB1587"/>
    <w:rsid w:val="00CB2E3C"/>
    <w:rsid w:val="00CB5037"/>
    <w:rsid w:val="00CC6561"/>
    <w:rsid w:val="00CC7796"/>
    <w:rsid w:val="00CE06EC"/>
    <w:rsid w:val="00CF1417"/>
    <w:rsid w:val="00CF62C2"/>
    <w:rsid w:val="00D15603"/>
    <w:rsid w:val="00D23A1E"/>
    <w:rsid w:val="00D4006F"/>
    <w:rsid w:val="00D41774"/>
    <w:rsid w:val="00D41A89"/>
    <w:rsid w:val="00D435B8"/>
    <w:rsid w:val="00D6792E"/>
    <w:rsid w:val="00D71604"/>
    <w:rsid w:val="00D76982"/>
    <w:rsid w:val="00D80FAB"/>
    <w:rsid w:val="00D81B66"/>
    <w:rsid w:val="00D82F1C"/>
    <w:rsid w:val="00D832B0"/>
    <w:rsid w:val="00D85090"/>
    <w:rsid w:val="00D913D5"/>
    <w:rsid w:val="00DA5741"/>
    <w:rsid w:val="00DB06E5"/>
    <w:rsid w:val="00DB52DC"/>
    <w:rsid w:val="00DC18DA"/>
    <w:rsid w:val="00DC2C99"/>
    <w:rsid w:val="00DC55EA"/>
    <w:rsid w:val="00DC5EB9"/>
    <w:rsid w:val="00DD2CDF"/>
    <w:rsid w:val="00DD37AF"/>
    <w:rsid w:val="00DE16B3"/>
    <w:rsid w:val="00DE46D1"/>
    <w:rsid w:val="00DF7EDB"/>
    <w:rsid w:val="00E24AD8"/>
    <w:rsid w:val="00E26575"/>
    <w:rsid w:val="00E30862"/>
    <w:rsid w:val="00E32353"/>
    <w:rsid w:val="00E34D3C"/>
    <w:rsid w:val="00E35AFC"/>
    <w:rsid w:val="00E4357F"/>
    <w:rsid w:val="00E51406"/>
    <w:rsid w:val="00E53AC5"/>
    <w:rsid w:val="00E549CD"/>
    <w:rsid w:val="00E571E5"/>
    <w:rsid w:val="00E62F86"/>
    <w:rsid w:val="00E67847"/>
    <w:rsid w:val="00E76885"/>
    <w:rsid w:val="00E82263"/>
    <w:rsid w:val="00E86A1F"/>
    <w:rsid w:val="00E90430"/>
    <w:rsid w:val="00EA0A50"/>
    <w:rsid w:val="00EA6298"/>
    <w:rsid w:val="00EA6F76"/>
    <w:rsid w:val="00EB13B5"/>
    <w:rsid w:val="00EC1E85"/>
    <w:rsid w:val="00EC2435"/>
    <w:rsid w:val="00EC4C47"/>
    <w:rsid w:val="00ED3BBE"/>
    <w:rsid w:val="00EE3764"/>
    <w:rsid w:val="00EE4B25"/>
    <w:rsid w:val="00EF1791"/>
    <w:rsid w:val="00EF6658"/>
    <w:rsid w:val="00F07CC1"/>
    <w:rsid w:val="00F10322"/>
    <w:rsid w:val="00F13C7E"/>
    <w:rsid w:val="00F1447D"/>
    <w:rsid w:val="00F23EF9"/>
    <w:rsid w:val="00F255DB"/>
    <w:rsid w:val="00F4419E"/>
    <w:rsid w:val="00F45C12"/>
    <w:rsid w:val="00F47697"/>
    <w:rsid w:val="00F54805"/>
    <w:rsid w:val="00F54F07"/>
    <w:rsid w:val="00F6417F"/>
    <w:rsid w:val="00F66EAD"/>
    <w:rsid w:val="00F70B37"/>
    <w:rsid w:val="00F71E75"/>
    <w:rsid w:val="00F727DF"/>
    <w:rsid w:val="00F74AC7"/>
    <w:rsid w:val="00F75B9E"/>
    <w:rsid w:val="00F76523"/>
    <w:rsid w:val="00F76864"/>
    <w:rsid w:val="00F81881"/>
    <w:rsid w:val="00F85300"/>
    <w:rsid w:val="00F8766E"/>
    <w:rsid w:val="00F90F85"/>
    <w:rsid w:val="00F91AAA"/>
    <w:rsid w:val="00F96124"/>
    <w:rsid w:val="00FA0AE9"/>
    <w:rsid w:val="00FA21EA"/>
    <w:rsid w:val="00FA3D6B"/>
    <w:rsid w:val="00FD22C8"/>
    <w:rsid w:val="00FD3090"/>
    <w:rsid w:val="00FD47EC"/>
    <w:rsid w:val="00FE27A4"/>
    <w:rsid w:val="00FE3496"/>
    <w:rsid w:val="00FE59F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EAC0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68BE"/>
  </w:style>
  <w:style w:type="paragraph" w:styleId="1">
    <w:name w:val="heading 1"/>
    <w:basedOn w:val="a"/>
    <w:link w:val="1Char"/>
    <w:uiPriority w:val="9"/>
    <w:qFormat/>
    <w:rsid w:val="00B94CA6"/>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ddr-line">
    <w:name w:val="addr-line"/>
    <w:basedOn w:val="a0"/>
    <w:rsid w:val="006048D3"/>
  </w:style>
  <w:style w:type="paragraph" w:styleId="a3">
    <w:name w:val="List Paragraph"/>
    <w:basedOn w:val="a"/>
    <w:uiPriority w:val="34"/>
    <w:qFormat/>
    <w:rsid w:val="00C56C77"/>
    <w:pPr>
      <w:ind w:left="720"/>
      <w:contextualSpacing/>
    </w:pPr>
  </w:style>
  <w:style w:type="character" w:styleId="a4">
    <w:name w:val="annotation reference"/>
    <w:basedOn w:val="a0"/>
    <w:uiPriority w:val="99"/>
    <w:semiHidden/>
    <w:unhideWhenUsed/>
    <w:rsid w:val="006C6A7B"/>
    <w:rPr>
      <w:sz w:val="18"/>
      <w:szCs w:val="18"/>
    </w:rPr>
  </w:style>
  <w:style w:type="paragraph" w:styleId="a5">
    <w:name w:val="annotation text"/>
    <w:basedOn w:val="a"/>
    <w:link w:val="Char"/>
    <w:uiPriority w:val="99"/>
    <w:semiHidden/>
    <w:unhideWhenUsed/>
    <w:rsid w:val="006C6A7B"/>
  </w:style>
  <w:style w:type="character" w:customStyle="1" w:styleId="Char">
    <w:name w:val="批注文字 Char"/>
    <w:basedOn w:val="a0"/>
    <w:link w:val="a5"/>
    <w:uiPriority w:val="99"/>
    <w:semiHidden/>
    <w:rsid w:val="006C6A7B"/>
  </w:style>
  <w:style w:type="paragraph" w:styleId="a6">
    <w:name w:val="annotation subject"/>
    <w:basedOn w:val="a5"/>
    <w:next w:val="a5"/>
    <w:link w:val="Char0"/>
    <w:uiPriority w:val="99"/>
    <w:semiHidden/>
    <w:unhideWhenUsed/>
    <w:rsid w:val="006C6A7B"/>
    <w:rPr>
      <w:b/>
      <w:bCs/>
      <w:sz w:val="20"/>
      <w:szCs w:val="20"/>
    </w:rPr>
  </w:style>
  <w:style w:type="character" w:customStyle="1" w:styleId="Char0">
    <w:name w:val="批注主题 Char"/>
    <w:basedOn w:val="Char"/>
    <w:link w:val="a6"/>
    <w:uiPriority w:val="99"/>
    <w:semiHidden/>
    <w:rsid w:val="006C6A7B"/>
    <w:rPr>
      <w:b/>
      <w:bCs/>
      <w:sz w:val="20"/>
      <w:szCs w:val="20"/>
    </w:rPr>
  </w:style>
  <w:style w:type="paragraph" w:styleId="a7">
    <w:name w:val="Revision"/>
    <w:hidden/>
    <w:uiPriority w:val="99"/>
    <w:semiHidden/>
    <w:rsid w:val="006C6A7B"/>
  </w:style>
  <w:style w:type="paragraph" w:styleId="a8">
    <w:name w:val="Balloon Text"/>
    <w:basedOn w:val="a"/>
    <w:link w:val="Char1"/>
    <w:uiPriority w:val="99"/>
    <w:semiHidden/>
    <w:unhideWhenUsed/>
    <w:rsid w:val="006C6A7B"/>
    <w:rPr>
      <w:rFonts w:ascii="Lucida Grande" w:hAnsi="Lucida Grande" w:cs="Lucida Grande"/>
      <w:sz w:val="18"/>
      <w:szCs w:val="18"/>
    </w:rPr>
  </w:style>
  <w:style w:type="character" w:customStyle="1" w:styleId="Char1">
    <w:name w:val="批注框文本 Char"/>
    <w:basedOn w:val="a0"/>
    <w:link w:val="a8"/>
    <w:uiPriority w:val="99"/>
    <w:semiHidden/>
    <w:rsid w:val="006C6A7B"/>
    <w:rPr>
      <w:rFonts w:ascii="Lucida Grande" w:hAnsi="Lucida Grande" w:cs="Lucida Grande"/>
      <w:sz w:val="18"/>
      <w:szCs w:val="18"/>
    </w:rPr>
  </w:style>
  <w:style w:type="character" w:customStyle="1" w:styleId="1Char">
    <w:name w:val="标题 1 Char"/>
    <w:basedOn w:val="a0"/>
    <w:link w:val="1"/>
    <w:uiPriority w:val="9"/>
    <w:rsid w:val="00B94CA6"/>
    <w:rPr>
      <w:rFonts w:ascii="Times New Roman" w:eastAsia="Times New Roman" w:hAnsi="Times New Roman" w:cs="Times New Roman"/>
      <w:b/>
      <w:bCs/>
      <w:kern w:val="36"/>
      <w:sz w:val="48"/>
      <w:szCs w:val="48"/>
    </w:rPr>
  </w:style>
  <w:style w:type="character" w:styleId="a9">
    <w:name w:val="Hyperlink"/>
    <w:basedOn w:val="a0"/>
    <w:uiPriority w:val="99"/>
    <w:unhideWhenUsed/>
    <w:rsid w:val="00B94CA6"/>
    <w:rPr>
      <w:color w:val="0000FF"/>
      <w:u w:val="single"/>
    </w:rPr>
  </w:style>
  <w:style w:type="character" w:customStyle="1" w:styleId="highlight">
    <w:name w:val="highlight"/>
    <w:basedOn w:val="a0"/>
    <w:rsid w:val="00B94CA6"/>
  </w:style>
  <w:style w:type="character" w:customStyle="1" w:styleId="10">
    <w:name w:val="未处理的提及1"/>
    <w:basedOn w:val="a0"/>
    <w:uiPriority w:val="99"/>
    <w:semiHidden/>
    <w:unhideWhenUsed/>
    <w:rsid w:val="00511803"/>
    <w:rPr>
      <w:color w:val="605E5C"/>
      <w:shd w:val="clear" w:color="auto" w:fill="E1DFDD"/>
    </w:rPr>
  </w:style>
  <w:style w:type="paragraph" w:styleId="aa">
    <w:name w:val="header"/>
    <w:basedOn w:val="a"/>
    <w:link w:val="Char2"/>
    <w:uiPriority w:val="99"/>
    <w:unhideWhenUsed/>
    <w:rsid w:val="002B5248"/>
    <w:pPr>
      <w:tabs>
        <w:tab w:val="center" w:pos="4536"/>
        <w:tab w:val="right" w:pos="9072"/>
      </w:tabs>
    </w:pPr>
  </w:style>
  <w:style w:type="character" w:customStyle="1" w:styleId="Char2">
    <w:name w:val="页眉 Char"/>
    <w:basedOn w:val="a0"/>
    <w:link w:val="aa"/>
    <w:uiPriority w:val="99"/>
    <w:rsid w:val="002B5248"/>
  </w:style>
  <w:style w:type="paragraph" w:styleId="ab">
    <w:name w:val="footer"/>
    <w:basedOn w:val="a"/>
    <w:link w:val="Char3"/>
    <w:uiPriority w:val="99"/>
    <w:unhideWhenUsed/>
    <w:rsid w:val="002B5248"/>
    <w:pPr>
      <w:tabs>
        <w:tab w:val="center" w:pos="4536"/>
        <w:tab w:val="right" w:pos="9072"/>
      </w:tabs>
    </w:pPr>
  </w:style>
  <w:style w:type="character" w:customStyle="1" w:styleId="Char3">
    <w:name w:val="页脚 Char"/>
    <w:basedOn w:val="a0"/>
    <w:link w:val="ab"/>
    <w:uiPriority w:val="99"/>
    <w:rsid w:val="002B5248"/>
  </w:style>
  <w:style w:type="table" w:styleId="ac">
    <w:name w:val="Table Grid"/>
    <w:basedOn w:val="a1"/>
    <w:uiPriority w:val="59"/>
    <w:rsid w:val="00685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97112"/>
    <w:rPr>
      <w:rFonts w:ascii="Helvetica Neue" w:eastAsia="Arial Unicode MS" w:hAnsi="Helvetica Neue" w:cs="Arial Unicode MS"/>
      <w:color w:val="000000"/>
      <w:sz w:val="22"/>
      <w:szCs w:val="22"/>
      <w:u w:color="000000"/>
      <w:lang w:val="en-US" w:eastAsia="en-US"/>
    </w:rPr>
  </w:style>
  <w:style w:type="paragraph" w:styleId="ad">
    <w:name w:val="Normal (Web)"/>
    <w:basedOn w:val="a"/>
    <w:uiPriority w:val="99"/>
    <w:semiHidden/>
    <w:unhideWhenUsed/>
    <w:rsid w:val="0032560D"/>
    <w:pPr>
      <w:spacing w:before="100" w:beforeAutospacing="1" w:after="100" w:afterAutospacing="1"/>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68BE"/>
  </w:style>
  <w:style w:type="paragraph" w:styleId="1">
    <w:name w:val="heading 1"/>
    <w:basedOn w:val="a"/>
    <w:link w:val="1Char"/>
    <w:uiPriority w:val="9"/>
    <w:qFormat/>
    <w:rsid w:val="00B94CA6"/>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ddr-line">
    <w:name w:val="addr-line"/>
    <w:basedOn w:val="a0"/>
    <w:rsid w:val="006048D3"/>
  </w:style>
  <w:style w:type="paragraph" w:styleId="a3">
    <w:name w:val="List Paragraph"/>
    <w:basedOn w:val="a"/>
    <w:uiPriority w:val="34"/>
    <w:qFormat/>
    <w:rsid w:val="00C56C77"/>
    <w:pPr>
      <w:ind w:left="720"/>
      <w:contextualSpacing/>
    </w:pPr>
  </w:style>
  <w:style w:type="character" w:styleId="a4">
    <w:name w:val="annotation reference"/>
    <w:basedOn w:val="a0"/>
    <w:uiPriority w:val="99"/>
    <w:semiHidden/>
    <w:unhideWhenUsed/>
    <w:rsid w:val="006C6A7B"/>
    <w:rPr>
      <w:sz w:val="18"/>
      <w:szCs w:val="18"/>
    </w:rPr>
  </w:style>
  <w:style w:type="paragraph" w:styleId="a5">
    <w:name w:val="annotation text"/>
    <w:basedOn w:val="a"/>
    <w:link w:val="Char"/>
    <w:uiPriority w:val="99"/>
    <w:semiHidden/>
    <w:unhideWhenUsed/>
    <w:rsid w:val="006C6A7B"/>
  </w:style>
  <w:style w:type="character" w:customStyle="1" w:styleId="Char">
    <w:name w:val="批注文字 Char"/>
    <w:basedOn w:val="a0"/>
    <w:link w:val="a5"/>
    <w:uiPriority w:val="99"/>
    <w:semiHidden/>
    <w:rsid w:val="006C6A7B"/>
  </w:style>
  <w:style w:type="paragraph" w:styleId="a6">
    <w:name w:val="annotation subject"/>
    <w:basedOn w:val="a5"/>
    <w:next w:val="a5"/>
    <w:link w:val="Char0"/>
    <w:uiPriority w:val="99"/>
    <w:semiHidden/>
    <w:unhideWhenUsed/>
    <w:rsid w:val="006C6A7B"/>
    <w:rPr>
      <w:b/>
      <w:bCs/>
      <w:sz w:val="20"/>
      <w:szCs w:val="20"/>
    </w:rPr>
  </w:style>
  <w:style w:type="character" w:customStyle="1" w:styleId="Char0">
    <w:name w:val="批注主题 Char"/>
    <w:basedOn w:val="Char"/>
    <w:link w:val="a6"/>
    <w:uiPriority w:val="99"/>
    <w:semiHidden/>
    <w:rsid w:val="006C6A7B"/>
    <w:rPr>
      <w:b/>
      <w:bCs/>
      <w:sz w:val="20"/>
      <w:szCs w:val="20"/>
    </w:rPr>
  </w:style>
  <w:style w:type="paragraph" w:styleId="a7">
    <w:name w:val="Revision"/>
    <w:hidden/>
    <w:uiPriority w:val="99"/>
    <w:semiHidden/>
    <w:rsid w:val="006C6A7B"/>
  </w:style>
  <w:style w:type="paragraph" w:styleId="a8">
    <w:name w:val="Balloon Text"/>
    <w:basedOn w:val="a"/>
    <w:link w:val="Char1"/>
    <w:uiPriority w:val="99"/>
    <w:semiHidden/>
    <w:unhideWhenUsed/>
    <w:rsid w:val="006C6A7B"/>
    <w:rPr>
      <w:rFonts w:ascii="Lucida Grande" w:hAnsi="Lucida Grande" w:cs="Lucida Grande"/>
      <w:sz w:val="18"/>
      <w:szCs w:val="18"/>
    </w:rPr>
  </w:style>
  <w:style w:type="character" w:customStyle="1" w:styleId="Char1">
    <w:name w:val="批注框文本 Char"/>
    <w:basedOn w:val="a0"/>
    <w:link w:val="a8"/>
    <w:uiPriority w:val="99"/>
    <w:semiHidden/>
    <w:rsid w:val="006C6A7B"/>
    <w:rPr>
      <w:rFonts w:ascii="Lucida Grande" w:hAnsi="Lucida Grande" w:cs="Lucida Grande"/>
      <w:sz w:val="18"/>
      <w:szCs w:val="18"/>
    </w:rPr>
  </w:style>
  <w:style w:type="character" w:customStyle="1" w:styleId="1Char">
    <w:name w:val="标题 1 Char"/>
    <w:basedOn w:val="a0"/>
    <w:link w:val="1"/>
    <w:uiPriority w:val="9"/>
    <w:rsid w:val="00B94CA6"/>
    <w:rPr>
      <w:rFonts w:ascii="Times New Roman" w:eastAsia="Times New Roman" w:hAnsi="Times New Roman" w:cs="Times New Roman"/>
      <w:b/>
      <w:bCs/>
      <w:kern w:val="36"/>
      <w:sz w:val="48"/>
      <w:szCs w:val="48"/>
    </w:rPr>
  </w:style>
  <w:style w:type="character" w:styleId="a9">
    <w:name w:val="Hyperlink"/>
    <w:basedOn w:val="a0"/>
    <w:uiPriority w:val="99"/>
    <w:unhideWhenUsed/>
    <w:rsid w:val="00B94CA6"/>
    <w:rPr>
      <w:color w:val="0000FF"/>
      <w:u w:val="single"/>
    </w:rPr>
  </w:style>
  <w:style w:type="character" w:customStyle="1" w:styleId="highlight">
    <w:name w:val="highlight"/>
    <w:basedOn w:val="a0"/>
    <w:rsid w:val="00B94CA6"/>
  </w:style>
  <w:style w:type="character" w:customStyle="1" w:styleId="10">
    <w:name w:val="未处理的提及1"/>
    <w:basedOn w:val="a0"/>
    <w:uiPriority w:val="99"/>
    <w:semiHidden/>
    <w:unhideWhenUsed/>
    <w:rsid w:val="00511803"/>
    <w:rPr>
      <w:color w:val="605E5C"/>
      <w:shd w:val="clear" w:color="auto" w:fill="E1DFDD"/>
    </w:rPr>
  </w:style>
  <w:style w:type="paragraph" w:styleId="aa">
    <w:name w:val="header"/>
    <w:basedOn w:val="a"/>
    <w:link w:val="Char2"/>
    <w:uiPriority w:val="99"/>
    <w:unhideWhenUsed/>
    <w:rsid w:val="002B5248"/>
    <w:pPr>
      <w:tabs>
        <w:tab w:val="center" w:pos="4536"/>
        <w:tab w:val="right" w:pos="9072"/>
      </w:tabs>
    </w:pPr>
  </w:style>
  <w:style w:type="character" w:customStyle="1" w:styleId="Char2">
    <w:name w:val="页眉 Char"/>
    <w:basedOn w:val="a0"/>
    <w:link w:val="aa"/>
    <w:uiPriority w:val="99"/>
    <w:rsid w:val="002B5248"/>
  </w:style>
  <w:style w:type="paragraph" w:styleId="ab">
    <w:name w:val="footer"/>
    <w:basedOn w:val="a"/>
    <w:link w:val="Char3"/>
    <w:uiPriority w:val="99"/>
    <w:unhideWhenUsed/>
    <w:rsid w:val="002B5248"/>
    <w:pPr>
      <w:tabs>
        <w:tab w:val="center" w:pos="4536"/>
        <w:tab w:val="right" w:pos="9072"/>
      </w:tabs>
    </w:pPr>
  </w:style>
  <w:style w:type="character" w:customStyle="1" w:styleId="Char3">
    <w:name w:val="页脚 Char"/>
    <w:basedOn w:val="a0"/>
    <w:link w:val="ab"/>
    <w:uiPriority w:val="99"/>
    <w:rsid w:val="002B5248"/>
  </w:style>
  <w:style w:type="table" w:styleId="ac">
    <w:name w:val="Table Grid"/>
    <w:basedOn w:val="a1"/>
    <w:uiPriority w:val="59"/>
    <w:rsid w:val="00685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97112"/>
    <w:rPr>
      <w:rFonts w:ascii="Helvetica Neue" w:eastAsia="Arial Unicode MS" w:hAnsi="Helvetica Neue" w:cs="Arial Unicode MS"/>
      <w:color w:val="000000"/>
      <w:sz w:val="22"/>
      <w:szCs w:val="22"/>
      <w:u w:color="000000"/>
      <w:lang w:val="en-US" w:eastAsia="en-US"/>
    </w:rPr>
  </w:style>
  <w:style w:type="paragraph" w:styleId="ad">
    <w:name w:val="Normal (Web)"/>
    <w:basedOn w:val="a"/>
    <w:uiPriority w:val="99"/>
    <w:semiHidden/>
    <w:unhideWhenUsed/>
    <w:rsid w:val="0032560D"/>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8799">
      <w:bodyDiv w:val="1"/>
      <w:marLeft w:val="0"/>
      <w:marRight w:val="0"/>
      <w:marTop w:val="0"/>
      <w:marBottom w:val="0"/>
      <w:divBdr>
        <w:top w:val="none" w:sz="0" w:space="0" w:color="auto"/>
        <w:left w:val="none" w:sz="0" w:space="0" w:color="auto"/>
        <w:bottom w:val="none" w:sz="0" w:space="0" w:color="auto"/>
        <w:right w:val="none" w:sz="0" w:space="0" w:color="auto"/>
      </w:divBdr>
    </w:div>
    <w:div w:id="190534002">
      <w:bodyDiv w:val="1"/>
      <w:marLeft w:val="0"/>
      <w:marRight w:val="0"/>
      <w:marTop w:val="0"/>
      <w:marBottom w:val="0"/>
      <w:divBdr>
        <w:top w:val="none" w:sz="0" w:space="0" w:color="auto"/>
        <w:left w:val="none" w:sz="0" w:space="0" w:color="auto"/>
        <w:bottom w:val="none" w:sz="0" w:space="0" w:color="auto"/>
        <w:right w:val="none" w:sz="0" w:space="0" w:color="auto"/>
      </w:divBdr>
      <w:divsChild>
        <w:div w:id="1084492636">
          <w:marLeft w:val="0"/>
          <w:marRight w:val="0"/>
          <w:marTop w:val="0"/>
          <w:marBottom w:val="0"/>
          <w:divBdr>
            <w:top w:val="none" w:sz="0" w:space="0" w:color="auto"/>
            <w:left w:val="none" w:sz="0" w:space="0" w:color="auto"/>
            <w:bottom w:val="none" w:sz="0" w:space="0" w:color="auto"/>
            <w:right w:val="none" w:sz="0" w:space="0" w:color="auto"/>
          </w:divBdr>
        </w:div>
        <w:div w:id="1567522622">
          <w:marLeft w:val="0"/>
          <w:marRight w:val="0"/>
          <w:marTop w:val="0"/>
          <w:marBottom w:val="0"/>
          <w:divBdr>
            <w:top w:val="none" w:sz="0" w:space="0" w:color="auto"/>
            <w:left w:val="none" w:sz="0" w:space="0" w:color="auto"/>
            <w:bottom w:val="none" w:sz="0" w:space="0" w:color="auto"/>
            <w:right w:val="none" w:sz="0" w:space="0" w:color="auto"/>
          </w:divBdr>
        </w:div>
      </w:divsChild>
    </w:div>
    <w:div w:id="340159062">
      <w:bodyDiv w:val="1"/>
      <w:marLeft w:val="0"/>
      <w:marRight w:val="0"/>
      <w:marTop w:val="0"/>
      <w:marBottom w:val="0"/>
      <w:divBdr>
        <w:top w:val="none" w:sz="0" w:space="0" w:color="auto"/>
        <w:left w:val="none" w:sz="0" w:space="0" w:color="auto"/>
        <w:bottom w:val="none" w:sz="0" w:space="0" w:color="auto"/>
        <w:right w:val="none" w:sz="0" w:space="0" w:color="auto"/>
      </w:divBdr>
    </w:div>
    <w:div w:id="792939715">
      <w:bodyDiv w:val="1"/>
      <w:marLeft w:val="0"/>
      <w:marRight w:val="0"/>
      <w:marTop w:val="0"/>
      <w:marBottom w:val="0"/>
      <w:divBdr>
        <w:top w:val="none" w:sz="0" w:space="0" w:color="auto"/>
        <w:left w:val="none" w:sz="0" w:space="0" w:color="auto"/>
        <w:bottom w:val="none" w:sz="0" w:space="0" w:color="auto"/>
        <w:right w:val="none" w:sz="0" w:space="0" w:color="auto"/>
      </w:divBdr>
    </w:div>
    <w:div w:id="1024475905">
      <w:bodyDiv w:val="1"/>
      <w:marLeft w:val="0"/>
      <w:marRight w:val="0"/>
      <w:marTop w:val="0"/>
      <w:marBottom w:val="0"/>
      <w:divBdr>
        <w:top w:val="none" w:sz="0" w:space="0" w:color="auto"/>
        <w:left w:val="none" w:sz="0" w:space="0" w:color="auto"/>
        <w:bottom w:val="none" w:sz="0" w:space="0" w:color="auto"/>
        <w:right w:val="none" w:sz="0" w:space="0" w:color="auto"/>
      </w:divBdr>
    </w:div>
    <w:div w:id="1392195397">
      <w:bodyDiv w:val="1"/>
      <w:marLeft w:val="0"/>
      <w:marRight w:val="0"/>
      <w:marTop w:val="0"/>
      <w:marBottom w:val="0"/>
      <w:divBdr>
        <w:top w:val="none" w:sz="0" w:space="0" w:color="auto"/>
        <w:left w:val="none" w:sz="0" w:space="0" w:color="auto"/>
        <w:bottom w:val="none" w:sz="0" w:space="0" w:color="auto"/>
        <w:right w:val="none" w:sz="0" w:space="0" w:color="auto"/>
      </w:divBdr>
    </w:div>
    <w:div w:id="1451824350">
      <w:bodyDiv w:val="1"/>
      <w:marLeft w:val="0"/>
      <w:marRight w:val="0"/>
      <w:marTop w:val="0"/>
      <w:marBottom w:val="0"/>
      <w:divBdr>
        <w:top w:val="none" w:sz="0" w:space="0" w:color="auto"/>
        <w:left w:val="none" w:sz="0" w:space="0" w:color="auto"/>
        <w:bottom w:val="none" w:sz="0" w:space="0" w:color="auto"/>
        <w:right w:val="none" w:sz="0" w:space="0" w:color="auto"/>
      </w:divBdr>
    </w:div>
    <w:div w:id="1933077576">
      <w:bodyDiv w:val="1"/>
      <w:marLeft w:val="0"/>
      <w:marRight w:val="0"/>
      <w:marTop w:val="0"/>
      <w:marBottom w:val="0"/>
      <w:divBdr>
        <w:top w:val="none" w:sz="0" w:space="0" w:color="auto"/>
        <w:left w:val="none" w:sz="0" w:space="0" w:color="auto"/>
        <w:bottom w:val="none" w:sz="0" w:space="0" w:color="auto"/>
        <w:right w:val="none" w:sz="0" w:space="0" w:color="auto"/>
      </w:divBdr>
    </w:div>
    <w:div w:id="2056536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B7E8B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690D1-6981-404F-B221-152491ACC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23</Pages>
  <Words>22423</Words>
  <Characters>127817</Characters>
  <Application>Microsoft Office Word</Application>
  <DocSecurity>0</DocSecurity>
  <Lines>1065</Lines>
  <Paragraphs>299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 Pietzner</dc:creator>
  <cp:keywords/>
  <dc:description/>
  <cp:lastModifiedBy>Administrator</cp:lastModifiedBy>
  <cp:revision>7</cp:revision>
  <dcterms:created xsi:type="dcterms:W3CDTF">2019-07-03T14:06:00Z</dcterms:created>
  <dcterms:modified xsi:type="dcterms:W3CDTF">2019-07-24T05:09:00Z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http://www.zotero.org/styles/american-medical-association-no-et-al</vt:lpwstr>
  </property>
  <property fmtid="{D5CDD505-2E9C-101B-9397-08002B2CF9AE}" pid="3" name="Mendeley Recent Style Name 0_1">
    <vt:lpwstr>American Medical Association (no "et al.")</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http://www.zotero.org/styles/journal-of-clinical-oncology</vt:lpwstr>
  </property>
  <property fmtid="{D5CDD505-2E9C-101B-9397-08002B2CF9AE}" pid="13" name="Mendeley Recent Style Name 5_1">
    <vt:lpwstr>Journal of Clinical Oncology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http://www.zotero.org/styles/the-oncologist</vt:lpwstr>
  </property>
  <property fmtid="{D5CDD505-2E9C-101B-9397-08002B2CF9AE}" pid="19" name="Mendeley Recent Style Name 8_1">
    <vt:lpwstr>The Oncologist</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f2a4a478-d5df-35f8-a2b2-758614842aba</vt:lpwstr>
  </property>
  <property fmtid="{D5CDD505-2E9C-101B-9397-08002B2CF9AE}" pid="24" name="Mendeley Citation Style_1">
    <vt:lpwstr>http://www.zotero.org/styles/vancouver</vt:lpwstr>
  </property>
</Properties>
</file>