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5C" w:rsidRPr="000C4B7C" w:rsidRDefault="001A1D5C"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color w:val="000000" w:themeColor="text1"/>
        </w:rPr>
        <w:t xml:space="preserve">Name of Journal: </w:t>
      </w:r>
      <w:r w:rsidR="00951964" w:rsidRPr="000C4B7C">
        <w:rPr>
          <w:rFonts w:ascii="Book Antiqua" w:hAnsi="Book Antiqua"/>
          <w:i/>
          <w:color w:val="000000" w:themeColor="text1"/>
        </w:rPr>
        <w:t>World Journal of Clinical Oncology</w:t>
      </w:r>
    </w:p>
    <w:p w:rsidR="001A1D5C" w:rsidRPr="000C4B7C" w:rsidRDefault="001A1D5C" w:rsidP="000C4B7C">
      <w:pPr>
        <w:adjustRightInd w:val="0"/>
        <w:snapToGrid w:val="0"/>
        <w:spacing w:line="360" w:lineRule="auto"/>
        <w:jc w:val="both"/>
        <w:rPr>
          <w:rFonts w:ascii="Book Antiqua" w:hAnsi="Book Antiqua"/>
          <w:b/>
          <w:color w:val="000000" w:themeColor="text1"/>
          <w:lang w:eastAsia="zh-CN"/>
        </w:rPr>
      </w:pPr>
      <w:r w:rsidRPr="000C4B7C">
        <w:rPr>
          <w:rFonts w:ascii="Book Antiqua" w:hAnsi="Book Antiqua"/>
          <w:b/>
          <w:color w:val="000000" w:themeColor="text1"/>
        </w:rPr>
        <w:t xml:space="preserve">Manuscript NO: </w:t>
      </w:r>
      <w:r w:rsidRPr="000C4B7C">
        <w:rPr>
          <w:rFonts w:ascii="Book Antiqua" w:hAnsi="Book Antiqua"/>
          <w:color w:val="000000" w:themeColor="text1"/>
          <w:lang w:eastAsia="zh-CN"/>
        </w:rPr>
        <w:t>55238</w:t>
      </w:r>
    </w:p>
    <w:p w:rsidR="001A1D5C" w:rsidRPr="000C4B7C" w:rsidRDefault="001A1D5C" w:rsidP="000C4B7C">
      <w:pPr>
        <w:adjustRightInd w:val="0"/>
        <w:snapToGrid w:val="0"/>
        <w:spacing w:line="360" w:lineRule="auto"/>
        <w:jc w:val="both"/>
        <w:rPr>
          <w:rFonts w:ascii="Book Antiqua" w:hAnsi="Book Antiqua"/>
          <w:b/>
          <w:color w:val="000000" w:themeColor="text1"/>
        </w:rPr>
      </w:pPr>
      <w:bookmarkStart w:id="0" w:name="OLE_LINK3"/>
      <w:bookmarkStart w:id="1" w:name="OLE_LINK4"/>
      <w:r w:rsidRPr="000C4B7C">
        <w:rPr>
          <w:rFonts w:ascii="Book Antiqua" w:hAnsi="Book Antiqua"/>
          <w:b/>
          <w:color w:val="000000" w:themeColor="text1"/>
          <w:shd w:val="clear" w:color="auto" w:fill="FFFFFF"/>
        </w:rPr>
        <w:t>Manuscript Type</w:t>
      </w:r>
      <w:bookmarkEnd w:id="0"/>
      <w:bookmarkEnd w:id="1"/>
      <w:r w:rsidRPr="000C4B7C">
        <w:rPr>
          <w:rFonts w:ascii="Book Antiqua" w:hAnsi="Book Antiqua"/>
          <w:b/>
          <w:color w:val="000000" w:themeColor="text1"/>
        </w:rPr>
        <w:t xml:space="preserve">: </w:t>
      </w:r>
      <w:r w:rsidRPr="000C4B7C">
        <w:rPr>
          <w:rFonts w:ascii="Book Antiqua" w:hAnsi="Book Antiqua"/>
          <w:color w:val="000000" w:themeColor="text1"/>
        </w:rPr>
        <w:t>REVIEW</w:t>
      </w:r>
    </w:p>
    <w:p w:rsidR="001A1D5C" w:rsidRPr="00F51161" w:rsidRDefault="001A1D5C" w:rsidP="000C4B7C">
      <w:pPr>
        <w:adjustRightInd w:val="0"/>
        <w:snapToGrid w:val="0"/>
        <w:spacing w:line="360" w:lineRule="auto"/>
        <w:jc w:val="both"/>
        <w:rPr>
          <w:rFonts w:ascii="Book Antiqua" w:hAnsi="Book Antiqua"/>
          <w:b/>
          <w:bCs/>
          <w:color w:val="000000" w:themeColor="text1"/>
          <w:lang w:eastAsia="zh-CN"/>
        </w:rPr>
      </w:pPr>
    </w:p>
    <w:p w:rsidR="00FC6D84" w:rsidRPr="000C4B7C" w:rsidRDefault="3BC9D2CA" w:rsidP="000C4B7C">
      <w:pPr>
        <w:adjustRightInd w:val="0"/>
        <w:snapToGrid w:val="0"/>
        <w:spacing w:line="360" w:lineRule="auto"/>
        <w:jc w:val="both"/>
        <w:rPr>
          <w:rFonts w:ascii="Book Antiqua" w:hAnsi="Book Antiqua"/>
          <w:color w:val="000000" w:themeColor="text1"/>
        </w:rPr>
      </w:pPr>
      <w:r w:rsidRPr="000C4B7C">
        <w:rPr>
          <w:rFonts w:ascii="Book Antiqua" w:hAnsi="Book Antiqua"/>
          <w:b/>
          <w:bCs/>
          <w:color w:val="000000" w:themeColor="text1"/>
        </w:rPr>
        <w:t>Combination</w:t>
      </w:r>
      <w:r w:rsidR="000170F9" w:rsidRPr="000C4B7C">
        <w:rPr>
          <w:rFonts w:ascii="Book Antiqua" w:hAnsi="Book Antiqua"/>
          <w:b/>
          <w:bCs/>
          <w:color w:val="000000" w:themeColor="text1"/>
        </w:rPr>
        <w:t xml:space="preserve"> drug regimens for metastatic clear cell renal cell carcinoma</w:t>
      </w:r>
    </w:p>
    <w:p w:rsidR="00A80C3D" w:rsidRPr="000C4B7C" w:rsidRDefault="00A80C3D" w:rsidP="000C4B7C">
      <w:pPr>
        <w:adjustRightInd w:val="0"/>
        <w:snapToGrid w:val="0"/>
        <w:spacing w:line="360" w:lineRule="auto"/>
        <w:jc w:val="both"/>
        <w:rPr>
          <w:rFonts w:ascii="Book Antiqua" w:hAnsi="Book Antiqua"/>
          <w:color w:val="000000" w:themeColor="text1"/>
          <w:lang w:eastAsia="zh-CN"/>
        </w:rPr>
      </w:pPr>
    </w:p>
    <w:p w:rsidR="00A80C3D" w:rsidRPr="000C4B7C" w:rsidRDefault="00A80C3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Cs/>
          <w:color w:val="000000" w:themeColor="text1"/>
        </w:rPr>
        <w:t xml:space="preserve">Khetani </w:t>
      </w:r>
      <w:r w:rsidRPr="000C4B7C">
        <w:rPr>
          <w:rFonts w:ascii="Book Antiqua" w:hAnsi="Book Antiqua"/>
          <w:bCs/>
          <w:color w:val="000000" w:themeColor="text1"/>
          <w:lang w:eastAsia="zh-CN"/>
        </w:rPr>
        <w:t>VV</w:t>
      </w:r>
      <w:r w:rsidRPr="000C4B7C">
        <w:rPr>
          <w:rFonts w:ascii="Book Antiqua" w:hAnsi="Book Antiqua"/>
          <w:bCs/>
          <w:i/>
          <w:color w:val="000000" w:themeColor="text1"/>
          <w:lang w:eastAsia="zh-CN"/>
        </w:rPr>
        <w:t xml:space="preserve"> et al</w:t>
      </w:r>
      <w:r w:rsidRPr="000C4B7C">
        <w:rPr>
          <w:rFonts w:ascii="Book Antiqua" w:hAnsi="Book Antiqua"/>
          <w:bCs/>
          <w:color w:val="000000" w:themeColor="text1"/>
          <w:lang w:eastAsia="zh-CN"/>
        </w:rPr>
        <w:t xml:space="preserve">. </w:t>
      </w:r>
      <w:r w:rsidRPr="000C4B7C">
        <w:rPr>
          <w:rFonts w:ascii="Book Antiqua" w:hAnsi="Book Antiqua"/>
          <w:bCs/>
          <w:color w:val="000000" w:themeColor="text1"/>
        </w:rPr>
        <w:t>Combination drug regimens for</w:t>
      </w:r>
      <w:r w:rsidRPr="000C4B7C">
        <w:rPr>
          <w:rFonts w:ascii="Book Antiqua" w:hAnsi="Book Antiqua"/>
          <w:color w:val="000000" w:themeColor="text1"/>
        </w:rPr>
        <w:t xml:space="preserve"> metastatic ccRCC</w:t>
      </w:r>
    </w:p>
    <w:p w:rsidR="00A80C3D" w:rsidRPr="000C4B7C" w:rsidRDefault="00A80C3D" w:rsidP="000C4B7C">
      <w:pPr>
        <w:adjustRightInd w:val="0"/>
        <w:snapToGrid w:val="0"/>
        <w:spacing w:line="360" w:lineRule="auto"/>
        <w:jc w:val="both"/>
        <w:rPr>
          <w:rFonts w:ascii="Book Antiqua" w:hAnsi="Book Antiqua"/>
          <w:bCs/>
          <w:color w:val="000000" w:themeColor="text1"/>
          <w:lang w:eastAsia="zh-CN"/>
        </w:rPr>
      </w:pPr>
    </w:p>
    <w:p w:rsidR="00083FB5" w:rsidRPr="000C4B7C" w:rsidRDefault="76A50026" w:rsidP="000C4B7C">
      <w:pPr>
        <w:adjustRightInd w:val="0"/>
        <w:snapToGrid w:val="0"/>
        <w:spacing w:line="360" w:lineRule="auto"/>
        <w:jc w:val="both"/>
        <w:rPr>
          <w:rFonts w:ascii="Book Antiqua" w:hAnsi="Book Antiqua"/>
          <w:bCs/>
          <w:color w:val="000000" w:themeColor="text1"/>
        </w:rPr>
      </w:pPr>
      <w:r w:rsidRPr="000C4B7C">
        <w:rPr>
          <w:rFonts w:ascii="Book Antiqua" w:hAnsi="Book Antiqua"/>
          <w:bCs/>
          <w:color w:val="000000" w:themeColor="text1"/>
        </w:rPr>
        <w:t>Viraj V Khetani, Daniella E Portal, Mansi R Shah, Tina Mayer, Eric A Singer</w:t>
      </w:r>
    </w:p>
    <w:p w:rsidR="00E5774E" w:rsidRPr="000C4B7C" w:rsidRDefault="00E5774E" w:rsidP="000C4B7C">
      <w:pPr>
        <w:adjustRightInd w:val="0"/>
        <w:snapToGrid w:val="0"/>
        <w:spacing w:line="360" w:lineRule="auto"/>
        <w:jc w:val="both"/>
        <w:rPr>
          <w:rFonts w:ascii="Book Antiqua" w:hAnsi="Book Antiqua"/>
          <w:color w:val="000000" w:themeColor="text1"/>
        </w:rPr>
      </w:pPr>
    </w:p>
    <w:p w:rsidR="00E655ED" w:rsidRPr="000C4B7C" w:rsidRDefault="60E1D0CC"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bCs/>
          <w:color w:val="000000" w:themeColor="text1"/>
        </w:rPr>
        <w:t xml:space="preserve">Viraj V Khetani, Daniella E Portal, Mansi R Shah, Tina Mayer, Eric A Singer, </w:t>
      </w:r>
      <w:r w:rsidR="00FC6D84" w:rsidRPr="000C4B7C">
        <w:rPr>
          <w:rFonts w:ascii="Book Antiqua" w:hAnsi="Book Antiqua"/>
          <w:bCs/>
          <w:color w:val="000000" w:themeColor="text1"/>
        </w:rPr>
        <w:t>Rutgers Cancer Institute of New Jersey</w:t>
      </w:r>
      <w:r w:rsidR="00914165" w:rsidRPr="000C4B7C">
        <w:rPr>
          <w:rFonts w:ascii="Book Antiqua" w:hAnsi="Book Antiqua"/>
          <w:bCs/>
          <w:color w:val="000000" w:themeColor="text1"/>
        </w:rPr>
        <w:t xml:space="preserve">, </w:t>
      </w:r>
      <w:r w:rsidRPr="000C4B7C">
        <w:rPr>
          <w:rFonts w:ascii="Book Antiqua" w:hAnsi="Book Antiqua"/>
          <w:color w:val="000000" w:themeColor="text1"/>
        </w:rPr>
        <w:t xml:space="preserve">Robert Wood Johnson Medical School, </w:t>
      </w:r>
      <w:r w:rsidR="76A50026" w:rsidRPr="000C4B7C">
        <w:rPr>
          <w:rFonts w:ascii="Book Antiqua" w:hAnsi="Book Antiqua"/>
          <w:color w:val="000000" w:themeColor="text1"/>
        </w:rPr>
        <w:t>New Brunswick, NJ 08903</w:t>
      </w:r>
      <w:r w:rsidR="008E426D" w:rsidRPr="000C4B7C">
        <w:rPr>
          <w:rFonts w:ascii="Book Antiqua" w:hAnsi="Book Antiqua"/>
          <w:color w:val="000000" w:themeColor="text1"/>
          <w:lang w:eastAsia="zh-CN"/>
        </w:rPr>
        <w:t>, United States</w:t>
      </w:r>
    </w:p>
    <w:p w:rsidR="00C6298A" w:rsidRPr="000C4B7C" w:rsidRDefault="00C6298A" w:rsidP="000C4B7C">
      <w:pPr>
        <w:adjustRightInd w:val="0"/>
        <w:snapToGrid w:val="0"/>
        <w:spacing w:line="360" w:lineRule="auto"/>
        <w:jc w:val="both"/>
        <w:rPr>
          <w:rFonts w:ascii="Book Antiqua" w:hAnsi="Book Antiqua"/>
          <w:color w:val="000000" w:themeColor="text1"/>
          <w:lang w:eastAsia="zh-CN"/>
        </w:rPr>
      </w:pPr>
    </w:p>
    <w:p w:rsidR="000D3825" w:rsidRPr="000C4B7C" w:rsidRDefault="000D3825" w:rsidP="000C4B7C">
      <w:pPr>
        <w:adjustRightInd w:val="0"/>
        <w:snapToGrid w:val="0"/>
        <w:spacing w:line="360" w:lineRule="auto"/>
        <w:jc w:val="both"/>
        <w:rPr>
          <w:rFonts w:ascii="Book Antiqua" w:hAnsi="Book Antiqua"/>
          <w:color w:val="000000" w:themeColor="text1"/>
        </w:rPr>
      </w:pPr>
      <w:r w:rsidRPr="000C4B7C">
        <w:rPr>
          <w:rFonts w:ascii="Book Antiqua" w:hAnsi="Book Antiqua"/>
          <w:b/>
          <w:color w:val="000000" w:themeColor="text1"/>
        </w:rPr>
        <w:t xml:space="preserve">Author contributions: </w:t>
      </w:r>
      <w:r w:rsidRPr="000C4B7C">
        <w:rPr>
          <w:rFonts w:ascii="Book Antiqua" w:hAnsi="Book Antiqua"/>
          <w:color w:val="000000" w:themeColor="text1"/>
        </w:rPr>
        <w:t xml:space="preserve">Khetani VV prepared the initial draft of the manuscript; Portal DE and Shah MR contributed in the reviewing and revising of the manuscript; Mayer TM and Singer EA revised and edited the manuscript. </w:t>
      </w:r>
    </w:p>
    <w:p w:rsidR="000D3825" w:rsidRPr="000C4B7C" w:rsidRDefault="000D3825" w:rsidP="000C4B7C">
      <w:pPr>
        <w:adjustRightInd w:val="0"/>
        <w:snapToGrid w:val="0"/>
        <w:spacing w:line="360" w:lineRule="auto"/>
        <w:jc w:val="both"/>
        <w:rPr>
          <w:rFonts w:ascii="Book Antiqua" w:hAnsi="Book Antiqua"/>
          <w:color w:val="000000" w:themeColor="text1"/>
        </w:rPr>
      </w:pPr>
    </w:p>
    <w:p w:rsidR="00D70D6B" w:rsidRPr="000C4B7C" w:rsidRDefault="007F0D94"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rPr>
        <w:t>Corresponding author:</w:t>
      </w:r>
      <w:r w:rsidRPr="000C4B7C">
        <w:rPr>
          <w:rFonts w:ascii="Book Antiqua" w:eastAsia="宋体" w:hAnsi="Book Antiqua" w:cs="Arial"/>
          <w:b/>
          <w:bCs/>
          <w:lang w:eastAsia="zh-CN"/>
        </w:rPr>
        <w:t xml:space="preserve"> </w:t>
      </w:r>
      <w:r w:rsidR="00F96E30" w:rsidRPr="000C4B7C">
        <w:rPr>
          <w:rFonts w:ascii="Book Antiqua" w:hAnsi="Book Antiqua"/>
          <w:b/>
          <w:bCs/>
          <w:color w:val="000000" w:themeColor="text1"/>
        </w:rPr>
        <w:t>Eric</w:t>
      </w:r>
      <w:r w:rsidR="001A613A" w:rsidRPr="000C4B7C">
        <w:rPr>
          <w:rFonts w:ascii="Book Antiqua" w:hAnsi="Book Antiqua"/>
          <w:b/>
          <w:bCs/>
          <w:color w:val="000000" w:themeColor="text1"/>
        </w:rPr>
        <w:t xml:space="preserve"> </w:t>
      </w:r>
      <w:r w:rsidR="00F96E30" w:rsidRPr="000C4B7C">
        <w:rPr>
          <w:rFonts w:ascii="Book Antiqua" w:hAnsi="Book Antiqua"/>
          <w:b/>
          <w:bCs/>
          <w:color w:val="000000" w:themeColor="text1"/>
        </w:rPr>
        <w:t xml:space="preserve">A Singer, </w:t>
      </w:r>
      <w:r w:rsidR="00B473C9" w:rsidRPr="00B473C9">
        <w:rPr>
          <w:rFonts w:ascii="Book Antiqua" w:hAnsi="Book Antiqua"/>
          <w:b/>
          <w:bCs/>
          <w:color w:val="000000" w:themeColor="text1"/>
        </w:rPr>
        <w:t>FACS, MA, MD, Associate Professor,</w:t>
      </w:r>
      <w:r w:rsidR="00085BDF" w:rsidRPr="000C4B7C">
        <w:rPr>
          <w:rFonts w:ascii="Book Antiqua" w:hAnsi="Book Antiqua"/>
          <w:b/>
          <w:bCs/>
          <w:color w:val="000000" w:themeColor="text1"/>
          <w:lang w:eastAsia="zh-CN"/>
        </w:rPr>
        <w:t xml:space="preserve"> </w:t>
      </w:r>
      <w:r w:rsidR="00C6298A" w:rsidRPr="000C4B7C">
        <w:rPr>
          <w:rFonts w:ascii="Book Antiqua" w:hAnsi="Book Antiqua"/>
          <w:color w:val="000000" w:themeColor="text1"/>
        </w:rPr>
        <w:t>Rutgers Cancer Institute of New Jersey</w:t>
      </w:r>
      <w:r w:rsidRPr="000C4B7C">
        <w:rPr>
          <w:rFonts w:ascii="Book Antiqua" w:hAnsi="Book Antiqua"/>
          <w:color w:val="000000" w:themeColor="text1"/>
          <w:lang w:eastAsia="zh-CN"/>
        </w:rPr>
        <w:t>,</w:t>
      </w:r>
      <w:r w:rsidRPr="000C4B7C">
        <w:rPr>
          <w:rFonts w:ascii="Book Antiqua" w:hAnsi="Book Antiqua"/>
          <w:color w:val="000000" w:themeColor="text1"/>
        </w:rPr>
        <w:t xml:space="preserve"> Robert Wood Johnson Medical School,</w:t>
      </w:r>
      <w:r w:rsidRPr="000C4B7C">
        <w:rPr>
          <w:rFonts w:ascii="Book Antiqua" w:hAnsi="Book Antiqua"/>
          <w:color w:val="000000" w:themeColor="text1"/>
          <w:lang w:eastAsia="zh-CN"/>
        </w:rPr>
        <w:t xml:space="preserve"> </w:t>
      </w:r>
      <w:r w:rsidR="00FC6D84" w:rsidRPr="000C4B7C">
        <w:rPr>
          <w:rFonts w:ascii="Book Antiqua" w:hAnsi="Book Antiqua"/>
          <w:color w:val="000000" w:themeColor="text1"/>
        </w:rPr>
        <w:t>1</w:t>
      </w:r>
      <w:r w:rsidR="000F337D" w:rsidRPr="000C4B7C">
        <w:rPr>
          <w:rFonts w:ascii="Book Antiqua" w:hAnsi="Book Antiqua"/>
          <w:color w:val="000000" w:themeColor="text1"/>
        </w:rPr>
        <w:t>95 Little Albany Street</w:t>
      </w:r>
      <w:r w:rsidR="003F5EB0" w:rsidRPr="000C4B7C">
        <w:rPr>
          <w:rFonts w:ascii="Book Antiqua" w:hAnsi="Book Antiqua"/>
          <w:color w:val="000000" w:themeColor="text1"/>
        </w:rPr>
        <w:t xml:space="preserve">, </w:t>
      </w:r>
      <w:r w:rsidR="000F337D" w:rsidRPr="000C4B7C">
        <w:rPr>
          <w:rFonts w:ascii="Book Antiqua" w:hAnsi="Book Antiqua"/>
          <w:color w:val="000000" w:themeColor="text1"/>
        </w:rPr>
        <w:t>New Brunswick, NJ</w:t>
      </w:r>
      <w:r w:rsidR="00D70D6B" w:rsidRPr="000C4B7C">
        <w:rPr>
          <w:rFonts w:ascii="Book Antiqua" w:hAnsi="Book Antiqua"/>
          <w:color w:val="000000" w:themeColor="text1"/>
        </w:rPr>
        <w:t xml:space="preserve"> 08903</w:t>
      </w:r>
      <w:r w:rsidR="003F5EB0" w:rsidRPr="000C4B7C">
        <w:rPr>
          <w:rFonts w:ascii="Book Antiqua" w:hAnsi="Book Antiqua"/>
          <w:color w:val="000000" w:themeColor="text1"/>
        </w:rPr>
        <w:t xml:space="preserve">, </w:t>
      </w:r>
      <w:r w:rsidRPr="000C4B7C">
        <w:rPr>
          <w:rFonts w:ascii="Book Antiqua" w:hAnsi="Book Antiqua"/>
          <w:color w:val="000000" w:themeColor="text1"/>
          <w:lang w:eastAsia="zh-CN"/>
        </w:rPr>
        <w:t xml:space="preserve">United States. </w:t>
      </w:r>
      <w:hyperlink r:id="rId9" w:history="1">
        <w:r w:rsidRPr="000C4B7C">
          <w:rPr>
            <w:rStyle w:val="a9"/>
            <w:rFonts w:ascii="Book Antiqua" w:hAnsi="Book Antiqua"/>
          </w:rPr>
          <w:t>eric.singer@rutgers.edu</w:t>
        </w:r>
      </w:hyperlink>
    </w:p>
    <w:p w:rsidR="00085BDF" w:rsidRPr="000C4B7C" w:rsidRDefault="00085BDF" w:rsidP="000C4B7C">
      <w:pPr>
        <w:adjustRightInd w:val="0"/>
        <w:snapToGrid w:val="0"/>
        <w:spacing w:line="360" w:lineRule="auto"/>
        <w:jc w:val="both"/>
        <w:rPr>
          <w:rFonts w:ascii="Book Antiqua" w:eastAsia="Times New Roman" w:hAnsi="Book Antiqua"/>
          <w:color w:val="000000" w:themeColor="text1"/>
          <w:lang w:eastAsia="zh-CN"/>
        </w:rPr>
      </w:pP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t>Received:</w:t>
      </w:r>
      <w:r w:rsidRPr="000C4B7C">
        <w:rPr>
          <w:rFonts w:ascii="Book Antiqua" w:eastAsia="宋体" w:hAnsi="Book Antiqua"/>
          <w:b/>
          <w:lang w:eastAsia="zh-CN"/>
        </w:rPr>
        <w:t xml:space="preserve"> </w:t>
      </w:r>
      <w:r w:rsidRPr="000C4B7C">
        <w:rPr>
          <w:rFonts w:ascii="Book Antiqua" w:eastAsia="宋体" w:hAnsi="Book Antiqua"/>
          <w:lang w:eastAsia="zh-CN"/>
        </w:rPr>
        <w:t xml:space="preserve">March </w:t>
      </w:r>
      <w:r w:rsidR="000104F4" w:rsidRPr="000C4B7C">
        <w:rPr>
          <w:rFonts w:ascii="Book Antiqua" w:eastAsia="宋体" w:hAnsi="Book Antiqua"/>
          <w:lang w:eastAsia="zh-CN"/>
        </w:rPr>
        <w:t>14, 2020</w:t>
      </w:r>
    </w:p>
    <w:p w:rsidR="00B62386" w:rsidRPr="000C4B7C" w:rsidRDefault="00B62386" w:rsidP="000C4B7C">
      <w:pPr>
        <w:adjustRightInd w:val="0"/>
        <w:snapToGrid w:val="0"/>
        <w:spacing w:line="360" w:lineRule="auto"/>
        <w:jc w:val="both"/>
        <w:rPr>
          <w:rFonts w:ascii="Book Antiqua" w:eastAsia="宋体" w:hAnsi="Book Antiqua"/>
          <w:b/>
          <w:lang w:eastAsia="zh-CN"/>
        </w:rPr>
      </w:pPr>
      <w:r w:rsidRPr="000C4B7C">
        <w:rPr>
          <w:rFonts w:ascii="Book Antiqua" w:hAnsi="Book Antiqua"/>
          <w:b/>
        </w:rPr>
        <w:t xml:space="preserve">Revised: </w:t>
      </w:r>
      <w:r w:rsidRPr="000C4B7C">
        <w:rPr>
          <w:rFonts w:ascii="Book Antiqua" w:eastAsia="宋体" w:hAnsi="Book Antiqua"/>
          <w:lang w:eastAsia="zh-CN"/>
        </w:rPr>
        <w:t>May 1</w:t>
      </w:r>
      <w:r w:rsidR="000104F4" w:rsidRPr="000C4B7C">
        <w:rPr>
          <w:rFonts w:ascii="Book Antiqua" w:eastAsia="宋体" w:hAnsi="Book Antiqua"/>
          <w:lang w:eastAsia="zh-CN"/>
        </w:rPr>
        <w:t>1, 2020</w:t>
      </w:r>
    </w:p>
    <w:p w:rsidR="00B62386" w:rsidRPr="000C4B7C" w:rsidRDefault="00B62386" w:rsidP="000C4B7C">
      <w:pPr>
        <w:adjustRightInd w:val="0"/>
        <w:snapToGrid w:val="0"/>
        <w:spacing w:line="360" w:lineRule="auto"/>
        <w:jc w:val="both"/>
        <w:rPr>
          <w:rFonts w:ascii="Book Antiqua" w:hAnsi="Book Antiqua"/>
          <w:color w:val="000000"/>
          <w:lang w:eastAsia="zh-CN"/>
        </w:rPr>
      </w:pPr>
      <w:r w:rsidRPr="000C4B7C">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0C4B7C">
        <w:rPr>
          <w:rFonts w:ascii="Book Antiqua" w:hAnsi="Book Antiqua"/>
          <w:color w:val="000000"/>
        </w:rPr>
        <w:t xml:space="preserve"> </w:t>
      </w:r>
      <w:bookmarkEnd w:id="2"/>
      <w:bookmarkEnd w:id="3"/>
      <w:bookmarkEnd w:id="4"/>
      <w:bookmarkEnd w:id="5"/>
      <w:bookmarkEnd w:id="6"/>
      <w:bookmarkEnd w:id="7"/>
      <w:bookmarkEnd w:id="8"/>
      <w:r w:rsidR="00A43AF9">
        <w:rPr>
          <w:rFonts w:ascii="Book Antiqua" w:hAnsi="Book Antiqua"/>
          <w:color w:val="000000"/>
          <w:lang w:eastAsia="zh-CN"/>
        </w:rPr>
        <w:t>July 18, 2020</w:t>
      </w: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t xml:space="preserve">Published online: </w:t>
      </w:r>
      <w:r w:rsidR="00DC6D58" w:rsidRPr="00DC6D58">
        <w:rPr>
          <w:rFonts w:ascii="Book Antiqua" w:eastAsia="宋体" w:hAnsi="Book Antiqua" w:hint="eastAsia"/>
          <w:lang w:eastAsia="zh-CN"/>
        </w:rPr>
        <w:t>August 24, 2020</w:t>
      </w:r>
    </w:p>
    <w:p w:rsidR="00B62386" w:rsidRPr="000C4B7C" w:rsidRDefault="00B62386" w:rsidP="000C4B7C">
      <w:pPr>
        <w:adjustRightInd w:val="0"/>
        <w:snapToGrid w:val="0"/>
        <w:spacing w:line="360" w:lineRule="auto"/>
        <w:jc w:val="both"/>
        <w:rPr>
          <w:rFonts w:ascii="Book Antiqua" w:hAnsi="Book Antiqua"/>
          <w:b/>
        </w:rPr>
      </w:pPr>
      <w:r w:rsidRPr="000C4B7C">
        <w:rPr>
          <w:rFonts w:ascii="Book Antiqua" w:hAnsi="Book Antiqua"/>
          <w:b/>
        </w:rPr>
        <w:br w:type="page"/>
      </w:r>
    </w:p>
    <w:p w:rsidR="004535CE" w:rsidRPr="000C4B7C" w:rsidRDefault="004535CE" w:rsidP="000C4B7C">
      <w:pPr>
        <w:adjustRightInd w:val="0"/>
        <w:snapToGrid w:val="0"/>
        <w:spacing w:line="360" w:lineRule="auto"/>
        <w:jc w:val="both"/>
        <w:rPr>
          <w:rFonts w:ascii="Book Antiqua" w:hAnsi="Book Antiqua"/>
          <w:b/>
          <w:color w:val="000000" w:themeColor="text1"/>
          <w:lang w:val="es-ES" w:eastAsia="zh-CN"/>
        </w:rPr>
      </w:pPr>
      <w:r w:rsidRPr="000C4B7C">
        <w:rPr>
          <w:rFonts w:ascii="Book Antiqua" w:hAnsi="Book Antiqua"/>
          <w:b/>
          <w:bCs/>
          <w:lang w:val="es-ES" w:eastAsia="es-ES"/>
        </w:rPr>
        <w:lastRenderedPageBreak/>
        <w:t>Abstract</w:t>
      </w:r>
    </w:p>
    <w:p w:rsidR="00D96ECF" w:rsidRPr="000C4B7C" w:rsidRDefault="00D96EC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Renal </w:t>
      </w:r>
      <w:r w:rsidR="00561A25" w:rsidRPr="000C4B7C">
        <w:rPr>
          <w:rFonts w:ascii="Book Antiqua" w:hAnsi="Book Antiqua"/>
          <w:color w:val="000000" w:themeColor="text1"/>
        </w:rPr>
        <w:t xml:space="preserve">cell carcinomas </w:t>
      </w:r>
      <w:r w:rsidR="006D56AE" w:rsidRPr="000C4B7C">
        <w:rPr>
          <w:rFonts w:ascii="Book Antiqua" w:hAnsi="Book Antiqua"/>
          <w:color w:val="000000" w:themeColor="text1"/>
        </w:rPr>
        <w:t>(RCC) make up about 90% of kidney</w:t>
      </w:r>
      <w:r w:rsidRPr="000C4B7C">
        <w:rPr>
          <w:rFonts w:ascii="Book Antiqua" w:hAnsi="Book Antiqua"/>
          <w:color w:val="000000" w:themeColor="text1"/>
        </w:rPr>
        <w:t xml:space="preserve"> cancers, of which 80% are </w:t>
      </w:r>
      <w:r w:rsidR="008B08E1" w:rsidRPr="000C4B7C">
        <w:rPr>
          <w:rFonts w:ascii="Book Antiqua" w:hAnsi="Book Antiqua"/>
          <w:color w:val="000000" w:themeColor="text1"/>
        </w:rPr>
        <w:t xml:space="preserve">of the </w:t>
      </w:r>
      <w:r w:rsidRPr="000C4B7C">
        <w:rPr>
          <w:rFonts w:ascii="Book Antiqua" w:hAnsi="Book Antiqua"/>
          <w:color w:val="000000" w:themeColor="text1"/>
        </w:rPr>
        <w:t xml:space="preserve">clear cell </w:t>
      </w:r>
      <w:r w:rsidR="008B08E1" w:rsidRPr="000C4B7C">
        <w:rPr>
          <w:rFonts w:ascii="Book Antiqua" w:hAnsi="Book Antiqua"/>
          <w:color w:val="000000" w:themeColor="text1"/>
        </w:rPr>
        <w:t>subtype</w:t>
      </w:r>
      <w:r w:rsidRPr="000C4B7C">
        <w:rPr>
          <w:rFonts w:ascii="Book Antiqua" w:hAnsi="Book Antiqua"/>
          <w:color w:val="000000" w:themeColor="text1"/>
        </w:rPr>
        <w:t xml:space="preserve">. </w:t>
      </w:r>
      <w:r w:rsidR="002373DE" w:rsidRPr="000C4B7C">
        <w:rPr>
          <w:rFonts w:ascii="Book Antiqua" w:hAnsi="Book Antiqua"/>
          <w:color w:val="000000" w:themeColor="text1"/>
        </w:rPr>
        <w:t>About 20% of patients are already metastatic</w:t>
      </w:r>
      <w:r w:rsidRPr="000C4B7C">
        <w:rPr>
          <w:rFonts w:ascii="Book Antiqua" w:hAnsi="Book Antiqua"/>
          <w:color w:val="000000" w:themeColor="text1"/>
        </w:rPr>
        <w:t xml:space="preserve"> at the time of diagnosis</w:t>
      </w:r>
      <w:r w:rsidR="002373DE" w:rsidRPr="000C4B7C">
        <w:rPr>
          <w:rFonts w:ascii="Book Antiqua" w:hAnsi="Book Antiqua"/>
          <w:color w:val="000000" w:themeColor="text1"/>
        </w:rPr>
        <w:t>.</w:t>
      </w:r>
      <w:r w:rsidRPr="000C4B7C">
        <w:rPr>
          <w:rFonts w:ascii="Book Antiqua" w:hAnsi="Book Antiqua"/>
          <w:color w:val="000000" w:themeColor="text1"/>
        </w:rPr>
        <w:t xml:space="preserve"> Initial treatment is </w:t>
      </w:r>
      <w:r w:rsidR="0059051E" w:rsidRPr="000C4B7C">
        <w:rPr>
          <w:rFonts w:ascii="Book Antiqua" w:hAnsi="Book Antiqua"/>
          <w:color w:val="000000" w:themeColor="text1"/>
        </w:rPr>
        <w:t xml:space="preserve">often </w:t>
      </w:r>
      <w:r w:rsidR="002373DE" w:rsidRPr="000C4B7C">
        <w:rPr>
          <w:rFonts w:ascii="Book Antiqua" w:hAnsi="Book Antiqua"/>
          <w:color w:val="000000" w:themeColor="text1"/>
          <w:shd w:val="clear" w:color="auto" w:fill="FFFFFF"/>
        </w:rPr>
        <w:t>cytoreductive nephrectomy</w:t>
      </w:r>
      <w:r w:rsidR="004305BF" w:rsidRPr="000C4B7C">
        <w:rPr>
          <w:rFonts w:ascii="Book Antiqua" w:hAnsi="Book Antiqua"/>
          <w:color w:val="000000" w:themeColor="text1"/>
          <w:shd w:val="clear" w:color="auto" w:fill="FFFFFF"/>
        </w:rPr>
        <w:t>,</w:t>
      </w:r>
      <w:r w:rsidRPr="000C4B7C">
        <w:rPr>
          <w:rFonts w:ascii="Book Antiqua" w:hAnsi="Book Antiqua"/>
          <w:color w:val="000000" w:themeColor="text1"/>
        </w:rPr>
        <w:t xml:space="preserve"> but systemic therapy is required for advanced RCC. </w:t>
      </w:r>
      <w:r w:rsidR="0059051E" w:rsidRPr="000C4B7C">
        <w:rPr>
          <w:rFonts w:ascii="Book Antiqua" w:hAnsi="Book Antiqua"/>
          <w:color w:val="000000" w:themeColor="text1"/>
        </w:rPr>
        <w:t>Single agent targeted therapies</w:t>
      </w:r>
      <w:r w:rsidR="001A613A" w:rsidRPr="000C4B7C">
        <w:rPr>
          <w:rFonts w:ascii="Book Antiqua" w:hAnsi="Book Antiqua"/>
          <w:color w:val="000000" w:themeColor="text1"/>
        </w:rPr>
        <w:t xml:space="preserve"> </w:t>
      </w:r>
      <w:r w:rsidRPr="000C4B7C">
        <w:rPr>
          <w:rFonts w:ascii="Book Antiqua" w:hAnsi="Book Antiqua"/>
          <w:color w:val="000000" w:themeColor="text1"/>
        </w:rPr>
        <w:t>are moderately toxic and only somewhat effective, leading to development of</w:t>
      </w:r>
      <w:r w:rsidR="00BC1CB8" w:rsidRPr="000C4B7C">
        <w:rPr>
          <w:rFonts w:ascii="Book Antiqua" w:hAnsi="Book Antiqua"/>
          <w:color w:val="000000" w:themeColor="text1"/>
        </w:rPr>
        <w:t xml:space="preserve"> immunotherapies and</w:t>
      </w:r>
      <w:r w:rsidRPr="000C4B7C">
        <w:rPr>
          <w:rFonts w:ascii="Book Antiqua" w:hAnsi="Book Antiqua"/>
          <w:color w:val="000000" w:themeColor="text1"/>
        </w:rPr>
        <w:t xml:space="preserve"> combination therapies.</w:t>
      </w:r>
      <w:r w:rsidR="001A613A" w:rsidRPr="000C4B7C">
        <w:rPr>
          <w:rFonts w:ascii="Book Antiqua" w:hAnsi="Book Antiqua"/>
          <w:b/>
          <w:bCs/>
          <w:color w:val="000000" w:themeColor="text1"/>
        </w:rPr>
        <w:t xml:space="preserve"> </w:t>
      </w:r>
      <w:r w:rsidRPr="000C4B7C">
        <w:rPr>
          <w:rFonts w:ascii="Book Antiqua" w:hAnsi="Book Antiqua"/>
          <w:color w:val="000000" w:themeColor="text1"/>
        </w:rPr>
        <w:t>This review identifies limitations of monotherapies for metastatic</w:t>
      </w:r>
      <w:r w:rsidR="001A613A" w:rsidRPr="000C4B7C">
        <w:rPr>
          <w:rFonts w:ascii="Book Antiqua" w:hAnsi="Book Antiqua"/>
          <w:color w:val="000000" w:themeColor="text1"/>
        </w:rPr>
        <w:t xml:space="preserve"> </w:t>
      </w:r>
      <w:r w:rsidRPr="000C4B7C">
        <w:rPr>
          <w:rFonts w:ascii="Book Antiqua" w:hAnsi="Book Antiqua"/>
          <w:color w:val="000000" w:themeColor="text1"/>
        </w:rPr>
        <w:t>renal cell carcinoma,</w:t>
      </w:r>
      <w:r w:rsidR="001A613A" w:rsidRPr="000C4B7C">
        <w:rPr>
          <w:rFonts w:ascii="Book Antiqua" w:hAnsi="Book Antiqua"/>
          <w:color w:val="000000" w:themeColor="text1"/>
        </w:rPr>
        <w:t xml:space="preserve"> </w:t>
      </w:r>
      <w:r w:rsidR="003872FB" w:rsidRPr="000C4B7C">
        <w:rPr>
          <w:rFonts w:ascii="Book Antiqua" w:hAnsi="Book Antiqua"/>
          <w:color w:val="000000" w:themeColor="text1"/>
        </w:rPr>
        <w:t>discusses</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recent advances </w:t>
      </w:r>
      <w:r w:rsidR="008B08E1" w:rsidRPr="000C4B7C">
        <w:rPr>
          <w:rFonts w:ascii="Book Antiqua" w:hAnsi="Book Antiqua"/>
          <w:color w:val="000000" w:themeColor="text1"/>
        </w:rPr>
        <w:t>in</w:t>
      </w:r>
      <w:r w:rsidR="001A613A" w:rsidRPr="000C4B7C">
        <w:rPr>
          <w:rFonts w:ascii="Book Antiqua" w:hAnsi="Book Antiqua"/>
          <w:color w:val="000000" w:themeColor="text1"/>
        </w:rPr>
        <w:t xml:space="preserve"> </w:t>
      </w:r>
      <w:r w:rsidRPr="000C4B7C">
        <w:rPr>
          <w:rFonts w:ascii="Book Antiqua" w:hAnsi="Book Antiqua"/>
          <w:color w:val="000000" w:themeColor="text1"/>
        </w:rPr>
        <w:t>combination therapies, and highlight</w:t>
      </w:r>
      <w:r w:rsidR="009667BA" w:rsidRPr="000C4B7C">
        <w:rPr>
          <w:rFonts w:ascii="Book Antiqua" w:hAnsi="Book Antiqua"/>
          <w:color w:val="000000" w:themeColor="text1"/>
        </w:rPr>
        <w:t>s</w:t>
      </w:r>
      <w:r w:rsidR="001A613A" w:rsidRPr="000C4B7C">
        <w:rPr>
          <w:rFonts w:ascii="Book Antiqua" w:hAnsi="Book Antiqua"/>
          <w:color w:val="000000" w:themeColor="text1"/>
        </w:rPr>
        <w:t xml:space="preserve"> </w:t>
      </w:r>
      <w:r w:rsidRPr="000C4B7C">
        <w:rPr>
          <w:rFonts w:ascii="Book Antiqua" w:hAnsi="Book Antiqua"/>
          <w:color w:val="000000" w:themeColor="text1"/>
        </w:rPr>
        <w:t>therapeutic options under development.</w:t>
      </w:r>
      <w:r w:rsidR="004535CE" w:rsidRPr="000C4B7C">
        <w:rPr>
          <w:rFonts w:ascii="Book Antiqua" w:hAnsi="Book Antiqua"/>
          <w:color w:val="000000" w:themeColor="text1"/>
          <w:lang w:eastAsia="zh-CN"/>
        </w:rPr>
        <w:t xml:space="preserve"> </w:t>
      </w:r>
      <w:r w:rsidR="007165F5" w:rsidRPr="000C4B7C">
        <w:rPr>
          <w:rFonts w:ascii="Book Antiqua" w:hAnsi="Book Antiqua"/>
          <w:color w:val="000000" w:themeColor="text1"/>
        </w:rPr>
        <w:t xml:space="preserve">The goal behind combining various modalities of systemic therapy is to potentiate a synergistic antitumor effect. </w:t>
      </w:r>
      <w:r w:rsidR="009667BA" w:rsidRPr="000C4B7C">
        <w:rPr>
          <w:rFonts w:ascii="Book Antiqua" w:hAnsi="Book Antiqua"/>
          <w:color w:val="000000" w:themeColor="text1"/>
        </w:rPr>
        <w:t xml:space="preserve">However, </w:t>
      </w:r>
      <w:r w:rsidR="007165F5" w:rsidRPr="000C4B7C">
        <w:rPr>
          <w:rFonts w:ascii="Book Antiqua" w:hAnsi="Book Antiqua"/>
          <w:color w:val="000000" w:themeColor="text1"/>
        </w:rPr>
        <w:t>combining targeted therapies may cause increased toxicity.</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The initial attempts </w:t>
      </w:r>
      <w:r w:rsidR="009667BA" w:rsidRPr="000C4B7C">
        <w:rPr>
          <w:rFonts w:ascii="Book Antiqua" w:hAnsi="Book Antiqua"/>
          <w:color w:val="000000" w:themeColor="text1"/>
        </w:rPr>
        <w:t>to create therapeutic combinations</w:t>
      </w:r>
      <w:r w:rsidR="0059051E" w:rsidRPr="000C4B7C">
        <w:rPr>
          <w:rFonts w:ascii="Book Antiqua" w:hAnsi="Book Antiqua"/>
          <w:color w:val="000000" w:themeColor="text1"/>
        </w:rPr>
        <w:t xml:space="preserve"> based on inhibition of the vas</w:t>
      </w:r>
      <w:r w:rsidR="00436D06" w:rsidRPr="000C4B7C">
        <w:rPr>
          <w:rFonts w:ascii="Book Antiqua" w:hAnsi="Book Antiqua"/>
          <w:color w:val="000000" w:themeColor="text1"/>
        </w:rPr>
        <w:t>cular endothelial growth factor</w:t>
      </w:r>
      <w:r w:rsidR="00436D06" w:rsidRPr="000C4B7C">
        <w:rPr>
          <w:rFonts w:ascii="Book Antiqua" w:hAnsi="Book Antiqua"/>
          <w:color w:val="000000" w:themeColor="text1"/>
          <w:lang w:eastAsia="zh-CN"/>
        </w:rPr>
        <w:t xml:space="preserve"> </w:t>
      </w:r>
      <w:r w:rsidR="0059051E" w:rsidRPr="000C4B7C">
        <w:rPr>
          <w:rFonts w:ascii="Book Antiqua" w:hAnsi="Book Antiqua"/>
          <w:color w:val="000000" w:themeColor="text1"/>
        </w:rPr>
        <w:t>or mammalian target of rapamycin pathways</w:t>
      </w:r>
      <w:r w:rsidR="00656C38" w:rsidRPr="000C4B7C">
        <w:rPr>
          <w:rFonts w:ascii="Book Antiqua" w:hAnsi="Book Antiqua"/>
          <w:color w:val="000000" w:themeColor="text1"/>
        </w:rPr>
        <w:t xml:space="preserve"> </w:t>
      </w:r>
      <w:r w:rsidR="0059051E" w:rsidRPr="000C4B7C">
        <w:rPr>
          <w:rFonts w:ascii="Book Antiqua" w:hAnsi="Book Antiqua"/>
          <w:color w:val="000000" w:themeColor="text1"/>
        </w:rPr>
        <w:t>were largely unsuccessful</w:t>
      </w:r>
      <w:r w:rsidRPr="000C4B7C">
        <w:rPr>
          <w:rFonts w:ascii="Book Antiqua" w:hAnsi="Book Antiqua"/>
          <w:color w:val="000000" w:themeColor="text1"/>
        </w:rPr>
        <w:t xml:space="preserve"> in achieving </w:t>
      </w:r>
      <w:r w:rsidR="009667BA" w:rsidRPr="000C4B7C">
        <w:rPr>
          <w:rFonts w:ascii="Book Antiqua" w:hAnsi="Book Antiqua"/>
          <w:color w:val="000000" w:themeColor="text1"/>
        </w:rPr>
        <w:t>a</w:t>
      </w:r>
      <w:r w:rsidRPr="000C4B7C">
        <w:rPr>
          <w:rFonts w:ascii="Book Antiqua" w:hAnsi="Book Antiqua"/>
          <w:color w:val="000000" w:themeColor="text1"/>
        </w:rPr>
        <w:t xml:space="preserve"> profile</w:t>
      </w:r>
      <w:r w:rsidR="009667BA" w:rsidRPr="000C4B7C">
        <w:rPr>
          <w:rFonts w:ascii="Book Antiqua" w:hAnsi="Book Antiqua"/>
          <w:color w:val="000000" w:themeColor="text1"/>
        </w:rPr>
        <w:t xml:space="preserve"> of increased synergy without increased toxicity</w:t>
      </w:r>
      <w:r w:rsidRPr="000C4B7C">
        <w:rPr>
          <w:rFonts w:ascii="Book Antiqua" w:hAnsi="Book Antiqua"/>
          <w:color w:val="000000" w:themeColor="text1"/>
        </w:rPr>
        <w:t>.</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To date, </w:t>
      </w:r>
      <w:r w:rsidR="00F50C2C" w:rsidRPr="000C4B7C">
        <w:rPr>
          <w:rFonts w:ascii="Book Antiqua" w:hAnsi="Book Antiqua"/>
          <w:color w:val="000000" w:themeColor="text1"/>
        </w:rPr>
        <w:t>five</w:t>
      </w:r>
      <w:r w:rsidRPr="000C4B7C">
        <w:rPr>
          <w:rFonts w:ascii="Book Antiqua" w:hAnsi="Book Antiqua"/>
          <w:color w:val="000000" w:themeColor="text1"/>
        </w:rPr>
        <w:t xml:space="preserve"> combination ther</w:t>
      </w:r>
      <w:r w:rsidR="00436D06" w:rsidRPr="000C4B7C">
        <w:rPr>
          <w:rFonts w:ascii="Book Antiqua" w:hAnsi="Book Antiqua"/>
          <w:color w:val="000000" w:themeColor="text1"/>
        </w:rPr>
        <w:t>apies have been approved by the</w:t>
      </w:r>
      <w:r w:rsidR="00436D06" w:rsidRPr="000C4B7C">
        <w:rPr>
          <w:rFonts w:ascii="Book Antiqua" w:hAnsi="Book Antiqua"/>
          <w:color w:val="000000" w:themeColor="text1"/>
          <w:lang w:eastAsia="zh-CN"/>
        </w:rPr>
        <w:t xml:space="preserve"> U.S. Food and Drug Administration</w:t>
      </w:r>
      <w:r w:rsidR="0059051E" w:rsidRPr="000C4B7C">
        <w:rPr>
          <w:rFonts w:ascii="Book Antiqua" w:hAnsi="Book Antiqua"/>
          <w:color w:val="000000" w:themeColor="text1"/>
        </w:rPr>
        <w:t>, with the most recently approved therapies being a combination of checkpoint inhibition plus targeted therapy</w:t>
      </w:r>
      <w:r w:rsidRPr="000C4B7C">
        <w:rPr>
          <w:rFonts w:ascii="Book Antiqua" w:hAnsi="Book Antiqua"/>
          <w:color w:val="000000" w:themeColor="text1"/>
        </w:rPr>
        <w:t xml:space="preserve">. Several other combination therapies are under development, including some in </w:t>
      </w:r>
      <w:r w:rsidR="004D454A" w:rsidRPr="000C4B7C">
        <w:rPr>
          <w:rFonts w:ascii="Book Antiqua" w:hAnsi="Book Antiqua"/>
          <w:color w:val="000000" w:themeColor="text1"/>
        </w:rPr>
        <w:t xml:space="preserve">the </w:t>
      </w:r>
      <w:r w:rsidRPr="000C4B7C">
        <w:rPr>
          <w:rFonts w:ascii="Book Antiqua" w:hAnsi="Book Antiqua"/>
          <w:color w:val="000000" w:themeColor="text1"/>
        </w:rPr>
        <w:t xml:space="preserve">phase 3 stage. The new wave of combination therapies for </w:t>
      </w:r>
      <w:r w:rsidR="00891B84" w:rsidRPr="000C4B7C">
        <w:rPr>
          <w:rFonts w:ascii="Book Antiqua" w:hAnsi="Book Antiqua"/>
          <w:color w:val="000000" w:themeColor="text1"/>
        </w:rPr>
        <w:t xml:space="preserve">metastatic </w:t>
      </w:r>
      <w:r w:rsidRPr="000C4B7C">
        <w:rPr>
          <w:rFonts w:ascii="Book Antiqua" w:hAnsi="Book Antiqua"/>
          <w:color w:val="000000" w:themeColor="text1"/>
        </w:rPr>
        <w:t xml:space="preserve">RCC has the potential </w:t>
      </w:r>
      <w:r w:rsidR="000D2E21" w:rsidRPr="000C4B7C">
        <w:rPr>
          <w:rFonts w:ascii="Book Antiqua" w:hAnsi="Book Antiqua"/>
          <w:color w:val="000000" w:themeColor="text1"/>
        </w:rPr>
        <w:t>to</w:t>
      </w:r>
      <w:r w:rsidR="001A613A" w:rsidRPr="000C4B7C">
        <w:rPr>
          <w:rFonts w:ascii="Book Antiqua" w:hAnsi="Book Antiqua"/>
          <w:color w:val="000000" w:themeColor="text1"/>
        </w:rPr>
        <w:t xml:space="preserve"> </w:t>
      </w:r>
      <w:r w:rsidR="000D2E21" w:rsidRPr="000C4B7C">
        <w:rPr>
          <w:rFonts w:ascii="Book Antiqua" w:hAnsi="Book Antiqua"/>
          <w:color w:val="000000" w:themeColor="text1"/>
        </w:rPr>
        <w:t>increase</w:t>
      </w:r>
      <w:r w:rsidR="001A613A" w:rsidRPr="000C4B7C">
        <w:rPr>
          <w:rFonts w:ascii="Book Antiqua" w:hAnsi="Book Antiqua"/>
          <w:color w:val="000000" w:themeColor="text1"/>
        </w:rPr>
        <w:t xml:space="preserve"> </w:t>
      </w:r>
      <w:r w:rsidR="000120EF" w:rsidRPr="000C4B7C">
        <w:rPr>
          <w:rFonts w:ascii="Book Antiqua" w:hAnsi="Book Antiqua"/>
          <w:color w:val="000000" w:themeColor="text1"/>
        </w:rPr>
        <w:t xml:space="preserve">response rates and </w:t>
      </w:r>
      <w:r w:rsidR="004E3711" w:rsidRPr="000C4B7C">
        <w:rPr>
          <w:rFonts w:ascii="Book Antiqua" w:hAnsi="Book Antiqua"/>
          <w:color w:val="000000" w:themeColor="text1"/>
        </w:rPr>
        <w:t xml:space="preserve">improve </w:t>
      </w:r>
      <w:r w:rsidRPr="000C4B7C">
        <w:rPr>
          <w:rFonts w:ascii="Book Antiqua" w:hAnsi="Book Antiqua"/>
          <w:color w:val="000000" w:themeColor="text1"/>
        </w:rPr>
        <w:t xml:space="preserve">survival </w:t>
      </w:r>
      <w:r w:rsidR="000120EF" w:rsidRPr="000C4B7C">
        <w:rPr>
          <w:rFonts w:ascii="Book Antiqua" w:hAnsi="Book Antiqua"/>
          <w:color w:val="000000" w:themeColor="text1"/>
        </w:rPr>
        <w:t xml:space="preserve">outcomes </w:t>
      </w:r>
      <w:r w:rsidR="000D2E21" w:rsidRPr="000C4B7C">
        <w:rPr>
          <w:rFonts w:ascii="Book Antiqua" w:hAnsi="Book Antiqua"/>
          <w:color w:val="000000" w:themeColor="text1"/>
        </w:rPr>
        <w:t xml:space="preserve">while </w:t>
      </w:r>
      <w:r w:rsidR="004E3711" w:rsidRPr="000C4B7C">
        <w:rPr>
          <w:rFonts w:ascii="Book Antiqua" w:hAnsi="Book Antiqua"/>
          <w:color w:val="000000" w:themeColor="text1"/>
        </w:rPr>
        <w:t>maintaining tolerable side effect profiles</w:t>
      </w:r>
      <w:r w:rsidRPr="000C4B7C">
        <w:rPr>
          <w:rFonts w:ascii="Book Antiqua" w:hAnsi="Book Antiqua"/>
          <w:color w:val="000000" w:themeColor="text1"/>
        </w:rPr>
        <w:t>.</w:t>
      </w:r>
    </w:p>
    <w:p w:rsidR="007F2FB8" w:rsidRPr="000C4B7C" w:rsidRDefault="007F2FB8" w:rsidP="000C4B7C">
      <w:pPr>
        <w:adjustRightInd w:val="0"/>
        <w:snapToGrid w:val="0"/>
        <w:spacing w:line="360" w:lineRule="auto"/>
        <w:jc w:val="both"/>
        <w:rPr>
          <w:rFonts w:ascii="Book Antiqua" w:hAnsi="Book Antiqua"/>
          <w:color w:val="000000" w:themeColor="text1"/>
          <w:lang w:eastAsia="zh-CN"/>
        </w:rPr>
      </w:pPr>
    </w:p>
    <w:p w:rsidR="00085BDF" w:rsidRPr="000C4B7C" w:rsidRDefault="00A45ADD" w:rsidP="000C4B7C">
      <w:pPr>
        <w:adjustRightInd w:val="0"/>
        <w:snapToGrid w:val="0"/>
        <w:spacing w:line="360" w:lineRule="auto"/>
        <w:jc w:val="both"/>
        <w:rPr>
          <w:rFonts w:ascii="Book Antiqua" w:hAnsi="Book Antiqua"/>
          <w:color w:val="000000" w:themeColor="text1"/>
        </w:rPr>
      </w:pPr>
      <w:r w:rsidRPr="000C4B7C">
        <w:rPr>
          <w:rFonts w:ascii="Book Antiqua" w:hAnsi="Book Antiqua"/>
          <w:b/>
          <w:iCs/>
          <w:lang w:eastAsia="es-ES_tradnl"/>
        </w:rPr>
        <w:t>Key words:</w:t>
      </w:r>
      <w:r w:rsidRPr="000C4B7C">
        <w:rPr>
          <w:rFonts w:ascii="Book Antiqua" w:eastAsia="宋体" w:hAnsi="Book Antiqua"/>
          <w:color w:val="0000FF"/>
          <w:lang w:val="en" w:eastAsia="zh-CN"/>
        </w:rPr>
        <w:t xml:space="preserve"> </w:t>
      </w:r>
      <w:r w:rsidR="00085BDF" w:rsidRPr="000C4B7C">
        <w:rPr>
          <w:rFonts w:ascii="Book Antiqua" w:hAnsi="Book Antiqua"/>
          <w:color w:val="000000" w:themeColor="text1"/>
        </w:rPr>
        <w:t>Renal cell carcinoma;</w:t>
      </w:r>
      <w:r w:rsidR="00891B84" w:rsidRPr="000C4B7C">
        <w:rPr>
          <w:rFonts w:ascii="Book Antiqua" w:hAnsi="Book Antiqua"/>
          <w:color w:val="000000" w:themeColor="text1"/>
          <w:lang w:eastAsia="zh-CN"/>
        </w:rPr>
        <w:t xml:space="preserve"> </w:t>
      </w:r>
      <w:r w:rsidR="00085BDF" w:rsidRPr="000C4B7C">
        <w:rPr>
          <w:rFonts w:ascii="Book Antiqua" w:hAnsi="Book Antiqua"/>
          <w:color w:val="000000" w:themeColor="text1"/>
        </w:rPr>
        <w:t xml:space="preserve">Immunotherapy; Targeted therapy; Vascular </w:t>
      </w:r>
      <w:r w:rsidR="00891B84" w:rsidRPr="000C4B7C">
        <w:rPr>
          <w:rFonts w:ascii="Book Antiqua" w:hAnsi="Book Antiqua"/>
          <w:color w:val="000000" w:themeColor="text1"/>
        </w:rPr>
        <w:t>endothelial growth factor</w:t>
      </w:r>
      <w:r w:rsidR="00085BDF" w:rsidRPr="000C4B7C">
        <w:rPr>
          <w:rFonts w:ascii="Book Antiqua" w:hAnsi="Book Antiqua"/>
          <w:color w:val="000000" w:themeColor="text1"/>
        </w:rPr>
        <w:t>; Programmed-</w:t>
      </w:r>
      <w:r w:rsidR="00891B84" w:rsidRPr="000C4B7C">
        <w:rPr>
          <w:rFonts w:ascii="Book Antiqua" w:hAnsi="Book Antiqua"/>
          <w:color w:val="000000" w:themeColor="text1"/>
        </w:rPr>
        <w:t xml:space="preserve">death receptor </w:t>
      </w:r>
      <w:r w:rsidR="00085BDF" w:rsidRPr="000C4B7C">
        <w:rPr>
          <w:rFonts w:ascii="Book Antiqua" w:hAnsi="Book Antiqua"/>
          <w:color w:val="000000" w:themeColor="text1"/>
        </w:rPr>
        <w:t>1</w:t>
      </w:r>
      <w:r w:rsidR="00891B84" w:rsidRPr="000C4B7C">
        <w:rPr>
          <w:rFonts w:ascii="Book Antiqua" w:hAnsi="Book Antiqua"/>
          <w:color w:val="000000" w:themeColor="text1"/>
          <w:lang w:eastAsia="zh-CN"/>
        </w:rPr>
        <w:t xml:space="preserve">; </w:t>
      </w:r>
      <w:r w:rsidR="00085BDF" w:rsidRPr="000C4B7C">
        <w:rPr>
          <w:rFonts w:ascii="Book Antiqua" w:hAnsi="Book Antiqua"/>
          <w:color w:val="000000" w:themeColor="text1"/>
        </w:rPr>
        <w:t>Programmed-</w:t>
      </w:r>
      <w:r w:rsidR="00891B84" w:rsidRPr="000C4B7C">
        <w:rPr>
          <w:rFonts w:ascii="Book Antiqua" w:hAnsi="Book Antiqua"/>
          <w:color w:val="000000" w:themeColor="text1"/>
        </w:rPr>
        <w:t>death receptor ligand</w:t>
      </w:r>
      <w:r w:rsidR="00085BDF" w:rsidRPr="000C4B7C">
        <w:rPr>
          <w:rFonts w:ascii="Book Antiqua" w:hAnsi="Book Antiqua"/>
          <w:color w:val="000000" w:themeColor="text1"/>
        </w:rPr>
        <w:t xml:space="preserve">-1; Tyrosine </w:t>
      </w:r>
      <w:r w:rsidR="00891B84" w:rsidRPr="000C4B7C">
        <w:rPr>
          <w:rFonts w:ascii="Book Antiqua" w:hAnsi="Book Antiqua"/>
          <w:color w:val="000000" w:themeColor="text1"/>
        </w:rPr>
        <w:t>kinase inhibitors</w:t>
      </w:r>
    </w:p>
    <w:p w:rsidR="00085BDF" w:rsidRPr="000C4B7C" w:rsidRDefault="00085BDF" w:rsidP="000C4B7C">
      <w:pPr>
        <w:adjustRightInd w:val="0"/>
        <w:snapToGrid w:val="0"/>
        <w:spacing w:line="360" w:lineRule="auto"/>
        <w:jc w:val="both"/>
        <w:rPr>
          <w:rFonts w:ascii="Book Antiqua" w:hAnsi="Book Antiqua"/>
          <w:color w:val="000000" w:themeColor="text1"/>
        </w:rPr>
      </w:pPr>
    </w:p>
    <w:p w:rsidR="00AF6C58" w:rsidRDefault="00AF6C58" w:rsidP="000C4B7C">
      <w:pPr>
        <w:adjustRightInd w:val="0"/>
        <w:snapToGrid w:val="0"/>
        <w:spacing w:line="360" w:lineRule="auto"/>
        <w:jc w:val="both"/>
        <w:rPr>
          <w:rFonts w:ascii="Book Antiqua" w:eastAsia="宋体" w:hAnsi="Book Antiqua" w:hint="eastAsia"/>
          <w:lang w:eastAsia="zh-CN"/>
        </w:rPr>
      </w:pPr>
      <w:r w:rsidRPr="00AF6C58">
        <w:rPr>
          <w:rFonts w:ascii="Book Antiqua" w:hAnsi="Book Antiqua" w:hint="eastAsia"/>
          <w:b/>
          <w:bCs/>
          <w:color w:val="000000" w:themeColor="text1"/>
          <w:lang w:eastAsia="zh-CN"/>
        </w:rPr>
        <w:t>Citation:</w:t>
      </w:r>
      <w:r>
        <w:rPr>
          <w:rFonts w:ascii="Book Antiqua" w:hAnsi="Book Antiqua" w:hint="eastAsia"/>
          <w:bCs/>
          <w:color w:val="000000" w:themeColor="text1"/>
          <w:lang w:eastAsia="zh-CN"/>
        </w:rPr>
        <w:t xml:space="preserve"> </w:t>
      </w:r>
      <w:r w:rsidR="00A45ADD" w:rsidRPr="000C4B7C">
        <w:rPr>
          <w:rFonts w:ascii="Book Antiqua" w:hAnsi="Book Antiqua"/>
          <w:bCs/>
          <w:color w:val="000000" w:themeColor="text1"/>
        </w:rPr>
        <w:t>Khetani</w:t>
      </w:r>
      <w:r w:rsidR="00A45ADD" w:rsidRPr="000C4B7C">
        <w:rPr>
          <w:rFonts w:ascii="Book Antiqua" w:hAnsi="Book Antiqua"/>
          <w:bCs/>
          <w:color w:val="000000" w:themeColor="text1"/>
          <w:lang w:eastAsia="zh-CN"/>
        </w:rPr>
        <w:t xml:space="preserve"> VV</w:t>
      </w:r>
      <w:r w:rsidR="00A45ADD" w:rsidRPr="000C4B7C">
        <w:rPr>
          <w:rFonts w:ascii="Book Antiqua" w:hAnsi="Book Antiqua"/>
          <w:bCs/>
          <w:color w:val="000000" w:themeColor="text1"/>
        </w:rPr>
        <w:t>, Portal</w:t>
      </w:r>
      <w:r w:rsidR="00A45ADD" w:rsidRPr="000C4B7C">
        <w:rPr>
          <w:rFonts w:ascii="Book Antiqua" w:hAnsi="Book Antiqua"/>
          <w:bCs/>
          <w:color w:val="000000" w:themeColor="text1"/>
          <w:lang w:eastAsia="zh-CN"/>
        </w:rPr>
        <w:t xml:space="preserve"> DE</w:t>
      </w:r>
      <w:r w:rsidR="00A45ADD" w:rsidRPr="000C4B7C">
        <w:rPr>
          <w:rFonts w:ascii="Book Antiqua" w:hAnsi="Book Antiqua"/>
          <w:bCs/>
          <w:color w:val="000000" w:themeColor="text1"/>
        </w:rPr>
        <w:t>, Shah</w:t>
      </w:r>
      <w:r w:rsidR="00A45ADD" w:rsidRPr="000C4B7C">
        <w:rPr>
          <w:rFonts w:ascii="Book Antiqua" w:hAnsi="Book Antiqua"/>
          <w:bCs/>
          <w:color w:val="000000" w:themeColor="text1"/>
          <w:lang w:eastAsia="zh-CN"/>
        </w:rPr>
        <w:t xml:space="preserve"> MR</w:t>
      </w:r>
      <w:r w:rsidR="00A45ADD" w:rsidRPr="000C4B7C">
        <w:rPr>
          <w:rFonts w:ascii="Book Antiqua" w:hAnsi="Book Antiqua"/>
          <w:bCs/>
          <w:color w:val="000000" w:themeColor="text1"/>
        </w:rPr>
        <w:t>, Mayer</w:t>
      </w:r>
      <w:r w:rsidR="00A45ADD" w:rsidRPr="000C4B7C">
        <w:rPr>
          <w:rFonts w:ascii="Book Antiqua" w:hAnsi="Book Antiqua"/>
          <w:bCs/>
          <w:color w:val="000000" w:themeColor="text1"/>
          <w:lang w:eastAsia="zh-CN"/>
        </w:rPr>
        <w:t xml:space="preserve"> T</w:t>
      </w:r>
      <w:r w:rsidR="00A45ADD" w:rsidRPr="000C4B7C">
        <w:rPr>
          <w:rFonts w:ascii="Book Antiqua" w:hAnsi="Book Antiqua"/>
          <w:bCs/>
          <w:color w:val="000000" w:themeColor="text1"/>
        </w:rPr>
        <w:t>, Singer</w:t>
      </w:r>
      <w:r w:rsidR="00A45ADD" w:rsidRPr="000C4B7C">
        <w:rPr>
          <w:rFonts w:ascii="Book Antiqua" w:hAnsi="Book Antiqua"/>
          <w:bCs/>
          <w:color w:val="000000" w:themeColor="text1"/>
          <w:lang w:eastAsia="zh-CN"/>
        </w:rPr>
        <w:t xml:space="preserve"> EA. </w:t>
      </w:r>
      <w:r w:rsidR="00A45ADD" w:rsidRPr="000C4B7C">
        <w:rPr>
          <w:rFonts w:ascii="Book Antiqua" w:hAnsi="Book Antiqua"/>
          <w:bCs/>
          <w:color w:val="000000" w:themeColor="text1"/>
        </w:rPr>
        <w:t>Combination drug regimens for metastatic clear cell renal cell carcinoma</w:t>
      </w:r>
      <w:r w:rsidR="00A45ADD" w:rsidRPr="000C4B7C">
        <w:rPr>
          <w:rFonts w:ascii="Book Antiqua" w:hAnsi="Book Antiqua"/>
          <w:bCs/>
          <w:color w:val="000000" w:themeColor="text1"/>
          <w:lang w:eastAsia="zh-CN"/>
        </w:rPr>
        <w:t>.</w:t>
      </w:r>
      <w:r w:rsidR="00A45ADD" w:rsidRPr="000C4B7C">
        <w:rPr>
          <w:rFonts w:ascii="Book Antiqua" w:eastAsia="宋体" w:hAnsi="Book Antiqua"/>
        </w:rPr>
        <w:t xml:space="preserve"> </w:t>
      </w:r>
      <w:r w:rsidR="00A45ADD" w:rsidRPr="000C4B7C">
        <w:rPr>
          <w:rFonts w:ascii="Book Antiqua" w:eastAsia="宋体" w:hAnsi="Book Antiqua"/>
          <w:i/>
        </w:rPr>
        <w:t>World J Clin Oncol</w:t>
      </w:r>
      <w:r w:rsidR="00A45ADD" w:rsidRPr="000C4B7C">
        <w:rPr>
          <w:rFonts w:ascii="Book Antiqua" w:eastAsia="宋体" w:hAnsi="Book Antiqua"/>
          <w:lang w:eastAsia="zh-CN"/>
        </w:rPr>
        <w:t xml:space="preserve"> 2020; </w:t>
      </w:r>
      <w:r w:rsidR="000E1214" w:rsidRPr="000E1214">
        <w:rPr>
          <w:rFonts w:ascii="Book Antiqua" w:eastAsia="宋体" w:hAnsi="Book Antiqua"/>
          <w:lang w:eastAsia="zh-CN"/>
        </w:rPr>
        <w:t xml:space="preserve">11(8): </w:t>
      </w:r>
      <w:r>
        <w:rPr>
          <w:rFonts w:ascii="Book Antiqua" w:eastAsia="宋体" w:hAnsi="Book Antiqua" w:hint="eastAsia"/>
          <w:lang w:eastAsia="zh-CN"/>
        </w:rPr>
        <w:t>541</w:t>
      </w:r>
      <w:r w:rsidR="000E1214" w:rsidRPr="000E1214">
        <w:rPr>
          <w:rFonts w:ascii="Book Antiqua" w:eastAsia="宋体" w:hAnsi="Book Antiqua"/>
          <w:lang w:eastAsia="zh-CN"/>
        </w:rPr>
        <w:t>-</w:t>
      </w:r>
      <w:r>
        <w:rPr>
          <w:rFonts w:ascii="Book Antiqua" w:eastAsia="宋体" w:hAnsi="Book Antiqua" w:hint="eastAsia"/>
          <w:lang w:eastAsia="zh-CN"/>
        </w:rPr>
        <w:t>562</w:t>
      </w:r>
    </w:p>
    <w:p w:rsidR="00AF6C58" w:rsidRDefault="000E1214" w:rsidP="000C4B7C">
      <w:pPr>
        <w:adjustRightInd w:val="0"/>
        <w:snapToGrid w:val="0"/>
        <w:spacing w:line="360" w:lineRule="auto"/>
        <w:jc w:val="both"/>
        <w:rPr>
          <w:rFonts w:ascii="Book Antiqua" w:eastAsia="宋体" w:hAnsi="Book Antiqua" w:hint="eastAsia"/>
          <w:lang w:eastAsia="zh-CN"/>
        </w:rPr>
      </w:pPr>
      <w:r w:rsidRPr="00AF6C58">
        <w:rPr>
          <w:rFonts w:ascii="Book Antiqua" w:eastAsia="宋体" w:hAnsi="Book Antiqua"/>
          <w:b/>
          <w:lang w:eastAsia="zh-CN"/>
        </w:rPr>
        <w:t xml:space="preserve">URL: </w:t>
      </w:r>
      <w:r w:rsidR="00AF6C58" w:rsidRPr="00AF6C58">
        <w:rPr>
          <w:rFonts w:ascii="Book Antiqua" w:eastAsia="宋体" w:hAnsi="Book Antiqua"/>
          <w:lang w:eastAsia="zh-CN"/>
        </w:rPr>
        <w:t>https://www.wjgnet.com/2218-4333/full/v11/i8/</w:t>
      </w:r>
      <w:r w:rsidR="00AF6C58">
        <w:rPr>
          <w:rFonts w:ascii="Book Antiqua" w:eastAsia="宋体" w:hAnsi="Book Antiqua" w:hint="eastAsia"/>
          <w:lang w:eastAsia="zh-CN"/>
        </w:rPr>
        <w:t>541</w:t>
      </w:r>
      <w:r w:rsidR="00AF6C58" w:rsidRPr="00AF6C58">
        <w:rPr>
          <w:rFonts w:ascii="Book Antiqua" w:eastAsia="宋体" w:hAnsi="Book Antiqua"/>
          <w:lang w:eastAsia="zh-CN"/>
        </w:rPr>
        <w:t>.htm</w:t>
      </w:r>
      <w:r w:rsidRPr="000E1214">
        <w:rPr>
          <w:rFonts w:ascii="Book Antiqua" w:eastAsia="宋体" w:hAnsi="Book Antiqua"/>
          <w:lang w:eastAsia="zh-CN"/>
        </w:rPr>
        <w:t xml:space="preserve"> </w:t>
      </w:r>
    </w:p>
    <w:p w:rsidR="00A45ADD" w:rsidRPr="000C4B7C" w:rsidRDefault="000E1214" w:rsidP="000C4B7C">
      <w:pPr>
        <w:adjustRightInd w:val="0"/>
        <w:snapToGrid w:val="0"/>
        <w:spacing w:line="360" w:lineRule="auto"/>
        <w:jc w:val="both"/>
        <w:rPr>
          <w:rFonts w:ascii="Book Antiqua" w:hAnsi="Book Antiqua"/>
          <w:color w:val="000000" w:themeColor="text1"/>
          <w:lang w:eastAsia="zh-CN"/>
        </w:rPr>
      </w:pPr>
      <w:r w:rsidRPr="00AF6C58">
        <w:rPr>
          <w:rFonts w:ascii="Book Antiqua" w:eastAsia="宋体" w:hAnsi="Book Antiqua"/>
          <w:b/>
          <w:lang w:eastAsia="zh-CN"/>
        </w:rPr>
        <w:lastRenderedPageBreak/>
        <w:t>DOI:</w:t>
      </w:r>
      <w:r w:rsidRPr="000E1214">
        <w:rPr>
          <w:rFonts w:ascii="Book Antiqua" w:eastAsia="宋体" w:hAnsi="Book Antiqua"/>
          <w:lang w:eastAsia="zh-CN"/>
        </w:rPr>
        <w:t xml:space="preserve"> https://dx.doi.org/10.5306/wjco.v11.i8.</w:t>
      </w:r>
      <w:r w:rsidR="00AF6C58">
        <w:rPr>
          <w:rFonts w:ascii="Book Antiqua" w:eastAsia="宋体" w:hAnsi="Book Antiqua" w:hint="eastAsia"/>
          <w:lang w:eastAsia="zh-CN"/>
        </w:rPr>
        <w:t>541</w:t>
      </w:r>
      <w:bookmarkStart w:id="9" w:name="_GoBack"/>
      <w:bookmarkEnd w:id="9"/>
    </w:p>
    <w:p w:rsidR="00A45ADD" w:rsidRPr="000C4B7C" w:rsidRDefault="00A45ADD" w:rsidP="000C4B7C">
      <w:pPr>
        <w:adjustRightInd w:val="0"/>
        <w:snapToGrid w:val="0"/>
        <w:spacing w:line="360" w:lineRule="auto"/>
        <w:jc w:val="both"/>
        <w:rPr>
          <w:rFonts w:ascii="Book Antiqua" w:hAnsi="Book Antiqua"/>
          <w:b/>
          <w:color w:val="000000" w:themeColor="text1"/>
          <w:lang w:eastAsia="zh-CN"/>
        </w:rPr>
      </w:pPr>
    </w:p>
    <w:p w:rsidR="001A60E4" w:rsidRPr="000C4B7C" w:rsidRDefault="00A45AD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lang w:val="en-GB"/>
        </w:rPr>
        <w:t>Core tip:</w:t>
      </w:r>
      <w:r w:rsidRPr="000C4B7C">
        <w:rPr>
          <w:rFonts w:ascii="Book Antiqua" w:eastAsia="宋体" w:hAnsi="Book Antiqua"/>
          <w:b/>
          <w:lang w:val="en-GB" w:eastAsia="zh-CN"/>
        </w:rPr>
        <w:t xml:space="preserve"> </w:t>
      </w:r>
      <w:r w:rsidR="00085BDF" w:rsidRPr="000C4B7C">
        <w:rPr>
          <w:rFonts w:ascii="Book Antiqua" w:hAnsi="Book Antiqua"/>
          <w:color w:val="000000" w:themeColor="text1"/>
        </w:rPr>
        <w:t>The treatment of metastatic clear cell renal cell carcinoma (ccRCC) remains a challenge given the broad spectrum of disease presentations and outcomes, variety of treatment options without clear optimal sequencing, and the low rate of complete response to systemic monotherapy. The core of this work reviews the current status of systemic combination drug options in the treatment of metastatic ccRCC, encompassing the novel combinations</w:t>
      </w:r>
      <w:r w:rsidRPr="000C4B7C">
        <w:rPr>
          <w:rFonts w:ascii="Book Antiqua" w:hAnsi="Book Antiqua"/>
          <w:color w:val="000000" w:themeColor="text1"/>
        </w:rPr>
        <w:t xml:space="preserve"> of tyrosine kinase inhibitors </w:t>
      </w:r>
      <w:r w:rsidR="00085BDF" w:rsidRPr="000C4B7C">
        <w:rPr>
          <w:rFonts w:ascii="Book Antiqua" w:hAnsi="Book Antiqua"/>
          <w:color w:val="000000" w:themeColor="text1"/>
        </w:rPr>
        <w:t>and immune checkpoint inhibitors, with a focus on rationale for use, efficacy, and side effect profiles. We also discuss the role of biomarkers in the development of future therapeutic options.</w:t>
      </w:r>
    </w:p>
    <w:p w:rsidR="00A45ADD" w:rsidRPr="000C4B7C" w:rsidRDefault="00A45ADD" w:rsidP="000C4B7C">
      <w:pPr>
        <w:adjustRightInd w:val="0"/>
        <w:snapToGrid w:val="0"/>
        <w:spacing w:line="360" w:lineRule="auto"/>
        <w:jc w:val="both"/>
        <w:rPr>
          <w:rFonts w:ascii="Book Antiqua" w:hAnsi="Book Antiqua"/>
          <w:color w:val="000000" w:themeColor="text1"/>
          <w:lang w:eastAsia="zh-CN"/>
        </w:rPr>
      </w:pPr>
    </w:p>
    <w:p w:rsidR="00A45ADD" w:rsidRPr="000C4B7C" w:rsidRDefault="00A45ADD" w:rsidP="000C4B7C">
      <w:pPr>
        <w:adjustRightInd w:val="0"/>
        <w:snapToGrid w:val="0"/>
        <w:spacing w:line="360" w:lineRule="auto"/>
        <w:jc w:val="both"/>
        <w:rPr>
          <w:rFonts w:ascii="Book Antiqua" w:hAnsi="Book Antiqua"/>
          <w:color w:val="000000" w:themeColor="text1"/>
          <w:lang w:eastAsia="zh-CN"/>
        </w:rPr>
      </w:pPr>
    </w:p>
    <w:p w:rsidR="00726C58" w:rsidRPr="000C4B7C" w:rsidRDefault="00A45ADD" w:rsidP="000C4B7C">
      <w:pPr>
        <w:adjustRightInd w:val="0"/>
        <w:snapToGrid w:val="0"/>
        <w:spacing w:line="360" w:lineRule="auto"/>
        <w:jc w:val="both"/>
        <w:rPr>
          <w:rFonts w:ascii="Book Antiqua" w:hAnsi="Book Antiqua"/>
          <w:color w:val="000000" w:themeColor="text1"/>
          <w:u w:val="single"/>
        </w:rPr>
      </w:pPr>
      <w:r w:rsidRPr="000C4B7C">
        <w:rPr>
          <w:rFonts w:ascii="Book Antiqua" w:hAnsi="Book Antiqua"/>
          <w:b/>
          <w:color w:val="000000" w:themeColor="text1"/>
          <w:u w:val="single"/>
        </w:rPr>
        <w:t>INTRODUCTION</w:t>
      </w:r>
    </w:p>
    <w:p w:rsidR="005E70E2"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Kidney cancer is one of the top 10 most common cancers in men and women. In the </w:t>
      </w:r>
      <w:r w:rsidR="00ED762D" w:rsidRPr="000C4B7C">
        <w:rPr>
          <w:rFonts w:ascii="Book Antiqua" w:hAnsi="Book Antiqua"/>
          <w:color w:val="000000" w:themeColor="text1"/>
          <w:lang w:eastAsia="zh-CN"/>
        </w:rPr>
        <w:t>United States</w:t>
      </w:r>
      <w:r w:rsidRPr="000C4B7C">
        <w:rPr>
          <w:rFonts w:ascii="Book Antiqua" w:hAnsi="Book Antiqua"/>
          <w:color w:val="000000" w:themeColor="text1"/>
        </w:rPr>
        <w:t xml:space="preserve">, there </w:t>
      </w:r>
      <w:r w:rsidR="00CB100B" w:rsidRPr="000C4B7C">
        <w:rPr>
          <w:rFonts w:ascii="Book Antiqua" w:hAnsi="Book Antiqua"/>
          <w:color w:val="000000" w:themeColor="text1"/>
        </w:rPr>
        <w:t>are</w:t>
      </w:r>
      <w:r w:rsidR="00ED762D" w:rsidRPr="000C4B7C">
        <w:rPr>
          <w:rFonts w:ascii="Book Antiqua" w:hAnsi="Book Antiqua"/>
          <w:color w:val="000000" w:themeColor="text1"/>
        </w:rPr>
        <w:t xml:space="preserve"> expected to be about 65</w:t>
      </w:r>
      <w:r w:rsidRPr="000C4B7C">
        <w:rPr>
          <w:rFonts w:ascii="Book Antiqua" w:hAnsi="Book Antiqua"/>
          <w:color w:val="000000" w:themeColor="text1"/>
        </w:rPr>
        <w:t xml:space="preserve">340 new cases of kidney cancer in </w:t>
      </w:r>
      <w:r w:rsidR="00660DF7" w:rsidRPr="000C4B7C">
        <w:rPr>
          <w:rFonts w:ascii="Book Antiqua" w:hAnsi="Book Antiqua"/>
          <w:color w:val="000000" w:themeColor="text1"/>
        </w:rPr>
        <w:t xml:space="preserve">2019 </w:t>
      </w:r>
      <w:r w:rsidR="005E70E2" w:rsidRPr="000C4B7C">
        <w:rPr>
          <w:rFonts w:ascii="Book Antiqua" w:hAnsi="Book Antiqua"/>
          <w:color w:val="000000" w:themeColor="text1"/>
        </w:rPr>
        <w:t>with about 14</w:t>
      </w:r>
      <w:r w:rsidRPr="000C4B7C">
        <w:rPr>
          <w:rFonts w:ascii="Book Antiqua" w:hAnsi="Book Antiqua"/>
          <w:color w:val="000000" w:themeColor="text1"/>
        </w:rPr>
        <w:t xml:space="preserve">970 deaths. Renal cell carcinomas (RCC) account for approximately 3.8% of all new cancers and make up about 90% of renal </w:t>
      </w:r>
      <w:proofErr w:type="gramStart"/>
      <w:r w:rsidR="00CE26A7" w:rsidRPr="000C4B7C">
        <w:rPr>
          <w:rFonts w:ascii="Book Antiqua" w:hAnsi="Book Antiqua"/>
          <w:color w:val="000000" w:themeColor="text1"/>
        </w:rPr>
        <w:t>cancers</w:t>
      </w:r>
      <w:r w:rsidR="00C56E85" w:rsidRPr="000C4B7C">
        <w:rPr>
          <w:rFonts w:ascii="Book Antiqua" w:hAnsi="Book Antiqua"/>
          <w:noProof/>
          <w:color w:val="000000" w:themeColor="text1"/>
          <w:vertAlign w:val="superscript"/>
        </w:rPr>
        <w:t>[</w:t>
      </w:r>
      <w:proofErr w:type="gramEnd"/>
      <w:r w:rsidR="00C56E85" w:rsidRPr="000C4B7C">
        <w:rPr>
          <w:rFonts w:ascii="Book Antiqua" w:hAnsi="Book Antiqua"/>
          <w:noProof/>
          <w:color w:val="000000" w:themeColor="text1"/>
          <w:vertAlign w:val="superscript"/>
        </w:rPr>
        <w:t>1]</w:t>
      </w:r>
      <w:r w:rsidR="00192654" w:rsidRPr="000C4B7C">
        <w:rPr>
          <w:rFonts w:ascii="Book Antiqua" w:hAnsi="Book Antiqua"/>
          <w:color w:val="000000" w:themeColor="text1"/>
        </w:rPr>
        <w:t>.</w:t>
      </w:r>
      <w:r w:rsidR="003F7DED"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According to the American Cancer Society, the risk for developing kidney cancer in men is 1 in </w:t>
      </w:r>
      <w:r w:rsidR="00D2155B" w:rsidRPr="000C4B7C">
        <w:rPr>
          <w:rFonts w:ascii="Book Antiqua" w:hAnsi="Book Antiqua"/>
          <w:color w:val="000000" w:themeColor="text1"/>
        </w:rPr>
        <w:t xml:space="preserve">47 </w:t>
      </w:r>
      <w:r w:rsidRPr="000C4B7C">
        <w:rPr>
          <w:rFonts w:ascii="Book Antiqua" w:hAnsi="Book Antiqua"/>
          <w:color w:val="000000" w:themeColor="text1"/>
        </w:rPr>
        <w:t xml:space="preserve">and in women is 1 in </w:t>
      </w:r>
      <w:r w:rsidR="00D2155B" w:rsidRPr="000C4B7C">
        <w:rPr>
          <w:rFonts w:ascii="Book Antiqua" w:hAnsi="Book Antiqua"/>
          <w:color w:val="000000" w:themeColor="text1"/>
        </w:rPr>
        <w:t>82</w:t>
      </w:r>
      <w:r w:rsidR="00C56E85" w:rsidRPr="000C4B7C">
        <w:rPr>
          <w:rFonts w:ascii="Book Antiqua" w:hAnsi="Book Antiqua"/>
          <w:noProof/>
          <w:color w:val="000000" w:themeColor="text1"/>
          <w:vertAlign w:val="superscript"/>
        </w:rPr>
        <w:t>[2]</w:t>
      </w:r>
      <w:r w:rsidR="00F50C2C" w:rsidRPr="000C4B7C">
        <w:rPr>
          <w:rFonts w:ascii="Book Antiqua" w:hAnsi="Book Antiqua"/>
          <w:color w:val="000000" w:themeColor="text1"/>
        </w:rPr>
        <w:t>.</w:t>
      </w:r>
    </w:p>
    <w:p w:rsidR="00CB3FED" w:rsidRPr="000C4B7C" w:rsidRDefault="00A1709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Most renal masses are incidentally found and small (</w:t>
      </w:r>
      <w:r w:rsidR="005E70E2"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4cm). Even patients with advanced disease are </w:t>
      </w:r>
      <w:r w:rsidR="00106C7D" w:rsidRPr="000C4B7C">
        <w:rPr>
          <w:rFonts w:ascii="Book Antiqua" w:hAnsi="Book Antiqua"/>
          <w:color w:val="000000" w:themeColor="text1"/>
        </w:rPr>
        <w:t xml:space="preserve">often </w:t>
      </w:r>
      <w:r w:rsidRPr="000C4B7C">
        <w:rPr>
          <w:rFonts w:ascii="Book Antiqua" w:hAnsi="Book Antiqua"/>
          <w:color w:val="000000" w:themeColor="text1"/>
        </w:rPr>
        <w:t xml:space="preserve">asymptomatic at the time of diagnosis with about 20% </w:t>
      </w:r>
      <w:r w:rsidR="004855E4" w:rsidRPr="000C4B7C">
        <w:rPr>
          <w:rFonts w:ascii="Book Antiqua" w:hAnsi="Book Antiqua"/>
          <w:color w:val="000000" w:themeColor="text1"/>
        </w:rPr>
        <w:t xml:space="preserve">of patients having </w:t>
      </w:r>
      <w:r w:rsidRPr="000C4B7C">
        <w:rPr>
          <w:rFonts w:ascii="Book Antiqua" w:hAnsi="Book Antiqua"/>
          <w:color w:val="000000" w:themeColor="text1"/>
        </w:rPr>
        <w:t>metastatic disease</w:t>
      </w:r>
      <w:r w:rsidR="004855E4" w:rsidRPr="000C4B7C">
        <w:rPr>
          <w:rFonts w:ascii="Book Antiqua" w:hAnsi="Book Antiqua"/>
          <w:color w:val="000000" w:themeColor="text1"/>
        </w:rPr>
        <w:t xml:space="preserve"> at the time of presentation</w:t>
      </w:r>
      <w:r w:rsidRPr="000C4B7C">
        <w:rPr>
          <w:rFonts w:ascii="Book Antiqua" w:hAnsi="Book Antiqua"/>
          <w:color w:val="000000" w:themeColor="text1"/>
        </w:rPr>
        <w:t>. The 5-year survival r</w:t>
      </w:r>
      <w:r w:rsidR="00CB3FED" w:rsidRPr="000C4B7C">
        <w:rPr>
          <w:rFonts w:ascii="Book Antiqua" w:hAnsi="Book Antiqua"/>
          <w:color w:val="000000" w:themeColor="text1"/>
        </w:rPr>
        <w:t>ate for metastatic RCC is 12.0</w:t>
      </w:r>
      <w:proofErr w:type="gramStart"/>
      <w:r w:rsidR="00CB3FED" w:rsidRPr="000C4B7C">
        <w:rPr>
          <w:rFonts w:ascii="Book Antiqua" w:hAnsi="Book Antiqua"/>
          <w:color w:val="000000" w:themeColor="text1"/>
        </w:rPr>
        <w:t>%</w:t>
      </w:r>
      <w:r w:rsidR="00C56E85" w:rsidRPr="000C4B7C">
        <w:rPr>
          <w:rFonts w:ascii="Book Antiqua" w:hAnsi="Book Antiqua"/>
          <w:noProof/>
          <w:color w:val="000000" w:themeColor="text1"/>
          <w:vertAlign w:val="superscript"/>
        </w:rPr>
        <w:t>[</w:t>
      </w:r>
      <w:proofErr w:type="gramEnd"/>
      <w:r w:rsidR="00C56E85" w:rsidRPr="000C4B7C">
        <w:rPr>
          <w:rFonts w:ascii="Book Antiqua" w:hAnsi="Book Antiqua"/>
          <w:noProof/>
          <w:color w:val="000000" w:themeColor="text1"/>
          <w:vertAlign w:val="superscript"/>
        </w:rPr>
        <w:t>3]</w:t>
      </w:r>
      <w:r w:rsidRPr="000C4B7C">
        <w:rPr>
          <w:rFonts w:ascii="Book Antiqua" w:hAnsi="Book Antiqua"/>
          <w:color w:val="000000" w:themeColor="text1"/>
        </w:rPr>
        <w:t xml:space="preserve">. </w:t>
      </w:r>
      <w:r w:rsidR="00E51B79" w:rsidRPr="000C4B7C">
        <w:rPr>
          <w:rFonts w:ascii="Book Antiqua" w:hAnsi="Book Antiqua"/>
          <w:color w:val="000000" w:themeColor="text1"/>
        </w:rPr>
        <w:t>Approximately 80% of renal cell carcinomas are clear cell renal</w:t>
      </w:r>
      <w:r w:rsidR="00FC6D84" w:rsidRPr="000C4B7C">
        <w:rPr>
          <w:rFonts w:ascii="Book Antiqua" w:hAnsi="Book Antiqua"/>
          <w:color w:val="000000" w:themeColor="text1"/>
        </w:rPr>
        <w:t xml:space="preserve"> cell</w:t>
      </w:r>
      <w:r w:rsidR="00E51B79" w:rsidRPr="000C4B7C">
        <w:rPr>
          <w:rFonts w:ascii="Book Antiqua" w:hAnsi="Book Antiqua"/>
          <w:color w:val="000000" w:themeColor="text1"/>
        </w:rPr>
        <w:t xml:space="preserve"> carcinomas</w:t>
      </w:r>
      <w:r w:rsidR="00FC6D84" w:rsidRPr="000C4B7C">
        <w:rPr>
          <w:rFonts w:ascii="Book Antiqua" w:hAnsi="Book Antiqua"/>
          <w:color w:val="000000" w:themeColor="text1"/>
        </w:rPr>
        <w:t xml:space="preserve"> (ccRCC)</w:t>
      </w:r>
      <w:r w:rsidR="00E51B79" w:rsidRPr="000C4B7C">
        <w:rPr>
          <w:rFonts w:ascii="Book Antiqua" w:hAnsi="Book Antiqua"/>
          <w:color w:val="000000" w:themeColor="text1"/>
        </w:rPr>
        <w:t xml:space="preserve">. </w:t>
      </w:r>
      <w:r w:rsidR="00083FB5" w:rsidRPr="000C4B7C">
        <w:rPr>
          <w:rFonts w:ascii="Book Antiqua" w:hAnsi="Book Antiqua"/>
          <w:color w:val="000000" w:themeColor="text1"/>
        </w:rPr>
        <w:t>The other 15</w:t>
      </w:r>
      <w:r w:rsidR="00CB3FED" w:rsidRPr="000C4B7C">
        <w:rPr>
          <w:rFonts w:ascii="Book Antiqua" w:hAnsi="Book Antiqua"/>
          <w:color w:val="000000" w:themeColor="text1"/>
          <w:lang w:eastAsia="zh-CN"/>
        </w:rPr>
        <w:t>%</w:t>
      </w:r>
      <w:r w:rsidR="00083FB5" w:rsidRPr="000C4B7C">
        <w:rPr>
          <w:rFonts w:ascii="Book Antiqua" w:hAnsi="Book Antiqua"/>
          <w:color w:val="000000" w:themeColor="text1"/>
        </w:rPr>
        <w:t xml:space="preserve">-20% are non-clear cell renal </w:t>
      </w:r>
      <w:r w:rsidR="00FC6D84" w:rsidRPr="000C4B7C">
        <w:rPr>
          <w:rFonts w:ascii="Book Antiqua" w:hAnsi="Book Antiqua"/>
          <w:color w:val="000000" w:themeColor="text1"/>
        </w:rPr>
        <w:t xml:space="preserve">cell </w:t>
      </w:r>
      <w:r w:rsidR="00083FB5" w:rsidRPr="000C4B7C">
        <w:rPr>
          <w:rFonts w:ascii="Book Antiqua" w:hAnsi="Book Antiqua"/>
          <w:color w:val="000000" w:themeColor="text1"/>
        </w:rPr>
        <w:t>carcinomas</w:t>
      </w:r>
      <w:r w:rsidR="00FC6D84" w:rsidRPr="000C4B7C">
        <w:rPr>
          <w:rFonts w:ascii="Book Antiqua" w:hAnsi="Book Antiqua"/>
          <w:color w:val="000000" w:themeColor="text1"/>
        </w:rPr>
        <w:t xml:space="preserve"> (nccRCC)</w:t>
      </w:r>
      <w:r w:rsidR="00083FB5" w:rsidRPr="000C4B7C">
        <w:rPr>
          <w:rFonts w:ascii="Book Antiqua" w:hAnsi="Book Antiqua"/>
          <w:color w:val="000000" w:themeColor="text1"/>
        </w:rPr>
        <w:t xml:space="preserve"> which comprise a diverse group of histologic subtype</w:t>
      </w:r>
      <w:r w:rsidR="00CB100B" w:rsidRPr="000C4B7C">
        <w:rPr>
          <w:rFonts w:ascii="Book Antiqua" w:hAnsi="Book Antiqua"/>
          <w:color w:val="000000" w:themeColor="text1"/>
        </w:rPr>
        <w:t xml:space="preserve">s, each </w:t>
      </w:r>
      <w:r w:rsidR="00083FB5" w:rsidRPr="000C4B7C">
        <w:rPr>
          <w:rFonts w:ascii="Book Antiqua" w:hAnsi="Book Antiqua"/>
          <w:color w:val="000000" w:themeColor="text1"/>
        </w:rPr>
        <w:t>with varying molecular profile</w:t>
      </w:r>
      <w:r w:rsidR="00CB100B" w:rsidRPr="000C4B7C">
        <w:rPr>
          <w:rFonts w:ascii="Book Antiqua" w:hAnsi="Book Antiqua"/>
          <w:color w:val="000000" w:themeColor="text1"/>
        </w:rPr>
        <w:t>s.</w:t>
      </w:r>
      <w:r w:rsidR="001A613A" w:rsidRPr="000C4B7C">
        <w:rPr>
          <w:rFonts w:ascii="Book Antiqua" w:hAnsi="Book Antiqua"/>
          <w:color w:val="000000" w:themeColor="text1"/>
        </w:rPr>
        <w:t xml:space="preserve"> </w:t>
      </w:r>
      <w:r w:rsidR="0081375F" w:rsidRPr="000C4B7C">
        <w:rPr>
          <w:rFonts w:ascii="Book Antiqua" w:hAnsi="Book Antiqua"/>
          <w:color w:val="000000" w:themeColor="text1"/>
        </w:rPr>
        <w:t>Histologies</w:t>
      </w:r>
      <w:r w:rsidR="001A613A" w:rsidRPr="000C4B7C">
        <w:rPr>
          <w:rFonts w:ascii="Book Antiqua" w:hAnsi="Book Antiqua"/>
          <w:color w:val="000000" w:themeColor="text1"/>
        </w:rPr>
        <w:t xml:space="preserve"> </w:t>
      </w:r>
      <w:r w:rsidR="0081375F" w:rsidRPr="000C4B7C">
        <w:rPr>
          <w:rFonts w:ascii="Book Antiqua" w:hAnsi="Book Antiqua"/>
          <w:color w:val="000000" w:themeColor="text1"/>
        </w:rPr>
        <w:t>include</w:t>
      </w:r>
      <w:r w:rsidR="001A613A" w:rsidRPr="000C4B7C">
        <w:rPr>
          <w:rFonts w:ascii="Book Antiqua" w:hAnsi="Book Antiqua"/>
          <w:color w:val="000000" w:themeColor="text1"/>
        </w:rPr>
        <w:t xml:space="preserve"> </w:t>
      </w:r>
      <w:r w:rsidR="000079BB" w:rsidRPr="000C4B7C">
        <w:rPr>
          <w:rFonts w:ascii="Book Antiqua" w:hAnsi="Book Antiqua"/>
          <w:color w:val="000000" w:themeColor="text1"/>
        </w:rPr>
        <w:t xml:space="preserve">clear cell-papillary, </w:t>
      </w:r>
      <w:r w:rsidR="00083FB5" w:rsidRPr="000C4B7C">
        <w:rPr>
          <w:rFonts w:ascii="Book Antiqua" w:hAnsi="Book Antiqua"/>
          <w:color w:val="000000" w:themeColor="text1"/>
        </w:rPr>
        <w:t>papillary</w:t>
      </w:r>
      <w:r w:rsidR="00FC6D84" w:rsidRPr="000C4B7C">
        <w:rPr>
          <w:rFonts w:ascii="Book Antiqua" w:hAnsi="Book Antiqua"/>
          <w:color w:val="000000" w:themeColor="text1"/>
        </w:rPr>
        <w:t xml:space="preserve"> type</w:t>
      </w:r>
      <w:r w:rsidR="000079BB" w:rsidRPr="000C4B7C">
        <w:rPr>
          <w:rFonts w:ascii="Book Antiqua" w:hAnsi="Book Antiqua"/>
          <w:color w:val="000000" w:themeColor="text1"/>
        </w:rPr>
        <w:t xml:space="preserve"> I or II</w:t>
      </w:r>
      <w:r w:rsidR="00083FB5" w:rsidRPr="000C4B7C">
        <w:rPr>
          <w:rFonts w:ascii="Book Antiqua" w:hAnsi="Book Antiqua"/>
          <w:color w:val="000000" w:themeColor="text1"/>
        </w:rPr>
        <w:t>, chromophobe, collec</w:t>
      </w:r>
      <w:r w:rsidR="00CB3FED" w:rsidRPr="000C4B7C">
        <w:rPr>
          <w:rFonts w:ascii="Book Antiqua" w:hAnsi="Book Antiqua"/>
          <w:color w:val="000000" w:themeColor="text1"/>
        </w:rPr>
        <w:t xml:space="preserve">ting duct, and other rare </w:t>
      </w:r>
      <w:proofErr w:type="gramStart"/>
      <w:r w:rsidR="00CB3FED" w:rsidRPr="000C4B7C">
        <w:rPr>
          <w:rFonts w:ascii="Book Antiqua" w:hAnsi="Book Antiqua"/>
          <w:color w:val="000000" w:themeColor="text1"/>
        </w:rPr>
        <w:t>forms</w:t>
      </w:r>
      <w:r w:rsidR="00C56E85" w:rsidRPr="000C4B7C">
        <w:rPr>
          <w:rFonts w:ascii="Book Antiqua" w:hAnsi="Book Antiqua"/>
          <w:noProof/>
          <w:color w:val="000000" w:themeColor="text1"/>
          <w:vertAlign w:val="superscript"/>
        </w:rPr>
        <w:t>[</w:t>
      </w:r>
      <w:proofErr w:type="gramEnd"/>
      <w:r w:rsidR="00C56E85" w:rsidRPr="000C4B7C">
        <w:rPr>
          <w:rFonts w:ascii="Book Antiqua" w:hAnsi="Book Antiqua"/>
          <w:noProof/>
          <w:color w:val="000000" w:themeColor="text1"/>
          <w:vertAlign w:val="superscript"/>
        </w:rPr>
        <w:t>4]</w:t>
      </w:r>
      <w:r w:rsidR="00083FB5" w:rsidRPr="000C4B7C">
        <w:rPr>
          <w:rFonts w:ascii="Book Antiqua" w:hAnsi="Book Antiqua"/>
          <w:color w:val="000000" w:themeColor="text1"/>
        </w:rPr>
        <w:t>.</w:t>
      </w:r>
      <w:r w:rsidR="004855E4" w:rsidRPr="000C4B7C">
        <w:rPr>
          <w:rFonts w:ascii="Book Antiqua" w:hAnsi="Book Antiqua"/>
          <w:color w:val="000000" w:themeColor="text1"/>
        </w:rPr>
        <w:t xml:space="preserve"> The focus of this paper will be management of clear cell histology. </w:t>
      </w:r>
    </w:p>
    <w:p w:rsidR="00EB1B99" w:rsidRPr="000C4B7C" w:rsidRDefault="00A1709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Patients with </w:t>
      </w:r>
      <w:r w:rsidR="00E7470D" w:rsidRPr="000C4B7C">
        <w:rPr>
          <w:rFonts w:ascii="Book Antiqua" w:hAnsi="Book Antiqua"/>
          <w:color w:val="000000" w:themeColor="text1"/>
        </w:rPr>
        <w:t xml:space="preserve">metastatic </w:t>
      </w:r>
      <w:r w:rsidR="00E7470D" w:rsidRPr="000C4B7C">
        <w:rPr>
          <w:rFonts w:ascii="Book Antiqua" w:hAnsi="Book Antiqua"/>
          <w:color w:val="000000" w:themeColor="text1"/>
          <w:lang w:eastAsia="zh-CN"/>
        </w:rPr>
        <w:t>RCC (</w:t>
      </w:r>
      <w:r w:rsidRPr="000C4B7C">
        <w:rPr>
          <w:rFonts w:ascii="Book Antiqua" w:hAnsi="Book Antiqua"/>
          <w:color w:val="000000" w:themeColor="text1"/>
        </w:rPr>
        <w:t>mRCC</w:t>
      </w:r>
      <w:r w:rsidR="00E7470D" w:rsidRPr="000C4B7C">
        <w:rPr>
          <w:rFonts w:ascii="Book Antiqua" w:hAnsi="Book Antiqua"/>
          <w:color w:val="000000" w:themeColor="text1"/>
          <w:lang w:eastAsia="zh-CN"/>
        </w:rPr>
        <w:t>)</w:t>
      </w:r>
      <w:r w:rsidRPr="000C4B7C">
        <w:rPr>
          <w:rFonts w:ascii="Book Antiqua" w:hAnsi="Book Antiqua"/>
          <w:color w:val="000000" w:themeColor="text1"/>
        </w:rPr>
        <w:t xml:space="preserve"> are categorized into risk groups by combining independent prognostic factors for survival. </w:t>
      </w:r>
      <w:r w:rsidR="004E3711" w:rsidRPr="000C4B7C">
        <w:rPr>
          <w:rFonts w:ascii="Book Antiqua" w:hAnsi="Book Antiqua"/>
          <w:color w:val="000000" w:themeColor="text1"/>
        </w:rPr>
        <w:t>In addition to the</w:t>
      </w:r>
      <w:r w:rsidR="00A470C8" w:rsidRPr="000C4B7C">
        <w:rPr>
          <w:rFonts w:ascii="Book Antiqua" w:hAnsi="Book Antiqua"/>
          <w:color w:val="000000" w:themeColor="text1"/>
        </w:rPr>
        <w:t xml:space="preserve"> Tumor, Nodes, Metastasis (TNM) staging </w:t>
      </w:r>
      <w:proofErr w:type="gramStart"/>
      <w:r w:rsidR="00A470C8" w:rsidRPr="000C4B7C">
        <w:rPr>
          <w:rFonts w:ascii="Book Antiqua" w:hAnsi="Book Antiqua"/>
          <w:color w:val="000000" w:themeColor="text1"/>
        </w:rPr>
        <w:t>system</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5]</w:t>
      </w:r>
      <w:r w:rsidR="004E3711" w:rsidRPr="000C4B7C">
        <w:rPr>
          <w:rFonts w:ascii="Book Antiqua" w:hAnsi="Book Antiqua"/>
          <w:color w:val="000000" w:themeColor="text1"/>
        </w:rPr>
        <w:t>,</w:t>
      </w:r>
      <w:r w:rsidR="00A470C8" w:rsidRPr="000C4B7C">
        <w:rPr>
          <w:rFonts w:ascii="Book Antiqua" w:hAnsi="Book Antiqua"/>
          <w:color w:val="000000" w:themeColor="text1"/>
        </w:rPr>
        <w:t xml:space="preserve"> t</w:t>
      </w:r>
      <w:r w:rsidRPr="000C4B7C">
        <w:rPr>
          <w:rFonts w:ascii="Book Antiqua" w:hAnsi="Book Antiqua"/>
          <w:color w:val="000000" w:themeColor="text1"/>
        </w:rPr>
        <w:t xml:space="preserve">he two most widely used </w:t>
      </w:r>
      <w:r w:rsidR="004E3711" w:rsidRPr="000C4B7C">
        <w:rPr>
          <w:rFonts w:ascii="Book Antiqua" w:hAnsi="Book Antiqua"/>
          <w:color w:val="000000" w:themeColor="text1"/>
        </w:rPr>
        <w:t xml:space="preserve">RCC </w:t>
      </w:r>
      <w:r w:rsidRPr="000C4B7C">
        <w:rPr>
          <w:rFonts w:ascii="Book Antiqua" w:hAnsi="Book Antiqua"/>
          <w:color w:val="000000" w:themeColor="text1"/>
        </w:rPr>
        <w:t>prognostic</w:t>
      </w:r>
      <w:r w:rsidR="001A613A" w:rsidRPr="000C4B7C">
        <w:rPr>
          <w:rFonts w:ascii="Book Antiqua" w:hAnsi="Book Antiqua"/>
          <w:color w:val="000000" w:themeColor="text1"/>
        </w:rPr>
        <w:t xml:space="preserve"> </w:t>
      </w:r>
      <w:r w:rsidRPr="000C4B7C">
        <w:rPr>
          <w:rFonts w:ascii="Book Antiqua" w:hAnsi="Book Antiqua"/>
          <w:color w:val="000000" w:themeColor="text1"/>
        </w:rPr>
        <w:t>models</w:t>
      </w:r>
      <w:r w:rsidR="004E3711" w:rsidRPr="000C4B7C">
        <w:rPr>
          <w:rFonts w:ascii="Book Antiqua" w:hAnsi="Book Antiqua"/>
          <w:color w:val="000000" w:themeColor="text1"/>
        </w:rPr>
        <w:t xml:space="preserve"> are</w:t>
      </w:r>
      <w:r w:rsidRPr="000C4B7C">
        <w:rPr>
          <w:rFonts w:ascii="Book Antiqua" w:hAnsi="Book Antiqua"/>
          <w:color w:val="000000" w:themeColor="text1"/>
        </w:rPr>
        <w:t xml:space="preserve"> the Memorial Sloan </w:t>
      </w:r>
      <w:r w:rsidR="00EB1B99" w:rsidRPr="000C4B7C">
        <w:rPr>
          <w:rFonts w:ascii="Book Antiqua" w:hAnsi="Book Antiqua"/>
          <w:color w:val="000000" w:themeColor="text1"/>
        </w:rPr>
        <w:t>Kettering Cancer Center (MSKCC)</w:t>
      </w:r>
      <w:r w:rsidR="00A470C8" w:rsidRPr="000C4B7C">
        <w:rPr>
          <w:rFonts w:ascii="Book Antiqua" w:hAnsi="Book Antiqua"/>
          <w:noProof/>
          <w:color w:val="000000" w:themeColor="text1"/>
          <w:vertAlign w:val="superscript"/>
        </w:rPr>
        <w:t>[6]</w:t>
      </w:r>
      <w:r w:rsidRPr="000C4B7C">
        <w:rPr>
          <w:rFonts w:ascii="Book Antiqua" w:hAnsi="Book Antiqua"/>
          <w:color w:val="000000" w:themeColor="text1"/>
        </w:rPr>
        <w:t xml:space="preserve"> and the International Metastatic RCC Database Consortium (IMDC)</w:t>
      </w:r>
      <w:r w:rsidR="00A470C8" w:rsidRPr="000C4B7C">
        <w:rPr>
          <w:rFonts w:ascii="Book Antiqua" w:hAnsi="Book Antiqua"/>
          <w:noProof/>
          <w:color w:val="000000" w:themeColor="text1"/>
          <w:vertAlign w:val="superscript"/>
        </w:rPr>
        <w:t>[7]</w:t>
      </w:r>
      <w:r w:rsidRPr="000C4B7C">
        <w:rPr>
          <w:rFonts w:ascii="Book Antiqua" w:hAnsi="Book Antiqua"/>
          <w:color w:val="000000" w:themeColor="text1"/>
        </w:rPr>
        <w:t xml:space="preserve">. </w:t>
      </w:r>
      <w:r w:rsidR="0067058F" w:rsidRPr="000C4B7C">
        <w:rPr>
          <w:rFonts w:ascii="Book Antiqua" w:hAnsi="Book Antiqua"/>
          <w:color w:val="000000" w:themeColor="text1"/>
        </w:rPr>
        <w:t xml:space="preserve">Table 1 summarizes the three prognostic models. </w:t>
      </w:r>
      <w:r w:rsidRPr="000C4B7C">
        <w:rPr>
          <w:rFonts w:ascii="Book Antiqua" w:hAnsi="Book Antiqua"/>
          <w:color w:val="000000" w:themeColor="text1"/>
        </w:rPr>
        <w:t>The heterogeneous clinical behavior and variable response to therapy</w:t>
      </w:r>
      <w:r w:rsidR="004E3711" w:rsidRPr="000C4B7C">
        <w:rPr>
          <w:rFonts w:ascii="Book Antiqua" w:hAnsi="Book Antiqua"/>
          <w:color w:val="000000" w:themeColor="text1"/>
        </w:rPr>
        <w:t xml:space="preserve"> seen in RCC</w:t>
      </w:r>
      <w:r w:rsidRPr="000C4B7C">
        <w:rPr>
          <w:rFonts w:ascii="Book Antiqua" w:hAnsi="Book Antiqua"/>
          <w:color w:val="000000" w:themeColor="text1"/>
        </w:rPr>
        <w:t xml:space="preserve"> pose a challenge in developing therapeutic drug trials. </w:t>
      </w:r>
    </w:p>
    <w:p w:rsidR="00A17090" w:rsidRPr="000C4B7C" w:rsidRDefault="004B27E5"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Surgery is considered </w:t>
      </w:r>
      <w:r w:rsidR="000079BB" w:rsidRPr="000C4B7C">
        <w:rPr>
          <w:rFonts w:ascii="Book Antiqua" w:hAnsi="Book Antiqua"/>
          <w:color w:val="000000" w:themeColor="text1"/>
        </w:rPr>
        <w:t xml:space="preserve">the </w:t>
      </w:r>
      <w:r w:rsidRPr="000C4B7C">
        <w:rPr>
          <w:rFonts w:ascii="Book Antiqua" w:hAnsi="Book Antiqua"/>
          <w:color w:val="000000" w:themeColor="text1"/>
        </w:rPr>
        <w:t xml:space="preserve">first line of treatment for Stage I to III disease while </w:t>
      </w:r>
      <w:r w:rsidR="000079BB" w:rsidRPr="000C4B7C">
        <w:rPr>
          <w:rFonts w:ascii="Book Antiqua" w:hAnsi="Book Antiqua"/>
          <w:color w:val="000000" w:themeColor="text1"/>
        </w:rPr>
        <w:t xml:space="preserve">cytoreductive </w:t>
      </w:r>
      <w:r w:rsidR="001842BF" w:rsidRPr="000C4B7C">
        <w:rPr>
          <w:rFonts w:ascii="Book Antiqua" w:hAnsi="Book Antiqua"/>
          <w:color w:val="000000" w:themeColor="text1"/>
        </w:rPr>
        <w:t xml:space="preserve">nephrectomy (CN) </w:t>
      </w:r>
      <w:r w:rsidR="000079BB" w:rsidRPr="000C4B7C">
        <w:rPr>
          <w:rFonts w:ascii="Book Antiqua" w:hAnsi="Book Antiqua"/>
          <w:color w:val="000000" w:themeColor="text1"/>
        </w:rPr>
        <w:t xml:space="preserve">followed by </w:t>
      </w:r>
      <w:r w:rsidRPr="000C4B7C">
        <w:rPr>
          <w:rFonts w:ascii="Book Antiqua" w:hAnsi="Book Antiqua"/>
          <w:color w:val="000000" w:themeColor="text1"/>
        </w:rPr>
        <w:t>sys</w:t>
      </w:r>
      <w:r w:rsidR="00D713FE" w:rsidRPr="000C4B7C">
        <w:rPr>
          <w:rFonts w:ascii="Book Antiqua" w:hAnsi="Book Antiqua"/>
          <w:color w:val="000000" w:themeColor="text1"/>
        </w:rPr>
        <w:t xml:space="preserve">temic therapy is </w:t>
      </w:r>
      <w:r w:rsidR="000079BB" w:rsidRPr="000C4B7C">
        <w:rPr>
          <w:rFonts w:ascii="Book Antiqua" w:hAnsi="Book Antiqua"/>
          <w:color w:val="000000" w:themeColor="text1"/>
        </w:rPr>
        <w:t>often used to treat</w:t>
      </w:r>
      <w:r w:rsidRPr="000C4B7C">
        <w:rPr>
          <w:rFonts w:ascii="Book Antiqua" w:hAnsi="Book Antiqua"/>
          <w:color w:val="000000" w:themeColor="text1"/>
        </w:rPr>
        <w:t xml:space="preserve"> metastatic </w:t>
      </w:r>
      <w:proofErr w:type="gramStart"/>
      <w:r w:rsidRPr="000C4B7C">
        <w:rPr>
          <w:rFonts w:ascii="Book Antiqua" w:hAnsi="Book Antiqua"/>
          <w:color w:val="000000" w:themeColor="text1"/>
        </w:rPr>
        <w:t>disease</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8]</w:t>
      </w:r>
      <w:r w:rsidR="00083FB5" w:rsidRPr="000C4B7C">
        <w:rPr>
          <w:rFonts w:ascii="Book Antiqua" w:hAnsi="Book Antiqua"/>
          <w:color w:val="000000" w:themeColor="text1"/>
        </w:rPr>
        <w:t>.</w:t>
      </w:r>
      <w:r w:rsidR="00065443" w:rsidRPr="000C4B7C">
        <w:rPr>
          <w:rFonts w:ascii="Book Antiqua" w:hAnsi="Book Antiqua"/>
          <w:color w:val="000000" w:themeColor="text1"/>
          <w:lang w:eastAsia="zh-CN"/>
        </w:rPr>
        <w:t xml:space="preserve"> </w:t>
      </w:r>
      <w:r w:rsidR="00A17090" w:rsidRPr="000C4B7C">
        <w:rPr>
          <w:rFonts w:ascii="Book Antiqua" w:hAnsi="Book Antiqua"/>
          <w:color w:val="000000" w:themeColor="text1"/>
        </w:rPr>
        <w:t>However, t</w:t>
      </w:r>
      <w:r w:rsidR="001842BF" w:rsidRPr="000C4B7C">
        <w:rPr>
          <w:rFonts w:ascii="Book Antiqua" w:hAnsi="Book Antiqua"/>
          <w:color w:val="000000" w:themeColor="text1"/>
        </w:rPr>
        <w:t xml:space="preserve">he role of CN in advanced RCC is </w:t>
      </w:r>
      <w:r w:rsidR="00A17090" w:rsidRPr="000C4B7C">
        <w:rPr>
          <w:rFonts w:ascii="Book Antiqua" w:hAnsi="Book Antiqua"/>
          <w:color w:val="000000" w:themeColor="text1"/>
        </w:rPr>
        <w:t xml:space="preserve">has been </w:t>
      </w:r>
      <w:r w:rsidR="001842BF" w:rsidRPr="000C4B7C">
        <w:rPr>
          <w:rFonts w:ascii="Book Antiqua" w:hAnsi="Book Antiqua"/>
          <w:color w:val="000000" w:themeColor="text1"/>
        </w:rPr>
        <w:t xml:space="preserve">challenged in recent years given the efficacy of newer systemic </w:t>
      </w:r>
      <w:proofErr w:type="gramStart"/>
      <w:r w:rsidR="001842BF" w:rsidRPr="000C4B7C">
        <w:rPr>
          <w:rFonts w:ascii="Book Antiqua" w:hAnsi="Book Antiqua"/>
          <w:color w:val="000000" w:themeColor="text1"/>
        </w:rPr>
        <w:t>therapies</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9]</w:t>
      </w:r>
      <w:r w:rsidR="001842BF" w:rsidRPr="000C4B7C">
        <w:rPr>
          <w:rFonts w:ascii="Book Antiqua" w:hAnsi="Book Antiqua"/>
          <w:color w:val="000000" w:themeColor="text1"/>
        </w:rPr>
        <w:t>.</w:t>
      </w:r>
      <w:r w:rsidR="00065443" w:rsidRPr="000C4B7C">
        <w:rPr>
          <w:rFonts w:ascii="Book Antiqua" w:hAnsi="Book Antiqua"/>
          <w:color w:val="000000" w:themeColor="text1"/>
          <w:lang w:eastAsia="zh-CN"/>
        </w:rPr>
        <w:t xml:space="preserve"> </w:t>
      </w:r>
      <w:r w:rsidR="00F61DD1" w:rsidRPr="000C4B7C">
        <w:rPr>
          <w:rFonts w:ascii="Book Antiqua" w:hAnsi="Book Antiqua"/>
          <w:color w:val="000000" w:themeColor="text1"/>
        </w:rPr>
        <w:t xml:space="preserve">RCC is </w:t>
      </w:r>
      <w:r w:rsidR="00A17090" w:rsidRPr="000C4B7C">
        <w:rPr>
          <w:rFonts w:ascii="Book Antiqua" w:hAnsi="Book Antiqua"/>
          <w:color w:val="000000" w:themeColor="text1"/>
        </w:rPr>
        <w:t>not highly responsive</w:t>
      </w:r>
      <w:r w:rsidR="00F61DD1" w:rsidRPr="000C4B7C">
        <w:rPr>
          <w:rFonts w:ascii="Book Antiqua" w:hAnsi="Book Antiqua"/>
          <w:color w:val="000000" w:themeColor="text1"/>
        </w:rPr>
        <w:t xml:space="preserve"> to </w:t>
      </w:r>
      <w:r w:rsidR="00A17090" w:rsidRPr="000C4B7C">
        <w:rPr>
          <w:rFonts w:ascii="Book Antiqua" w:hAnsi="Book Antiqua"/>
          <w:color w:val="000000" w:themeColor="text1"/>
        </w:rPr>
        <w:t xml:space="preserve">cytotoxic chemotherapy or </w:t>
      </w:r>
      <w:proofErr w:type="gramStart"/>
      <w:r w:rsidR="00F61DD1" w:rsidRPr="000C4B7C">
        <w:rPr>
          <w:rFonts w:ascii="Book Antiqua" w:hAnsi="Book Antiqua"/>
          <w:color w:val="000000" w:themeColor="text1"/>
        </w:rPr>
        <w:t>radiotherapy</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10]</w:t>
      </w:r>
      <w:r w:rsidR="00A17090" w:rsidRPr="000C4B7C">
        <w:rPr>
          <w:rFonts w:ascii="Book Antiqua" w:hAnsi="Book Antiqua"/>
          <w:color w:val="000000" w:themeColor="text1"/>
        </w:rPr>
        <w:t>,</w:t>
      </w:r>
      <w:r w:rsidR="00F61DD1" w:rsidRPr="000C4B7C">
        <w:rPr>
          <w:rFonts w:ascii="Book Antiqua" w:hAnsi="Book Antiqua"/>
          <w:color w:val="000000" w:themeColor="text1"/>
        </w:rPr>
        <w:t xml:space="preserve"> making systemic </w:t>
      </w:r>
      <w:r w:rsidR="00A17090" w:rsidRPr="000C4B7C">
        <w:rPr>
          <w:rFonts w:ascii="Book Antiqua" w:hAnsi="Book Antiqua"/>
          <w:color w:val="000000" w:themeColor="text1"/>
        </w:rPr>
        <w:t xml:space="preserve">targeted </w:t>
      </w:r>
      <w:r w:rsidR="00F61DD1" w:rsidRPr="000C4B7C">
        <w:rPr>
          <w:rFonts w:ascii="Book Antiqua" w:hAnsi="Book Antiqua"/>
          <w:color w:val="000000" w:themeColor="text1"/>
        </w:rPr>
        <w:t>thera</w:t>
      </w:r>
      <w:r w:rsidR="00A17090" w:rsidRPr="000C4B7C">
        <w:rPr>
          <w:rFonts w:ascii="Book Antiqua" w:hAnsi="Book Antiqua"/>
          <w:color w:val="000000" w:themeColor="text1"/>
        </w:rPr>
        <w:t xml:space="preserve">pies and </w:t>
      </w:r>
      <w:r w:rsidR="0031602E" w:rsidRPr="000C4B7C">
        <w:rPr>
          <w:rFonts w:ascii="Book Antiqua" w:hAnsi="Book Antiqua"/>
          <w:color w:val="000000" w:themeColor="text1"/>
        </w:rPr>
        <w:t>immune checkpoint inhibitors</w:t>
      </w:r>
      <w:r w:rsidR="00DD171D" w:rsidRPr="000C4B7C">
        <w:rPr>
          <w:rFonts w:ascii="Book Antiqua" w:hAnsi="Book Antiqua"/>
          <w:color w:val="000000" w:themeColor="text1"/>
        </w:rPr>
        <w:t xml:space="preserve"> (ICI)</w:t>
      </w:r>
      <w:r w:rsidR="00F61DD1" w:rsidRPr="000C4B7C">
        <w:rPr>
          <w:rFonts w:ascii="Book Antiqua" w:hAnsi="Book Antiqua"/>
          <w:color w:val="000000" w:themeColor="text1"/>
        </w:rPr>
        <w:t xml:space="preserve"> critically important</w:t>
      </w:r>
      <w:r w:rsidR="00A17090" w:rsidRPr="000C4B7C">
        <w:rPr>
          <w:rFonts w:ascii="Book Antiqua" w:hAnsi="Book Antiqua"/>
          <w:color w:val="000000" w:themeColor="text1"/>
        </w:rPr>
        <w:t>, which will</w:t>
      </w:r>
      <w:r w:rsidR="0031602E" w:rsidRPr="000C4B7C">
        <w:rPr>
          <w:rFonts w:ascii="Book Antiqua" w:hAnsi="Book Antiqua"/>
          <w:color w:val="000000" w:themeColor="text1"/>
        </w:rPr>
        <w:t xml:space="preserve"> be</w:t>
      </w:r>
      <w:r w:rsidR="00A17090" w:rsidRPr="000C4B7C">
        <w:rPr>
          <w:rFonts w:ascii="Book Antiqua" w:hAnsi="Book Antiqua"/>
          <w:color w:val="000000" w:themeColor="text1"/>
        </w:rPr>
        <w:t xml:space="preserve"> the focus of this review.</w:t>
      </w:r>
    </w:p>
    <w:p w:rsidR="007E6FAD" w:rsidRPr="000C4B7C" w:rsidRDefault="007E6FAD" w:rsidP="000C4B7C">
      <w:pPr>
        <w:adjustRightInd w:val="0"/>
        <w:snapToGrid w:val="0"/>
        <w:spacing w:line="360" w:lineRule="auto"/>
        <w:jc w:val="both"/>
        <w:rPr>
          <w:rFonts w:ascii="Book Antiqua" w:hAnsi="Book Antiqua"/>
          <w:color w:val="000000" w:themeColor="text1"/>
        </w:rPr>
      </w:pPr>
    </w:p>
    <w:p w:rsidR="001C5C97" w:rsidRPr="000C4B7C" w:rsidRDefault="007C388A" w:rsidP="000C4B7C">
      <w:pPr>
        <w:adjustRightInd w:val="0"/>
        <w:snapToGrid w:val="0"/>
        <w:spacing w:line="360" w:lineRule="auto"/>
        <w:jc w:val="both"/>
        <w:rPr>
          <w:rFonts w:ascii="Book Antiqua" w:eastAsia="Times New Roman" w:hAnsi="Book Antiqua"/>
          <w:color w:val="000000" w:themeColor="text1"/>
          <w:u w:val="single"/>
        </w:rPr>
      </w:pPr>
      <w:r w:rsidRPr="000C4B7C">
        <w:rPr>
          <w:rFonts w:ascii="Book Antiqua" w:hAnsi="Book Antiqua"/>
          <w:b/>
          <w:color w:val="000000" w:themeColor="text1"/>
          <w:u w:val="single"/>
        </w:rPr>
        <w:t>MECHANISMS OF ACTION</w:t>
      </w:r>
    </w:p>
    <w:p w:rsidR="00602E86" w:rsidRPr="000C4B7C" w:rsidRDefault="00546D34"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hAnsi="Book Antiqua"/>
          <w:color w:val="000000" w:themeColor="text1"/>
        </w:rPr>
        <w:t xml:space="preserve">The </w:t>
      </w:r>
      <w:r w:rsidR="00097F24" w:rsidRPr="000C4B7C">
        <w:rPr>
          <w:rFonts w:ascii="Book Antiqua" w:hAnsi="Book Antiqua"/>
          <w:color w:val="000000" w:themeColor="text1"/>
        </w:rPr>
        <w:t>state-of-the-art</w:t>
      </w:r>
      <w:r w:rsidRPr="000C4B7C">
        <w:rPr>
          <w:rFonts w:ascii="Book Antiqua" w:hAnsi="Book Antiqua"/>
          <w:color w:val="000000" w:themeColor="text1"/>
        </w:rPr>
        <w:t xml:space="preserve"> therapy </w:t>
      </w:r>
      <w:r w:rsidR="00A901C0" w:rsidRPr="000C4B7C">
        <w:rPr>
          <w:rFonts w:ascii="Book Antiqua" w:hAnsi="Book Antiqua"/>
          <w:color w:val="000000" w:themeColor="text1"/>
        </w:rPr>
        <w:t>for</w:t>
      </w:r>
      <w:r w:rsidRPr="000C4B7C">
        <w:rPr>
          <w:rFonts w:ascii="Book Antiqua" w:hAnsi="Book Antiqua"/>
          <w:color w:val="000000" w:themeColor="text1"/>
        </w:rPr>
        <w:t xml:space="preserve"> RCC has undergone rapid transformation over the past </w:t>
      </w:r>
      <w:r w:rsidR="00437B1B" w:rsidRPr="000C4B7C">
        <w:rPr>
          <w:rFonts w:ascii="Book Antiqua" w:hAnsi="Book Antiqua"/>
          <w:color w:val="000000" w:themeColor="text1"/>
        </w:rPr>
        <w:t>fifteen years</w:t>
      </w:r>
      <w:r w:rsidRPr="000C4B7C">
        <w:rPr>
          <w:rFonts w:ascii="Book Antiqua" w:hAnsi="Book Antiqua"/>
          <w:color w:val="000000" w:themeColor="text1"/>
        </w:rPr>
        <w:t>.</w:t>
      </w:r>
      <w:r w:rsidR="00B819DD" w:rsidRPr="000C4B7C">
        <w:rPr>
          <w:rFonts w:ascii="Book Antiqua" w:hAnsi="Book Antiqua"/>
          <w:color w:val="000000" w:themeColor="text1"/>
        </w:rPr>
        <w:t xml:space="preserve"> </w:t>
      </w:r>
      <w:r w:rsidR="00437B1B" w:rsidRPr="000C4B7C">
        <w:rPr>
          <w:rFonts w:ascii="Book Antiqua" w:hAnsi="Book Antiqua"/>
          <w:color w:val="000000" w:themeColor="text1"/>
        </w:rPr>
        <w:t>Prior to</w:t>
      </w:r>
      <w:r w:rsidR="00291DA8" w:rsidRPr="000C4B7C">
        <w:rPr>
          <w:rFonts w:ascii="Book Antiqua" w:hAnsi="Book Antiqua"/>
          <w:color w:val="000000" w:themeColor="text1"/>
        </w:rPr>
        <w:t xml:space="preserve"> 2005, </w:t>
      </w:r>
      <w:r w:rsidR="0031602E" w:rsidRPr="000C4B7C">
        <w:rPr>
          <w:rFonts w:ascii="Book Antiqua" w:hAnsi="Book Antiqua"/>
          <w:color w:val="000000" w:themeColor="text1"/>
        </w:rPr>
        <w:t>cytokine therapy</w:t>
      </w:r>
      <w:r w:rsidR="001A613A" w:rsidRPr="000C4B7C">
        <w:rPr>
          <w:rFonts w:ascii="Book Antiqua" w:hAnsi="Book Antiqua"/>
          <w:color w:val="000000" w:themeColor="text1"/>
        </w:rPr>
        <w:t xml:space="preserve"> </w:t>
      </w:r>
      <w:r w:rsidR="00291DA8" w:rsidRPr="000C4B7C">
        <w:rPr>
          <w:rFonts w:ascii="Book Antiqua" w:hAnsi="Book Antiqua"/>
          <w:color w:val="000000" w:themeColor="text1"/>
        </w:rPr>
        <w:t>with interferon alpha (IFN-α)</w:t>
      </w:r>
      <w:r w:rsidR="00A901C0" w:rsidRPr="000C4B7C">
        <w:rPr>
          <w:rFonts w:ascii="Book Antiqua" w:hAnsi="Book Antiqua"/>
          <w:color w:val="000000" w:themeColor="text1"/>
        </w:rPr>
        <w:t xml:space="preserve"> and then</w:t>
      </w:r>
      <w:r w:rsidR="001A613A" w:rsidRPr="000C4B7C">
        <w:rPr>
          <w:rFonts w:ascii="Book Antiqua" w:hAnsi="Book Antiqua"/>
          <w:color w:val="000000" w:themeColor="text1"/>
        </w:rPr>
        <w:t xml:space="preserve"> </w:t>
      </w:r>
      <w:r w:rsidR="00A901C0" w:rsidRPr="000C4B7C">
        <w:rPr>
          <w:rFonts w:ascii="Book Antiqua" w:hAnsi="Book Antiqua"/>
          <w:color w:val="000000" w:themeColor="text1"/>
        </w:rPr>
        <w:t xml:space="preserve">high dose interleukin 2 (HDIL-2) </w:t>
      </w:r>
      <w:r w:rsidR="00291DA8" w:rsidRPr="000C4B7C">
        <w:rPr>
          <w:rFonts w:ascii="Book Antiqua" w:hAnsi="Book Antiqua"/>
          <w:color w:val="000000" w:themeColor="text1"/>
        </w:rPr>
        <w:t>w</w:t>
      </w:r>
      <w:r w:rsidR="0031602E" w:rsidRPr="000C4B7C">
        <w:rPr>
          <w:rFonts w:ascii="Book Antiqua" w:hAnsi="Book Antiqua"/>
          <w:color w:val="000000" w:themeColor="text1"/>
        </w:rPr>
        <w:t>ere</w:t>
      </w:r>
      <w:r w:rsidR="00291DA8" w:rsidRPr="000C4B7C">
        <w:rPr>
          <w:rFonts w:ascii="Book Antiqua" w:hAnsi="Book Antiqua"/>
          <w:color w:val="000000" w:themeColor="text1"/>
        </w:rPr>
        <w:t xml:space="preserve"> considered</w:t>
      </w:r>
      <w:r w:rsidR="00A901C0" w:rsidRPr="000C4B7C">
        <w:rPr>
          <w:rFonts w:ascii="Book Antiqua" w:hAnsi="Book Antiqua"/>
          <w:color w:val="000000" w:themeColor="text1"/>
        </w:rPr>
        <w:t xml:space="preserve"> the </w:t>
      </w:r>
      <w:r w:rsidR="00291DA8" w:rsidRPr="000C4B7C">
        <w:rPr>
          <w:rFonts w:ascii="Book Antiqua" w:hAnsi="Book Antiqua"/>
          <w:color w:val="000000" w:themeColor="text1"/>
        </w:rPr>
        <w:t xml:space="preserve">standard of care for the treatment </w:t>
      </w:r>
      <w:r w:rsidR="00A901C0" w:rsidRPr="000C4B7C">
        <w:rPr>
          <w:rFonts w:ascii="Book Antiqua" w:hAnsi="Book Antiqua"/>
          <w:color w:val="000000" w:themeColor="text1"/>
        </w:rPr>
        <w:t>of</w:t>
      </w:r>
      <w:r w:rsidR="00291DA8" w:rsidRPr="000C4B7C">
        <w:rPr>
          <w:rFonts w:ascii="Book Antiqua" w:hAnsi="Book Antiqua"/>
          <w:color w:val="000000" w:themeColor="text1"/>
        </w:rPr>
        <w:t xml:space="preserve"> metastatic renal cell </w:t>
      </w:r>
      <w:proofErr w:type="gramStart"/>
      <w:r w:rsidR="00291DA8" w:rsidRPr="000C4B7C">
        <w:rPr>
          <w:rFonts w:ascii="Book Antiqua" w:hAnsi="Book Antiqua"/>
          <w:color w:val="000000" w:themeColor="text1"/>
        </w:rPr>
        <w:t>carcinoma</w:t>
      </w:r>
      <w:r w:rsidR="003333AC" w:rsidRPr="000C4B7C">
        <w:rPr>
          <w:rFonts w:ascii="Book Antiqua" w:hAnsi="Book Antiqua"/>
          <w:noProof/>
          <w:color w:val="000000" w:themeColor="text1"/>
          <w:vertAlign w:val="superscript"/>
        </w:rPr>
        <w:t>[</w:t>
      </w:r>
      <w:proofErr w:type="gramEnd"/>
      <w:r w:rsidR="003333AC" w:rsidRPr="000C4B7C">
        <w:rPr>
          <w:rFonts w:ascii="Book Antiqua" w:hAnsi="Book Antiqua"/>
          <w:noProof/>
          <w:color w:val="000000" w:themeColor="text1"/>
          <w:vertAlign w:val="superscript"/>
        </w:rPr>
        <w:t>11,</w:t>
      </w:r>
      <w:r w:rsidR="00A470C8" w:rsidRPr="000C4B7C">
        <w:rPr>
          <w:rFonts w:ascii="Book Antiqua" w:hAnsi="Book Antiqua"/>
          <w:noProof/>
          <w:color w:val="000000" w:themeColor="text1"/>
          <w:vertAlign w:val="superscript"/>
        </w:rPr>
        <w:t>12]</w:t>
      </w:r>
      <w:r w:rsidR="00291DA8" w:rsidRPr="000C4B7C">
        <w:rPr>
          <w:rFonts w:ascii="Book Antiqua" w:hAnsi="Book Antiqua"/>
          <w:color w:val="000000" w:themeColor="text1"/>
        </w:rPr>
        <w:t>. The antitumor mechanism of HDIL-2 and IFN-α</w:t>
      </w:r>
      <w:r w:rsidR="00A901C0" w:rsidRPr="000C4B7C">
        <w:rPr>
          <w:rFonts w:ascii="Book Antiqua" w:hAnsi="Book Antiqua"/>
          <w:color w:val="000000" w:themeColor="text1"/>
        </w:rPr>
        <w:t>are</w:t>
      </w:r>
      <w:r w:rsidR="00291DA8" w:rsidRPr="000C4B7C">
        <w:rPr>
          <w:rFonts w:ascii="Book Antiqua" w:hAnsi="Book Antiqua"/>
          <w:color w:val="000000" w:themeColor="text1"/>
        </w:rPr>
        <w:t xml:space="preserve"> mediated </w:t>
      </w:r>
      <w:r w:rsidR="00291DA8" w:rsidRPr="000C4B7C">
        <w:rPr>
          <w:rFonts w:ascii="Book Antiqua" w:hAnsi="Book Antiqua"/>
          <w:i/>
          <w:color w:val="000000" w:themeColor="text1"/>
        </w:rPr>
        <w:t>via</w:t>
      </w:r>
      <w:r w:rsidR="00291DA8" w:rsidRPr="000C4B7C">
        <w:rPr>
          <w:rFonts w:ascii="Book Antiqua" w:hAnsi="Book Antiqua"/>
          <w:color w:val="000000" w:themeColor="text1"/>
        </w:rPr>
        <w:t xml:space="preserve"> activation of cytotoxic T lymphocytes and other cytokines. </w:t>
      </w:r>
      <w:r w:rsidR="00291DA8" w:rsidRPr="000C4B7C" w:rsidDel="00FF6B39">
        <w:rPr>
          <w:rFonts w:ascii="Book Antiqua" w:hAnsi="Book Antiqua"/>
          <w:color w:val="000000" w:themeColor="text1"/>
        </w:rPr>
        <w:t xml:space="preserve">Since response rates </w:t>
      </w:r>
      <w:r w:rsidR="0031602E" w:rsidRPr="000C4B7C">
        <w:rPr>
          <w:rFonts w:ascii="Book Antiqua" w:hAnsi="Book Antiqua"/>
          <w:color w:val="000000" w:themeColor="text1"/>
        </w:rPr>
        <w:t>we</w:t>
      </w:r>
      <w:r w:rsidR="00291DA8" w:rsidRPr="000C4B7C" w:rsidDel="00FF6B39">
        <w:rPr>
          <w:rFonts w:ascii="Book Antiqua" w:hAnsi="Book Antiqua"/>
          <w:color w:val="000000" w:themeColor="text1"/>
        </w:rPr>
        <w:t xml:space="preserve">re modest with these agents, high doses </w:t>
      </w:r>
      <w:r w:rsidR="0031602E" w:rsidRPr="000C4B7C">
        <w:rPr>
          <w:rFonts w:ascii="Book Antiqua" w:hAnsi="Book Antiqua"/>
          <w:color w:val="000000" w:themeColor="text1"/>
        </w:rPr>
        <w:t>we</w:t>
      </w:r>
      <w:r w:rsidR="00291DA8" w:rsidRPr="000C4B7C" w:rsidDel="00FF6B39">
        <w:rPr>
          <w:rFonts w:ascii="Book Antiqua" w:hAnsi="Book Antiqua"/>
          <w:color w:val="000000" w:themeColor="text1"/>
        </w:rPr>
        <w:t>re administered, which result</w:t>
      </w:r>
      <w:r w:rsidR="0031602E" w:rsidRPr="000C4B7C">
        <w:rPr>
          <w:rFonts w:ascii="Book Antiqua" w:hAnsi="Book Antiqua"/>
          <w:color w:val="000000" w:themeColor="text1"/>
        </w:rPr>
        <w:t>ed</w:t>
      </w:r>
      <w:r w:rsidR="00291DA8" w:rsidRPr="000C4B7C" w:rsidDel="00FF6B39">
        <w:rPr>
          <w:rFonts w:ascii="Book Antiqua" w:hAnsi="Book Antiqua"/>
          <w:color w:val="000000" w:themeColor="text1"/>
        </w:rPr>
        <w:t xml:space="preserve"> in substantial</w:t>
      </w:r>
      <w:r w:rsidR="001A613A" w:rsidRPr="000C4B7C">
        <w:rPr>
          <w:rFonts w:ascii="Book Antiqua" w:hAnsi="Book Antiqua"/>
          <w:color w:val="000000" w:themeColor="text1"/>
        </w:rPr>
        <w:t xml:space="preserve"> </w:t>
      </w:r>
      <w:proofErr w:type="gramStart"/>
      <w:r w:rsidR="00291DA8" w:rsidRPr="000C4B7C" w:rsidDel="00FF6B39">
        <w:rPr>
          <w:rFonts w:ascii="Book Antiqua" w:hAnsi="Book Antiqua"/>
          <w:color w:val="000000" w:themeColor="text1"/>
        </w:rPr>
        <w:t>toxicity</w:t>
      </w:r>
      <w:r w:rsidR="003333AC" w:rsidRPr="000C4B7C">
        <w:rPr>
          <w:rFonts w:ascii="Book Antiqua" w:hAnsi="Book Antiqua"/>
          <w:noProof/>
          <w:color w:val="000000" w:themeColor="text1"/>
          <w:vertAlign w:val="superscript"/>
        </w:rPr>
        <w:t>[</w:t>
      </w:r>
      <w:proofErr w:type="gramEnd"/>
      <w:r w:rsidR="003333AC" w:rsidRPr="000C4B7C">
        <w:rPr>
          <w:rFonts w:ascii="Book Antiqua" w:hAnsi="Book Antiqua"/>
          <w:noProof/>
          <w:color w:val="000000" w:themeColor="text1"/>
          <w:vertAlign w:val="superscript"/>
        </w:rPr>
        <w:t>13,</w:t>
      </w:r>
      <w:r w:rsidR="00A470C8" w:rsidRPr="000C4B7C">
        <w:rPr>
          <w:rFonts w:ascii="Book Antiqua" w:hAnsi="Book Antiqua"/>
          <w:noProof/>
          <w:color w:val="000000" w:themeColor="text1"/>
          <w:vertAlign w:val="superscript"/>
        </w:rPr>
        <w:t>14]</w:t>
      </w:r>
      <w:r w:rsidR="00BE34FF" w:rsidRPr="000C4B7C">
        <w:rPr>
          <w:rFonts w:ascii="Book Antiqua" w:hAnsi="Book Antiqua"/>
          <w:color w:val="000000" w:themeColor="text1"/>
        </w:rPr>
        <w:t>.</w:t>
      </w:r>
      <w:r w:rsidR="003333AC" w:rsidRPr="000C4B7C">
        <w:rPr>
          <w:rFonts w:ascii="Book Antiqua" w:hAnsi="Book Antiqua"/>
          <w:color w:val="000000" w:themeColor="text1"/>
          <w:lang w:eastAsia="zh-CN"/>
        </w:rPr>
        <w:t xml:space="preserve"> </w:t>
      </w:r>
      <w:r w:rsidR="00B43396" w:rsidRPr="000C4B7C">
        <w:rPr>
          <w:rFonts w:ascii="Book Antiqua" w:hAnsi="Book Antiqua"/>
          <w:color w:val="000000" w:themeColor="text1"/>
        </w:rPr>
        <w:t xml:space="preserve">HDIL-2 </w:t>
      </w:r>
      <w:r w:rsidR="0031602E" w:rsidRPr="000C4B7C">
        <w:rPr>
          <w:rFonts w:ascii="Book Antiqua" w:hAnsi="Book Antiqua"/>
          <w:color w:val="000000" w:themeColor="text1"/>
        </w:rPr>
        <w:t>side effects often</w:t>
      </w:r>
      <w:r w:rsidR="00B43396" w:rsidRPr="000C4B7C">
        <w:rPr>
          <w:rFonts w:ascii="Book Antiqua" w:hAnsi="Book Antiqua"/>
          <w:color w:val="000000" w:themeColor="text1"/>
        </w:rPr>
        <w:t xml:space="preserve"> need to be managed in an intensive care unit and </w:t>
      </w:r>
      <w:r w:rsidR="00F87FAD" w:rsidRPr="000C4B7C">
        <w:rPr>
          <w:rFonts w:ascii="Book Antiqua" w:hAnsi="Book Antiqua"/>
          <w:color w:val="000000" w:themeColor="text1"/>
        </w:rPr>
        <w:t>were</w:t>
      </w:r>
      <w:r w:rsidR="00B43396" w:rsidRPr="000C4B7C">
        <w:rPr>
          <w:rFonts w:ascii="Book Antiqua" w:hAnsi="Book Antiqua"/>
          <w:color w:val="000000" w:themeColor="text1"/>
        </w:rPr>
        <w:t xml:space="preserve"> associated wi</w:t>
      </w:r>
      <w:r w:rsidR="007167C0" w:rsidRPr="000C4B7C">
        <w:rPr>
          <w:rFonts w:ascii="Book Antiqua" w:hAnsi="Book Antiqua"/>
          <w:color w:val="000000" w:themeColor="text1"/>
        </w:rPr>
        <w:t>th a mortality rate of 1% to 5</w:t>
      </w:r>
      <w:proofErr w:type="gramStart"/>
      <w:r w:rsidR="007167C0" w:rsidRPr="000C4B7C">
        <w:rPr>
          <w:rFonts w:ascii="Book Antiqua" w:hAnsi="Book Antiqua"/>
          <w:color w:val="000000" w:themeColor="text1"/>
        </w:rPr>
        <w:t>%</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15]</w:t>
      </w:r>
      <w:r w:rsidR="00D259BE" w:rsidRPr="000C4B7C">
        <w:rPr>
          <w:rFonts w:ascii="Book Antiqua" w:hAnsi="Book Antiqua"/>
          <w:color w:val="000000" w:themeColor="text1"/>
        </w:rPr>
        <w:t>.</w:t>
      </w:r>
      <w:r w:rsidR="00292D31" w:rsidRPr="000C4B7C">
        <w:rPr>
          <w:rFonts w:ascii="Book Antiqua" w:hAnsi="Book Antiqua"/>
          <w:color w:val="000000" w:themeColor="text1"/>
          <w:lang w:eastAsia="zh-CN"/>
        </w:rPr>
        <w:t xml:space="preserve"> </w:t>
      </w:r>
      <w:r w:rsidR="00291DA8" w:rsidRPr="000C4B7C">
        <w:rPr>
          <w:rFonts w:ascii="Book Antiqua" w:hAnsi="Book Antiqua"/>
          <w:color w:val="000000" w:themeColor="text1"/>
        </w:rPr>
        <w:t>The overall response rates (ORR) of IL-2 and IFN-α range between 5% to 20% with a median overall survival (OS) of about 10</w:t>
      </w:r>
      <w:r w:rsidR="002203EA" w:rsidRPr="000C4B7C">
        <w:rPr>
          <w:rFonts w:ascii="Book Antiqua" w:hAnsi="Book Antiqua"/>
          <w:color w:val="000000" w:themeColor="text1"/>
        </w:rPr>
        <w:t xml:space="preserve"> to</w:t>
      </w:r>
      <w:r w:rsidR="00F23EA7" w:rsidRPr="000C4B7C">
        <w:rPr>
          <w:rFonts w:ascii="Book Antiqua" w:hAnsi="Book Antiqua"/>
          <w:color w:val="000000" w:themeColor="text1"/>
          <w:lang w:eastAsia="zh-CN"/>
        </w:rPr>
        <w:t xml:space="preserve"> </w:t>
      </w:r>
      <w:r w:rsidR="00291DA8" w:rsidRPr="000C4B7C">
        <w:rPr>
          <w:rFonts w:ascii="Book Antiqua" w:hAnsi="Book Antiqua"/>
          <w:color w:val="000000" w:themeColor="text1"/>
        </w:rPr>
        <w:t xml:space="preserve">15 </w:t>
      </w:r>
      <w:proofErr w:type="gramStart"/>
      <w:r w:rsidR="003333AC" w:rsidRPr="000C4B7C">
        <w:rPr>
          <w:rFonts w:ascii="Book Antiqua" w:hAnsi="Book Antiqua"/>
          <w:color w:val="000000" w:themeColor="text1"/>
          <w:lang w:eastAsia="zh-CN"/>
        </w:rPr>
        <w:t>mo</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13]</w:t>
      </w:r>
      <w:r w:rsidR="00291DA8" w:rsidRPr="000C4B7C">
        <w:rPr>
          <w:rFonts w:ascii="Book Antiqua" w:hAnsi="Book Antiqua"/>
          <w:color w:val="000000" w:themeColor="text1"/>
        </w:rPr>
        <w:t xml:space="preserve">. </w:t>
      </w:r>
      <w:r w:rsidR="00B43396" w:rsidRPr="000C4B7C">
        <w:rPr>
          <w:rFonts w:ascii="Book Antiqua" w:hAnsi="Book Antiqua"/>
          <w:color w:val="000000" w:themeColor="text1"/>
        </w:rPr>
        <w:t xml:space="preserve">Though the use of HDIL-2 has mostly fallen </w:t>
      </w:r>
      <w:r w:rsidR="002203EA" w:rsidRPr="000C4B7C">
        <w:rPr>
          <w:rFonts w:ascii="Book Antiqua" w:hAnsi="Book Antiqua"/>
          <w:color w:val="000000" w:themeColor="text1"/>
        </w:rPr>
        <w:t>out of favor</w:t>
      </w:r>
      <w:r w:rsidR="00B43396" w:rsidRPr="000C4B7C">
        <w:rPr>
          <w:rFonts w:ascii="Book Antiqua" w:hAnsi="Book Antiqua"/>
          <w:color w:val="000000" w:themeColor="text1"/>
        </w:rPr>
        <w:t xml:space="preserve">, some centers </w:t>
      </w:r>
      <w:r w:rsidR="00117F41" w:rsidRPr="000C4B7C">
        <w:rPr>
          <w:rFonts w:ascii="Book Antiqua" w:hAnsi="Book Antiqua"/>
          <w:color w:val="000000" w:themeColor="text1"/>
        </w:rPr>
        <w:t xml:space="preserve">continue its use, often in clinical trials in combination with </w:t>
      </w:r>
      <w:r w:rsidR="0031602E" w:rsidRPr="000C4B7C">
        <w:rPr>
          <w:rFonts w:ascii="Book Antiqua" w:hAnsi="Book Antiqua"/>
          <w:color w:val="000000" w:themeColor="text1"/>
        </w:rPr>
        <w:t xml:space="preserve">immune checkpoint </w:t>
      </w:r>
      <w:proofErr w:type="gramStart"/>
      <w:r w:rsidR="0031602E" w:rsidRPr="000C4B7C">
        <w:rPr>
          <w:rFonts w:ascii="Book Antiqua" w:hAnsi="Book Antiqua"/>
          <w:color w:val="000000" w:themeColor="text1"/>
        </w:rPr>
        <w:t>inhibitors</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16]</w:t>
      </w:r>
      <w:r w:rsidR="00607F23" w:rsidRPr="000C4B7C">
        <w:rPr>
          <w:rFonts w:ascii="Book Antiqua" w:hAnsi="Book Antiqua"/>
          <w:color w:val="000000" w:themeColor="text1"/>
        </w:rPr>
        <w:t>.</w:t>
      </w:r>
    </w:p>
    <w:p w:rsidR="00602E86" w:rsidRPr="000C4B7C" w:rsidRDefault="00602E86" w:rsidP="000C4B7C">
      <w:pPr>
        <w:adjustRightInd w:val="0"/>
        <w:snapToGrid w:val="0"/>
        <w:spacing w:line="360" w:lineRule="auto"/>
        <w:jc w:val="both"/>
        <w:rPr>
          <w:rFonts w:ascii="Book Antiqua" w:eastAsia="Times New Roman" w:hAnsi="Book Antiqua"/>
          <w:color w:val="000000" w:themeColor="text1"/>
        </w:rPr>
      </w:pPr>
    </w:p>
    <w:p w:rsidR="004D1634" w:rsidRPr="000C4B7C" w:rsidRDefault="00784627" w:rsidP="000C4B7C">
      <w:pPr>
        <w:adjustRightInd w:val="0"/>
        <w:snapToGrid w:val="0"/>
        <w:spacing w:line="360" w:lineRule="auto"/>
        <w:jc w:val="both"/>
        <w:rPr>
          <w:rFonts w:ascii="Book Antiqua" w:hAnsi="Book Antiqua"/>
          <w:b/>
          <w:i/>
          <w:color w:val="000000" w:themeColor="text1"/>
          <w:lang w:eastAsia="zh-CN"/>
        </w:rPr>
      </w:pPr>
      <w:r w:rsidRPr="000C4B7C">
        <w:rPr>
          <w:rFonts w:ascii="Book Antiqua" w:eastAsia="Times New Roman" w:hAnsi="Book Antiqua"/>
          <w:b/>
          <w:i/>
          <w:color w:val="000000" w:themeColor="text1"/>
        </w:rPr>
        <w:lastRenderedPageBreak/>
        <w:t xml:space="preserve">Targeted </w:t>
      </w:r>
      <w:r w:rsidR="004A0AA5" w:rsidRPr="000C4B7C">
        <w:rPr>
          <w:rFonts w:ascii="Book Antiqua" w:eastAsia="Times New Roman" w:hAnsi="Book Antiqua"/>
          <w:b/>
          <w:i/>
          <w:color w:val="000000" w:themeColor="text1"/>
        </w:rPr>
        <w:t>therapies</w:t>
      </w:r>
    </w:p>
    <w:p w:rsidR="00763A2D" w:rsidRPr="000C4B7C" w:rsidRDefault="008639DE" w:rsidP="000C4B7C">
      <w:pPr>
        <w:autoSpaceDE w:val="0"/>
        <w:autoSpaceDN w:val="0"/>
        <w:adjustRightInd w:val="0"/>
        <w:snapToGrid w:val="0"/>
        <w:spacing w:line="360" w:lineRule="auto"/>
        <w:jc w:val="both"/>
        <w:rPr>
          <w:rFonts w:ascii="Book Antiqua" w:hAnsi="Book Antiqua"/>
          <w:bCs/>
          <w:color w:val="000000" w:themeColor="text1"/>
          <w:lang w:eastAsia="zh-CN"/>
        </w:rPr>
      </w:pPr>
      <w:r w:rsidRPr="000C4B7C">
        <w:rPr>
          <w:rFonts w:ascii="Book Antiqua" w:hAnsi="Book Antiqua"/>
          <w:color w:val="000000" w:themeColor="text1"/>
        </w:rPr>
        <w:t xml:space="preserve">Advances in </w:t>
      </w:r>
      <w:r w:rsidR="00546D34" w:rsidRPr="000C4B7C">
        <w:rPr>
          <w:rFonts w:ascii="Book Antiqua" w:hAnsi="Book Antiqua"/>
          <w:color w:val="000000" w:themeColor="text1"/>
        </w:rPr>
        <w:t>genomics and</w:t>
      </w:r>
      <w:r w:rsidRPr="000C4B7C">
        <w:rPr>
          <w:rFonts w:ascii="Book Antiqua" w:hAnsi="Book Antiqua"/>
          <w:color w:val="000000" w:themeColor="text1"/>
        </w:rPr>
        <w:t xml:space="preserve"> molecular biology</w:t>
      </w:r>
      <w:r w:rsidR="001A613A" w:rsidRPr="000C4B7C">
        <w:rPr>
          <w:rFonts w:ascii="Book Antiqua" w:hAnsi="Book Antiqua"/>
          <w:color w:val="000000" w:themeColor="text1"/>
        </w:rPr>
        <w:t xml:space="preserve"> </w:t>
      </w:r>
      <w:r w:rsidRPr="000C4B7C">
        <w:rPr>
          <w:rFonts w:ascii="Book Antiqua" w:hAnsi="Book Antiqua"/>
          <w:color w:val="000000" w:themeColor="text1"/>
        </w:rPr>
        <w:t>ha</w:t>
      </w:r>
      <w:r w:rsidR="00644AD0" w:rsidRPr="000C4B7C">
        <w:rPr>
          <w:rFonts w:ascii="Book Antiqua" w:hAnsi="Book Antiqua"/>
          <w:color w:val="000000" w:themeColor="text1"/>
        </w:rPr>
        <w:t>ve</w:t>
      </w:r>
      <w:r w:rsidRPr="000C4B7C">
        <w:rPr>
          <w:rFonts w:ascii="Book Antiqua" w:hAnsi="Book Antiqua"/>
          <w:color w:val="000000" w:themeColor="text1"/>
        </w:rPr>
        <w:t xml:space="preserve"> led to the development of targeted therapies for </w:t>
      </w:r>
      <w:proofErr w:type="gramStart"/>
      <w:r w:rsidRPr="000C4B7C">
        <w:rPr>
          <w:rFonts w:ascii="Book Antiqua" w:hAnsi="Book Antiqua"/>
          <w:color w:val="000000" w:themeColor="text1"/>
        </w:rPr>
        <w:t>RCC</w:t>
      </w:r>
      <w:r w:rsidR="00763A2D" w:rsidRPr="000C4B7C">
        <w:rPr>
          <w:rFonts w:ascii="Book Antiqua" w:hAnsi="Book Antiqua"/>
          <w:noProof/>
          <w:color w:val="000000" w:themeColor="text1"/>
          <w:vertAlign w:val="superscript"/>
        </w:rPr>
        <w:t>[</w:t>
      </w:r>
      <w:proofErr w:type="gramEnd"/>
      <w:r w:rsidR="00763A2D" w:rsidRPr="000C4B7C">
        <w:rPr>
          <w:rFonts w:ascii="Book Antiqua" w:hAnsi="Book Antiqua"/>
          <w:noProof/>
          <w:color w:val="000000" w:themeColor="text1"/>
          <w:vertAlign w:val="superscript"/>
        </w:rPr>
        <w:t>17,</w:t>
      </w:r>
      <w:r w:rsidR="00A470C8" w:rsidRPr="000C4B7C">
        <w:rPr>
          <w:rFonts w:ascii="Book Antiqua" w:hAnsi="Book Antiqua"/>
          <w:noProof/>
          <w:color w:val="000000" w:themeColor="text1"/>
          <w:vertAlign w:val="superscript"/>
        </w:rPr>
        <w:t>18]</w:t>
      </w:r>
      <w:r w:rsidR="00546D34" w:rsidRPr="000C4B7C">
        <w:rPr>
          <w:rFonts w:ascii="Book Antiqua" w:hAnsi="Book Antiqua"/>
          <w:color w:val="000000" w:themeColor="text1"/>
        </w:rPr>
        <w:t>.</w:t>
      </w:r>
      <w:r w:rsidRPr="000C4B7C">
        <w:rPr>
          <w:rFonts w:ascii="Book Antiqua" w:hAnsi="Book Antiqua"/>
          <w:color w:val="000000" w:themeColor="text1"/>
        </w:rPr>
        <w:t xml:space="preserve"> The turning point has been the identification of mutation or loss of von-Hippel Landau </w:t>
      </w:r>
      <w:r w:rsidR="00027433" w:rsidRPr="000C4B7C">
        <w:rPr>
          <w:rFonts w:ascii="Book Antiqua" w:hAnsi="Book Antiqua"/>
          <w:color w:val="000000" w:themeColor="text1"/>
        </w:rPr>
        <w:t xml:space="preserve">(VHL) </w:t>
      </w:r>
      <w:r w:rsidRPr="000C4B7C">
        <w:rPr>
          <w:rFonts w:ascii="Book Antiqua" w:hAnsi="Book Antiqua"/>
          <w:color w:val="000000" w:themeColor="text1"/>
        </w:rPr>
        <w:t>tumor suppressor gene in 60</w:t>
      </w:r>
      <w:r w:rsidR="00B35962" w:rsidRPr="000C4B7C">
        <w:rPr>
          <w:rFonts w:ascii="Book Antiqua" w:hAnsi="Book Antiqua"/>
          <w:color w:val="000000" w:themeColor="text1"/>
          <w:lang w:eastAsia="zh-CN"/>
        </w:rPr>
        <w:t>%</w:t>
      </w:r>
      <w:r w:rsidR="002203EA" w:rsidRPr="000C4B7C">
        <w:rPr>
          <w:rFonts w:ascii="Book Antiqua" w:hAnsi="Book Antiqua"/>
          <w:color w:val="000000" w:themeColor="text1"/>
        </w:rPr>
        <w:t xml:space="preserve"> to </w:t>
      </w:r>
      <w:r w:rsidRPr="000C4B7C">
        <w:rPr>
          <w:rFonts w:ascii="Book Antiqua" w:hAnsi="Book Antiqua"/>
          <w:color w:val="000000" w:themeColor="text1"/>
        </w:rPr>
        <w:t>90% of sporadic cases of RCC</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either through somatic mutation or promoter </w:t>
      </w:r>
      <w:proofErr w:type="gramStart"/>
      <w:r w:rsidRPr="000C4B7C">
        <w:rPr>
          <w:rFonts w:ascii="Book Antiqua" w:hAnsi="Book Antiqua"/>
          <w:color w:val="000000" w:themeColor="text1"/>
        </w:rPr>
        <w:t>methylation</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19]</w:t>
      </w:r>
      <w:r w:rsidR="00D259BE" w:rsidRPr="000C4B7C">
        <w:rPr>
          <w:rFonts w:ascii="Book Antiqua" w:hAnsi="Book Antiqua"/>
          <w:color w:val="000000" w:themeColor="text1"/>
        </w:rPr>
        <w:t xml:space="preserve">. </w:t>
      </w:r>
      <w:r w:rsidR="00027433" w:rsidRPr="000C4B7C">
        <w:rPr>
          <w:rFonts w:ascii="Book Antiqua" w:hAnsi="Book Antiqua"/>
          <w:color w:val="000000" w:themeColor="text1"/>
        </w:rPr>
        <w:t xml:space="preserve">Inactivation of VHL leads to </w:t>
      </w:r>
      <w:r w:rsidR="000E206D" w:rsidRPr="000C4B7C">
        <w:rPr>
          <w:rFonts w:ascii="Book Antiqua" w:hAnsi="Book Antiqua"/>
          <w:color w:val="000000" w:themeColor="text1"/>
        </w:rPr>
        <w:t>overexpression</w:t>
      </w:r>
      <w:r w:rsidR="00027433" w:rsidRPr="000C4B7C">
        <w:rPr>
          <w:rFonts w:ascii="Book Antiqua" w:hAnsi="Book Antiqua"/>
          <w:color w:val="000000" w:themeColor="text1"/>
        </w:rPr>
        <w:t xml:space="preserve"> of hypoxia-inducible factors (HIF) and transcription of genes such as vascular endot</w:t>
      </w:r>
      <w:r w:rsidR="00877A0D" w:rsidRPr="000C4B7C">
        <w:rPr>
          <w:rFonts w:ascii="Book Antiqua" w:hAnsi="Book Antiqua"/>
          <w:color w:val="000000" w:themeColor="text1"/>
        </w:rPr>
        <w:t>helial growth factor (VEGF</w:t>
      </w:r>
      <w:proofErr w:type="gramStart"/>
      <w:r w:rsidR="00877A0D" w:rsidRPr="000C4B7C">
        <w:rPr>
          <w:rFonts w:ascii="Book Antiqua" w:hAnsi="Book Antiqua"/>
          <w:color w:val="000000" w:themeColor="text1"/>
        </w:rPr>
        <w:t>)</w:t>
      </w:r>
      <w:r w:rsidR="00763A2D" w:rsidRPr="000C4B7C">
        <w:rPr>
          <w:rFonts w:ascii="Book Antiqua" w:hAnsi="Book Antiqua"/>
          <w:noProof/>
          <w:color w:val="000000" w:themeColor="text1"/>
          <w:vertAlign w:val="superscript"/>
        </w:rPr>
        <w:t>[</w:t>
      </w:r>
      <w:proofErr w:type="gramEnd"/>
      <w:r w:rsidR="00763A2D" w:rsidRPr="000C4B7C">
        <w:rPr>
          <w:rFonts w:ascii="Book Antiqua" w:hAnsi="Book Antiqua"/>
          <w:noProof/>
          <w:color w:val="000000" w:themeColor="text1"/>
          <w:vertAlign w:val="superscript"/>
        </w:rPr>
        <w:t>20,</w:t>
      </w:r>
      <w:r w:rsidR="00A470C8" w:rsidRPr="000C4B7C">
        <w:rPr>
          <w:rFonts w:ascii="Book Antiqua" w:hAnsi="Book Antiqua"/>
          <w:noProof/>
          <w:color w:val="000000" w:themeColor="text1"/>
          <w:vertAlign w:val="superscript"/>
        </w:rPr>
        <w:t>21]</w:t>
      </w:r>
      <w:r w:rsidR="00D259BE" w:rsidRPr="000C4B7C">
        <w:rPr>
          <w:rFonts w:ascii="Book Antiqua" w:hAnsi="Book Antiqua"/>
          <w:color w:val="000000" w:themeColor="text1"/>
        </w:rPr>
        <w:t xml:space="preserve">. </w:t>
      </w:r>
      <w:r w:rsidR="00F80E1D" w:rsidRPr="000C4B7C">
        <w:rPr>
          <w:rFonts w:ascii="Book Antiqua" w:hAnsi="Book Antiqua"/>
          <w:color w:val="000000" w:themeColor="text1"/>
        </w:rPr>
        <w:t>HIF-1</w:t>
      </w:r>
      <w:r w:rsidR="00D259BE" w:rsidRPr="000C4B7C">
        <w:rPr>
          <w:rFonts w:ascii="Book Antiqua" w:hAnsi="Book Antiqua"/>
          <w:color w:val="000000" w:themeColor="text1"/>
        </w:rPr>
        <w:t>α</w:t>
      </w:r>
      <w:r w:rsidR="00F80E1D" w:rsidRPr="000C4B7C">
        <w:rPr>
          <w:rFonts w:ascii="Book Antiqua" w:hAnsi="Book Antiqua"/>
          <w:color w:val="000000" w:themeColor="text1"/>
        </w:rPr>
        <w:t xml:space="preserve"> is an important stimulus to angiogenesis.</w:t>
      </w:r>
      <w:r w:rsidR="001A613A" w:rsidRPr="000C4B7C">
        <w:rPr>
          <w:rFonts w:ascii="Book Antiqua" w:hAnsi="Book Antiqua"/>
          <w:color w:val="000000" w:themeColor="text1"/>
        </w:rPr>
        <w:t xml:space="preserve"> </w:t>
      </w:r>
      <w:r w:rsidR="0020694F" w:rsidRPr="000C4B7C">
        <w:rPr>
          <w:rFonts w:ascii="Book Antiqua" w:hAnsi="Book Antiqua"/>
          <w:color w:val="000000" w:themeColor="text1"/>
        </w:rPr>
        <w:t xml:space="preserve">VEGF binds to VEGF receptor (VEGFR) on endothelial cells and is a potent mediator of angiogenesis. It leads to increased vascular permeability, endothelial cell proliferation, migration, and cancer </w:t>
      </w:r>
      <w:proofErr w:type="gramStart"/>
      <w:r w:rsidR="0020694F" w:rsidRPr="000C4B7C">
        <w:rPr>
          <w:rFonts w:ascii="Book Antiqua" w:hAnsi="Book Antiqua"/>
          <w:color w:val="000000" w:themeColor="text1"/>
        </w:rPr>
        <w:t>progression</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22]</w:t>
      </w:r>
      <w:r w:rsidR="00D259BE" w:rsidRPr="000C4B7C">
        <w:rPr>
          <w:rFonts w:ascii="Book Antiqua" w:hAnsi="Book Antiqua"/>
          <w:color w:val="000000" w:themeColor="text1"/>
        </w:rPr>
        <w:t>.</w:t>
      </w:r>
      <w:r w:rsidR="00763A2D" w:rsidRPr="000C4B7C">
        <w:rPr>
          <w:rFonts w:ascii="Book Antiqua" w:hAnsi="Book Antiqua"/>
          <w:color w:val="000000" w:themeColor="text1"/>
          <w:lang w:eastAsia="zh-CN"/>
        </w:rPr>
        <w:t xml:space="preserve"> </w:t>
      </w:r>
      <w:r w:rsidR="008407BE" w:rsidRPr="000C4B7C">
        <w:rPr>
          <w:rFonts w:ascii="Book Antiqua" w:hAnsi="Book Antiqua"/>
          <w:bCs/>
          <w:color w:val="000000" w:themeColor="text1"/>
        </w:rPr>
        <w:t>This has led to the development of</w:t>
      </w:r>
      <w:r w:rsidR="00882943" w:rsidRPr="000C4B7C">
        <w:rPr>
          <w:rFonts w:ascii="Book Antiqua" w:hAnsi="Book Antiqua"/>
          <w:bCs/>
          <w:color w:val="000000" w:themeColor="text1"/>
        </w:rPr>
        <w:t xml:space="preserve"> various strategies to inhibit VEGF signal transduction</w:t>
      </w:r>
      <w:r w:rsidR="001A613A" w:rsidRPr="000C4B7C">
        <w:rPr>
          <w:rFonts w:ascii="Book Antiqua" w:hAnsi="Book Antiqua"/>
          <w:bCs/>
          <w:color w:val="000000" w:themeColor="text1"/>
        </w:rPr>
        <w:t xml:space="preserve"> </w:t>
      </w:r>
      <w:r w:rsidR="00FD20D2" w:rsidRPr="000C4B7C">
        <w:rPr>
          <w:rFonts w:ascii="Book Antiqua" w:hAnsi="Book Antiqua"/>
          <w:bCs/>
          <w:color w:val="000000" w:themeColor="text1"/>
        </w:rPr>
        <w:t xml:space="preserve">such as </w:t>
      </w:r>
      <w:r w:rsidR="00882943" w:rsidRPr="000C4B7C">
        <w:rPr>
          <w:rFonts w:ascii="Book Antiqua" w:hAnsi="Book Antiqua"/>
          <w:bCs/>
          <w:color w:val="000000" w:themeColor="text1"/>
        </w:rPr>
        <w:t>humanized neutralizing anti-VEGF monoclonal antibodies</w:t>
      </w:r>
      <w:r w:rsidR="001A613A" w:rsidRPr="000C4B7C">
        <w:rPr>
          <w:rFonts w:ascii="Book Antiqua" w:hAnsi="Book Antiqua"/>
          <w:bCs/>
          <w:color w:val="000000" w:themeColor="text1"/>
        </w:rPr>
        <w:t xml:space="preserve"> </w:t>
      </w:r>
      <w:r w:rsidR="00184AEE" w:rsidRPr="000C4B7C">
        <w:rPr>
          <w:rFonts w:ascii="Book Antiqua" w:hAnsi="Book Antiqua"/>
          <w:bCs/>
          <w:color w:val="000000" w:themeColor="text1"/>
        </w:rPr>
        <w:t>and</w:t>
      </w:r>
      <w:r w:rsidR="001A613A" w:rsidRPr="000C4B7C">
        <w:rPr>
          <w:rFonts w:ascii="Book Antiqua" w:hAnsi="Book Antiqua"/>
          <w:bCs/>
          <w:color w:val="000000" w:themeColor="text1"/>
        </w:rPr>
        <w:t xml:space="preserve"> </w:t>
      </w:r>
      <w:r w:rsidR="00882943" w:rsidRPr="000C4B7C">
        <w:rPr>
          <w:rFonts w:ascii="Book Antiqua" w:hAnsi="Book Antiqua"/>
          <w:bCs/>
          <w:color w:val="000000" w:themeColor="text1"/>
        </w:rPr>
        <w:t>VEGFR inhibitors.</w:t>
      </w:r>
    </w:p>
    <w:p w:rsidR="00763A2D" w:rsidRPr="000C4B7C" w:rsidRDefault="001A757E" w:rsidP="000C4B7C">
      <w:pPr>
        <w:autoSpaceDE w:val="0"/>
        <w:autoSpaceDN w:val="0"/>
        <w:adjustRightInd w:val="0"/>
        <w:snapToGrid w:val="0"/>
        <w:spacing w:line="360" w:lineRule="auto"/>
        <w:ind w:firstLineChars="100" w:firstLine="240"/>
        <w:jc w:val="both"/>
        <w:rPr>
          <w:rFonts w:ascii="Book Antiqua" w:hAnsi="Book Antiqua"/>
          <w:bCs/>
          <w:color w:val="000000" w:themeColor="text1"/>
          <w:lang w:eastAsia="zh-CN"/>
        </w:rPr>
      </w:pPr>
      <w:r w:rsidRPr="000C4B7C">
        <w:rPr>
          <w:rFonts w:ascii="Book Antiqua" w:hAnsi="Book Antiqua"/>
          <w:color w:val="000000" w:themeColor="text1"/>
        </w:rPr>
        <w:t>Bevacizumab is the only</w:t>
      </w:r>
      <w:r w:rsidR="0004570A" w:rsidRPr="000C4B7C">
        <w:rPr>
          <w:rFonts w:ascii="Book Antiqua" w:hAnsi="Book Antiqua"/>
          <w:color w:val="000000" w:themeColor="text1"/>
        </w:rPr>
        <w:t xml:space="preserve"> monoclonal antibody targeting VEGF</w:t>
      </w:r>
      <w:r w:rsidRPr="000C4B7C">
        <w:rPr>
          <w:rFonts w:ascii="Book Antiqua" w:hAnsi="Book Antiqua"/>
          <w:color w:val="000000" w:themeColor="text1"/>
        </w:rPr>
        <w:t xml:space="preserve"> that has been approved</w:t>
      </w:r>
      <w:r w:rsidR="000D7241" w:rsidRPr="000C4B7C">
        <w:rPr>
          <w:rFonts w:ascii="Book Antiqua" w:hAnsi="Book Antiqua"/>
          <w:color w:val="000000" w:themeColor="text1"/>
        </w:rPr>
        <w:t xml:space="preserve"> for RCC</w:t>
      </w:r>
      <w:r w:rsidRPr="000C4B7C">
        <w:rPr>
          <w:rFonts w:ascii="Book Antiqua" w:hAnsi="Book Antiqua"/>
          <w:color w:val="000000" w:themeColor="text1"/>
        </w:rPr>
        <w:t xml:space="preserve"> by the </w:t>
      </w:r>
      <w:r w:rsidR="00033B0E" w:rsidRPr="000C4B7C">
        <w:rPr>
          <w:rFonts w:ascii="Book Antiqua" w:hAnsi="Book Antiqua"/>
          <w:color w:val="000000" w:themeColor="text1"/>
          <w:lang w:eastAsia="zh-CN"/>
        </w:rPr>
        <w:t xml:space="preserve">U.S. </w:t>
      </w:r>
      <w:r w:rsidR="00033B0E" w:rsidRPr="000C4B7C">
        <w:rPr>
          <w:rFonts w:ascii="Book Antiqua" w:hAnsi="Book Antiqua"/>
          <w:color w:val="000000" w:themeColor="text1"/>
        </w:rPr>
        <w:t xml:space="preserve">Food and Drug Administration </w:t>
      </w:r>
      <w:r w:rsidR="00033B0E" w:rsidRPr="000C4B7C">
        <w:rPr>
          <w:rFonts w:ascii="Book Antiqua" w:hAnsi="Book Antiqua"/>
          <w:color w:val="000000" w:themeColor="text1"/>
          <w:lang w:eastAsia="zh-CN"/>
        </w:rPr>
        <w:t>(</w:t>
      </w:r>
      <w:r w:rsidRPr="000C4B7C">
        <w:rPr>
          <w:rFonts w:ascii="Book Antiqua" w:hAnsi="Book Antiqua"/>
          <w:color w:val="000000" w:themeColor="text1"/>
        </w:rPr>
        <w:t>FDA</w:t>
      </w:r>
      <w:r w:rsidR="00033B0E" w:rsidRPr="000C4B7C">
        <w:rPr>
          <w:rFonts w:ascii="Book Antiqua" w:hAnsi="Book Antiqua"/>
          <w:color w:val="000000" w:themeColor="text1"/>
          <w:lang w:eastAsia="zh-CN"/>
        </w:rPr>
        <w:t>)</w:t>
      </w:r>
      <w:r w:rsidRPr="000C4B7C">
        <w:rPr>
          <w:rFonts w:ascii="Book Antiqua" w:hAnsi="Book Antiqua"/>
          <w:color w:val="000000" w:themeColor="text1"/>
        </w:rPr>
        <w:t xml:space="preserve">. </w:t>
      </w:r>
      <w:r w:rsidR="004468BD" w:rsidRPr="000C4B7C">
        <w:rPr>
          <w:rFonts w:ascii="Book Antiqua" w:eastAsia="AGaramondPro-Regular" w:hAnsi="Book Antiqua"/>
          <w:color w:val="000000" w:themeColor="text1"/>
        </w:rPr>
        <w:t xml:space="preserve">Currently, </w:t>
      </w:r>
      <w:r w:rsidR="00FD20D2" w:rsidRPr="000C4B7C">
        <w:rPr>
          <w:rFonts w:ascii="Book Antiqua" w:eastAsia="AGaramondPro-Regular" w:hAnsi="Book Antiqua"/>
          <w:color w:val="000000" w:themeColor="text1"/>
        </w:rPr>
        <w:t>six</w:t>
      </w:r>
      <w:r w:rsidR="001A613A" w:rsidRPr="000C4B7C">
        <w:rPr>
          <w:rFonts w:ascii="Book Antiqua" w:eastAsia="AGaramondPro-Regular" w:hAnsi="Book Antiqua"/>
          <w:color w:val="000000" w:themeColor="text1"/>
        </w:rPr>
        <w:t xml:space="preserve"> </w:t>
      </w:r>
      <w:r w:rsidR="00AF1E13" w:rsidRPr="000C4B7C">
        <w:rPr>
          <w:rFonts w:ascii="Book Antiqua" w:eastAsia="AGaramondPro-Regular" w:hAnsi="Book Antiqua"/>
          <w:color w:val="000000" w:themeColor="text1"/>
        </w:rPr>
        <w:t xml:space="preserve">small molecule </w:t>
      </w:r>
      <w:r w:rsidR="004855E4" w:rsidRPr="000C4B7C">
        <w:rPr>
          <w:rFonts w:ascii="Book Antiqua" w:eastAsia="AGaramondPro-Regular" w:hAnsi="Book Antiqua"/>
          <w:color w:val="000000" w:themeColor="text1"/>
        </w:rPr>
        <w:t xml:space="preserve">oral </w:t>
      </w:r>
      <w:r w:rsidR="003C6057" w:rsidRPr="000C4B7C">
        <w:rPr>
          <w:rFonts w:ascii="Book Antiqua" w:hAnsi="Book Antiqua"/>
        </w:rPr>
        <w:t>tyrosine kinase inhibitors</w:t>
      </w:r>
      <w:r w:rsidR="003C6057" w:rsidRPr="000C4B7C">
        <w:rPr>
          <w:rFonts w:ascii="Book Antiqua" w:eastAsia="AGaramondPro-Regular" w:hAnsi="Book Antiqua"/>
          <w:color w:val="000000" w:themeColor="text1"/>
        </w:rPr>
        <w:t xml:space="preserve"> </w:t>
      </w:r>
      <w:r w:rsidR="003C6057" w:rsidRPr="000C4B7C">
        <w:rPr>
          <w:rFonts w:ascii="Book Antiqua" w:hAnsi="Book Antiqua"/>
          <w:color w:val="000000" w:themeColor="text1"/>
          <w:lang w:eastAsia="zh-CN"/>
        </w:rPr>
        <w:t>(</w:t>
      </w:r>
      <w:r w:rsidR="00AF1E13" w:rsidRPr="000C4B7C">
        <w:rPr>
          <w:rFonts w:ascii="Book Antiqua" w:eastAsia="AGaramondPro-Regular" w:hAnsi="Book Antiqua"/>
          <w:color w:val="000000" w:themeColor="text1"/>
        </w:rPr>
        <w:t>TKIs</w:t>
      </w:r>
      <w:r w:rsidR="003C6057" w:rsidRPr="000C4B7C">
        <w:rPr>
          <w:rFonts w:ascii="Book Antiqua" w:hAnsi="Book Antiqua"/>
          <w:color w:val="000000" w:themeColor="text1"/>
          <w:lang w:eastAsia="zh-CN"/>
        </w:rPr>
        <w:t>)</w:t>
      </w:r>
      <w:r w:rsidRPr="000C4B7C">
        <w:rPr>
          <w:rFonts w:ascii="Book Antiqua" w:eastAsia="AGaramondPro-Regular" w:hAnsi="Book Antiqua"/>
          <w:color w:val="000000" w:themeColor="text1"/>
        </w:rPr>
        <w:t xml:space="preserve"> with potent activity against VEGF receptors have be</w:t>
      </w:r>
      <w:r w:rsidR="00AF1E13" w:rsidRPr="000C4B7C">
        <w:rPr>
          <w:rFonts w:ascii="Book Antiqua" w:eastAsia="AGaramondPro-Regular" w:hAnsi="Book Antiqua"/>
          <w:color w:val="000000" w:themeColor="text1"/>
        </w:rPr>
        <w:t>en approved</w:t>
      </w:r>
      <w:r w:rsidR="000D7241" w:rsidRPr="000C4B7C">
        <w:rPr>
          <w:rFonts w:ascii="Book Antiqua" w:eastAsia="AGaramondPro-Regular" w:hAnsi="Book Antiqua"/>
          <w:color w:val="000000" w:themeColor="text1"/>
        </w:rPr>
        <w:t xml:space="preserve"> for use in RCC</w:t>
      </w:r>
      <w:r w:rsidRPr="000C4B7C">
        <w:rPr>
          <w:rFonts w:ascii="Book Antiqua" w:eastAsia="AGaramondPro-Regular" w:hAnsi="Book Antiqua"/>
          <w:color w:val="000000" w:themeColor="text1"/>
        </w:rPr>
        <w:t xml:space="preserve"> (axitinib, cabozantinib, lenvatinib, pazopanib, sorafenib, </w:t>
      </w:r>
      <w:r w:rsidR="000D7241" w:rsidRPr="000C4B7C">
        <w:rPr>
          <w:rFonts w:ascii="Book Antiqua" w:eastAsia="AGaramondPro-Regular" w:hAnsi="Book Antiqua"/>
          <w:color w:val="000000" w:themeColor="text1"/>
        </w:rPr>
        <w:t xml:space="preserve">and </w:t>
      </w:r>
      <w:r w:rsidRPr="000C4B7C">
        <w:rPr>
          <w:rFonts w:ascii="Book Antiqua" w:eastAsia="AGaramondPro-Regular" w:hAnsi="Book Antiqua"/>
          <w:color w:val="000000" w:themeColor="text1"/>
        </w:rPr>
        <w:t>sunitinib)</w:t>
      </w:r>
      <w:r w:rsidR="0004570A" w:rsidRPr="000C4B7C">
        <w:rPr>
          <w:rFonts w:ascii="Book Antiqua" w:eastAsia="AGaramondPro-Regular" w:hAnsi="Book Antiqua"/>
          <w:color w:val="000000" w:themeColor="text1"/>
        </w:rPr>
        <w:t>.</w:t>
      </w:r>
    </w:p>
    <w:p w:rsidR="001270D2" w:rsidRPr="000C4B7C" w:rsidRDefault="00576B6B" w:rsidP="000C4B7C">
      <w:pPr>
        <w:autoSpaceDE w:val="0"/>
        <w:autoSpaceDN w:val="0"/>
        <w:adjustRightInd w:val="0"/>
        <w:snapToGrid w:val="0"/>
        <w:spacing w:line="360" w:lineRule="auto"/>
        <w:ind w:firstLineChars="100" w:firstLine="240"/>
        <w:jc w:val="both"/>
        <w:rPr>
          <w:rFonts w:ascii="Book Antiqua" w:hAnsi="Book Antiqua"/>
          <w:bCs/>
          <w:color w:val="000000" w:themeColor="text1"/>
        </w:rPr>
      </w:pPr>
      <w:r w:rsidRPr="000C4B7C">
        <w:rPr>
          <w:rFonts w:ascii="Book Antiqua" w:eastAsia="AGaramondPro-Regular" w:hAnsi="Book Antiqua"/>
          <w:color w:val="000000" w:themeColor="text1"/>
        </w:rPr>
        <w:t xml:space="preserve">Another critical regulating factor in RCC is mammalian target of rapamycin (mTOR), </w:t>
      </w:r>
      <w:r w:rsidR="00E43C36" w:rsidRPr="000C4B7C">
        <w:rPr>
          <w:rFonts w:ascii="Book Antiqua" w:hAnsi="Book Antiqua"/>
          <w:color w:val="000000" w:themeColor="text1"/>
        </w:rPr>
        <w:t>a serine/threonine kinase</w:t>
      </w:r>
      <w:r w:rsidR="00E43C36" w:rsidRPr="000C4B7C">
        <w:rPr>
          <w:rFonts w:ascii="Book Antiqua" w:eastAsia="AGaramondPro-Regular" w:hAnsi="Book Antiqua"/>
          <w:color w:val="000000" w:themeColor="text1"/>
        </w:rPr>
        <w:t xml:space="preserve">, </w:t>
      </w:r>
      <w:r w:rsidR="00E43C36" w:rsidRPr="000C4B7C">
        <w:rPr>
          <w:rFonts w:ascii="Book Antiqua" w:hAnsi="Book Antiqua"/>
          <w:color w:val="000000" w:themeColor="text1"/>
        </w:rPr>
        <w:t xml:space="preserve">an important component of the phosphoinositide 3-kinase/AKT signaling pathway, which is often dysregulated in RCC. Hyperactivity of mTOR signaling promotes cell growth and proliferation leading to </w:t>
      </w:r>
      <w:r w:rsidR="00E43C36" w:rsidRPr="000C4B7C">
        <w:rPr>
          <w:rFonts w:ascii="Book Antiqua" w:eastAsia="AGaramondPro-Regular" w:hAnsi="Book Antiqua"/>
          <w:color w:val="000000" w:themeColor="text1"/>
        </w:rPr>
        <w:t>growth and invasiveness of tumor cells</w:t>
      </w:r>
      <w:r w:rsidR="00E43C36" w:rsidRPr="000C4B7C">
        <w:rPr>
          <w:rFonts w:ascii="Book Antiqua" w:hAnsi="Book Antiqua"/>
          <w:color w:val="000000" w:themeColor="text1"/>
        </w:rPr>
        <w:t xml:space="preserve">. </w:t>
      </w:r>
      <w:r w:rsidR="004B2729" w:rsidRPr="000C4B7C">
        <w:rPr>
          <w:rFonts w:ascii="Book Antiqua" w:hAnsi="Book Antiqua"/>
          <w:color w:val="000000" w:themeColor="text1"/>
        </w:rPr>
        <w:t>The</w:t>
      </w:r>
      <w:r w:rsidR="00C50178" w:rsidRPr="000C4B7C">
        <w:rPr>
          <w:rFonts w:ascii="Book Antiqua" w:hAnsi="Book Antiqua"/>
          <w:color w:val="000000" w:themeColor="text1"/>
        </w:rPr>
        <w:t xml:space="preserve"> mTOR component 1 (</w:t>
      </w:r>
      <w:r w:rsidR="00E43C36" w:rsidRPr="000C4B7C">
        <w:rPr>
          <w:rFonts w:ascii="Book Antiqua" w:hAnsi="Book Antiqua"/>
          <w:color w:val="000000" w:themeColor="text1"/>
        </w:rPr>
        <w:t>mTORC1) increases cellular levels of HIF-</w:t>
      </w:r>
      <w:r w:rsidR="00D259BE" w:rsidRPr="000C4B7C">
        <w:rPr>
          <w:rFonts w:ascii="Book Antiqua" w:hAnsi="Book Antiqua"/>
          <w:color w:val="000000" w:themeColor="text1"/>
        </w:rPr>
        <w:t>α</w:t>
      </w:r>
      <w:r w:rsidR="00E43C36" w:rsidRPr="000C4B7C">
        <w:rPr>
          <w:rFonts w:ascii="Book Antiqua" w:hAnsi="Book Antiqua"/>
          <w:color w:val="000000" w:themeColor="text1"/>
        </w:rPr>
        <w:t xml:space="preserve"> and TNF-</w:t>
      </w:r>
      <w:r w:rsidR="00D259BE" w:rsidRPr="000C4B7C">
        <w:rPr>
          <w:rFonts w:ascii="Book Antiqua" w:hAnsi="Book Antiqua"/>
          <w:color w:val="000000" w:themeColor="text1"/>
        </w:rPr>
        <w:t>α</w:t>
      </w:r>
      <w:r w:rsidR="00283AB6" w:rsidRPr="000C4B7C">
        <w:rPr>
          <w:rFonts w:ascii="Book Antiqua" w:hAnsi="Book Antiqua"/>
          <w:color w:val="000000" w:themeColor="text1"/>
        </w:rPr>
        <w:t>,</w:t>
      </w:r>
      <w:r w:rsidR="00E43C36" w:rsidRPr="000C4B7C">
        <w:rPr>
          <w:rFonts w:ascii="Book Antiqua" w:hAnsi="Book Antiqua"/>
          <w:color w:val="000000" w:themeColor="text1"/>
        </w:rPr>
        <w:t xml:space="preserve"> which in turn can cause overproduction of VEGF, PDGF-</w:t>
      </w:r>
      <w:r w:rsidR="00D259BE" w:rsidRPr="000C4B7C">
        <w:rPr>
          <w:rFonts w:ascii="Book Antiqua" w:hAnsi="Book Antiqua"/>
          <w:color w:val="000000" w:themeColor="text1"/>
        </w:rPr>
        <w:t>α</w:t>
      </w:r>
      <w:r w:rsidR="00E43C36" w:rsidRPr="000C4B7C">
        <w:rPr>
          <w:rFonts w:ascii="Book Antiqua" w:hAnsi="Book Antiqua"/>
          <w:color w:val="000000" w:themeColor="text1"/>
        </w:rPr>
        <w:t xml:space="preserve"> and TNF-</w:t>
      </w:r>
      <w:r w:rsidR="00D259BE" w:rsidRPr="000C4B7C">
        <w:rPr>
          <w:rFonts w:ascii="Book Antiqua" w:hAnsi="Book Antiqua"/>
          <w:color w:val="000000" w:themeColor="text1"/>
        </w:rPr>
        <w:t>α</w:t>
      </w:r>
      <w:r w:rsidR="00C63B07" w:rsidRPr="000C4B7C">
        <w:rPr>
          <w:rFonts w:ascii="Book Antiqua" w:hAnsi="Book Antiqua"/>
          <w:color w:val="000000" w:themeColor="text1"/>
        </w:rPr>
        <w:t xml:space="preserve"> </w:t>
      </w:r>
      <w:r w:rsidR="00E43C36" w:rsidRPr="000C4B7C">
        <w:rPr>
          <w:rFonts w:ascii="Book Antiqua" w:hAnsi="Book Antiqua"/>
          <w:color w:val="000000" w:themeColor="text1"/>
        </w:rPr>
        <w:t>in tumor cells resulting in</w:t>
      </w:r>
      <w:r w:rsidR="004B2729" w:rsidRPr="000C4B7C">
        <w:rPr>
          <w:rFonts w:ascii="Book Antiqua" w:hAnsi="Book Antiqua"/>
          <w:color w:val="000000" w:themeColor="text1"/>
        </w:rPr>
        <w:t xml:space="preserve"> further increase in mTOR signaling</w:t>
      </w:r>
      <w:r w:rsidR="00E43C36" w:rsidRPr="000C4B7C">
        <w:rPr>
          <w:rFonts w:ascii="Book Antiqua" w:hAnsi="Book Antiqua"/>
          <w:color w:val="000000" w:themeColor="text1"/>
        </w:rPr>
        <w:t>.</w:t>
      </w:r>
      <w:r w:rsidR="001A613A" w:rsidRPr="000C4B7C">
        <w:rPr>
          <w:rFonts w:ascii="Book Antiqua" w:hAnsi="Book Antiqua"/>
          <w:color w:val="000000" w:themeColor="text1"/>
        </w:rPr>
        <w:t xml:space="preserve"> </w:t>
      </w:r>
      <w:r w:rsidR="00E43C36" w:rsidRPr="000C4B7C">
        <w:rPr>
          <w:rFonts w:ascii="Book Antiqua" w:eastAsia="AGaramondPro-Regular" w:hAnsi="Book Antiqua"/>
          <w:color w:val="000000" w:themeColor="text1"/>
        </w:rPr>
        <w:t xml:space="preserve">Inhibition of mTOR would result in decreased cell growth, proliferation, cellular metabolism and </w:t>
      </w:r>
      <w:proofErr w:type="gramStart"/>
      <w:r w:rsidR="00E43C36" w:rsidRPr="000C4B7C">
        <w:rPr>
          <w:rFonts w:ascii="Book Antiqua" w:eastAsia="AGaramondPro-Regular" w:hAnsi="Book Antiqua"/>
          <w:color w:val="000000" w:themeColor="text1"/>
        </w:rPr>
        <w:t>angiogenesis</w:t>
      </w:r>
      <w:r w:rsidR="00A470C8" w:rsidRPr="000C4B7C">
        <w:rPr>
          <w:rFonts w:ascii="Book Antiqua" w:eastAsia="AGaramondPro-Regular" w:hAnsi="Book Antiqua"/>
          <w:noProof/>
          <w:color w:val="000000" w:themeColor="text1"/>
          <w:vertAlign w:val="superscript"/>
        </w:rPr>
        <w:t>[</w:t>
      </w:r>
      <w:proofErr w:type="gramEnd"/>
      <w:r w:rsidR="00A470C8" w:rsidRPr="000C4B7C">
        <w:rPr>
          <w:rFonts w:ascii="Book Antiqua" w:eastAsia="AGaramondPro-Regular" w:hAnsi="Book Antiqua"/>
          <w:noProof/>
          <w:color w:val="000000" w:themeColor="text1"/>
          <w:vertAlign w:val="superscript"/>
        </w:rPr>
        <w:t>23-25]</w:t>
      </w:r>
      <w:r w:rsidR="00A50CAE" w:rsidRPr="000C4B7C">
        <w:rPr>
          <w:rFonts w:ascii="Book Antiqua" w:eastAsia="AGaramondPro-Regular" w:hAnsi="Book Antiqua"/>
          <w:color w:val="000000" w:themeColor="text1"/>
        </w:rPr>
        <w:t xml:space="preserve">. </w:t>
      </w:r>
      <w:r w:rsidR="00C9620C" w:rsidRPr="000C4B7C">
        <w:rPr>
          <w:rFonts w:ascii="Book Antiqua" w:hAnsi="Book Antiqua"/>
          <w:color w:val="000000" w:themeColor="text1"/>
        </w:rPr>
        <w:t>FDA approved mTOR inhibitors</w:t>
      </w:r>
      <w:r w:rsidR="008407BE" w:rsidRPr="000C4B7C">
        <w:rPr>
          <w:rFonts w:ascii="Book Antiqua" w:hAnsi="Book Antiqua"/>
          <w:color w:val="000000" w:themeColor="text1"/>
        </w:rPr>
        <w:t xml:space="preserve"> for treatment of RCC</w:t>
      </w:r>
      <w:r w:rsidR="001A613A" w:rsidRPr="000C4B7C">
        <w:rPr>
          <w:rFonts w:ascii="Book Antiqua" w:hAnsi="Book Antiqua"/>
          <w:color w:val="000000" w:themeColor="text1"/>
        </w:rPr>
        <w:t xml:space="preserve"> </w:t>
      </w:r>
      <w:r w:rsidR="00FD20D2" w:rsidRPr="000C4B7C">
        <w:rPr>
          <w:rFonts w:ascii="Book Antiqua" w:hAnsi="Book Antiqua"/>
          <w:color w:val="000000" w:themeColor="text1"/>
        </w:rPr>
        <w:t>are</w:t>
      </w:r>
      <w:r w:rsidR="001A613A" w:rsidRPr="000C4B7C">
        <w:rPr>
          <w:rFonts w:ascii="Book Antiqua" w:hAnsi="Book Antiqua"/>
          <w:color w:val="000000" w:themeColor="text1"/>
        </w:rPr>
        <w:t xml:space="preserve"> </w:t>
      </w:r>
      <w:r w:rsidR="00C9620C" w:rsidRPr="000C4B7C">
        <w:rPr>
          <w:rFonts w:ascii="Book Antiqua" w:hAnsi="Book Antiqua"/>
          <w:color w:val="000000" w:themeColor="text1"/>
        </w:rPr>
        <w:t>everolimus and temsirolimus.</w:t>
      </w:r>
    </w:p>
    <w:p w:rsidR="001270D2" w:rsidRPr="000C4B7C" w:rsidRDefault="001270D2" w:rsidP="000C4B7C">
      <w:pPr>
        <w:autoSpaceDE w:val="0"/>
        <w:autoSpaceDN w:val="0"/>
        <w:adjustRightInd w:val="0"/>
        <w:snapToGrid w:val="0"/>
        <w:spacing w:line="360" w:lineRule="auto"/>
        <w:jc w:val="both"/>
        <w:rPr>
          <w:rFonts w:ascii="Book Antiqua" w:eastAsia="AGaramondPro-Regular" w:hAnsi="Book Antiqua"/>
          <w:color w:val="000000" w:themeColor="text1"/>
        </w:rPr>
      </w:pPr>
    </w:p>
    <w:p w:rsidR="004D1634" w:rsidRPr="000C4B7C" w:rsidRDefault="00784627" w:rsidP="000C4B7C">
      <w:pPr>
        <w:autoSpaceDE w:val="0"/>
        <w:autoSpaceDN w:val="0"/>
        <w:adjustRightInd w:val="0"/>
        <w:snapToGrid w:val="0"/>
        <w:spacing w:line="360" w:lineRule="auto"/>
        <w:jc w:val="both"/>
        <w:rPr>
          <w:rFonts w:ascii="Book Antiqua" w:hAnsi="Book Antiqua"/>
          <w:b/>
          <w:i/>
          <w:color w:val="000000" w:themeColor="text1"/>
          <w:lang w:eastAsia="zh-CN"/>
        </w:rPr>
      </w:pPr>
      <w:r w:rsidRPr="000C4B7C">
        <w:rPr>
          <w:rFonts w:ascii="Book Antiqua" w:eastAsia="AGaramondPro-Regular" w:hAnsi="Book Antiqua"/>
          <w:b/>
          <w:i/>
          <w:color w:val="000000" w:themeColor="text1"/>
        </w:rPr>
        <w:t xml:space="preserve">Immune </w:t>
      </w:r>
      <w:r w:rsidR="009973FB" w:rsidRPr="000C4B7C">
        <w:rPr>
          <w:rFonts w:ascii="Book Antiqua" w:eastAsia="AGaramondPro-Regular" w:hAnsi="Book Antiqua"/>
          <w:b/>
          <w:i/>
          <w:color w:val="000000" w:themeColor="text1"/>
        </w:rPr>
        <w:t>checkpoint inhibitors</w:t>
      </w:r>
    </w:p>
    <w:p w:rsidR="00602E86" w:rsidRPr="000C4B7C" w:rsidRDefault="005A7ED7" w:rsidP="000C4B7C">
      <w:pPr>
        <w:autoSpaceDE w:val="0"/>
        <w:autoSpaceDN w:val="0"/>
        <w:adjustRightInd w:val="0"/>
        <w:snapToGrid w:val="0"/>
        <w:spacing w:line="360" w:lineRule="auto"/>
        <w:jc w:val="both"/>
        <w:rPr>
          <w:rFonts w:ascii="Book Antiqua" w:hAnsi="Book Antiqua"/>
          <w:color w:val="000000" w:themeColor="text1"/>
          <w:shd w:val="clear" w:color="auto" w:fill="FFFFFF"/>
        </w:rPr>
      </w:pPr>
      <w:r w:rsidRPr="000C4B7C">
        <w:rPr>
          <w:rFonts w:ascii="Book Antiqua" w:hAnsi="Book Antiqua"/>
          <w:color w:val="000000" w:themeColor="text1"/>
        </w:rPr>
        <w:lastRenderedPageBreak/>
        <w:t xml:space="preserve">While </w:t>
      </w:r>
      <w:r w:rsidR="002214BA" w:rsidRPr="000C4B7C">
        <w:rPr>
          <w:rFonts w:ascii="Book Antiqua" w:hAnsi="Book Antiqua"/>
          <w:color w:val="000000" w:themeColor="text1"/>
        </w:rPr>
        <w:t>targeted therapies</w:t>
      </w:r>
      <w:r w:rsidRPr="000C4B7C">
        <w:rPr>
          <w:rFonts w:ascii="Book Antiqua" w:hAnsi="Book Antiqua"/>
          <w:color w:val="000000" w:themeColor="text1"/>
        </w:rPr>
        <w:t xml:space="preserve"> have </w:t>
      </w:r>
      <w:r w:rsidR="00E956D8" w:rsidRPr="000C4B7C">
        <w:rPr>
          <w:rFonts w:ascii="Book Antiqua" w:hAnsi="Book Antiqua"/>
          <w:color w:val="000000" w:themeColor="text1"/>
        </w:rPr>
        <w:t>ch</w:t>
      </w:r>
      <w:r w:rsidRPr="000C4B7C">
        <w:rPr>
          <w:rFonts w:ascii="Book Antiqua" w:hAnsi="Book Antiqua"/>
          <w:color w:val="000000" w:themeColor="text1"/>
        </w:rPr>
        <w:t xml:space="preserve">anged the course of RCC </w:t>
      </w:r>
      <w:r w:rsidR="004729DC" w:rsidRPr="000C4B7C">
        <w:rPr>
          <w:rFonts w:ascii="Book Antiqua" w:hAnsi="Book Antiqua"/>
          <w:color w:val="000000" w:themeColor="text1"/>
        </w:rPr>
        <w:t>by improving</w:t>
      </w:r>
      <w:r w:rsidR="001A613A" w:rsidRPr="000C4B7C">
        <w:rPr>
          <w:rFonts w:ascii="Book Antiqua" w:hAnsi="Book Antiqua"/>
          <w:color w:val="000000" w:themeColor="text1"/>
        </w:rPr>
        <w:t xml:space="preserve"> </w:t>
      </w:r>
      <w:r w:rsidRPr="000C4B7C">
        <w:rPr>
          <w:rFonts w:ascii="Book Antiqua" w:hAnsi="Book Antiqua"/>
          <w:color w:val="000000" w:themeColor="text1"/>
        </w:rPr>
        <w:t xml:space="preserve">outcomes, </w:t>
      </w:r>
      <w:r w:rsidR="00FD20D2" w:rsidRPr="000C4B7C">
        <w:rPr>
          <w:rFonts w:ascii="Book Antiqua" w:hAnsi="Book Antiqua"/>
          <w:color w:val="000000" w:themeColor="text1"/>
        </w:rPr>
        <w:t xml:space="preserve">the duration of response is limited by the </w:t>
      </w:r>
      <w:r w:rsidR="000E1F23" w:rsidRPr="000C4B7C">
        <w:rPr>
          <w:rFonts w:ascii="Book Antiqua" w:hAnsi="Book Antiqua"/>
          <w:color w:val="000000" w:themeColor="text1"/>
        </w:rPr>
        <w:t>development</w:t>
      </w:r>
      <w:r w:rsidRPr="000C4B7C">
        <w:rPr>
          <w:rFonts w:ascii="Book Antiqua" w:hAnsi="Book Antiqua"/>
          <w:color w:val="000000" w:themeColor="text1"/>
        </w:rPr>
        <w:t xml:space="preserve"> of drug resistance</w:t>
      </w:r>
      <w:r w:rsidR="00A13D08" w:rsidRPr="000C4B7C">
        <w:rPr>
          <w:rFonts w:ascii="Book Antiqua" w:hAnsi="Book Antiqua"/>
          <w:color w:val="000000" w:themeColor="text1"/>
        </w:rPr>
        <w:t xml:space="preserve"> and complete responses are </w:t>
      </w:r>
      <w:proofErr w:type="gramStart"/>
      <w:r w:rsidR="00A13D08" w:rsidRPr="000C4B7C">
        <w:rPr>
          <w:rFonts w:ascii="Book Antiqua" w:hAnsi="Book Antiqua"/>
          <w:color w:val="000000" w:themeColor="text1"/>
        </w:rPr>
        <w:t>rare</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26]</w:t>
      </w:r>
      <w:r w:rsidR="00A50CAE" w:rsidRPr="000C4B7C">
        <w:rPr>
          <w:rFonts w:ascii="Book Antiqua" w:hAnsi="Book Antiqua"/>
          <w:color w:val="000000" w:themeColor="text1"/>
        </w:rPr>
        <w:t xml:space="preserve">. </w:t>
      </w:r>
      <w:r w:rsidR="00537B00" w:rsidRPr="000C4B7C">
        <w:rPr>
          <w:rFonts w:ascii="Book Antiqua" w:eastAsia="HelveticaNeueLTStd-Cn" w:hAnsi="Book Antiqua"/>
          <w:color w:val="000000" w:themeColor="text1"/>
        </w:rPr>
        <w:t xml:space="preserve">This </w:t>
      </w:r>
      <w:r w:rsidR="000E1F23" w:rsidRPr="000C4B7C">
        <w:rPr>
          <w:rFonts w:ascii="Book Antiqua" w:eastAsia="HelveticaNeueLTStd-Cn" w:hAnsi="Book Antiqua"/>
          <w:color w:val="000000" w:themeColor="text1"/>
        </w:rPr>
        <w:t xml:space="preserve">spurred a search for novel therapeutic strategies—specifically </w:t>
      </w:r>
      <w:r w:rsidR="00607F23" w:rsidRPr="000C4B7C">
        <w:rPr>
          <w:rFonts w:ascii="Book Antiqua" w:eastAsia="HelveticaNeueLTStd-Cn" w:hAnsi="Book Antiqua"/>
          <w:color w:val="000000" w:themeColor="text1"/>
        </w:rPr>
        <w:t xml:space="preserve">in </w:t>
      </w:r>
      <w:r w:rsidR="004729DC" w:rsidRPr="000C4B7C">
        <w:rPr>
          <w:rFonts w:ascii="Book Antiqua" w:eastAsia="HelveticaNeueLTStd-Cn" w:hAnsi="Book Antiqua"/>
          <w:color w:val="000000" w:themeColor="text1"/>
        </w:rPr>
        <w:t>the realm of</w:t>
      </w:r>
      <w:r w:rsidR="001A613A" w:rsidRPr="000C4B7C">
        <w:rPr>
          <w:rFonts w:ascii="Book Antiqua" w:eastAsia="HelveticaNeueLTStd-Cn" w:hAnsi="Book Antiqua"/>
          <w:color w:val="000000" w:themeColor="text1"/>
        </w:rPr>
        <w:t xml:space="preserve"> </w:t>
      </w:r>
      <w:r w:rsidR="002214BA" w:rsidRPr="000C4B7C">
        <w:rPr>
          <w:rFonts w:ascii="Book Antiqua" w:eastAsia="HelveticaNeueLTStd-Cn" w:hAnsi="Book Antiqua"/>
          <w:color w:val="000000" w:themeColor="text1"/>
        </w:rPr>
        <w:t>immun</w:t>
      </w:r>
      <w:r w:rsidR="004855E4" w:rsidRPr="000C4B7C">
        <w:rPr>
          <w:rFonts w:ascii="Book Antiqua" w:eastAsia="HelveticaNeueLTStd-Cn" w:hAnsi="Book Antiqua"/>
          <w:color w:val="000000" w:themeColor="text1"/>
        </w:rPr>
        <w:t>o</w:t>
      </w:r>
      <w:r w:rsidR="002214BA" w:rsidRPr="000C4B7C">
        <w:rPr>
          <w:rFonts w:ascii="Book Antiqua" w:eastAsia="HelveticaNeueLTStd-Cn" w:hAnsi="Book Antiqua"/>
          <w:color w:val="000000" w:themeColor="text1"/>
        </w:rPr>
        <w:t>-o</w:t>
      </w:r>
      <w:r w:rsidR="000E1F23" w:rsidRPr="000C4B7C">
        <w:rPr>
          <w:rFonts w:ascii="Book Antiqua" w:eastAsia="HelveticaNeueLTStd-Cn" w:hAnsi="Book Antiqua"/>
          <w:color w:val="000000" w:themeColor="text1"/>
        </w:rPr>
        <w:t>ncolog</w:t>
      </w:r>
      <w:r w:rsidR="004729DC" w:rsidRPr="000C4B7C">
        <w:rPr>
          <w:rFonts w:ascii="Book Antiqua" w:eastAsia="HelveticaNeueLTStd-Cn" w:hAnsi="Book Antiqua"/>
          <w:color w:val="000000" w:themeColor="text1"/>
        </w:rPr>
        <w:t>y</w:t>
      </w:r>
      <w:r w:rsidR="000E1F23" w:rsidRPr="000C4B7C">
        <w:rPr>
          <w:rFonts w:ascii="Book Antiqua" w:eastAsia="HelveticaNeueLTStd-Cn" w:hAnsi="Book Antiqua"/>
          <w:color w:val="000000" w:themeColor="text1"/>
        </w:rPr>
        <w:t>.</w:t>
      </w:r>
      <w:r w:rsidR="004D0EC5" w:rsidRPr="000C4B7C">
        <w:rPr>
          <w:rFonts w:ascii="Book Antiqua" w:hAnsi="Book Antiqua"/>
          <w:color w:val="000000" w:themeColor="text1"/>
        </w:rPr>
        <w:t xml:space="preserve"> T</w:t>
      </w:r>
      <w:r w:rsidR="00E956D8" w:rsidRPr="000C4B7C">
        <w:rPr>
          <w:rFonts w:ascii="Book Antiqua" w:hAnsi="Book Antiqua"/>
          <w:color w:val="000000" w:themeColor="text1"/>
        </w:rPr>
        <w:t xml:space="preserve">he </w:t>
      </w:r>
      <w:r w:rsidR="00C634E6" w:rsidRPr="000C4B7C">
        <w:rPr>
          <w:rFonts w:ascii="Book Antiqua" w:hAnsi="Book Antiqua"/>
          <w:color w:val="000000" w:themeColor="text1"/>
        </w:rPr>
        <w:t xml:space="preserve">ICIs </w:t>
      </w:r>
      <w:r w:rsidR="004D0EC5" w:rsidRPr="000C4B7C">
        <w:rPr>
          <w:rFonts w:ascii="Book Antiqua" w:hAnsi="Book Antiqua"/>
          <w:color w:val="000000" w:themeColor="text1"/>
        </w:rPr>
        <w:t>are the latest class of immunotherapy</w:t>
      </w:r>
      <w:r w:rsidR="00C634E6" w:rsidRPr="000C4B7C">
        <w:rPr>
          <w:rFonts w:ascii="Book Antiqua" w:hAnsi="Book Antiqua"/>
          <w:color w:val="000000" w:themeColor="text1"/>
        </w:rPr>
        <w:t xml:space="preserve"> (IO)</w:t>
      </w:r>
      <w:r w:rsidR="004D0EC5" w:rsidRPr="000C4B7C">
        <w:rPr>
          <w:rFonts w:ascii="Book Antiqua" w:hAnsi="Book Antiqua"/>
          <w:color w:val="000000" w:themeColor="text1"/>
        </w:rPr>
        <w:t xml:space="preserve"> under development</w:t>
      </w:r>
      <w:r w:rsidR="00E956D8" w:rsidRPr="000C4B7C">
        <w:rPr>
          <w:rFonts w:ascii="Book Antiqua" w:hAnsi="Book Antiqua"/>
          <w:color w:val="000000" w:themeColor="text1"/>
        </w:rPr>
        <w:t xml:space="preserve">. </w:t>
      </w:r>
      <w:r w:rsidR="004D0EC5" w:rsidRPr="000C4B7C">
        <w:rPr>
          <w:rFonts w:ascii="Book Antiqua" w:hAnsi="Book Antiqua"/>
          <w:color w:val="000000" w:themeColor="text1"/>
        </w:rPr>
        <w:t>These include p</w:t>
      </w:r>
      <w:r w:rsidR="00E956D8" w:rsidRPr="000C4B7C">
        <w:rPr>
          <w:rFonts w:ascii="Book Antiqua" w:hAnsi="Book Antiqua"/>
          <w:color w:val="000000" w:themeColor="text1"/>
        </w:rPr>
        <w:t>rogrammed death receptor 1/programmed death receptor ligand 1 (PD-1/PD-L1) and cytotoxic T lymphocytes antigen 4 (CTLA-4) inhibitors</w:t>
      </w:r>
      <w:r w:rsidR="004D0EC5" w:rsidRPr="000C4B7C">
        <w:rPr>
          <w:rFonts w:ascii="Book Antiqua" w:hAnsi="Book Antiqua"/>
          <w:color w:val="000000" w:themeColor="text1"/>
        </w:rPr>
        <w:t>.</w:t>
      </w:r>
      <w:r w:rsidR="009A1C2E">
        <w:rPr>
          <w:rFonts w:ascii="Book Antiqua" w:hAnsi="Book Antiqua"/>
          <w:color w:val="000000" w:themeColor="text1"/>
        </w:rPr>
        <w:t xml:space="preserve"> </w:t>
      </w:r>
      <w:r w:rsidR="007740B0" w:rsidRPr="000C4B7C">
        <w:rPr>
          <w:rFonts w:ascii="Book Antiqua" w:hAnsi="Book Antiqua"/>
          <w:color w:val="000000" w:themeColor="text1"/>
          <w:shd w:val="clear" w:color="auto" w:fill="FFFFFF"/>
        </w:rPr>
        <w:t xml:space="preserve">PD-1 is a transmembrane protein </w:t>
      </w:r>
      <w:r w:rsidR="004729DC" w:rsidRPr="000C4B7C">
        <w:rPr>
          <w:rFonts w:ascii="Book Antiqua" w:hAnsi="Book Antiqua"/>
          <w:color w:val="000000" w:themeColor="text1"/>
          <w:shd w:val="clear" w:color="auto" w:fill="FFFFFF"/>
        </w:rPr>
        <w:t>present</w:t>
      </w:r>
      <w:r w:rsidR="007740B0" w:rsidRPr="000C4B7C">
        <w:rPr>
          <w:rFonts w:ascii="Book Antiqua" w:hAnsi="Book Antiqua"/>
          <w:color w:val="000000" w:themeColor="text1"/>
          <w:shd w:val="clear" w:color="auto" w:fill="FFFFFF"/>
        </w:rPr>
        <w:t xml:space="preserve"> on activated effector T cells and has </w:t>
      </w:r>
      <w:r w:rsidR="004729DC" w:rsidRPr="000C4B7C">
        <w:rPr>
          <w:rFonts w:ascii="Book Antiqua" w:hAnsi="Book Antiqua"/>
          <w:color w:val="000000" w:themeColor="text1"/>
          <w:shd w:val="clear" w:color="auto" w:fill="FFFFFF"/>
        </w:rPr>
        <w:t>two</w:t>
      </w:r>
      <w:r w:rsidR="007740B0" w:rsidRPr="000C4B7C">
        <w:rPr>
          <w:rFonts w:ascii="Book Antiqua" w:hAnsi="Book Antiqua"/>
          <w:color w:val="000000" w:themeColor="text1"/>
          <w:shd w:val="clear" w:color="auto" w:fill="FFFFFF"/>
        </w:rPr>
        <w:t xml:space="preserve"> known ligands (PD-L1 and PD-L2) found on oth</w:t>
      </w:r>
      <w:r w:rsidR="006F62FB" w:rsidRPr="000C4B7C">
        <w:rPr>
          <w:rFonts w:ascii="Book Antiqua" w:hAnsi="Book Antiqua"/>
          <w:color w:val="000000" w:themeColor="text1"/>
          <w:shd w:val="clear" w:color="auto" w:fill="FFFFFF"/>
        </w:rPr>
        <w:t xml:space="preserve">er cells including tumor cells. </w:t>
      </w:r>
      <w:r w:rsidR="007740B0" w:rsidRPr="000C4B7C">
        <w:rPr>
          <w:rFonts w:ascii="Book Antiqua" w:hAnsi="Book Antiqua"/>
          <w:color w:val="000000" w:themeColor="text1"/>
          <w:shd w:val="clear" w:color="auto" w:fill="FFFFFF"/>
        </w:rPr>
        <w:t xml:space="preserve">When bound to its ligand, PD-1 normally acts as an "off switch" preventing an effective T-cell response. Most RCC tumor cells express PD-L1 on the cell membrane which helps them </w:t>
      </w:r>
      <w:r w:rsidR="004729DC" w:rsidRPr="000C4B7C">
        <w:rPr>
          <w:rFonts w:ascii="Book Antiqua" w:hAnsi="Book Antiqua"/>
          <w:color w:val="000000" w:themeColor="text1"/>
          <w:shd w:val="clear" w:color="auto" w:fill="FFFFFF"/>
        </w:rPr>
        <w:t>evade an</w:t>
      </w:r>
      <w:r w:rsidR="007740B0" w:rsidRPr="000C4B7C">
        <w:rPr>
          <w:rFonts w:ascii="Book Antiqua" w:hAnsi="Book Antiqua"/>
          <w:color w:val="000000" w:themeColor="text1"/>
          <w:shd w:val="clear" w:color="auto" w:fill="FFFFFF"/>
        </w:rPr>
        <w:t xml:space="preserve"> immune attack. The immune checkpoint inhibitors, by providing PD-1 inhibition or PD-L1 inhibition block this pathway, releasing the “off </w:t>
      </w:r>
      <w:r w:rsidR="00776062" w:rsidRPr="000C4B7C">
        <w:rPr>
          <w:rFonts w:ascii="Book Antiqua" w:hAnsi="Book Antiqua"/>
          <w:color w:val="000000" w:themeColor="text1"/>
          <w:shd w:val="clear" w:color="auto" w:fill="FFFFFF"/>
        </w:rPr>
        <w:t>switch</w:t>
      </w:r>
      <w:r w:rsidR="007740B0" w:rsidRPr="000C4B7C">
        <w:rPr>
          <w:rFonts w:ascii="Book Antiqua" w:hAnsi="Book Antiqua"/>
          <w:color w:val="000000" w:themeColor="text1"/>
          <w:shd w:val="clear" w:color="auto" w:fill="FFFFFF"/>
        </w:rPr>
        <w:t xml:space="preserve">” on the immune system, increasing the ability of T-cells to kill tumor </w:t>
      </w:r>
      <w:proofErr w:type="gramStart"/>
      <w:r w:rsidR="007740B0" w:rsidRPr="000C4B7C">
        <w:rPr>
          <w:rFonts w:ascii="Book Antiqua" w:hAnsi="Book Antiqua"/>
          <w:color w:val="000000" w:themeColor="text1"/>
          <w:shd w:val="clear" w:color="auto" w:fill="FFFFFF"/>
        </w:rPr>
        <w:t>cells</w:t>
      </w:r>
      <w:r w:rsidR="00944F17" w:rsidRPr="000C4B7C">
        <w:rPr>
          <w:rFonts w:ascii="Book Antiqua" w:hAnsi="Book Antiqua"/>
          <w:noProof/>
          <w:color w:val="000000" w:themeColor="text1"/>
          <w:shd w:val="clear" w:color="auto" w:fill="FFFFFF"/>
          <w:vertAlign w:val="superscript"/>
        </w:rPr>
        <w:t>[</w:t>
      </w:r>
      <w:proofErr w:type="gramEnd"/>
      <w:r w:rsidR="00944F17" w:rsidRPr="000C4B7C">
        <w:rPr>
          <w:rFonts w:ascii="Book Antiqua" w:hAnsi="Book Antiqua"/>
          <w:noProof/>
          <w:color w:val="000000" w:themeColor="text1"/>
          <w:shd w:val="clear" w:color="auto" w:fill="FFFFFF"/>
          <w:vertAlign w:val="superscript"/>
        </w:rPr>
        <w:t>27,</w:t>
      </w:r>
      <w:r w:rsidR="00A470C8" w:rsidRPr="000C4B7C">
        <w:rPr>
          <w:rFonts w:ascii="Book Antiqua" w:hAnsi="Book Antiqua"/>
          <w:noProof/>
          <w:color w:val="000000" w:themeColor="text1"/>
          <w:shd w:val="clear" w:color="auto" w:fill="FFFFFF"/>
          <w:vertAlign w:val="superscript"/>
        </w:rPr>
        <w:t>28]</w:t>
      </w:r>
      <w:r w:rsidR="00A50CAE" w:rsidRPr="000C4B7C">
        <w:rPr>
          <w:rFonts w:ascii="Book Antiqua" w:hAnsi="Book Antiqua"/>
          <w:color w:val="000000" w:themeColor="text1"/>
        </w:rPr>
        <w:t>.</w:t>
      </w:r>
      <w:r w:rsidR="00944F17" w:rsidRPr="000C4B7C">
        <w:rPr>
          <w:rFonts w:ascii="Book Antiqua" w:hAnsi="Book Antiqua"/>
          <w:color w:val="000000" w:themeColor="text1"/>
          <w:lang w:eastAsia="zh-CN"/>
        </w:rPr>
        <w:t xml:space="preserve"> </w:t>
      </w:r>
      <w:r w:rsidR="00C1187E" w:rsidRPr="000C4B7C">
        <w:rPr>
          <w:rFonts w:ascii="Book Antiqua" w:hAnsi="Book Antiqua"/>
          <w:color w:val="000000" w:themeColor="text1"/>
        </w:rPr>
        <w:t xml:space="preserve">CTLA-4 </w:t>
      </w:r>
      <w:r w:rsidR="00A523EA" w:rsidRPr="000C4B7C">
        <w:rPr>
          <w:rFonts w:ascii="Book Antiqua" w:hAnsi="Book Antiqua"/>
          <w:color w:val="000000" w:themeColor="text1"/>
        </w:rPr>
        <w:t xml:space="preserve">inhibition </w:t>
      </w:r>
      <w:r w:rsidR="00C1187E" w:rsidRPr="000C4B7C">
        <w:rPr>
          <w:rFonts w:ascii="Book Antiqua" w:hAnsi="Book Antiqua"/>
          <w:color w:val="000000" w:themeColor="text1"/>
        </w:rPr>
        <w:t>stops autoreactive T cells during the immune priming phase, thereby</w:t>
      </w:r>
      <w:r w:rsidR="009E7E00" w:rsidRPr="000C4B7C">
        <w:rPr>
          <w:rFonts w:ascii="Book Antiqua" w:hAnsi="Book Antiqua"/>
          <w:color w:val="000000" w:themeColor="text1"/>
        </w:rPr>
        <w:t xml:space="preserve"> </w:t>
      </w:r>
      <w:r w:rsidR="00C1187E" w:rsidRPr="000C4B7C">
        <w:rPr>
          <w:rFonts w:ascii="Book Antiqua" w:hAnsi="Book Antiqua"/>
          <w:color w:val="000000" w:themeColor="text1"/>
        </w:rPr>
        <w:t xml:space="preserve">supporting the activation and proliferation of effector T </w:t>
      </w:r>
      <w:proofErr w:type="gramStart"/>
      <w:r w:rsidR="00C1187E" w:rsidRPr="000C4B7C">
        <w:rPr>
          <w:rFonts w:ascii="Book Antiqua" w:hAnsi="Book Antiqua"/>
          <w:color w:val="000000" w:themeColor="text1"/>
        </w:rPr>
        <w:t>cells</w:t>
      </w:r>
      <w:r w:rsidR="00A470C8" w:rsidRPr="000C4B7C">
        <w:rPr>
          <w:rFonts w:ascii="Book Antiqua" w:hAnsi="Book Antiqua"/>
          <w:noProof/>
          <w:color w:val="000000" w:themeColor="text1"/>
          <w:shd w:val="clear" w:color="auto" w:fill="FFFFFF"/>
          <w:vertAlign w:val="superscript"/>
        </w:rPr>
        <w:t>[</w:t>
      </w:r>
      <w:proofErr w:type="gramEnd"/>
      <w:r w:rsidR="00A470C8" w:rsidRPr="000C4B7C">
        <w:rPr>
          <w:rFonts w:ascii="Book Antiqua" w:hAnsi="Book Antiqua"/>
          <w:noProof/>
          <w:color w:val="000000" w:themeColor="text1"/>
          <w:shd w:val="clear" w:color="auto" w:fill="FFFFFF"/>
          <w:vertAlign w:val="superscript"/>
        </w:rPr>
        <w:t>29]</w:t>
      </w:r>
      <w:r w:rsidR="00944F17" w:rsidRPr="000C4B7C">
        <w:rPr>
          <w:rFonts w:ascii="Book Antiqua" w:hAnsi="Book Antiqua"/>
          <w:color w:val="000000" w:themeColor="text1"/>
          <w:shd w:val="clear" w:color="auto" w:fill="FFFFFF"/>
        </w:rPr>
        <w:t>.</w:t>
      </w:r>
      <w:r w:rsidR="00944F17" w:rsidRPr="000C4B7C">
        <w:rPr>
          <w:rFonts w:ascii="Book Antiqua" w:hAnsi="Book Antiqua"/>
          <w:color w:val="000000" w:themeColor="text1"/>
          <w:shd w:val="clear" w:color="auto" w:fill="FFFFFF"/>
          <w:lang w:eastAsia="zh-CN"/>
        </w:rPr>
        <w:t xml:space="preserve"> </w:t>
      </w:r>
      <w:r w:rsidR="00BD6E55" w:rsidRPr="000C4B7C">
        <w:rPr>
          <w:rFonts w:ascii="Book Antiqua" w:hAnsi="Book Antiqua"/>
          <w:color w:val="000000" w:themeColor="text1"/>
        </w:rPr>
        <w:t xml:space="preserve">FDA has approved two </w:t>
      </w:r>
      <w:r w:rsidR="002323D9" w:rsidRPr="000C4B7C">
        <w:rPr>
          <w:rFonts w:ascii="Book Antiqua" w:hAnsi="Book Antiqua"/>
          <w:color w:val="000000" w:themeColor="text1"/>
          <w:shd w:val="clear" w:color="auto" w:fill="FFFFFF"/>
        </w:rPr>
        <w:t>PD-1 inhibitors</w:t>
      </w:r>
      <w:r w:rsidR="009E7E00" w:rsidRPr="000C4B7C">
        <w:rPr>
          <w:rFonts w:ascii="Book Antiqua" w:hAnsi="Book Antiqua"/>
          <w:color w:val="000000" w:themeColor="text1"/>
          <w:shd w:val="clear" w:color="auto" w:fill="FFFFFF"/>
        </w:rPr>
        <w:t xml:space="preserve"> </w:t>
      </w:r>
      <w:r w:rsidR="00BD6E55" w:rsidRPr="000C4B7C">
        <w:rPr>
          <w:rFonts w:ascii="Book Antiqua" w:hAnsi="Book Antiqua"/>
          <w:color w:val="000000" w:themeColor="text1"/>
          <w:shd w:val="clear" w:color="auto" w:fill="FFFFFF"/>
        </w:rPr>
        <w:t>(</w:t>
      </w:r>
      <w:r w:rsidR="002323D9" w:rsidRPr="000C4B7C">
        <w:rPr>
          <w:rFonts w:ascii="Book Antiqua" w:hAnsi="Book Antiqua"/>
          <w:color w:val="000000" w:themeColor="text1"/>
          <w:shd w:val="clear" w:color="auto" w:fill="FFFFFF"/>
        </w:rPr>
        <w:t>nivolumab and pembrolizumab</w:t>
      </w:r>
      <w:r w:rsidR="00BD6E55" w:rsidRPr="000C4B7C">
        <w:rPr>
          <w:rFonts w:ascii="Book Antiqua" w:hAnsi="Book Antiqua"/>
          <w:color w:val="000000" w:themeColor="text1"/>
          <w:shd w:val="clear" w:color="auto" w:fill="FFFFFF"/>
        </w:rPr>
        <w:t>)</w:t>
      </w:r>
      <w:r w:rsidR="002323D9" w:rsidRPr="000C4B7C">
        <w:rPr>
          <w:rFonts w:ascii="Book Antiqua" w:hAnsi="Book Antiqua"/>
          <w:color w:val="000000" w:themeColor="text1"/>
          <w:shd w:val="clear" w:color="auto" w:fill="FFFFFF"/>
        </w:rPr>
        <w:t>,</w:t>
      </w:r>
      <w:r w:rsidR="00BD6E55" w:rsidRPr="000C4B7C">
        <w:rPr>
          <w:rFonts w:ascii="Book Antiqua" w:hAnsi="Book Antiqua"/>
          <w:color w:val="000000" w:themeColor="text1"/>
          <w:shd w:val="clear" w:color="auto" w:fill="FFFFFF"/>
        </w:rPr>
        <w:t xml:space="preserve"> and one CTLA-4 inhibitor (ipilimumab) for use in RCC.</w:t>
      </w:r>
      <w:r w:rsidR="002323D9" w:rsidRPr="000C4B7C">
        <w:rPr>
          <w:rFonts w:ascii="Book Antiqua" w:hAnsi="Book Antiqua"/>
          <w:color w:val="000000" w:themeColor="text1"/>
          <w:shd w:val="clear" w:color="auto" w:fill="FFFFFF"/>
        </w:rPr>
        <w:t xml:space="preserve"> PD-L1 inhibitors</w:t>
      </w:r>
      <w:r w:rsidR="00BD6E55" w:rsidRPr="000C4B7C">
        <w:rPr>
          <w:rFonts w:ascii="Book Antiqua" w:hAnsi="Book Antiqua"/>
          <w:color w:val="000000" w:themeColor="text1"/>
          <w:shd w:val="clear" w:color="auto" w:fill="FFFFFF"/>
        </w:rPr>
        <w:t xml:space="preserve"> un</w:t>
      </w:r>
      <w:r w:rsidR="00E85A45" w:rsidRPr="000C4B7C">
        <w:rPr>
          <w:rFonts w:ascii="Book Antiqua" w:hAnsi="Book Antiqua"/>
          <w:color w:val="000000" w:themeColor="text1"/>
          <w:shd w:val="clear" w:color="auto" w:fill="FFFFFF"/>
        </w:rPr>
        <w:t xml:space="preserve">der development for </w:t>
      </w:r>
      <w:r w:rsidR="00AE0900" w:rsidRPr="000C4B7C">
        <w:rPr>
          <w:rFonts w:ascii="Book Antiqua" w:hAnsi="Book Antiqua"/>
          <w:color w:val="000000" w:themeColor="text1"/>
          <w:shd w:val="clear" w:color="auto" w:fill="FFFFFF"/>
        </w:rPr>
        <w:t xml:space="preserve">use in </w:t>
      </w:r>
      <w:r w:rsidR="00E85A45" w:rsidRPr="000C4B7C">
        <w:rPr>
          <w:rFonts w:ascii="Book Antiqua" w:hAnsi="Book Antiqua"/>
          <w:color w:val="000000" w:themeColor="text1"/>
          <w:shd w:val="clear" w:color="auto" w:fill="FFFFFF"/>
        </w:rPr>
        <w:t>RCC include</w:t>
      </w:r>
      <w:r w:rsidR="009E7E00" w:rsidRPr="000C4B7C">
        <w:rPr>
          <w:rFonts w:ascii="Book Antiqua" w:hAnsi="Book Antiqua"/>
          <w:color w:val="000000" w:themeColor="text1"/>
          <w:shd w:val="clear" w:color="auto" w:fill="FFFFFF"/>
        </w:rPr>
        <w:t xml:space="preserve"> </w:t>
      </w:r>
      <w:r w:rsidR="002323D9" w:rsidRPr="000C4B7C">
        <w:rPr>
          <w:rFonts w:ascii="Book Antiqua" w:hAnsi="Book Antiqua"/>
          <w:color w:val="000000" w:themeColor="text1"/>
          <w:shd w:val="clear" w:color="auto" w:fill="FFFFFF"/>
        </w:rPr>
        <w:t>atezolizumab, and durvalumab</w:t>
      </w:r>
      <w:r w:rsidR="00BD6E55" w:rsidRPr="000C4B7C">
        <w:rPr>
          <w:rFonts w:ascii="Book Antiqua" w:hAnsi="Book Antiqua"/>
          <w:color w:val="000000" w:themeColor="text1"/>
          <w:shd w:val="clear" w:color="auto" w:fill="FFFFFF"/>
        </w:rPr>
        <w:t>.</w:t>
      </w:r>
      <w:r w:rsidR="0091094E" w:rsidRPr="000C4B7C">
        <w:rPr>
          <w:rFonts w:ascii="Book Antiqua" w:hAnsi="Book Antiqua"/>
          <w:color w:val="000000" w:themeColor="text1"/>
          <w:shd w:val="clear" w:color="auto" w:fill="FFFFFF"/>
        </w:rPr>
        <w:t xml:space="preserve"> A </w:t>
      </w:r>
      <w:r w:rsidR="002323D9" w:rsidRPr="000C4B7C">
        <w:rPr>
          <w:rStyle w:val="af2"/>
          <w:rFonts w:ascii="Book Antiqua" w:hAnsi="Book Antiqua"/>
          <w:bCs/>
          <w:i w:val="0"/>
          <w:iCs w:val="0"/>
          <w:color w:val="000000" w:themeColor="text1"/>
          <w:shd w:val="clear" w:color="auto" w:fill="FFFFFF"/>
        </w:rPr>
        <w:t>CTLA</w:t>
      </w:r>
      <w:r w:rsidR="002323D9" w:rsidRPr="000C4B7C">
        <w:rPr>
          <w:rFonts w:ascii="Book Antiqua" w:hAnsi="Book Antiqua"/>
          <w:color w:val="000000" w:themeColor="text1"/>
          <w:shd w:val="clear" w:color="auto" w:fill="FFFFFF"/>
        </w:rPr>
        <w:t>-</w:t>
      </w:r>
      <w:r w:rsidR="002323D9" w:rsidRPr="000C4B7C">
        <w:rPr>
          <w:rStyle w:val="af2"/>
          <w:rFonts w:ascii="Book Antiqua" w:hAnsi="Book Antiqua"/>
          <w:bCs/>
          <w:i w:val="0"/>
          <w:iCs w:val="0"/>
          <w:color w:val="000000" w:themeColor="text1"/>
          <w:shd w:val="clear" w:color="auto" w:fill="FFFFFF"/>
        </w:rPr>
        <w:t>4</w:t>
      </w:r>
      <w:r w:rsidR="002323D9" w:rsidRPr="000C4B7C">
        <w:rPr>
          <w:rFonts w:ascii="Book Antiqua" w:hAnsi="Book Antiqua"/>
          <w:color w:val="000000" w:themeColor="text1"/>
          <w:shd w:val="clear" w:color="auto" w:fill="FFFFFF"/>
        </w:rPr>
        <w:t xml:space="preserve"> inhibitor</w:t>
      </w:r>
      <w:r w:rsidR="00BD6E55" w:rsidRPr="000C4B7C">
        <w:rPr>
          <w:rFonts w:ascii="Book Antiqua" w:hAnsi="Book Antiqua"/>
          <w:color w:val="000000" w:themeColor="text1"/>
          <w:shd w:val="clear" w:color="auto" w:fill="FFFFFF"/>
        </w:rPr>
        <w:t xml:space="preserve"> under development for RCC</w:t>
      </w:r>
      <w:r w:rsidR="009E7E00" w:rsidRPr="000C4B7C">
        <w:rPr>
          <w:rFonts w:ascii="Book Antiqua" w:hAnsi="Book Antiqua"/>
          <w:color w:val="000000" w:themeColor="text1"/>
          <w:shd w:val="clear" w:color="auto" w:fill="FFFFFF"/>
        </w:rPr>
        <w:t xml:space="preserve"> </w:t>
      </w:r>
      <w:r w:rsidR="00955400" w:rsidRPr="000C4B7C">
        <w:rPr>
          <w:rFonts w:ascii="Book Antiqua" w:hAnsi="Book Antiqua"/>
          <w:color w:val="000000" w:themeColor="text1"/>
          <w:shd w:val="clear" w:color="auto" w:fill="FFFFFF"/>
        </w:rPr>
        <w:t>is</w:t>
      </w:r>
      <w:r w:rsidR="009E7E00" w:rsidRPr="000C4B7C">
        <w:rPr>
          <w:rFonts w:ascii="Book Antiqua" w:hAnsi="Book Antiqua"/>
          <w:color w:val="000000" w:themeColor="text1"/>
          <w:shd w:val="clear" w:color="auto" w:fill="FFFFFF"/>
        </w:rPr>
        <w:t xml:space="preserve"> </w:t>
      </w:r>
      <w:r w:rsidR="00A000BF" w:rsidRPr="000C4B7C">
        <w:rPr>
          <w:rFonts w:ascii="Book Antiqua" w:hAnsi="Book Antiqua"/>
          <w:color w:val="000000" w:themeColor="text1"/>
          <w:shd w:val="clear" w:color="auto" w:fill="FFFFFF"/>
        </w:rPr>
        <w:t>tremelimumab</w:t>
      </w:r>
      <w:r w:rsidR="002323D9" w:rsidRPr="000C4B7C">
        <w:rPr>
          <w:rFonts w:ascii="Book Antiqua" w:hAnsi="Book Antiqua"/>
          <w:color w:val="000000" w:themeColor="text1"/>
          <w:shd w:val="clear" w:color="auto" w:fill="FFFFFF"/>
        </w:rPr>
        <w:t>.</w:t>
      </w:r>
      <w:r w:rsidR="009E7E00" w:rsidRPr="000C4B7C">
        <w:rPr>
          <w:rFonts w:ascii="Book Antiqua" w:hAnsi="Book Antiqua"/>
          <w:color w:val="000000" w:themeColor="text1"/>
          <w:shd w:val="clear" w:color="auto" w:fill="FFFFFF"/>
        </w:rPr>
        <w:t xml:space="preserve"> </w:t>
      </w:r>
      <w:r w:rsidR="00C634E6" w:rsidRPr="000C4B7C">
        <w:rPr>
          <w:rFonts w:ascii="Book Antiqua" w:hAnsi="Book Antiqua"/>
          <w:color w:val="000000" w:themeColor="text1"/>
          <w:shd w:val="clear" w:color="auto" w:fill="FFFFFF"/>
        </w:rPr>
        <w:t>The precise and detailed mechanism of action of different drugs, the</w:t>
      </w:r>
      <w:r w:rsidR="001D51C8" w:rsidRPr="000C4B7C">
        <w:rPr>
          <w:rFonts w:ascii="Book Antiqua" w:hAnsi="Book Antiqua"/>
          <w:color w:val="000000" w:themeColor="text1"/>
          <w:shd w:val="clear" w:color="auto" w:fill="FFFFFF"/>
        </w:rPr>
        <w:t>ir</w:t>
      </w:r>
      <w:r w:rsidR="00C634E6" w:rsidRPr="000C4B7C">
        <w:rPr>
          <w:rFonts w:ascii="Book Antiqua" w:hAnsi="Book Antiqua"/>
          <w:color w:val="000000" w:themeColor="text1"/>
          <w:shd w:val="clear" w:color="auto" w:fill="FFFFFF"/>
        </w:rPr>
        <w:t xml:space="preserve"> molecular pathways, </w:t>
      </w:r>
      <w:r w:rsidR="001D51C8" w:rsidRPr="000C4B7C">
        <w:rPr>
          <w:rFonts w:ascii="Book Antiqua" w:hAnsi="Book Antiqua"/>
          <w:color w:val="000000" w:themeColor="text1"/>
          <w:shd w:val="clear" w:color="auto" w:fill="FFFFFF"/>
        </w:rPr>
        <w:t xml:space="preserve">and </w:t>
      </w:r>
      <w:r w:rsidR="00C634E6" w:rsidRPr="000C4B7C">
        <w:rPr>
          <w:rFonts w:ascii="Book Antiqua" w:hAnsi="Book Antiqua"/>
          <w:color w:val="000000" w:themeColor="text1"/>
          <w:shd w:val="clear" w:color="auto" w:fill="FFFFFF"/>
        </w:rPr>
        <w:t>the</w:t>
      </w:r>
      <w:r w:rsidR="009E7E00" w:rsidRPr="000C4B7C">
        <w:rPr>
          <w:rFonts w:ascii="Book Antiqua" w:hAnsi="Book Antiqua"/>
          <w:color w:val="000000" w:themeColor="text1"/>
          <w:shd w:val="clear" w:color="auto" w:fill="FFFFFF"/>
        </w:rPr>
        <w:t xml:space="preserve"> </w:t>
      </w:r>
      <w:r w:rsidR="00C634E6" w:rsidRPr="000C4B7C">
        <w:rPr>
          <w:rFonts w:ascii="Book Antiqua" w:hAnsi="Book Antiqua"/>
          <w:color w:val="000000" w:themeColor="text1"/>
          <w:shd w:val="clear" w:color="auto" w:fill="FFFFFF"/>
        </w:rPr>
        <w:t xml:space="preserve">pathophysiologic effects on tumor cells and their microenvironments </w:t>
      </w:r>
      <w:r w:rsidR="001A0B61" w:rsidRPr="000C4B7C">
        <w:rPr>
          <w:rFonts w:ascii="Book Antiqua" w:hAnsi="Book Antiqua"/>
          <w:color w:val="000000" w:themeColor="text1"/>
          <w:shd w:val="clear" w:color="auto" w:fill="FFFFFF"/>
        </w:rPr>
        <w:t>are</w:t>
      </w:r>
      <w:r w:rsidR="00C634E6" w:rsidRPr="000C4B7C">
        <w:rPr>
          <w:rFonts w:ascii="Book Antiqua" w:hAnsi="Book Antiqua"/>
          <w:color w:val="000000" w:themeColor="text1"/>
          <w:shd w:val="clear" w:color="auto" w:fill="FFFFFF"/>
        </w:rPr>
        <w:t xml:space="preserve"> be</w:t>
      </w:r>
      <w:r w:rsidR="004305BF" w:rsidRPr="000C4B7C">
        <w:rPr>
          <w:rFonts w:ascii="Book Antiqua" w:hAnsi="Book Antiqua"/>
          <w:color w:val="000000" w:themeColor="text1"/>
          <w:shd w:val="clear" w:color="auto" w:fill="FFFFFF"/>
        </w:rPr>
        <w:t>yond the scope of this article.</w:t>
      </w:r>
      <w:r w:rsidR="00944F17" w:rsidRPr="000C4B7C">
        <w:rPr>
          <w:rFonts w:ascii="Book Antiqua" w:hAnsi="Book Antiqua"/>
          <w:color w:val="000000" w:themeColor="text1"/>
          <w:shd w:val="clear" w:color="auto" w:fill="FFFFFF"/>
          <w:lang w:eastAsia="zh-CN"/>
        </w:rPr>
        <w:t xml:space="preserve"> </w:t>
      </w:r>
      <w:r w:rsidR="00FC40BC" w:rsidRPr="000C4B7C">
        <w:rPr>
          <w:rFonts w:ascii="Book Antiqua" w:hAnsi="Book Antiqua"/>
          <w:color w:val="000000" w:themeColor="text1"/>
        </w:rPr>
        <w:t xml:space="preserve">Table </w:t>
      </w:r>
      <w:r w:rsidR="0067058F" w:rsidRPr="000C4B7C">
        <w:rPr>
          <w:rFonts w:ascii="Book Antiqua" w:hAnsi="Book Antiqua"/>
          <w:color w:val="000000" w:themeColor="text1"/>
        </w:rPr>
        <w:t>2</w:t>
      </w:r>
      <w:r w:rsidR="00854414" w:rsidRPr="000C4B7C">
        <w:rPr>
          <w:rFonts w:ascii="Book Antiqua" w:hAnsi="Book Antiqua"/>
          <w:color w:val="000000" w:themeColor="text1"/>
        </w:rPr>
        <w:t xml:space="preserve"> summarizes the FDA </w:t>
      </w:r>
      <w:r w:rsidR="00A000BF" w:rsidRPr="000C4B7C">
        <w:rPr>
          <w:rFonts w:ascii="Book Antiqua" w:hAnsi="Book Antiqua"/>
          <w:color w:val="000000" w:themeColor="text1"/>
        </w:rPr>
        <w:t>a</w:t>
      </w:r>
      <w:r w:rsidR="00854414" w:rsidRPr="000C4B7C">
        <w:rPr>
          <w:rFonts w:ascii="Book Antiqua" w:hAnsi="Book Antiqua"/>
          <w:color w:val="000000" w:themeColor="text1"/>
        </w:rPr>
        <w:t>pprov</w:t>
      </w:r>
      <w:r w:rsidR="00A000BF" w:rsidRPr="000C4B7C">
        <w:rPr>
          <w:rFonts w:ascii="Book Antiqua" w:hAnsi="Book Antiqua"/>
          <w:color w:val="000000" w:themeColor="text1"/>
        </w:rPr>
        <w:t>ed m</w:t>
      </w:r>
      <w:r w:rsidR="00854414" w:rsidRPr="000C4B7C">
        <w:rPr>
          <w:rFonts w:ascii="Book Antiqua" w:hAnsi="Book Antiqua"/>
          <w:color w:val="000000" w:themeColor="text1"/>
        </w:rPr>
        <w:t xml:space="preserve">onotherapies for the </w:t>
      </w:r>
      <w:r w:rsidR="00BD6E55" w:rsidRPr="000C4B7C">
        <w:rPr>
          <w:rFonts w:ascii="Book Antiqua" w:hAnsi="Book Antiqua"/>
          <w:color w:val="000000" w:themeColor="text1"/>
        </w:rPr>
        <w:t>t</w:t>
      </w:r>
      <w:r w:rsidR="00854414" w:rsidRPr="000C4B7C">
        <w:rPr>
          <w:rFonts w:ascii="Book Antiqua" w:hAnsi="Book Antiqua"/>
          <w:color w:val="000000" w:themeColor="text1"/>
        </w:rPr>
        <w:t xml:space="preserve">reatment of </w:t>
      </w:r>
      <w:r w:rsidR="0091094E" w:rsidRPr="000C4B7C">
        <w:rPr>
          <w:rFonts w:ascii="Book Antiqua" w:hAnsi="Book Antiqua"/>
          <w:color w:val="000000" w:themeColor="text1"/>
        </w:rPr>
        <w:t xml:space="preserve">clear cell </w:t>
      </w:r>
      <w:r w:rsidR="00BD6E55" w:rsidRPr="000C4B7C">
        <w:rPr>
          <w:rFonts w:ascii="Book Antiqua" w:hAnsi="Book Antiqua"/>
          <w:color w:val="000000" w:themeColor="text1"/>
        </w:rPr>
        <w:t>RCC.</w:t>
      </w:r>
    </w:p>
    <w:p w:rsidR="00015AFF" w:rsidRPr="000C4B7C" w:rsidRDefault="00015AFF" w:rsidP="000C4B7C">
      <w:pPr>
        <w:adjustRightInd w:val="0"/>
        <w:snapToGrid w:val="0"/>
        <w:spacing w:line="360" w:lineRule="auto"/>
        <w:jc w:val="both"/>
        <w:rPr>
          <w:rFonts w:ascii="Book Antiqua" w:hAnsi="Book Antiqua"/>
          <w:color w:val="000000" w:themeColor="text1"/>
        </w:rPr>
      </w:pPr>
    </w:p>
    <w:p w:rsidR="001F0863" w:rsidRPr="000C4B7C" w:rsidRDefault="006C574D" w:rsidP="000C4B7C">
      <w:pPr>
        <w:adjustRightInd w:val="0"/>
        <w:snapToGrid w:val="0"/>
        <w:spacing w:line="360" w:lineRule="auto"/>
        <w:jc w:val="both"/>
        <w:rPr>
          <w:rFonts w:ascii="Book Antiqua" w:hAnsi="Book Antiqua"/>
          <w:color w:val="000000" w:themeColor="text1"/>
          <w:u w:val="single"/>
        </w:rPr>
      </w:pPr>
      <w:r w:rsidRPr="000C4B7C">
        <w:rPr>
          <w:rFonts w:ascii="Book Antiqua" w:hAnsi="Book Antiqua"/>
          <w:b/>
          <w:color w:val="000000" w:themeColor="text1"/>
          <w:u w:val="single"/>
        </w:rPr>
        <w:t>COMBINATION THERAPY</w:t>
      </w:r>
    </w:p>
    <w:p w:rsidR="00B01747" w:rsidRPr="000C4B7C" w:rsidRDefault="00A13299"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Rationale for </w:t>
      </w:r>
      <w:r w:rsidR="006C574D" w:rsidRPr="000C4B7C">
        <w:rPr>
          <w:rFonts w:ascii="Book Antiqua" w:hAnsi="Book Antiqua"/>
          <w:b/>
          <w:i/>
          <w:color w:val="000000" w:themeColor="text1"/>
        </w:rPr>
        <w:t>combination therapy</w:t>
      </w:r>
    </w:p>
    <w:p w:rsidR="00487C86" w:rsidRPr="000C4B7C" w:rsidRDefault="00172C3D" w:rsidP="000C4B7C">
      <w:pPr>
        <w:pStyle w:val="a3"/>
        <w:adjustRightInd w:val="0"/>
        <w:snapToGrid w:val="0"/>
        <w:spacing w:line="360" w:lineRule="auto"/>
        <w:ind w:left="0"/>
        <w:contextualSpacing w:val="0"/>
        <w:jc w:val="both"/>
        <w:rPr>
          <w:rFonts w:ascii="Book Antiqua" w:eastAsia="Times New Roman" w:hAnsi="Book Antiqua" w:cs="Times New Roman"/>
          <w:color w:val="000000" w:themeColor="text1"/>
        </w:rPr>
      </w:pPr>
      <w:r w:rsidRPr="000C4B7C">
        <w:rPr>
          <w:rFonts w:ascii="Book Antiqua" w:hAnsi="Book Antiqua" w:cs="Times New Roman"/>
          <w:color w:val="000000" w:themeColor="text1"/>
        </w:rPr>
        <w:t xml:space="preserve">The </w:t>
      </w:r>
      <w:r w:rsidR="0020157F" w:rsidRPr="000C4B7C">
        <w:rPr>
          <w:rFonts w:ascii="Book Antiqua" w:hAnsi="Book Antiqua" w:cs="Times New Roman"/>
          <w:color w:val="000000" w:themeColor="text1"/>
        </w:rPr>
        <w:t xml:space="preserve">goal </w:t>
      </w:r>
      <w:r w:rsidR="0008052B" w:rsidRPr="000C4B7C">
        <w:rPr>
          <w:rFonts w:ascii="Book Antiqua" w:hAnsi="Book Antiqua" w:cs="Times New Roman"/>
          <w:color w:val="000000" w:themeColor="text1"/>
        </w:rPr>
        <w:t>of</w:t>
      </w:r>
      <w:r w:rsidR="009E7E00" w:rsidRPr="000C4B7C">
        <w:rPr>
          <w:rFonts w:ascii="Book Antiqua" w:hAnsi="Book Antiqua" w:cs="Times New Roman"/>
          <w:color w:val="000000" w:themeColor="text1"/>
        </w:rPr>
        <w:t xml:space="preserve"> </w:t>
      </w:r>
      <w:r w:rsidR="0020157F" w:rsidRPr="000C4B7C">
        <w:rPr>
          <w:rFonts w:ascii="Book Antiqua" w:hAnsi="Book Antiqua" w:cs="Times New Roman"/>
          <w:color w:val="000000" w:themeColor="text1"/>
        </w:rPr>
        <w:t>combining various modalities of systemic therapy is to potentiate a synergistic antitumor effect</w:t>
      </w:r>
      <w:r w:rsidR="007B131B" w:rsidRPr="000C4B7C">
        <w:rPr>
          <w:rFonts w:ascii="Book Antiqua" w:hAnsi="Book Antiqua" w:cs="Times New Roman"/>
          <w:color w:val="000000" w:themeColor="text1"/>
        </w:rPr>
        <w:t xml:space="preserve">. However, </w:t>
      </w:r>
      <w:r w:rsidR="0020157F" w:rsidRPr="000C4B7C">
        <w:rPr>
          <w:rFonts w:ascii="Book Antiqua" w:hAnsi="Book Antiqua" w:cs="Times New Roman"/>
          <w:color w:val="000000" w:themeColor="text1"/>
        </w:rPr>
        <w:t>combining various targeted therapies may cause increased toxicity</w:t>
      </w:r>
      <w:r w:rsidR="006D56AE" w:rsidRPr="000C4B7C">
        <w:rPr>
          <w:rFonts w:ascii="Book Antiqua" w:hAnsi="Book Antiqua" w:cs="Times New Roman"/>
          <w:color w:val="000000" w:themeColor="text1"/>
        </w:rPr>
        <w:t>. A</w:t>
      </w:r>
      <w:r w:rsidR="00E51B79" w:rsidRPr="000C4B7C">
        <w:rPr>
          <w:rFonts w:ascii="Book Antiqua" w:hAnsi="Book Antiqua" w:cs="Times New Roman"/>
          <w:color w:val="000000" w:themeColor="text1"/>
        </w:rPr>
        <w:t>s of now there</w:t>
      </w:r>
      <w:r w:rsidR="00AA26D0" w:rsidRPr="000C4B7C">
        <w:rPr>
          <w:rFonts w:ascii="Book Antiqua" w:hAnsi="Book Antiqua" w:cs="Times New Roman"/>
          <w:color w:val="000000" w:themeColor="text1"/>
        </w:rPr>
        <w:t xml:space="preserve"> are </w:t>
      </w:r>
      <w:r w:rsidR="006E2E26" w:rsidRPr="000C4B7C">
        <w:rPr>
          <w:rFonts w:ascii="Book Antiqua" w:hAnsi="Book Antiqua" w:cs="Times New Roman"/>
          <w:color w:val="000000" w:themeColor="text1"/>
        </w:rPr>
        <w:t>five</w:t>
      </w:r>
      <w:r w:rsidR="00AD5596" w:rsidRPr="000C4B7C">
        <w:rPr>
          <w:rFonts w:ascii="Book Antiqua" w:hAnsi="Book Antiqua" w:cs="Times New Roman"/>
          <w:color w:val="000000" w:themeColor="text1"/>
        </w:rPr>
        <w:t xml:space="preserve"> </w:t>
      </w:r>
      <w:r w:rsidR="00E51B79" w:rsidRPr="000C4B7C">
        <w:rPr>
          <w:rFonts w:ascii="Book Antiqua" w:hAnsi="Book Antiqua" w:cs="Times New Roman"/>
          <w:color w:val="000000" w:themeColor="text1"/>
        </w:rPr>
        <w:t>FDA approved combination treatments for m</w:t>
      </w:r>
      <w:r w:rsidR="001A0B61" w:rsidRPr="000C4B7C">
        <w:rPr>
          <w:rFonts w:ascii="Book Antiqua" w:hAnsi="Book Antiqua" w:cs="Times New Roman"/>
          <w:color w:val="000000" w:themeColor="text1"/>
        </w:rPr>
        <w:t>etastatic cc</w:t>
      </w:r>
      <w:r w:rsidR="00E51B79" w:rsidRPr="000C4B7C">
        <w:rPr>
          <w:rFonts w:ascii="Book Antiqua" w:hAnsi="Book Antiqua" w:cs="Times New Roman"/>
          <w:color w:val="000000" w:themeColor="text1"/>
        </w:rPr>
        <w:t xml:space="preserve">RCC: </w:t>
      </w:r>
      <w:r w:rsidR="00DC6D58">
        <w:rPr>
          <w:rFonts w:ascii="Book Antiqua" w:hAnsi="Book Antiqua" w:cs="Times New Roman" w:hint="eastAsia"/>
          <w:color w:val="000000" w:themeColor="text1"/>
          <w:lang w:eastAsia="zh-CN"/>
        </w:rPr>
        <w:t>B</w:t>
      </w:r>
      <w:r w:rsidR="00E51B79" w:rsidRPr="000C4B7C">
        <w:rPr>
          <w:rFonts w:ascii="Book Antiqua" w:hAnsi="Book Antiqua" w:cs="Times New Roman"/>
          <w:color w:val="000000" w:themeColor="text1"/>
        </w:rPr>
        <w:t xml:space="preserve">evacizumab plus </w:t>
      </w:r>
      <w:r w:rsidR="00F56D73" w:rsidRPr="000C4B7C">
        <w:rPr>
          <w:rFonts w:ascii="Book Antiqua" w:hAnsi="Book Antiqua" w:cs="Times New Roman"/>
          <w:color w:val="000000" w:themeColor="text1"/>
        </w:rPr>
        <w:t>IFN</w:t>
      </w:r>
      <w:r w:rsidR="00F96E30" w:rsidRPr="000C4B7C">
        <w:rPr>
          <w:rFonts w:ascii="Book Antiqua" w:hAnsi="Book Antiqua" w:cs="Times New Roman"/>
          <w:color w:val="000000" w:themeColor="text1"/>
        </w:rPr>
        <w:t>-</w:t>
      </w:r>
      <w:r w:rsidR="00413830" w:rsidRPr="000C4B7C">
        <w:rPr>
          <w:rFonts w:ascii="Book Antiqua" w:hAnsi="Book Antiqua" w:cs="Times New Roman"/>
          <w:color w:val="000000" w:themeColor="text1"/>
        </w:rPr>
        <w:sym w:font="Symbol" w:char="F061"/>
      </w:r>
      <w:r w:rsidR="00F56D73" w:rsidRPr="000C4B7C">
        <w:rPr>
          <w:rFonts w:ascii="Book Antiqua" w:hAnsi="Book Antiqua" w:cs="Times New Roman"/>
          <w:color w:val="000000" w:themeColor="text1"/>
        </w:rPr>
        <w:t>,</w:t>
      </w:r>
      <w:r w:rsidR="00AD5596" w:rsidRPr="000C4B7C">
        <w:rPr>
          <w:rFonts w:ascii="Book Antiqua" w:hAnsi="Book Antiqua" w:cs="Times New Roman"/>
          <w:color w:val="000000" w:themeColor="text1"/>
        </w:rPr>
        <w:t xml:space="preserve"> </w:t>
      </w:r>
      <w:r w:rsidR="00E51B79" w:rsidRPr="000C4B7C">
        <w:rPr>
          <w:rFonts w:ascii="Book Antiqua" w:hAnsi="Book Antiqua" w:cs="Times New Roman"/>
          <w:color w:val="000000" w:themeColor="text1"/>
        </w:rPr>
        <w:t>lenvatinib plus everolimu</w:t>
      </w:r>
      <w:r w:rsidR="00DB0028" w:rsidRPr="000C4B7C">
        <w:rPr>
          <w:rFonts w:ascii="Book Antiqua" w:hAnsi="Book Antiqua" w:cs="Times New Roman"/>
          <w:color w:val="000000" w:themeColor="text1"/>
        </w:rPr>
        <w:t>s,</w:t>
      </w:r>
      <w:r w:rsidR="00E51B79" w:rsidRPr="000C4B7C">
        <w:rPr>
          <w:rFonts w:ascii="Book Antiqua" w:hAnsi="Book Antiqua" w:cs="Times New Roman"/>
          <w:color w:val="000000" w:themeColor="text1"/>
        </w:rPr>
        <w:t xml:space="preserve"> ipilimumab </w:t>
      </w:r>
      <w:r w:rsidR="00E51B79" w:rsidRPr="000C4B7C">
        <w:rPr>
          <w:rFonts w:ascii="Book Antiqua" w:hAnsi="Book Antiqua" w:cs="Times New Roman"/>
          <w:color w:val="000000" w:themeColor="text1"/>
        </w:rPr>
        <w:lastRenderedPageBreak/>
        <w:t>plus nivolumab</w:t>
      </w:r>
      <w:r w:rsidR="000F4D4F" w:rsidRPr="000C4B7C">
        <w:rPr>
          <w:rFonts w:ascii="Book Antiqua" w:hAnsi="Book Antiqua" w:cs="Times New Roman"/>
          <w:color w:val="000000" w:themeColor="text1"/>
        </w:rPr>
        <w:t xml:space="preserve">, and most recently, </w:t>
      </w:r>
      <w:r w:rsidR="000F4D4F" w:rsidRPr="000C4B7C">
        <w:rPr>
          <w:rFonts w:ascii="Book Antiqua" w:eastAsia="Times New Roman" w:hAnsi="Book Antiqua" w:cs="Times New Roman"/>
          <w:color w:val="000000" w:themeColor="text1"/>
        </w:rPr>
        <w:t>pembrolizumab plus axitinib</w:t>
      </w:r>
      <w:r w:rsidR="007B131B" w:rsidRPr="000C4B7C">
        <w:rPr>
          <w:rFonts w:ascii="Book Antiqua" w:eastAsia="Times New Roman" w:hAnsi="Book Antiqua" w:cs="Times New Roman"/>
          <w:color w:val="000000" w:themeColor="text1"/>
        </w:rPr>
        <w:t>,</w:t>
      </w:r>
      <w:r w:rsidR="006E2E26" w:rsidRPr="000C4B7C">
        <w:rPr>
          <w:rFonts w:ascii="Book Antiqua" w:eastAsia="Times New Roman" w:hAnsi="Book Antiqua" w:cs="Times New Roman"/>
          <w:color w:val="000000" w:themeColor="text1"/>
        </w:rPr>
        <w:t xml:space="preserve"> and axitinib plus avelumab</w:t>
      </w:r>
      <w:r w:rsidR="0096751D" w:rsidRPr="000C4B7C">
        <w:rPr>
          <w:rFonts w:ascii="Book Antiqua" w:eastAsia="Times New Roman" w:hAnsi="Book Antiqua" w:cs="Times New Roman"/>
          <w:color w:val="000000" w:themeColor="text1"/>
        </w:rPr>
        <w:t>.</w:t>
      </w:r>
      <w:r w:rsidR="002D210C" w:rsidRPr="000C4B7C">
        <w:rPr>
          <w:rFonts w:ascii="Book Antiqua" w:eastAsia="Times New Roman" w:hAnsi="Book Antiqua" w:cs="Times New Roman"/>
          <w:color w:val="000000" w:themeColor="text1"/>
        </w:rPr>
        <w:t xml:space="preserve"> The more recently approved combinations of immunotherapy and TKIs also allow for combinations of very different therapeutic</w:t>
      </w:r>
      <w:r w:rsidR="00AD5596" w:rsidRPr="000C4B7C">
        <w:rPr>
          <w:rFonts w:ascii="Book Antiqua" w:eastAsia="Times New Roman" w:hAnsi="Book Antiqua" w:cs="Times New Roman"/>
          <w:color w:val="000000" w:themeColor="text1"/>
        </w:rPr>
        <w:t xml:space="preserve"> </w:t>
      </w:r>
      <w:r w:rsidR="002D210C" w:rsidRPr="000C4B7C">
        <w:rPr>
          <w:rFonts w:ascii="Book Antiqua" w:eastAsia="Times New Roman" w:hAnsi="Book Antiqua" w:cs="Times New Roman"/>
          <w:color w:val="000000" w:themeColor="text1"/>
        </w:rPr>
        <w:t>mechanisms of actions with</w:t>
      </w:r>
      <w:r w:rsidR="00F57648" w:rsidRPr="000C4B7C">
        <w:rPr>
          <w:rFonts w:ascii="Book Antiqua" w:eastAsia="Times New Roman" w:hAnsi="Book Antiqua" w:cs="Times New Roman"/>
          <w:color w:val="000000" w:themeColor="text1"/>
        </w:rPr>
        <w:t xml:space="preserve"> the aim</w:t>
      </w:r>
      <w:r w:rsidR="00AD5596" w:rsidRPr="000C4B7C">
        <w:rPr>
          <w:rFonts w:ascii="Book Antiqua" w:eastAsia="Times New Roman" w:hAnsi="Book Antiqua" w:cs="Times New Roman"/>
          <w:color w:val="000000" w:themeColor="text1"/>
        </w:rPr>
        <w:t xml:space="preserve"> </w:t>
      </w:r>
      <w:r w:rsidR="002D210C" w:rsidRPr="000C4B7C">
        <w:rPr>
          <w:rFonts w:ascii="Book Antiqua" w:eastAsia="Times New Roman" w:hAnsi="Book Antiqua" w:cs="Times New Roman"/>
          <w:color w:val="000000" w:themeColor="text1"/>
        </w:rPr>
        <w:t>of improved</w:t>
      </w:r>
      <w:r w:rsidR="00EC2E71" w:rsidRPr="000C4B7C">
        <w:rPr>
          <w:rFonts w:ascii="Book Antiqua" w:eastAsia="Times New Roman" w:hAnsi="Book Antiqua" w:cs="Times New Roman"/>
          <w:color w:val="000000" w:themeColor="text1"/>
        </w:rPr>
        <w:t xml:space="preserve"> and potentially rapid</w:t>
      </w:r>
      <w:r w:rsidR="002D210C" w:rsidRPr="000C4B7C">
        <w:rPr>
          <w:rFonts w:ascii="Book Antiqua" w:eastAsia="Times New Roman" w:hAnsi="Book Antiqua" w:cs="Times New Roman"/>
          <w:color w:val="000000" w:themeColor="text1"/>
        </w:rPr>
        <w:t xml:space="preserve"> response rates</w:t>
      </w:r>
      <w:r w:rsidR="00F57648" w:rsidRPr="000C4B7C">
        <w:rPr>
          <w:rFonts w:ascii="Book Antiqua" w:eastAsia="Times New Roman" w:hAnsi="Book Antiqua" w:cs="Times New Roman"/>
          <w:color w:val="000000" w:themeColor="text1"/>
        </w:rPr>
        <w:t xml:space="preserve"> as well as</w:t>
      </w:r>
      <w:r w:rsidR="002D210C" w:rsidRPr="000C4B7C">
        <w:rPr>
          <w:rFonts w:ascii="Book Antiqua" w:eastAsia="Times New Roman" w:hAnsi="Book Antiqua" w:cs="Times New Roman"/>
          <w:color w:val="000000" w:themeColor="text1"/>
        </w:rPr>
        <w:t xml:space="preserve"> potential durable responses. </w:t>
      </w:r>
    </w:p>
    <w:p w:rsidR="00487C86" w:rsidRPr="000C4B7C" w:rsidRDefault="00487C86" w:rsidP="000C4B7C">
      <w:pPr>
        <w:adjustRightInd w:val="0"/>
        <w:snapToGrid w:val="0"/>
        <w:spacing w:line="360" w:lineRule="auto"/>
        <w:jc w:val="both"/>
        <w:rPr>
          <w:rFonts w:ascii="Book Antiqua" w:hAnsi="Book Antiqua"/>
          <w:color w:val="000000" w:themeColor="text1"/>
        </w:rPr>
      </w:pPr>
    </w:p>
    <w:p w:rsidR="00B01747" w:rsidRPr="000C4B7C" w:rsidRDefault="007B131B"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Unsuccessful </w:t>
      </w:r>
      <w:r w:rsidR="003D7D57" w:rsidRPr="000C4B7C">
        <w:rPr>
          <w:rFonts w:ascii="Book Antiqua" w:hAnsi="Book Antiqua"/>
          <w:b/>
          <w:i/>
          <w:color w:val="000000" w:themeColor="text1"/>
        </w:rPr>
        <w:t>combination therapies</w:t>
      </w:r>
    </w:p>
    <w:p w:rsidR="003D7D57" w:rsidRPr="000C4B7C" w:rsidRDefault="00172C3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Table </w:t>
      </w:r>
      <w:r w:rsidR="0067058F" w:rsidRPr="000C4B7C">
        <w:rPr>
          <w:rFonts w:ascii="Book Antiqua" w:hAnsi="Book Antiqua"/>
          <w:color w:val="000000" w:themeColor="text1"/>
        </w:rPr>
        <w:t xml:space="preserve">3 </w:t>
      </w:r>
      <w:r w:rsidR="00A755BE" w:rsidRPr="000C4B7C">
        <w:rPr>
          <w:rFonts w:ascii="Book Antiqua" w:hAnsi="Book Antiqua"/>
          <w:color w:val="000000" w:themeColor="text1"/>
        </w:rPr>
        <w:t xml:space="preserve">summarizes initial </w:t>
      </w:r>
      <w:r w:rsidR="00E12E05" w:rsidRPr="000C4B7C">
        <w:rPr>
          <w:rFonts w:ascii="Book Antiqua" w:hAnsi="Book Antiqua"/>
          <w:color w:val="000000" w:themeColor="text1"/>
        </w:rPr>
        <w:t>attempts of</w:t>
      </w:r>
      <w:r w:rsidR="00A755BE" w:rsidRPr="000C4B7C">
        <w:rPr>
          <w:rFonts w:ascii="Book Antiqua" w:hAnsi="Book Antiqua"/>
          <w:color w:val="000000" w:themeColor="text1"/>
        </w:rPr>
        <w:t xml:space="preserve"> combination therapies </w:t>
      </w:r>
      <w:r w:rsidR="00AE0900" w:rsidRPr="000C4B7C">
        <w:rPr>
          <w:rFonts w:ascii="Book Antiqua" w:hAnsi="Book Antiqua"/>
          <w:color w:val="000000" w:themeColor="text1"/>
        </w:rPr>
        <w:t>with unexpectedly</w:t>
      </w:r>
      <w:r w:rsidR="0020157F" w:rsidRPr="000C4B7C">
        <w:rPr>
          <w:rFonts w:ascii="Book Antiqua" w:hAnsi="Book Antiqua"/>
          <w:color w:val="000000" w:themeColor="text1"/>
        </w:rPr>
        <w:t xml:space="preserve"> high toxicity or </w:t>
      </w:r>
      <w:r w:rsidR="0096751D" w:rsidRPr="000C4B7C">
        <w:rPr>
          <w:rFonts w:ascii="Book Antiqua" w:hAnsi="Book Antiqua"/>
          <w:color w:val="000000" w:themeColor="text1"/>
        </w:rPr>
        <w:t>lack of</w:t>
      </w:r>
      <w:r w:rsidRPr="000C4B7C">
        <w:rPr>
          <w:rFonts w:ascii="Book Antiqua" w:hAnsi="Book Antiqua"/>
          <w:color w:val="000000" w:themeColor="text1"/>
        </w:rPr>
        <w:t xml:space="preserve"> anticipated antitumor synergy.</w:t>
      </w:r>
      <w:r w:rsidR="00AD5596" w:rsidRPr="000C4B7C">
        <w:rPr>
          <w:rFonts w:ascii="Book Antiqua" w:hAnsi="Book Antiqua"/>
          <w:color w:val="000000" w:themeColor="text1"/>
        </w:rPr>
        <w:t xml:space="preserve"> </w:t>
      </w:r>
      <w:r w:rsidR="00A000BF" w:rsidRPr="000C4B7C">
        <w:rPr>
          <w:rFonts w:ascii="Book Antiqua" w:hAnsi="Book Antiqua"/>
          <w:color w:val="000000" w:themeColor="text1"/>
        </w:rPr>
        <w:t>Patients with mRCC treated on a</w:t>
      </w:r>
      <w:r w:rsidR="00AD5596" w:rsidRPr="000C4B7C">
        <w:rPr>
          <w:rFonts w:ascii="Book Antiqua" w:hAnsi="Book Antiqua"/>
          <w:color w:val="000000" w:themeColor="text1"/>
        </w:rPr>
        <w:t xml:space="preserve"> </w:t>
      </w:r>
      <w:r w:rsidRPr="000C4B7C">
        <w:rPr>
          <w:rFonts w:ascii="Book Antiqua" w:hAnsi="Book Antiqua"/>
          <w:color w:val="000000" w:themeColor="text1"/>
        </w:rPr>
        <w:t>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w:t>
      </w:r>
      <w:r w:rsidR="001C67E0" w:rsidRPr="000C4B7C">
        <w:rPr>
          <w:rFonts w:ascii="Book Antiqua" w:hAnsi="Book Antiqua"/>
          <w:color w:val="000000" w:themeColor="text1"/>
        </w:rPr>
        <w:t xml:space="preserve"> study </w:t>
      </w:r>
      <w:r w:rsidR="005B7419" w:rsidRPr="000C4B7C">
        <w:rPr>
          <w:rFonts w:ascii="Book Antiqua" w:hAnsi="Book Antiqua"/>
          <w:color w:val="000000" w:themeColor="text1"/>
        </w:rPr>
        <w:t>of the combination of</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bevacizumab and sunitinib </w:t>
      </w:r>
      <w:r w:rsidR="00A000BF" w:rsidRPr="000C4B7C">
        <w:rPr>
          <w:rFonts w:ascii="Book Antiqua" w:hAnsi="Book Antiqua"/>
          <w:color w:val="000000" w:themeColor="text1"/>
        </w:rPr>
        <w:t>were</w:t>
      </w:r>
      <w:r w:rsidR="001C67E0" w:rsidRPr="000C4B7C">
        <w:rPr>
          <w:rFonts w:ascii="Book Antiqua" w:hAnsi="Book Antiqua"/>
          <w:color w:val="000000" w:themeColor="text1"/>
        </w:rPr>
        <w:t xml:space="preserve"> found to have a high degree of hypertension</w:t>
      </w:r>
      <w:r w:rsidR="0008052B" w:rsidRPr="000C4B7C">
        <w:rPr>
          <w:rFonts w:ascii="Book Antiqua" w:hAnsi="Book Antiqua"/>
          <w:color w:val="000000" w:themeColor="text1"/>
        </w:rPr>
        <w:t>,</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vascular</w:t>
      </w:r>
      <w:r w:rsidR="0008052B" w:rsidRPr="000C4B7C">
        <w:rPr>
          <w:rFonts w:ascii="Book Antiqua" w:hAnsi="Book Antiqua"/>
          <w:color w:val="000000" w:themeColor="text1"/>
        </w:rPr>
        <w:t>,</w:t>
      </w:r>
      <w:r w:rsidR="001C67E0" w:rsidRPr="000C4B7C">
        <w:rPr>
          <w:rFonts w:ascii="Book Antiqua" w:hAnsi="Book Antiqua"/>
          <w:color w:val="000000" w:themeColor="text1"/>
        </w:rPr>
        <w:t xml:space="preserve"> and hematologic toxicities at the </w:t>
      </w:r>
      <w:r w:rsidR="00275330" w:rsidRPr="000C4B7C">
        <w:rPr>
          <w:rFonts w:ascii="Book Antiqua" w:hAnsi="Book Antiqua"/>
          <w:color w:val="000000" w:themeColor="text1"/>
        </w:rPr>
        <w:t>maximum tolerated dose level (sunitinib 50 mg</w:t>
      </w:r>
      <w:r w:rsidR="00545C5E" w:rsidRPr="000C4B7C">
        <w:rPr>
          <w:rFonts w:ascii="Book Antiqua" w:hAnsi="Book Antiqua"/>
          <w:color w:val="000000" w:themeColor="text1"/>
        </w:rPr>
        <w:t xml:space="preserve"> plus</w:t>
      </w:r>
      <w:r w:rsidR="00275330" w:rsidRPr="000C4B7C">
        <w:rPr>
          <w:rFonts w:ascii="Book Antiqua" w:hAnsi="Book Antiqua"/>
          <w:color w:val="000000" w:themeColor="text1"/>
        </w:rPr>
        <w:t xml:space="preserve"> bevacizumab 10 mg/kg)</w:t>
      </w:r>
      <w:r w:rsidR="001C67E0" w:rsidRPr="000C4B7C">
        <w:rPr>
          <w:rFonts w:ascii="Book Antiqua" w:hAnsi="Book Antiqua"/>
          <w:color w:val="000000" w:themeColor="text1"/>
        </w:rPr>
        <w:t xml:space="preserve">. Discontinuation of </w:t>
      </w:r>
      <w:r w:rsidR="002C2BE8" w:rsidRPr="000C4B7C">
        <w:rPr>
          <w:rFonts w:ascii="Book Antiqua" w:hAnsi="Book Antiqua"/>
          <w:color w:val="000000" w:themeColor="text1"/>
        </w:rPr>
        <w:t>treatment</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was observed in 48% of patients due to </w:t>
      </w:r>
      <w:r w:rsidR="0089570A" w:rsidRPr="000C4B7C">
        <w:rPr>
          <w:rFonts w:ascii="Book Antiqua" w:hAnsi="Book Antiqua"/>
          <w:color w:val="000000" w:themeColor="text1"/>
        </w:rPr>
        <w:t xml:space="preserve">adverse </w:t>
      </w:r>
      <w:proofErr w:type="gramStart"/>
      <w:r w:rsidR="0089570A" w:rsidRPr="000C4B7C">
        <w:rPr>
          <w:rFonts w:ascii="Book Antiqua" w:hAnsi="Book Antiqua"/>
          <w:color w:val="000000" w:themeColor="text1"/>
        </w:rPr>
        <w:t>events</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30]</w:t>
      </w:r>
      <w:r w:rsidR="001C67E0" w:rsidRPr="000C4B7C">
        <w:rPr>
          <w:rFonts w:ascii="Book Antiqua" w:hAnsi="Book Antiqua"/>
          <w:color w:val="000000" w:themeColor="text1"/>
        </w:rPr>
        <w:t>.</w:t>
      </w:r>
    </w:p>
    <w:p w:rsidR="005967FD" w:rsidRPr="000C4B7C" w:rsidRDefault="00172C3D"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 a 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II</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combination study of bevacizumab</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and</w:t>
      </w:r>
      <w:r w:rsidR="00AD5596" w:rsidRPr="000C4B7C">
        <w:rPr>
          <w:rFonts w:ascii="Book Antiqua" w:hAnsi="Book Antiqua"/>
          <w:color w:val="000000" w:themeColor="text1"/>
        </w:rPr>
        <w:t xml:space="preserve"> </w:t>
      </w:r>
      <w:r w:rsidR="001C67E0" w:rsidRPr="000C4B7C">
        <w:rPr>
          <w:rFonts w:ascii="Book Antiqua" w:hAnsi="Book Antiqua"/>
          <w:color w:val="000000" w:themeColor="text1"/>
        </w:rPr>
        <w:t xml:space="preserve">everolimus, </w:t>
      </w:r>
      <w:r w:rsidR="00C628FB" w:rsidRPr="000C4B7C">
        <w:rPr>
          <w:rFonts w:ascii="Book Antiqua" w:hAnsi="Book Antiqua"/>
          <w:color w:val="000000" w:themeColor="text1"/>
        </w:rPr>
        <w:t xml:space="preserve">the </w:t>
      </w:r>
      <w:r w:rsidR="001C67E0" w:rsidRPr="000C4B7C">
        <w:rPr>
          <w:rFonts w:ascii="Book Antiqua" w:hAnsi="Book Antiqua"/>
          <w:color w:val="000000" w:themeColor="text1"/>
        </w:rPr>
        <w:t>median progression-free survival</w:t>
      </w:r>
      <w:r w:rsidR="003333AC" w:rsidRPr="000C4B7C">
        <w:rPr>
          <w:rFonts w:ascii="Book Antiqua" w:hAnsi="Book Antiqua"/>
          <w:color w:val="000000" w:themeColor="text1"/>
          <w:lang w:eastAsia="zh-CN"/>
        </w:rPr>
        <w:t xml:space="preserve"> </w:t>
      </w:r>
      <w:r w:rsidR="00A000BF" w:rsidRPr="000C4B7C">
        <w:rPr>
          <w:rFonts w:ascii="Book Antiqua" w:hAnsi="Book Antiqua"/>
          <w:color w:val="000000" w:themeColor="text1"/>
        </w:rPr>
        <w:t>(PFS)</w:t>
      </w:r>
      <w:r w:rsidR="003333AC" w:rsidRPr="000C4B7C">
        <w:rPr>
          <w:rFonts w:ascii="Book Antiqua" w:hAnsi="Book Antiqua"/>
          <w:color w:val="000000" w:themeColor="text1"/>
          <w:lang w:eastAsia="zh-CN"/>
        </w:rPr>
        <w:t xml:space="preserve"> </w:t>
      </w:r>
      <w:r w:rsidR="009956E6" w:rsidRPr="000C4B7C">
        <w:rPr>
          <w:rFonts w:ascii="Book Antiqua" w:hAnsi="Book Antiqua"/>
          <w:color w:val="000000" w:themeColor="text1"/>
        </w:rPr>
        <w:t xml:space="preserve">and OS </w:t>
      </w:r>
      <w:r w:rsidR="001C67E0" w:rsidRPr="000C4B7C">
        <w:rPr>
          <w:rFonts w:ascii="Book Antiqua" w:hAnsi="Book Antiqua"/>
          <w:color w:val="000000" w:themeColor="text1"/>
        </w:rPr>
        <w:t>in previously untreated</w:t>
      </w:r>
      <w:r w:rsidR="00AD5596" w:rsidRPr="000C4B7C">
        <w:rPr>
          <w:rFonts w:ascii="Book Antiqua" w:hAnsi="Book Antiqua"/>
          <w:color w:val="000000" w:themeColor="text1"/>
        </w:rPr>
        <w:t xml:space="preserve"> </w:t>
      </w:r>
      <w:r w:rsidR="3BC9D2CA" w:rsidRPr="000C4B7C">
        <w:rPr>
          <w:rFonts w:ascii="Book Antiqua" w:hAnsi="Book Antiqua"/>
          <w:color w:val="000000" w:themeColor="text1"/>
        </w:rPr>
        <w:t>mRCC</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patients</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was</w:t>
      </w:r>
      <w:r w:rsidR="00AD5596" w:rsidRPr="000C4B7C">
        <w:rPr>
          <w:rFonts w:ascii="Book Antiqua" w:hAnsi="Book Antiqua"/>
          <w:color w:val="000000" w:themeColor="text1"/>
        </w:rPr>
        <w:t xml:space="preserve"> </w:t>
      </w:r>
      <w:r w:rsidR="3BC9D2CA" w:rsidRPr="000C4B7C">
        <w:rPr>
          <w:rFonts w:ascii="Book Antiqua" w:hAnsi="Book Antiqua"/>
          <w:color w:val="000000" w:themeColor="text1"/>
        </w:rPr>
        <w:t>longer</w:t>
      </w:r>
      <w:r w:rsidR="00AD5596" w:rsidRPr="000C4B7C">
        <w:rPr>
          <w:rFonts w:ascii="Book Antiqua" w:hAnsi="Book Antiqua"/>
          <w:color w:val="000000" w:themeColor="text1"/>
        </w:rPr>
        <w:t xml:space="preserve"> </w:t>
      </w:r>
      <w:r w:rsidR="00E53B25" w:rsidRPr="000C4B7C">
        <w:rPr>
          <w:rFonts w:ascii="Book Antiqua" w:hAnsi="Book Antiqua"/>
          <w:color w:val="000000" w:themeColor="text1"/>
        </w:rPr>
        <w:t>than in</w:t>
      </w:r>
      <w:r w:rsidR="3BC9D2CA" w:rsidRPr="000C4B7C">
        <w:rPr>
          <w:rFonts w:ascii="Book Antiqua" w:hAnsi="Book Antiqua"/>
          <w:color w:val="000000" w:themeColor="text1"/>
        </w:rPr>
        <w:t xml:space="preserve">patients previously treated with sunitinib and sorafenib </w:t>
      </w:r>
      <w:r w:rsidR="00E53B25" w:rsidRPr="000C4B7C">
        <w:rPr>
          <w:rFonts w:ascii="Book Antiqua" w:hAnsi="Book Antiqua"/>
          <w:color w:val="000000" w:themeColor="text1"/>
        </w:rPr>
        <w:t>(</w:t>
      </w:r>
      <w:r w:rsidR="009956E6" w:rsidRPr="000C4B7C">
        <w:rPr>
          <w:rFonts w:ascii="Book Antiqua" w:hAnsi="Book Antiqua"/>
          <w:color w:val="000000" w:themeColor="text1"/>
        </w:rPr>
        <w:t xml:space="preserve">PFS: </w:t>
      </w:r>
      <w:r w:rsidR="001C67E0" w:rsidRPr="000C4B7C">
        <w:rPr>
          <w:rFonts w:ascii="Book Antiqua" w:hAnsi="Book Antiqua"/>
          <w:color w:val="000000" w:themeColor="text1"/>
        </w:rPr>
        <w:t>9</w:t>
      </w:r>
      <w:r w:rsidR="00E53B25" w:rsidRPr="000C4B7C">
        <w:rPr>
          <w:rFonts w:ascii="Book Antiqua" w:hAnsi="Book Antiqua"/>
          <w:color w:val="000000" w:themeColor="text1"/>
        </w:rPr>
        <w:t xml:space="preserve">.1 </w:t>
      </w:r>
      <w:r w:rsidR="00E17BB8" w:rsidRPr="000C4B7C">
        <w:rPr>
          <w:rFonts w:ascii="Book Antiqua" w:hAnsi="Book Antiqua"/>
          <w:color w:val="000000" w:themeColor="text1"/>
          <w:lang w:eastAsia="zh-CN"/>
        </w:rPr>
        <w:t xml:space="preserve">mo </w:t>
      </w:r>
      <w:r w:rsidR="00E53B25" w:rsidRPr="000C4B7C">
        <w:rPr>
          <w:rFonts w:ascii="Book Antiqua" w:hAnsi="Book Antiqua"/>
          <w:i/>
          <w:color w:val="000000" w:themeColor="text1"/>
        </w:rPr>
        <w:t>vs</w:t>
      </w:r>
      <w:r w:rsidR="001C67E0" w:rsidRPr="000C4B7C">
        <w:rPr>
          <w:rFonts w:ascii="Book Antiqua" w:hAnsi="Book Antiqua"/>
          <w:color w:val="000000" w:themeColor="text1"/>
        </w:rPr>
        <w:t xml:space="preserve"> 7.1 </w:t>
      </w:r>
      <w:r w:rsidR="00E17BB8" w:rsidRPr="000C4B7C">
        <w:rPr>
          <w:rFonts w:ascii="Book Antiqua" w:hAnsi="Book Antiqua"/>
          <w:color w:val="000000" w:themeColor="text1"/>
          <w:lang w:eastAsia="zh-CN"/>
        </w:rPr>
        <w:t>mo</w:t>
      </w:r>
      <w:r w:rsidR="009956E6" w:rsidRPr="000C4B7C">
        <w:rPr>
          <w:rFonts w:ascii="Book Antiqua" w:hAnsi="Book Antiqua"/>
          <w:color w:val="000000" w:themeColor="text1"/>
        </w:rPr>
        <w:t xml:space="preserve">; OS: 21.3 </w:t>
      </w:r>
      <w:r w:rsidR="009A1C2E">
        <w:rPr>
          <w:rFonts w:ascii="Book Antiqua" w:hAnsi="Book Antiqua"/>
          <w:color w:val="000000" w:themeColor="text1"/>
        </w:rPr>
        <w:t xml:space="preserve">mo </w:t>
      </w:r>
      <w:r w:rsidR="009956E6" w:rsidRPr="000C4B7C">
        <w:rPr>
          <w:rFonts w:ascii="Book Antiqua" w:hAnsi="Book Antiqua"/>
          <w:i/>
          <w:color w:val="000000" w:themeColor="text1"/>
        </w:rPr>
        <w:t>vs</w:t>
      </w:r>
      <w:r w:rsidR="009956E6" w:rsidRPr="000C4B7C">
        <w:rPr>
          <w:rFonts w:ascii="Book Antiqua" w:hAnsi="Book Antiqua"/>
          <w:color w:val="000000" w:themeColor="text1"/>
        </w:rPr>
        <w:t xml:space="preserve"> 14.5 </w:t>
      </w:r>
      <w:r w:rsidR="00E17BB8" w:rsidRPr="000C4B7C">
        <w:rPr>
          <w:rFonts w:ascii="Book Antiqua" w:hAnsi="Book Antiqua"/>
          <w:color w:val="000000" w:themeColor="text1"/>
          <w:lang w:eastAsia="zh-CN"/>
        </w:rPr>
        <w:t>mo</w:t>
      </w:r>
      <w:r w:rsidR="009956E6" w:rsidRPr="000C4B7C">
        <w:rPr>
          <w:rFonts w:ascii="Book Antiqua" w:hAnsi="Book Antiqua"/>
          <w:color w:val="000000" w:themeColor="text1"/>
        </w:rPr>
        <w:t xml:space="preserve">, </w:t>
      </w:r>
      <w:r w:rsidR="00E17BB8" w:rsidRPr="000C4B7C">
        <w:rPr>
          <w:rFonts w:ascii="Book Antiqua" w:hAnsi="Book Antiqua"/>
          <w:i/>
          <w:color w:val="000000" w:themeColor="text1"/>
        </w:rPr>
        <w:t>P</w:t>
      </w:r>
      <w:r w:rsidR="00E17BB8" w:rsidRPr="000C4B7C">
        <w:rPr>
          <w:rFonts w:ascii="Book Antiqua" w:hAnsi="Book Antiqua"/>
          <w:i/>
          <w:color w:val="000000" w:themeColor="text1"/>
          <w:lang w:eastAsia="zh-CN"/>
        </w:rPr>
        <w:t xml:space="preserve"> </w:t>
      </w:r>
      <w:r w:rsidR="009956E6" w:rsidRPr="000C4B7C">
        <w:rPr>
          <w:rFonts w:ascii="Book Antiqua" w:hAnsi="Book Antiqua"/>
          <w:color w:val="000000" w:themeColor="text1"/>
        </w:rPr>
        <w:t>=</w:t>
      </w:r>
      <w:r w:rsidR="00E17BB8" w:rsidRPr="000C4B7C">
        <w:rPr>
          <w:rFonts w:ascii="Book Antiqua" w:hAnsi="Book Antiqua"/>
          <w:color w:val="000000" w:themeColor="text1"/>
          <w:lang w:eastAsia="zh-CN"/>
        </w:rPr>
        <w:t xml:space="preserve"> </w:t>
      </w:r>
      <w:r w:rsidR="009956E6" w:rsidRPr="000C4B7C">
        <w:rPr>
          <w:rFonts w:ascii="Book Antiqua" w:hAnsi="Book Antiqua"/>
          <w:color w:val="000000" w:themeColor="text1"/>
        </w:rPr>
        <w:t>0.11</w:t>
      </w:r>
      <w:r w:rsidR="00BF0806" w:rsidRPr="000C4B7C">
        <w:rPr>
          <w:rFonts w:ascii="Book Antiqua" w:hAnsi="Book Antiqua"/>
          <w:color w:val="000000" w:themeColor="text1"/>
        </w:rPr>
        <w:t>)</w:t>
      </w:r>
      <w:r w:rsidR="001C67E0" w:rsidRPr="000C4B7C">
        <w:rPr>
          <w:rFonts w:ascii="Book Antiqua" w:hAnsi="Book Antiqua"/>
          <w:color w:val="000000" w:themeColor="text1"/>
        </w:rPr>
        <w:t xml:space="preserve">. </w:t>
      </w:r>
      <w:r w:rsidR="00AC1B44" w:rsidRPr="000C4B7C">
        <w:rPr>
          <w:rFonts w:ascii="Book Antiqua" w:hAnsi="Book Antiqua" w:cs="Arial"/>
          <w:color w:val="000000" w:themeColor="text1"/>
          <w:shd w:val="clear" w:color="auto" w:fill="FFFFFF"/>
        </w:rPr>
        <w:t xml:space="preserve">Median PFS for all patients was 8.1 </w:t>
      </w:r>
      <w:proofErr w:type="gramStart"/>
      <w:r w:rsidR="00E17BB8" w:rsidRPr="000C4B7C">
        <w:rPr>
          <w:rFonts w:ascii="Book Antiqua" w:hAnsi="Book Antiqua"/>
          <w:color w:val="000000" w:themeColor="text1"/>
          <w:lang w:eastAsia="zh-CN"/>
        </w:rPr>
        <w:t>mo</w:t>
      </w:r>
      <w:proofErr w:type="gramEnd"/>
      <w:r w:rsidR="00E17BB8" w:rsidRPr="000C4B7C">
        <w:rPr>
          <w:rFonts w:ascii="Book Antiqua" w:hAnsi="Book Antiqua"/>
          <w:color w:val="000000" w:themeColor="text1"/>
          <w:lang w:eastAsia="zh-CN"/>
        </w:rPr>
        <w:t xml:space="preserve"> </w:t>
      </w:r>
      <w:r w:rsidR="00E17BB8" w:rsidRPr="000C4B7C">
        <w:rPr>
          <w:rFonts w:ascii="Book Antiqua" w:hAnsi="Book Antiqua" w:cs="Arial"/>
          <w:color w:val="000000" w:themeColor="text1"/>
          <w:shd w:val="clear" w:color="auto" w:fill="FFFFFF"/>
        </w:rPr>
        <w:t>(95%CI</w:t>
      </w:r>
      <w:r w:rsidR="00E17BB8" w:rsidRPr="000C4B7C">
        <w:rPr>
          <w:rFonts w:ascii="Book Antiqua" w:hAnsi="Book Antiqua" w:cs="Arial"/>
          <w:color w:val="000000" w:themeColor="text1"/>
          <w:shd w:val="clear" w:color="auto" w:fill="FFFFFF"/>
          <w:lang w:eastAsia="zh-CN"/>
        </w:rPr>
        <w:t>:</w:t>
      </w:r>
      <w:r w:rsidR="00AC1B44" w:rsidRPr="000C4B7C">
        <w:rPr>
          <w:rFonts w:ascii="Book Antiqua" w:hAnsi="Book Antiqua" w:cs="Arial"/>
          <w:color w:val="000000" w:themeColor="text1"/>
          <w:shd w:val="clear" w:color="auto" w:fill="FFFFFF"/>
        </w:rPr>
        <w:t xml:space="preserve"> 6.3 to 10.8 </w:t>
      </w:r>
      <w:r w:rsidR="00E17BB8" w:rsidRPr="000C4B7C">
        <w:rPr>
          <w:rFonts w:ascii="Book Antiqua" w:hAnsi="Book Antiqua"/>
          <w:color w:val="000000" w:themeColor="text1"/>
          <w:lang w:eastAsia="zh-CN"/>
        </w:rPr>
        <w:t>mo</w:t>
      </w:r>
      <w:r w:rsidR="00BF0806" w:rsidRPr="000C4B7C">
        <w:rPr>
          <w:rFonts w:ascii="Book Antiqua" w:hAnsi="Book Antiqua" w:cs="Arial"/>
          <w:color w:val="000000" w:themeColor="text1"/>
          <w:shd w:val="clear" w:color="auto" w:fill="FFFFFF"/>
        </w:rPr>
        <w:t>)</w:t>
      </w:r>
      <w:r w:rsidR="00AC1B44" w:rsidRPr="000C4B7C">
        <w:rPr>
          <w:rFonts w:ascii="Book Antiqua" w:hAnsi="Book Antiqua" w:cs="Arial"/>
          <w:color w:val="000000" w:themeColor="text1"/>
          <w:shd w:val="clear" w:color="auto" w:fill="FFFFFF"/>
        </w:rPr>
        <w:t xml:space="preserve">. </w:t>
      </w:r>
      <w:r w:rsidR="00254E37" w:rsidRPr="000C4B7C">
        <w:rPr>
          <w:rFonts w:ascii="Book Antiqua" w:hAnsi="Book Antiqua"/>
          <w:color w:val="000000" w:themeColor="text1"/>
        </w:rPr>
        <w:t>However,</w:t>
      </w:r>
      <w:r w:rsidR="001C67E0" w:rsidRPr="000C4B7C">
        <w:rPr>
          <w:rFonts w:ascii="Book Antiqua" w:hAnsi="Book Antiqua"/>
          <w:color w:val="000000" w:themeColor="text1"/>
        </w:rPr>
        <w:t xml:space="preserve"> 14% of patients discontinue</w:t>
      </w:r>
      <w:r w:rsidR="00A000BF" w:rsidRPr="000C4B7C">
        <w:rPr>
          <w:rFonts w:ascii="Book Antiqua" w:hAnsi="Book Antiqua"/>
          <w:color w:val="000000" w:themeColor="text1"/>
        </w:rPr>
        <w:t>d</w:t>
      </w:r>
      <w:r w:rsidR="001C67E0" w:rsidRPr="000C4B7C">
        <w:rPr>
          <w:rFonts w:ascii="Book Antiqua" w:hAnsi="Book Antiqua"/>
          <w:color w:val="000000" w:themeColor="text1"/>
        </w:rPr>
        <w:t xml:space="preserve"> treatment due to </w:t>
      </w:r>
      <w:r w:rsidR="008A3F0E" w:rsidRPr="000C4B7C">
        <w:rPr>
          <w:rFonts w:ascii="Book Antiqua" w:hAnsi="Book Antiqua"/>
          <w:color w:val="000000" w:themeColor="text1"/>
        </w:rPr>
        <w:t>serious adverse events (</w:t>
      </w:r>
      <w:r w:rsidR="001C67E0" w:rsidRPr="000C4B7C">
        <w:rPr>
          <w:rFonts w:ascii="Book Antiqua" w:hAnsi="Book Antiqua"/>
          <w:color w:val="000000" w:themeColor="text1"/>
        </w:rPr>
        <w:t>SAEs</w:t>
      </w:r>
      <w:r w:rsidR="008A3F0E" w:rsidRPr="000C4B7C">
        <w:rPr>
          <w:rFonts w:ascii="Book Antiqua" w:hAnsi="Book Antiqua"/>
          <w:color w:val="000000" w:themeColor="text1"/>
        </w:rPr>
        <w:t>)</w:t>
      </w:r>
      <w:r w:rsidR="00CB5368" w:rsidRPr="000C4B7C">
        <w:rPr>
          <w:rFonts w:ascii="Book Antiqua" w:hAnsi="Book Antiqua"/>
          <w:color w:val="000000" w:themeColor="text1"/>
        </w:rPr>
        <w:t xml:space="preserve"> such as proteinuria, pulmonary embolism, stomatitis, and </w:t>
      </w:r>
      <w:proofErr w:type="gramStart"/>
      <w:r w:rsidR="00CB5368" w:rsidRPr="000C4B7C">
        <w:rPr>
          <w:rFonts w:ascii="Book Antiqua" w:hAnsi="Book Antiqua"/>
          <w:color w:val="000000" w:themeColor="text1"/>
        </w:rPr>
        <w:t>anorexia</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31]</w:t>
      </w:r>
      <w:r w:rsidRPr="000C4B7C">
        <w:rPr>
          <w:rFonts w:ascii="Book Antiqua" w:hAnsi="Book Antiqua"/>
          <w:color w:val="000000" w:themeColor="text1"/>
        </w:rPr>
        <w:t>.</w:t>
      </w:r>
    </w:p>
    <w:p w:rsidR="005967FD" w:rsidRPr="000C4B7C" w:rsidRDefault="0020157F"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Similarly, i</w:t>
      </w:r>
      <w:r w:rsidR="00172C3D" w:rsidRPr="000C4B7C">
        <w:rPr>
          <w:rFonts w:ascii="Book Antiqua" w:hAnsi="Book Antiqua"/>
          <w:color w:val="000000" w:themeColor="text1"/>
        </w:rPr>
        <w:t>n a phase</w:t>
      </w:r>
      <w:r w:rsidR="00AD5596" w:rsidRPr="000C4B7C">
        <w:rPr>
          <w:rFonts w:ascii="Book Antiqua" w:hAnsi="Book Antiqua"/>
          <w:color w:val="000000" w:themeColor="text1"/>
        </w:rPr>
        <w:t xml:space="preserve"> </w:t>
      </w:r>
      <w:r w:rsidR="00AA26D0" w:rsidRPr="000C4B7C">
        <w:rPr>
          <w:rFonts w:ascii="Book Antiqua" w:hAnsi="Book Antiqua"/>
          <w:color w:val="000000" w:themeColor="text1"/>
        </w:rPr>
        <w:t>I</w:t>
      </w:r>
      <w:r w:rsidR="00AD5596" w:rsidRPr="000C4B7C">
        <w:rPr>
          <w:rFonts w:ascii="Book Antiqua" w:hAnsi="Book Antiqua"/>
          <w:color w:val="000000" w:themeColor="text1"/>
        </w:rPr>
        <w:t xml:space="preserve"> </w:t>
      </w:r>
      <w:r w:rsidR="0037214E" w:rsidRPr="000C4B7C">
        <w:rPr>
          <w:rFonts w:ascii="Book Antiqua" w:hAnsi="Book Antiqua"/>
          <w:color w:val="000000" w:themeColor="text1"/>
        </w:rPr>
        <w:t xml:space="preserve">combination study of everolimus and sorafenib in mRCC patients, a </w:t>
      </w:r>
      <w:r w:rsidR="00E93DA8" w:rsidRPr="000C4B7C">
        <w:rPr>
          <w:rFonts w:ascii="Book Antiqua" w:hAnsi="Book Antiqua"/>
          <w:color w:val="000000" w:themeColor="text1"/>
        </w:rPr>
        <w:t>partial response (PR)</w:t>
      </w:r>
      <w:r w:rsidR="005967FD" w:rsidRPr="000C4B7C">
        <w:rPr>
          <w:rFonts w:ascii="Book Antiqua" w:hAnsi="Book Antiqua"/>
          <w:color w:val="000000" w:themeColor="text1"/>
          <w:lang w:eastAsia="zh-CN"/>
        </w:rPr>
        <w:t xml:space="preserve"> </w:t>
      </w:r>
      <w:r w:rsidR="0037214E" w:rsidRPr="000C4B7C">
        <w:rPr>
          <w:rFonts w:ascii="Book Antiqua" w:hAnsi="Book Antiqua"/>
          <w:color w:val="000000" w:themeColor="text1"/>
        </w:rPr>
        <w:t>rate of 25% was observed.</w:t>
      </w:r>
      <w:r w:rsidR="00AD5596" w:rsidRPr="000C4B7C">
        <w:rPr>
          <w:rFonts w:ascii="Book Antiqua" w:hAnsi="Book Antiqua"/>
          <w:color w:val="000000" w:themeColor="text1"/>
        </w:rPr>
        <w:t xml:space="preserve"> </w:t>
      </w:r>
      <w:r w:rsidR="00E976DE" w:rsidRPr="000C4B7C">
        <w:rPr>
          <w:rFonts w:ascii="Book Antiqua" w:hAnsi="Book Antiqua"/>
          <w:color w:val="000000" w:themeColor="text1"/>
        </w:rPr>
        <w:t>However,</w:t>
      </w:r>
      <w:r w:rsidR="00AD5596" w:rsidRPr="000C4B7C">
        <w:rPr>
          <w:rFonts w:ascii="Book Antiqua" w:hAnsi="Book Antiqua"/>
          <w:color w:val="000000" w:themeColor="text1"/>
        </w:rPr>
        <w:t xml:space="preserve"> </w:t>
      </w:r>
      <w:r w:rsidR="0037214E" w:rsidRPr="000C4B7C">
        <w:rPr>
          <w:rFonts w:ascii="Book Antiqua" w:hAnsi="Book Antiqua"/>
          <w:color w:val="000000" w:themeColor="text1"/>
        </w:rPr>
        <w:t xml:space="preserve">due to </w:t>
      </w:r>
      <w:r w:rsidR="00AA26D0" w:rsidRPr="000C4B7C">
        <w:rPr>
          <w:rFonts w:ascii="Book Antiqua" w:hAnsi="Book Antiqua"/>
          <w:color w:val="000000" w:themeColor="text1"/>
        </w:rPr>
        <w:t>gastrointestinal</w:t>
      </w:r>
      <w:r w:rsidR="0037214E" w:rsidRPr="000C4B7C">
        <w:rPr>
          <w:rFonts w:ascii="Book Antiqua" w:hAnsi="Book Antiqua"/>
          <w:color w:val="000000" w:themeColor="text1"/>
        </w:rPr>
        <w:t xml:space="preserve"> toxicit</w:t>
      </w:r>
      <w:r w:rsidR="00BB66E6" w:rsidRPr="000C4B7C">
        <w:rPr>
          <w:rFonts w:ascii="Book Antiqua" w:hAnsi="Book Antiqua"/>
          <w:color w:val="000000" w:themeColor="text1"/>
        </w:rPr>
        <w:t>ie</w:t>
      </w:r>
      <w:r w:rsidR="00A000BF" w:rsidRPr="000C4B7C">
        <w:rPr>
          <w:rFonts w:ascii="Book Antiqua" w:hAnsi="Book Antiqua"/>
          <w:color w:val="000000" w:themeColor="text1"/>
        </w:rPr>
        <w:t xml:space="preserve">s and </w:t>
      </w:r>
      <w:r w:rsidR="0037214E" w:rsidRPr="000C4B7C">
        <w:rPr>
          <w:rFonts w:ascii="Book Antiqua" w:hAnsi="Book Antiqua"/>
          <w:color w:val="000000" w:themeColor="text1"/>
        </w:rPr>
        <w:t>dose reduction</w:t>
      </w:r>
      <w:r w:rsidR="00A000BF" w:rsidRPr="000C4B7C">
        <w:rPr>
          <w:rFonts w:ascii="Book Antiqua" w:hAnsi="Book Antiqua"/>
          <w:color w:val="000000" w:themeColor="text1"/>
        </w:rPr>
        <w:t xml:space="preserve">s, </w:t>
      </w:r>
      <w:r w:rsidR="0037214E" w:rsidRPr="000C4B7C">
        <w:rPr>
          <w:rFonts w:ascii="Book Antiqua" w:hAnsi="Book Antiqua"/>
          <w:color w:val="000000" w:themeColor="text1"/>
        </w:rPr>
        <w:t xml:space="preserve">study discontinuation was necessary. </w:t>
      </w:r>
      <w:r w:rsidR="0008052B" w:rsidRPr="000C4B7C">
        <w:rPr>
          <w:rFonts w:ascii="Book Antiqua" w:hAnsi="Book Antiqua"/>
          <w:color w:val="000000" w:themeColor="text1"/>
        </w:rPr>
        <w:t>Moreover</w:t>
      </w:r>
      <w:r w:rsidR="0037214E" w:rsidRPr="000C4B7C">
        <w:rPr>
          <w:rFonts w:ascii="Book Antiqua" w:hAnsi="Book Antiqua"/>
          <w:color w:val="000000" w:themeColor="text1"/>
        </w:rPr>
        <w:t>, there was a higher than expect</w:t>
      </w:r>
      <w:r w:rsidR="00172C3D" w:rsidRPr="000C4B7C">
        <w:rPr>
          <w:rFonts w:ascii="Book Antiqua" w:hAnsi="Book Antiqua"/>
          <w:color w:val="000000" w:themeColor="text1"/>
        </w:rPr>
        <w:t>ed incidence of rash</w:t>
      </w:r>
      <w:r w:rsidR="00A000BF" w:rsidRPr="000C4B7C">
        <w:rPr>
          <w:rFonts w:ascii="Book Antiqua" w:hAnsi="Book Antiqua"/>
          <w:color w:val="000000" w:themeColor="text1"/>
        </w:rPr>
        <w:t xml:space="preserve"> typically seen with either drug as a sing</w:t>
      </w:r>
      <w:r w:rsidR="00C52AC5" w:rsidRPr="000C4B7C">
        <w:rPr>
          <w:rFonts w:ascii="Book Antiqua" w:hAnsi="Book Antiqua"/>
          <w:color w:val="000000" w:themeColor="text1"/>
        </w:rPr>
        <w:t xml:space="preserve">le </w:t>
      </w:r>
      <w:proofErr w:type="gramStart"/>
      <w:r w:rsidR="00C52AC5" w:rsidRPr="000C4B7C">
        <w:rPr>
          <w:rFonts w:ascii="Book Antiqua" w:hAnsi="Book Antiqua"/>
          <w:color w:val="000000" w:themeColor="text1"/>
        </w:rPr>
        <w:t>agent</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32]</w:t>
      </w:r>
      <w:r w:rsidR="00172C3D" w:rsidRPr="000C4B7C">
        <w:rPr>
          <w:rFonts w:ascii="Book Antiqua" w:hAnsi="Book Antiqua"/>
          <w:color w:val="000000" w:themeColor="text1"/>
        </w:rPr>
        <w:t>.</w:t>
      </w:r>
    </w:p>
    <w:p w:rsidR="003A3143" w:rsidRPr="000C4B7C" w:rsidRDefault="00F70904"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In a phase </w:t>
      </w:r>
      <w:r w:rsidR="00A000BF" w:rsidRPr="000C4B7C">
        <w:rPr>
          <w:rFonts w:ascii="Book Antiqua" w:hAnsi="Book Antiqua"/>
          <w:color w:val="000000" w:themeColor="text1"/>
        </w:rPr>
        <w:t>III</w:t>
      </w:r>
      <w:r w:rsidR="00AD5596" w:rsidRPr="000C4B7C">
        <w:rPr>
          <w:rFonts w:ascii="Book Antiqua" w:hAnsi="Book Antiqua"/>
          <w:color w:val="000000" w:themeColor="text1"/>
        </w:rPr>
        <w:t xml:space="preserve"> </w:t>
      </w:r>
      <w:r w:rsidRPr="000C4B7C">
        <w:rPr>
          <w:rFonts w:ascii="Book Antiqua" w:hAnsi="Book Antiqua"/>
          <w:color w:val="000000" w:themeColor="text1"/>
        </w:rPr>
        <w:t xml:space="preserve">trial, </w:t>
      </w:r>
      <w:r w:rsidR="00A000BF" w:rsidRPr="000C4B7C">
        <w:rPr>
          <w:rFonts w:ascii="Book Antiqua" w:hAnsi="Book Antiqua"/>
          <w:color w:val="000000" w:themeColor="text1"/>
        </w:rPr>
        <w:t xml:space="preserve">the </w:t>
      </w:r>
      <w:r w:rsidRPr="000C4B7C">
        <w:rPr>
          <w:rFonts w:ascii="Book Antiqua" w:hAnsi="Book Antiqua"/>
          <w:color w:val="000000" w:themeColor="text1"/>
        </w:rPr>
        <w:t>combination of temsirolimus plus interferon-</w:t>
      </w:r>
      <w:r w:rsidR="00A50CAE" w:rsidRPr="000C4B7C">
        <w:rPr>
          <w:rFonts w:ascii="Book Antiqua" w:hAnsi="Book Antiqua"/>
          <w:color w:val="000000" w:themeColor="text1"/>
        </w:rPr>
        <w:t>α</w:t>
      </w:r>
      <w:r w:rsidR="00AD5596" w:rsidRPr="000C4B7C">
        <w:rPr>
          <w:rFonts w:ascii="Book Antiqua" w:hAnsi="Book Antiqua"/>
          <w:color w:val="000000" w:themeColor="text1"/>
        </w:rPr>
        <w:t xml:space="preserve"> </w:t>
      </w:r>
      <w:r w:rsidRPr="000C4B7C">
        <w:rPr>
          <w:rFonts w:ascii="Book Antiqua" w:hAnsi="Book Antiqua"/>
          <w:color w:val="000000" w:themeColor="text1"/>
        </w:rPr>
        <w:t>was compared with temsirolimus or interferon-</w:t>
      </w:r>
      <w:r w:rsidR="00A50CAE" w:rsidRPr="000C4B7C">
        <w:rPr>
          <w:rFonts w:ascii="Book Antiqua" w:hAnsi="Book Antiqua"/>
          <w:color w:val="000000" w:themeColor="text1"/>
        </w:rPr>
        <w:t>α</w:t>
      </w:r>
      <w:r w:rsidR="00AD5596" w:rsidRPr="000C4B7C">
        <w:rPr>
          <w:rFonts w:ascii="Book Antiqua" w:hAnsi="Book Antiqua"/>
          <w:color w:val="000000" w:themeColor="text1"/>
        </w:rPr>
        <w:t xml:space="preserve"> </w:t>
      </w:r>
      <w:r w:rsidRPr="000C4B7C">
        <w:rPr>
          <w:rFonts w:ascii="Book Antiqua" w:hAnsi="Book Antiqua"/>
          <w:color w:val="000000" w:themeColor="text1"/>
        </w:rPr>
        <w:t>alon</w:t>
      </w:r>
      <w:r w:rsidR="00F43297" w:rsidRPr="000C4B7C">
        <w:rPr>
          <w:rFonts w:ascii="Book Antiqua" w:hAnsi="Book Antiqua"/>
          <w:color w:val="000000" w:themeColor="text1"/>
        </w:rPr>
        <w:t>e</w:t>
      </w:r>
      <w:r w:rsidR="000E1F23" w:rsidRPr="000C4B7C">
        <w:rPr>
          <w:rFonts w:ascii="Book Antiqua" w:hAnsi="Book Antiqua"/>
          <w:color w:val="000000" w:themeColor="text1"/>
        </w:rPr>
        <w:t xml:space="preserve"> with the primary end </w:t>
      </w:r>
      <w:r w:rsidR="0008052B" w:rsidRPr="000C4B7C">
        <w:rPr>
          <w:rFonts w:ascii="Book Antiqua" w:hAnsi="Book Antiqua"/>
          <w:color w:val="000000" w:themeColor="text1"/>
        </w:rPr>
        <w:t>point of</w:t>
      </w:r>
      <w:r w:rsidR="000E1F23" w:rsidRPr="000C4B7C">
        <w:rPr>
          <w:rFonts w:ascii="Book Antiqua" w:hAnsi="Book Antiqua"/>
          <w:color w:val="000000" w:themeColor="text1"/>
        </w:rPr>
        <w:t xml:space="preserve"> </w:t>
      </w:r>
      <w:r w:rsidR="0008052B" w:rsidRPr="000C4B7C">
        <w:rPr>
          <w:rFonts w:ascii="Book Antiqua" w:hAnsi="Book Antiqua"/>
          <w:color w:val="000000" w:themeColor="text1"/>
        </w:rPr>
        <w:t>OS</w:t>
      </w:r>
      <w:r w:rsidRPr="000C4B7C">
        <w:rPr>
          <w:rFonts w:ascii="Book Antiqua" w:hAnsi="Book Antiqua"/>
          <w:color w:val="000000" w:themeColor="text1"/>
        </w:rPr>
        <w:t xml:space="preserve">. </w:t>
      </w:r>
      <w:r w:rsidR="00A000BF" w:rsidRPr="000C4B7C">
        <w:rPr>
          <w:rFonts w:ascii="Book Antiqua" w:hAnsi="Book Antiqua"/>
          <w:color w:val="000000" w:themeColor="text1"/>
        </w:rPr>
        <w:t>OS</w:t>
      </w:r>
      <w:r w:rsidRPr="000C4B7C">
        <w:rPr>
          <w:rFonts w:ascii="Book Antiqua" w:hAnsi="Book Antiqua"/>
          <w:color w:val="000000" w:themeColor="text1"/>
        </w:rPr>
        <w:t xml:space="preserve"> in the combination-therapy group did not differ significantly </w:t>
      </w:r>
      <w:r w:rsidR="0008052B" w:rsidRPr="000C4B7C">
        <w:rPr>
          <w:rFonts w:ascii="Book Antiqua" w:hAnsi="Book Antiqua"/>
          <w:color w:val="000000" w:themeColor="text1"/>
        </w:rPr>
        <w:t>compared with</w:t>
      </w:r>
      <w:r w:rsidRPr="000C4B7C">
        <w:rPr>
          <w:rFonts w:ascii="Book Antiqua" w:hAnsi="Book Antiqua"/>
          <w:color w:val="000000" w:themeColor="text1"/>
        </w:rPr>
        <w:t xml:space="preserve"> the interferon gr</w:t>
      </w:r>
      <w:r w:rsidR="00F06794" w:rsidRPr="000C4B7C">
        <w:rPr>
          <w:rFonts w:ascii="Book Antiqua" w:hAnsi="Book Antiqua"/>
          <w:color w:val="000000" w:themeColor="text1"/>
        </w:rPr>
        <w:t xml:space="preserve">oup </w:t>
      </w:r>
      <w:r w:rsidR="00F06794" w:rsidRPr="000C4B7C">
        <w:rPr>
          <w:rFonts w:ascii="Book Antiqua" w:hAnsi="Book Antiqua"/>
          <w:color w:val="000000" w:themeColor="text1"/>
          <w:lang w:eastAsia="zh-CN"/>
        </w:rPr>
        <w:t>[</w:t>
      </w:r>
      <w:r w:rsidR="00F06794" w:rsidRPr="000C4B7C">
        <w:rPr>
          <w:rFonts w:ascii="Book Antiqua" w:hAnsi="Book Antiqua"/>
          <w:color w:val="000000" w:themeColor="text1"/>
        </w:rPr>
        <w:t xml:space="preserve">Hazard ratio </w:t>
      </w:r>
      <w:r w:rsidR="00F06794" w:rsidRPr="000C4B7C">
        <w:rPr>
          <w:rFonts w:ascii="Book Antiqua" w:hAnsi="Book Antiqua"/>
          <w:color w:val="000000" w:themeColor="text1"/>
          <w:lang w:eastAsia="zh-CN"/>
        </w:rPr>
        <w:t>(</w:t>
      </w:r>
      <w:r w:rsidR="00D359A1" w:rsidRPr="000C4B7C">
        <w:rPr>
          <w:rFonts w:ascii="Book Antiqua" w:hAnsi="Book Antiqua"/>
          <w:color w:val="000000" w:themeColor="text1"/>
          <w:lang w:eastAsia="zh-CN"/>
        </w:rPr>
        <w:t>HR</w:t>
      </w:r>
      <w:r w:rsidR="00F06794" w:rsidRPr="000C4B7C">
        <w:rPr>
          <w:rFonts w:ascii="Book Antiqua" w:hAnsi="Book Antiqua"/>
          <w:color w:val="000000" w:themeColor="text1"/>
          <w:lang w:eastAsia="zh-CN"/>
        </w:rPr>
        <w:t>)</w:t>
      </w:r>
      <w:r w:rsidR="00ED12F2" w:rsidRPr="000C4B7C">
        <w:rPr>
          <w:rFonts w:ascii="Book Antiqua" w:hAnsi="Book Antiqua"/>
          <w:color w:val="000000" w:themeColor="text1"/>
        </w:rPr>
        <w:t>, 0.96; 95%CI</w:t>
      </w:r>
      <w:r w:rsidR="00ED12F2" w:rsidRPr="000C4B7C">
        <w:rPr>
          <w:rFonts w:ascii="Book Antiqua" w:hAnsi="Book Antiqua"/>
          <w:color w:val="000000" w:themeColor="text1"/>
          <w:lang w:eastAsia="zh-CN"/>
        </w:rPr>
        <w:t>:</w:t>
      </w:r>
      <w:r w:rsidRPr="000C4B7C">
        <w:rPr>
          <w:rFonts w:ascii="Book Antiqua" w:hAnsi="Book Antiqua"/>
          <w:color w:val="000000" w:themeColor="text1"/>
        </w:rPr>
        <w:t xml:space="preserve"> 0.76 to 1.20; </w:t>
      </w:r>
      <w:r w:rsidRPr="000C4B7C">
        <w:rPr>
          <w:rFonts w:ascii="Book Antiqua" w:hAnsi="Book Antiqua"/>
          <w:i/>
          <w:color w:val="000000" w:themeColor="text1"/>
        </w:rPr>
        <w:t>P</w:t>
      </w:r>
      <w:r w:rsidR="00ED12F2"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ED12F2" w:rsidRPr="000C4B7C">
        <w:rPr>
          <w:rFonts w:ascii="Book Antiqua" w:hAnsi="Book Antiqua"/>
          <w:color w:val="000000" w:themeColor="text1"/>
          <w:lang w:eastAsia="zh-CN"/>
        </w:rPr>
        <w:t xml:space="preserve"> </w:t>
      </w:r>
      <w:r w:rsidR="00F06794" w:rsidRPr="000C4B7C">
        <w:rPr>
          <w:rFonts w:ascii="Book Antiqua" w:hAnsi="Book Antiqua"/>
          <w:color w:val="000000" w:themeColor="text1"/>
        </w:rPr>
        <w:t>0.70</w:t>
      </w:r>
      <w:r w:rsidR="00F06794" w:rsidRPr="000C4B7C">
        <w:rPr>
          <w:rFonts w:ascii="Book Antiqua" w:hAnsi="Book Antiqua"/>
          <w:color w:val="000000" w:themeColor="text1"/>
          <w:lang w:eastAsia="zh-CN"/>
        </w:rPr>
        <w:t>]</w:t>
      </w:r>
      <w:r w:rsidRPr="000C4B7C">
        <w:rPr>
          <w:rFonts w:ascii="Book Antiqua" w:hAnsi="Book Antiqua"/>
          <w:color w:val="000000" w:themeColor="text1"/>
        </w:rPr>
        <w:t xml:space="preserve">. Median </w:t>
      </w:r>
      <w:r w:rsidR="00A000BF" w:rsidRPr="000C4B7C">
        <w:rPr>
          <w:rFonts w:ascii="Book Antiqua" w:hAnsi="Book Antiqua"/>
          <w:color w:val="000000" w:themeColor="text1"/>
        </w:rPr>
        <w:t>OS</w:t>
      </w:r>
      <w:r w:rsidRPr="000C4B7C">
        <w:rPr>
          <w:rFonts w:ascii="Book Antiqua" w:hAnsi="Book Antiqua"/>
          <w:color w:val="000000" w:themeColor="text1"/>
        </w:rPr>
        <w:t xml:space="preserve"> in the </w:t>
      </w:r>
      <w:r w:rsidRPr="000C4B7C">
        <w:rPr>
          <w:rFonts w:ascii="Book Antiqua" w:hAnsi="Book Antiqua"/>
          <w:color w:val="000000" w:themeColor="text1"/>
        </w:rPr>
        <w:lastRenderedPageBreak/>
        <w:t>interferon group, the temsirolimus</w:t>
      </w:r>
      <w:r w:rsidR="00AD5596" w:rsidRPr="000C4B7C">
        <w:rPr>
          <w:rFonts w:ascii="Book Antiqua" w:hAnsi="Book Antiqua"/>
          <w:color w:val="000000" w:themeColor="text1"/>
        </w:rPr>
        <w:t xml:space="preserve"> </w:t>
      </w:r>
      <w:r w:rsidRPr="000C4B7C">
        <w:rPr>
          <w:rFonts w:ascii="Book Antiqua" w:hAnsi="Book Antiqua"/>
          <w:color w:val="000000" w:themeColor="text1"/>
        </w:rPr>
        <w:t xml:space="preserve">group, and the combination-therapy group </w:t>
      </w:r>
      <w:r w:rsidR="00AE0900" w:rsidRPr="000C4B7C">
        <w:rPr>
          <w:rFonts w:ascii="Book Antiqua" w:hAnsi="Book Antiqua"/>
          <w:color w:val="000000" w:themeColor="text1"/>
        </w:rPr>
        <w:t>was</w:t>
      </w:r>
      <w:r w:rsidR="00ED12F2"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7.3, 10.9, and 8.4 </w:t>
      </w:r>
      <w:proofErr w:type="gramStart"/>
      <w:r w:rsidR="00ED12F2" w:rsidRPr="000C4B7C">
        <w:rPr>
          <w:rFonts w:ascii="Book Antiqua" w:hAnsi="Book Antiqua"/>
          <w:color w:val="000000" w:themeColor="text1"/>
          <w:lang w:eastAsia="zh-CN"/>
        </w:rPr>
        <w:t>mo</w:t>
      </w:r>
      <w:proofErr w:type="gramEnd"/>
      <w:r w:rsidRPr="000C4B7C">
        <w:rPr>
          <w:rFonts w:ascii="Book Antiqua" w:hAnsi="Book Antiqua"/>
          <w:color w:val="000000" w:themeColor="text1"/>
        </w:rPr>
        <w:t xml:space="preserve">, respectively. </w:t>
      </w:r>
      <w:r w:rsidR="000E1F23" w:rsidRPr="000C4B7C">
        <w:rPr>
          <w:rFonts w:ascii="Book Antiqua" w:hAnsi="Book Antiqua"/>
          <w:color w:val="000000" w:themeColor="text1"/>
        </w:rPr>
        <w:t>Ultimately, the</w:t>
      </w:r>
      <w:r w:rsidRPr="000C4B7C">
        <w:rPr>
          <w:rFonts w:ascii="Book Antiqua" w:hAnsi="Book Antiqua"/>
          <w:color w:val="000000" w:themeColor="text1"/>
        </w:rPr>
        <w:t xml:space="preserve"> addition of temsirolimus</w:t>
      </w:r>
      <w:r w:rsidR="00AD5596" w:rsidRPr="000C4B7C">
        <w:rPr>
          <w:rFonts w:ascii="Book Antiqua" w:hAnsi="Book Antiqua"/>
          <w:color w:val="000000" w:themeColor="text1"/>
        </w:rPr>
        <w:t xml:space="preserve"> </w:t>
      </w:r>
      <w:r w:rsidR="000E1F23" w:rsidRPr="000C4B7C">
        <w:rPr>
          <w:rFonts w:ascii="Book Antiqua" w:hAnsi="Book Antiqua"/>
          <w:color w:val="000000" w:themeColor="text1"/>
        </w:rPr>
        <w:t>to</w:t>
      </w:r>
      <w:r w:rsidRPr="000C4B7C">
        <w:rPr>
          <w:rFonts w:ascii="Book Antiqua" w:hAnsi="Book Antiqua"/>
          <w:color w:val="000000" w:themeColor="text1"/>
        </w:rPr>
        <w:t xml:space="preserve"> interferon did not improve </w:t>
      </w:r>
      <w:proofErr w:type="gramStart"/>
      <w:r w:rsidRPr="000C4B7C">
        <w:rPr>
          <w:rFonts w:ascii="Book Antiqua" w:hAnsi="Book Antiqua"/>
          <w:color w:val="000000" w:themeColor="text1"/>
        </w:rPr>
        <w:t>survival</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33]</w:t>
      </w:r>
      <w:r w:rsidR="00A50CAE" w:rsidRPr="000C4B7C">
        <w:rPr>
          <w:rFonts w:ascii="Book Antiqua" w:hAnsi="Book Antiqua"/>
          <w:color w:val="000000" w:themeColor="text1"/>
        </w:rPr>
        <w:t>.</w:t>
      </w:r>
    </w:p>
    <w:p w:rsidR="001108EE" w:rsidRPr="000C4B7C" w:rsidRDefault="002F441C" w:rsidP="000C4B7C">
      <w:pPr>
        <w:adjustRightInd w:val="0"/>
        <w:snapToGrid w:val="0"/>
        <w:spacing w:line="360" w:lineRule="auto"/>
        <w:ind w:firstLineChars="100" w:firstLine="240"/>
        <w:jc w:val="both"/>
        <w:rPr>
          <w:rFonts w:ascii="Book Antiqua" w:hAnsi="Book Antiqua"/>
          <w:b/>
          <w:color w:val="000000" w:themeColor="text1"/>
        </w:rPr>
      </w:pPr>
      <w:r w:rsidRPr="000C4B7C">
        <w:rPr>
          <w:rFonts w:ascii="Book Antiqua" w:hAnsi="Book Antiqua"/>
          <w:color w:val="000000" w:themeColor="text1"/>
        </w:rPr>
        <w:t xml:space="preserve">In a phase </w:t>
      </w:r>
      <w:r w:rsidR="00A000BF" w:rsidRPr="000C4B7C">
        <w:rPr>
          <w:rFonts w:ascii="Book Antiqua" w:hAnsi="Book Antiqua"/>
          <w:color w:val="000000" w:themeColor="text1"/>
        </w:rPr>
        <w:t>I</w:t>
      </w:r>
      <w:r w:rsidR="00395F09" w:rsidRPr="000C4B7C">
        <w:rPr>
          <w:rFonts w:ascii="Book Antiqua" w:hAnsi="Book Antiqua"/>
          <w:color w:val="000000" w:themeColor="text1"/>
        </w:rPr>
        <w:t xml:space="preserve"> dose escalation</w:t>
      </w:r>
      <w:r w:rsidRPr="000C4B7C">
        <w:rPr>
          <w:rFonts w:ascii="Book Antiqua" w:hAnsi="Book Antiqua"/>
          <w:color w:val="000000" w:themeColor="text1"/>
        </w:rPr>
        <w:t xml:space="preserve"> combination trial of tremelimumab plus sunitinib in mRCC patients, </w:t>
      </w:r>
      <w:r w:rsidR="0008052B" w:rsidRPr="000C4B7C">
        <w:rPr>
          <w:rFonts w:ascii="Book Antiqua" w:hAnsi="Book Antiqua"/>
          <w:color w:val="000000" w:themeColor="text1"/>
        </w:rPr>
        <w:t>9</w:t>
      </w:r>
      <w:r w:rsidR="00FD1D5C" w:rsidRPr="000C4B7C">
        <w:rPr>
          <w:rFonts w:ascii="Book Antiqua" w:hAnsi="Book Antiqua"/>
          <w:color w:val="000000" w:themeColor="text1"/>
          <w:lang w:eastAsia="zh-CN"/>
        </w:rPr>
        <w:t xml:space="preserve"> </w:t>
      </w:r>
      <w:r w:rsidRPr="000C4B7C">
        <w:rPr>
          <w:rFonts w:ascii="Book Antiqua" w:hAnsi="Book Antiqua"/>
          <w:color w:val="000000" w:themeColor="text1"/>
        </w:rPr>
        <w:t>of 21</w:t>
      </w:r>
      <w:r w:rsidR="005D2183" w:rsidRPr="000C4B7C">
        <w:rPr>
          <w:rFonts w:ascii="Book Antiqua" w:hAnsi="Book Antiqua"/>
          <w:color w:val="000000" w:themeColor="text1"/>
        </w:rPr>
        <w:t xml:space="preserve"> (43%)</w:t>
      </w:r>
      <w:r w:rsidRPr="000C4B7C">
        <w:rPr>
          <w:rFonts w:ascii="Book Antiqua" w:hAnsi="Book Antiqua"/>
          <w:color w:val="000000" w:themeColor="text1"/>
        </w:rPr>
        <w:t xml:space="preserve"> evaluable patients achieved partial response.</w:t>
      </w:r>
      <w:r w:rsidR="005D2183" w:rsidRPr="000C4B7C">
        <w:rPr>
          <w:rFonts w:ascii="Book Antiqua" w:hAnsi="Book Antiqua"/>
          <w:color w:val="000000" w:themeColor="text1"/>
        </w:rPr>
        <w:t xml:space="preserve"> All patients developed treatment</w:t>
      </w:r>
      <w:r w:rsidR="005D2183" w:rsidRPr="000C4B7C">
        <w:rPr>
          <w:rFonts w:ascii="宋体" w:eastAsia="宋体" w:hAnsi="宋体" w:cs="宋体" w:hint="eastAsia"/>
          <w:color w:val="000000" w:themeColor="text1"/>
        </w:rPr>
        <w:t>‐</w:t>
      </w:r>
      <w:r w:rsidR="005D2183" w:rsidRPr="000C4B7C">
        <w:rPr>
          <w:rFonts w:ascii="Book Antiqua" w:hAnsi="Book Antiqua"/>
          <w:color w:val="000000" w:themeColor="text1"/>
        </w:rPr>
        <w:t>related AEs, ten patients (36%) had serious AEs, and</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 xml:space="preserve">seventeen patients (61%) had </w:t>
      </w:r>
      <w:proofErr w:type="gramStart"/>
      <w:r w:rsidR="005D2183" w:rsidRPr="000C4B7C">
        <w:rPr>
          <w:rFonts w:ascii="Book Antiqua" w:hAnsi="Book Antiqua"/>
          <w:color w:val="000000" w:themeColor="text1"/>
        </w:rPr>
        <w:t>grade</w:t>
      </w:r>
      <w:proofErr w:type="gramEnd"/>
      <w:r w:rsidR="005D2183" w:rsidRPr="000C4B7C">
        <w:rPr>
          <w:rFonts w:ascii="Book Antiqua" w:hAnsi="Book Antiqua"/>
          <w:color w:val="000000" w:themeColor="text1"/>
        </w:rPr>
        <w:t xml:space="preserve"> 3 or 4 AEs. DLTs were reported in 2/5 patients receiving </w:t>
      </w:r>
      <w:r w:rsidR="00E855C9" w:rsidRPr="000C4B7C">
        <w:rPr>
          <w:rFonts w:ascii="Book Antiqua" w:hAnsi="Book Antiqua"/>
          <w:color w:val="000000" w:themeColor="text1"/>
        </w:rPr>
        <w:t>s</w:t>
      </w:r>
      <w:r w:rsidR="005D2183" w:rsidRPr="000C4B7C">
        <w:rPr>
          <w:rFonts w:ascii="Book Antiqua" w:hAnsi="Book Antiqua"/>
          <w:color w:val="000000" w:themeColor="text1"/>
        </w:rPr>
        <w:t>unitinib 50</w:t>
      </w:r>
      <w:r w:rsidR="002D68C1"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mg/d plus tremelimumab 6 mg/kg resulting in further exploration</w:t>
      </w:r>
      <w:r w:rsidR="00E855C9" w:rsidRPr="000C4B7C">
        <w:rPr>
          <w:rFonts w:ascii="Book Antiqua" w:hAnsi="Book Antiqua"/>
          <w:color w:val="000000" w:themeColor="text1"/>
        </w:rPr>
        <w:t xml:space="preserve"> done with lowered sunitinib do</w:t>
      </w:r>
      <w:r w:rsidR="005D2183" w:rsidRPr="000C4B7C">
        <w:rPr>
          <w:rFonts w:ascii="Book Antiqua" w:hAnsi="Book Antiqua"/>
          <w:color w:val="000000" w:themeColor="text1"/>
        </w:rPr>
        <w:t>se at 37.5</w:t>
      </w:r>
      <w:r w:rsidR="00FD1D5C"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mg/d. Of these 4/14 (29%) and 3/6 (50%) developed DLTs with tremelimumab at 10</w:t>
      </w:r>
      <w:r w:rsidR="00FD1D5C" w:rsidRPr="000C4B7C">
        <w:rPr>
          <w:rFonts w:ascii="Book Antiqua" w:hAnsi="Book Antiqua"/>
          <w:color w:val="000000" w:themeColor="text1"/>
          <w:lang w:eastAsia="zh-CN"/>
        </w:rPr>
        <w:t xml:space="preserve"> </w:t>
      </w:r>
      <w:r w:rsidR="005D2183" w:rsidRPr="000C4B7C">
        <w:rPr>
          <w:rFonts w:ascii="Book Antiqua" w:hAnsi="Book Antiqua"/>
          <w:color w:val="000000" w:themeColor="text1"/>
        </w:rPr>
        <w:t>mg/</w:t>
      </w:r>
      <w:r w:rsidR="00FD1D5C" w:rsidRPr="000C4B7C">
        <w:rPr>
          <w:rFonts w:ascii="Book Antiqua" w:hAnsi="Book Antiqua"/>
          <w:color w:val="000000" w:themeColor="text1"/>
        </w:rPr>
        <w:t>k</w:t>
      </w:r>
      <w:r w:rsidR="005D2183" w:rsidRPr="000C4B7C">
        <w:rPr>
          <w:rFonts w:ascii="Book Antiqua" w:hAnsi="Book Antiqua"/>
          <w:color w:val="000000" w:themeColor="text1"/>
        </w:rPr>
        <w:t>g and 15 mg/kg</w:t>
      </w:r>
      <w:r w:rsidR="001970C2" w:rsidRPr="000C4B7C">
        <w:rPr>
          <w:rFonts w:ascii="Book Antiqua" w:hAnsi="Book Antiqua"/>
          <w:color w:val="000000" w:themeColor="text1"/>
        </w:rPr>
        <w:t>,</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respectively.</w:t>
      </w:r>
      <w:r w:rsidR="008314A9" w:rsidRPr="000C4B7C">
        <w:rPr>
          <w:rFonts w:ascii="Book Antiqua" w:hAnsi="Book Antiqua"/>
          <w:color w:val="000000" w:themeColor="text1"/>
        </w:rPr>
        <w:t xml:space="preserve"> </w:t>
      </w:r>
      <w:r w:rsidR="005D2183" w:rsidRPr="000C4B7C">
        <w:rPr>
          <w:rFonts w:ascii="Book Antiqua" w:hAnsi="Book Antiqua"/>
          <w:color w:val="000000" w:themeColor="text1"/>
        </w:rPr>
        <w:t>Acute</w:t>
      </w:r>
      <w:r w:rsidR="00991C2B" w:rsidRPr="000C4B7C">
        <w:rPr>
          <w:rFonts w:ascii="Book Antiqua" w:hAnsi="Book Antiqua"/>
          <w:color w:val="000000" w:themeColor="text1"/>
        </w:rPr>
        <w:t xml:space="preserve"> renal failure was the most common DLT</w:t>
      </w:r>
      <w:r w:rsidR="005D2183" w:rsidRPr="000C4B7C">
        <w:rPr>
          <w:rFonts w:ascii="Book Antiqua" w:hAnsi="Book Antiqua"/>
          <w:color w:val="000000" w:themeColor="text1"/>
        </w:rPr>
        <w:t xml:space="preserve"> reported in 4 patients (14%</w:t>
      </w:r>
      <w:proofErr w:type="gramStart"/>
      <w:r w:rsidR="005D2183" w:rsidRPr="000C4B7C">
        <w:rPr>
          <w:rFonts w:ascii="Book Antiqua" w:hAnsi="Book Antiqua"/>
          <w:color w:val="000000" w:themeColor="text1"/>
        </w:rPr>
        <w:t>)</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34]</w:t>
      </w:r>
      <w:r w:rsidR="00040BC6" w:rsidRPr="000C4B7C">
        <w:rPr>
          <w:rFonts w:ascii="Book Antiqua" w:hAnsi="Book Antiqua"/>
          <w:color w:val="000000" w:themeColor="text1"/>
          <w:lang w:eastAsia="zh-CN"/>
        </w:rPr>
        <w:t xml:space="preserve"> </w:t>
      </w:r>
      <w:r w:rsidR="003826EF" w:rsidRPr="000C4B7C">
        <w:rPr>
          <w:rFonts w:ascii="Book Antiqua" w:hAnsi="Book Antiqua"/>
          <w:color w:val="000000" w:themeColor="text1"/>
        </w:rPr>
        <w:t>though it</w:t>
      </w:r>
      <w:r w:rsidR="008314A9" w:rsidRPr="000C4B7C">
        <w:rPr>
          <w:rFonts w:ascii="Book Antiqua" w:hAnsi="Book Antiqua"/>
          <w:color w:val="000000" w:themeColor="text1"/>
        </w:rPr>
        <w:t xml:space="preserve"> </w:t>
      </w:r>
      <w:r w:rsidR="001108EE" w:rsidRPr="000C4B7C">
        <w:rPr>
          <w:rFonts w:ascii="Book Antiqua" w:hAnsi="Book Antiqua"/>
          <w:color w:val="000000" w:themeColor="text1"/>
        </w:rPr>
        <w:t>is not a common toxicity with either drug used alone. Acute renal failure did not appear to be related to tremelimumab concentration as deduced from the limited pharmacokinetic data available. The relationship with sunitinib could not be determined. Fever was noted to accompany all acute renal failure events postulating the possibility of an immune-related mechanism when the two drugs are used in combination.</w:t>
      </w:r>
      <w:r w:rsidR="008314A9" w:rsidRPr="000C4B7C">
        <w:rPr>
          <w:rFonts w:ascii="Book Antiqua" w:hAnsi="Book Antiqua"/>
          <w:color w:val="000000" w:themeColor="text1"/>
        </w:rPr>
        <w:t xml:space="preserve"> </w:t>
      </w:r>
      <w:r w:rsidR="00E859FD" w:rsidRPr="000C4B7C">
        <w:rPr>
          <w:rFonts w:ascii="Book Antiqua" w:hAnsi="Book Antiqua"/>
          <w:color w:val="000000" w:themeColor="text1"/>
        </w:rPr>
        <w:t xml:space="preserve">Given the high incidence of renal failure, further evaluation of doses more than 6 mg/kg </w:t>
      </w:r>
      <w:r w:rsidR="00E859FD" w:rsidRPr="000C4B7C">
        <w:rPr>
          <w:rFonts w:ascii="Book Antiqua" w:hAnsi="Book Antiqua" w:cs="Arial"/>
          <w:color w:val="000000" w:themeColor="text1"/>
          <w:shd w:val="clear" w:color="auto" w:fill="FFFFFF"/>
        </w:rPr>
        <w:t>tremelimumab plus sunitinib 37.5 mg daily was not recommended.</w:t>
      </w:r>
    </w:p>
    <w:p w:rsidR="00991C2B" w:rsidRPr="000C4B7C" w:rsidRDefault="00991C2B" w:rsidP="000C4B7C">
      <w:pPr>
        <w:adjustRightInd w:val="0"/>
        <w:snapToGrid w:val="0"/>
        <w:spacing w:line="360" w:lineRule="auto"/>
        <w:jc w:val="both"/>
        <w:rPr>
          <w:rFonts w:ascii="Book Antiqua" w:hAnsi="Book Antiqua"/>
          <w:color w:val="000000" w:themeColor="text1"/>
        </w:rPr>
      </w:pPr>
    </w:p>
    <w:p w:rsidR="00941891" w:rsidRPr="000C4B7C" w:rsidRDefault="006833D8"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Approved </w:t>
      </w:r>
      <w:r w:rsidR="00942593" w:rsidRPr="000C4B7C">
        <w:rPr>
          <w:rFonts w:ascii="Book Antiqua" w:hAnsi="Book Antiqua"/>
          <w:b/>
          <w:i/>
          <w:color w:val="000000" w:themeColor="text1"/>
        </w:rPr>
        <w:t>combination therapies</w:t>
      </w:r>
    </w:p>
    <w:p w:rsidR="00E97938" w:rsidRPr="000C4B7C" w:rsidRDefault="0094189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Currently, there are </w:t>
      </w:r>
      <w:r w:rsidR="006E2E26" w:rsidRPr="000C4B7C">
        <w:rPr>
          <w:rFonts w:ascii="Book Antiqua" w:hAnsi="Book Antiqua"/>
          <w:color w:val="000000" w:themeColor="text1"/>
        </w:rPr>
        <w:t>five</w:t>
      </w:r>
      <w:r w:rsidR="008314A9" w:rsidRPr="000C4B7C">
        <w:rPr>
          <w:rFonts w:ascii="Book Antiqua" w:hAnsi="Book Antiqua"/>
          <w:color w:val="000000" w:themeColor="text1"/>
        </w:rPr>
        <w:t xml:space="preserve"> </w:t>
      </w:r>
      <w:r w:rsidRPr="000C4B7C">
        <w:rPr>
          <w:rFonts w:ascii="Book Antiqua" w:hAnsi="Book Antiqua"/>
          <w:color w:val="000000" w:themeColor="text1"/>
        </w:rPr>
        <w:t>FDA approved combination therapies</w:t>
      </w:r>
      <w:r w:rsidR="007B5726" w:rsidRPr="000C4B7C">
        <w:rPr>
          <w:rFonts w:ascii="Book Antiqua" w:hAnsi="Book Antiqua"/>
          <w:color w:val="000000" w:themeColor="text1"/>
        </w:rPr>
        <w:t xml:space="preserve"> for mRCC (Table </w:t>
      </w:r>
      <w:r w:rsidR="0067058F" w:rsidRPr="000C4B7C">
        <w:rPr>
          <w:rFonts w:ascii="Book Antiqua" w:hAnsi="Book Antiqua"/>
          <w:color w:val="000000" w:themeColor="text1"/>
        </w:rPr>
        <w:t>4</w:t>
      </w:r>
      <w:r w:rsidR="00E977A7" w:rsidRPr="000C4B7C">
        <w:rPr>
          <w:rFonts w:ascii="Book Antiqua" w:hAnsi="Book Antiqua"/>
          <w:color w:val="000000" w:themeColor="text1"/>
        </w:rPr>
        <w:t>)</w:t>
      </w:r>
      <w:r w:rsidR="00681603" w:rsidRPr="000C4B7C">
        <w:rPr>
          <w:rFonts w:ascii="Book Antiqua" w:hAnsi="Book Antiqua"/>
          <w:color w:val="000000" w:themeColor="text1"/>
        </w:rPr>
        <w:t>.</w:t>
      </w:r>
    </w:p>
    <w:p w:rsidR="00E97938" w:rsidRPr="000C4B7C" w:rsidRDefault="00E97938" w:rsidP="000C4B7C">
      <w:pPr>
        <w:adjustRightInd w:val="0"/>
        <w:snapToGrid w:val="0"/>
        <w:spacing w:line="360" w:lineRule="auto"/>
        <w:jc w:val="both"/>
        <w:rPr>
          <w:rFonts w:ascii="Book Antiqua" w:hAnsi="Book Antiqua"/>
          <w:color w:val="000000" w:themeColor="text1"/>
        </w:rPr>
      </w:pPr>
    </w:p>
    <w:p w:rsidR="00F20DCB"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 xml:space="preserve">Bevacizumab </w:t>
      </w:r>
      <w:r w:rsidR="00671327" w:rsidRPr="000C4B7C">
        <w:rPr>
          <w:rFonts w:ascii="Book Antiqua" w:eastAsia="Times New Roman" w:hAnsi="Book Antiqua"/>
          <w:b/>
          <w:color w:val="000000" w:themeColor="text1"/>
        </w:rPr>
        <w:t xml:space="preserve">plus </w:t>
      </w:r>
      <w:r w:rsidRPr="000C4B7C">
        <w:rPr>
          <w:rFonts w:ascii="Book Antiqua" w:eastAsia="Times New Roman" w:hAnsi="Book Antiqua"/>
          <w:b/>
          <w:color w:val="000000" w:themeColor="text1"/>
        </w:rPr>
        <w:t>IFN</w:t>
      </w:r>
      <w:r w:rsidR="00A755BE" w:rsidRPr="000C4B7C">
        <w:rPr>
          <w:rFonts w:ascii="Book Antiqua" w:eastAsia="Times New Roman" w:hAnsi="Book Antiqua"/>
          <w:b/>
          <w:color w:val="000000" w:themeColor="text1"/>
        </w:rPr>
        <w:t>-</w:t>
      </w:r>
      <w:r w:rsidR="00001D0E" w:rsidRPr="000C4B7C">
        <w:rPr>
          <w:rFonts w:ascii="Book Antiqua" w:hAnsi="Book Antiqua"/>
          <w:b/>
          <w:color w:val="000000" w:themeColor="text1"/>
        </w:rPr>
        <w:t>α</w:t>
      </w:r>
      <w:r w:rsidR="00942593" w:rsidRPr="000C4B7C">
        <w:rPr>
          <w:rFonts w:ascii="Book Antiqua" w:hAnsi="Book Antiqua"/>
          <w:b/>
          <w:color w:val="000000" w:themeColor="text1"/>
          <w:lang w:eastAsia="zh-CN"/>
        </w:rPr>
        <w:t xml:space="preserve">: </w:t>
      </w:r>
      <w:r w:rsidRPr="000C4B7C">
        <w:rPr>
          <w:rFonts w:ascii="Book Antiqua" w:hAnsi="Book Antiqua"/>
          <w:color w:val="000000" w:themeColor="text1"/>
        </w:rPr>
        <w:t xml:space="preserve">A multicenter, randomized, double-blind phase III trial compared OS, </w:t>
      </w:r>
      <w:r w:rsidR="00FD4310" w:rsidRPr="000C4B7C">
        <w:rPr>
          <w:rFonts w:ascii="Book Antiqua" w:hAnsi="Book Antiqua"/>
          <w:color w:val="000000" w:themeColor="text1"/>
        </w:rPr>
        <w:t>PFS</w:t>
      </w:r>
      <w:r w:rsidR="00F55477" w:rsidRPr="000C4B7C">
        <w:rPr>
          <w:rFonts w:ascii="Book Antiqua" w:hAnsi="Book Antiqua"/>
          <w:color w:val="000000" w:themeColor="text1"/>
        </w:rPr>
        <w:t>,</w:t>
      </w:r>
      <w:r w:rsidRPr="000C4B7C">
        <w:rPr>
          <w:rFonts w:ascii="Book Antiqua" w:hAnsi="Book Antiqua"/>
          <w:color w:val="000000" w:themeColor="text1"/>
        </w:rPr>
        <w:t xml:space="preserve"> and safety in 649 patients who either received bevacizumab plus IFN-α or placebo plus IFN-α. A total of 641 patients were treated with 325 in the combination group and 316 in the placebo plus IFN-α group. The combination group of bevacizumab plus IFN-α had a significantly longer PFS (10.2 </w:t>
      </w:r>
      <w:r w:rsidR="00942593" w:rsidRPr="000C4B7C">
        <w:rPr>
          <w:rFonts w:ascii="Book Antiqua" w:hAnsi="Book Antiqua"/>
          <w:color w:val="000000" w:themeColor="text1"/>
          <w:lang w:eastAsia="zh-CN"/>
        </w:rPr>
        <w:t>mo</w:t>
      </w:r>
      <w:r w:rsidR="00942593" w:rsidRPr="000C4B7C">
        <w:rPr>
          <w:rFonts w:ascii="Book Antiqua" w:hAnsi="Book Antiqua"/>
          <w:i/>
          <w:color w:val="000000" w:themeColor="text1"/>
        </w:rPr>
        <w:t xml:space="preserve"> </w:t>
      </w:r>
      <w:r w:rsidRPr="000C4B7C">
        <w:rPr>
          <w:rFonts w:ascii="Book Antiqua" w:hAnsi="Book Antiqua"/>
          <w:i/>
          <w:color w:val="000000" w:themeColor="text1"/>
        </w:rPr>
        <w:t>vs</w:t>
      </w:r>
      <w:r w:rsidRPr="000C4B7C">
        <w:rPr>
          <w:rFonts w:ascii="Book Antiqua" w:hAnsi="Book Antiqua"/>
          <w:color w:val="000000" w:themeColor="text1"/>
        </w:rPr>
        <w:t xml:space="preserve"> 5.4 </w:t>
      </w:r>
      <w:r w:rsidR="00942593" w:rsidRPr="000C4B7C">
        <w:rPr>
          <w:rFonts w:ascii="Book Antiqua" w:hAnsi="Book Antiqua"/>
          <w:color w:val="000000" w:themeColor="text1"/>
          <w:lang w:eastAsia="zh-CN"/>
        </w:rPr>
        <w:t>mo</w:t>
      </w:r>
      <w:r w:rsidRPr="000C4B7C">
        <w:rPr>
          <w:rFonts w:ascii="Book Antiqua" w:hAnsi="Book Antiqua"/>
          <w:color w:val="000000" w:themeColor="text1"/>
        </w:rPr>
        <w:t xml:space="preserve">) and </w:t>
      </w:r>
      <w:r w:rsidR="00FD4310" w:rsidRPr="000C4B7C">
        <w:rPr>
          <w:rFonts w:ascii="Book Antiqua" w:hAnsi="Book Antiqua"/>
          <w:color w:val="000000" w:themeColor="text1"/>
        </w:rPr>
        <w:t>ORR</w:t>
      </w:r>
      <w:r w:rsidRPr="000C4B7C">
        <w:rPr>
          <w:rFonts w:ascii="Book Antiqua" w:hAnsi="Book Antiqua"/>
          <w:color w:val="000000" w:themeColor="text1"/>
        </w:rPr>
        <w:t xml:space="preserve"> (30.6% </w:t>
      </w:r>
      <w:r w:rsidRPr="000C4B7C">
        <w:rPr>
          <w:rFonts w:ascii="Book Antiqua" w:hAnsi="Book Antiqua"/>
          <w:i/>
          <w:color w:val="000000" w:themeColor="text1"/>
        </w:rPr>
        <w:t>vs</w:t>
      </w:r>
      <w:r w:rsidRPr="000C4B7C">
        <w:rPr>
          <w:rFonts w:ascii="Book Antiqua" w:hAnsi="Book Antiqua"/>
          <w:color w:val="000000" w:themeColor="text1"/>
        </w:rPr>
        <w:t xml:space="preserve"> 12.4%). </w:t>
      </w:r>
      <w:r w:rsidR="0035052D" w:rsidRPr="000C4B7C">
        <w:rPr>
          <w:rFonts w:ascii="Book Antiqua" w:hAnsi="Book Antiqua"/>
          <w:color w:val="000000" w:themeColor="text1"/>
        </w:rPr>
        <w:t>T</w:t>
      </w:r>
      <w:r w:rsidRPr="000C4B7C">
        <w:rPr>
          <w:rFonts w:ascii="Book Antiqua" w:hAnsi="Book Antiqua"/>
          <w:color w:val="000000" w:themeColor="text1"/>
        </w:rPr>
        <w:t>here</w:t>
      </w:r>
      <w:r w:rsidR="008314A9" w:rsidRPr="000C4B7C">
        <w:rPr>
          <w:rFonts w:ascii="Book Antiqua" w:hAnsi="Book Antiqua"/>
          <w:color w:val="000000" w:themeColor="text1"/>
        </w:rPr>
        <w:t xml:space="preserve"> </w:t>
      </w:r>
      <w:r w:rsidR="00AE0900" w:rsidRPr="000C4B7C">
        <w:rPr>
          <w:rFonts w:ascii="Book Antiqua" w:hAnsi="Book Antiqua"/>
          <w:color w:val="000000" w:themeColor="text1"/>
        </w:rPr>
        <w:t>were</w:t>
      </w:r>
      <w:r w:rsidR="008314A9" w:rsidRPr="000C4B7C">
        <w:rPr>
          <w:rFonts w:ascii="Book Antiqua" w:hAnsi="Book Antiqua"/>
          <w:color w:val="000000" w:themeColor="text1"/>
        </w:rPr>
        <w:t xml:space="preserve"> </w:t>
      </w:r>
      <w:r w:rsidRPr="000C4B7C">
        <w:rPr>
          <w:rFonts w:ascii="Book Antiqua" w:hAnsi="Book Antiqua"/>
          <w:color w:val="000000" w:themeColor="text1"/>
        </w:rPr>
        <w:t xml:space="preserve">significantly more grade 3 or higher adverse events for the </w:t>
      </w:r>
      <w:r w:rsidRPr="000C4B7C">
        <w:rPr>
          <w:rFonts w:ascii="Book Antiqua" w:hAnsi="Book Antiqua"/>
          <w:color w:val="000000" w:themeColor="text1"/>
        </w:rPr>
        <w:lastRenderedPageBreak/>
        <w:t xml:space="preserve">bevacizumab group than the control group in terms of fatigue (12% </w:t>
      </w:r>
      <w:r w:rsidRPr="000C4B7C">
        <w:rPr>
          <w:rFonts w:ascii="Book Antiqua" w:hAnsi="Book Antiqua"/>
          <w:i/>
          <w:color w:val="000000" w:themeColor="text1"/>
        </w:rPr>
        <w:t>vs</w:t>
      </w:r>
      <w:r w:rsidRPr="000C4B7C">
        <w:rPr>
          <w:rFonts w:ascii="Book Antiqua" w:hAnsi="Book Antiqua"/>
          <w:color w:val="000000" w:themeColor="text1"/>
        </w:rPr>
        <w:t xml:space="preserve"> 8%) and asthenia (10% </w:t>
      </w:r>
      <w:r w:rsidRPr="000C4B7C">
        <w:rPr>
          <w:rFonts w:ascii="Book Antiqua" w:hAnsi="Book Antiqua"/>
          <w:i/>
          <w:color w:val="000000" w:themeColor="text1"/>
        </w:rPr>
        <w:t>vs</w:t>
      </w:r>
      <w:r w:rsidRPr="000C4B7C">
        <w:rPr>
          <w:rFonts w:ascii="Book Antiqua" w:hAnsi="Book Antiqua"/>
          <w:color w:val="000000" w:themeColor="text1"/>
        </w:rPr>
        <w:t xml:space="preserve"> 7%)</w:t>
      </w:r>
      <w:r w:rsidR="00A470C8" w:rsidRPr="000C4B7C">
        <w:rPr>
          <w:rFonts w:ascii="Book Antiqua" w:hAnsi="Book Antiqua"/>
          <w:noProof/>
          <w:color w:val="000000" w:themeColor="text1"/>
          <w:vertAlign w:val="superscript"/>
        </w:rPr>
        <w:t>[35]</w:t>
      </w:r>
      <w:r w:rsidR="00EC1069" w:rsidRPr="000C4B7C">
        <w:rPr>
          <w:rFonts w:ascii="Book Antiqua" w:hAnsi="Book Antiqua"/>
          <w:color w:val="000000" w:themeColor="text1"/>
        </w:rPr>
        <w:t>, but toxi</w:t>
      </w:r>
      <w:r w:rsidR="00E855C9" w:rsidRPr="000C4B7C">
        <w:rPr>
          <w:rFonts w:ascii="Book Antiqua" w:hAnsi="Book Antiqua"/>
          <w:color w:val="000000" w:themeColor="text1"/>
        </w:rPr>
        <w:t>city was felt to be acceptable.</w:t>
      </w:r>
    </w:p>
    <w:p w:rsidR="00CC3AF5" w:rsidRPr="000C4B7C" w:rsidRDefault="004A569C"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In a similar trial, </w:t>
      </w:r>
      <w:r w:rsidR="00E51B79" w:rsidRPr="000C4B7C">
        <w:rPr>
          <w:rFonts w:ascii="Book Antiqua" w:hAnsi="Book Antiqua"/>
          <w:color w:val="000000" w:themeColor="text1"/>
        </w:rPr>
        <w:t>patients with previously untreated mRCC</w:t>
      </w:r>
      <w:r w:rsidRPr="000C4B7C">
        <w:rPr>
          <w:rFonts w:ascii="Book Antiqua" w:hAnsi="Book Antiqua"/>
          <w:color w:val="000000" w:themeColor="text1"/>
        </w:rPr>
        <w:t xml:space="preserve"> (</w:t>
      </w:r>
      <w:r w:rsidRPr="000C4B7C">
        <w:rPr>
          <w:rFonts w:ascii="Book Antiqua" w:hAnsi="Book Antiqua"/>
          <w:i/>
          <w:color w:val="000000" w:themeColor="text1"/>
        </w:rPr>
        <w:t>n</w:t>
      </w:r>
      <w:r w:rsidR="007F33CE"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7F33CE" w:rsidRPr="000C4B7C">
        <w:rPr>
          <w:rFonts w:ascii="Book Antiqua" w:hAnsi="Book Antiqua"/>
          <w:color w:val="000000" w:themeColor="text1"/>
          <w:lang w:eastAsia="zh-CN"/>
        </w:rPr>
        <w:t xml:space="preserve"> </w:t>
      </w:r>
      <w:r w:rsidRPr="000C4B7C">
        <w:rPr>
          <w:rFonts w:ascii="Book Antiqua" w:hAnsi="Book Antiqua"/>
          <w:color w:val="000000" w:themeColor="text1"/>
        </w:rPr>
        <w:t>732)</w:t>
      </w:r>
      <w:r w:rsidR="00E51B79" w:rsidRPr="000C4B7C">
        <w:rPr>
          <w:rFonts w:ascii="Book Antiqua" w:hAnsi="Book Antiqua"/>
          <w:color w:val="000000" w:themeColor="text1"/>
        </w:rPr>
        <w:t xml:space="preserve"> were randomized to receive either IFN-α monotherapy or the combination of bevacizumab plus IFN-α. The PFS of the combination group was higher than the control group (8.5 </w:t>
      </w:r>
      <w:r w:rsidR="008416BB" w:rsidRPr="000C4B7C">
        <w:rPr>
          <w:rFonts w:ascii="Book Antiqua" w:hAnsi="Book Antiqua"/>
          <w:color w:val="000000" w:themeColor="text1"/>
          <w:lang w:eastAsia="zh-CN"/>
        </w:rPr>
        <w:t>mo</w:t>
      </w:r>
      <w:r w:rsidR="008416BB" w:rsidRPr="000C4B7C">
        <w:rPr>
          <w:rFonts w:ascii="Book Antiqua" w:hAnsi="Book Antiqua"/>
          <w:color w:val="000000" w:themeColor="text1"/>
        </w:rPr>
        <w:t xml:space="preserve">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5.2 </w:t>
      </w:r>
      <w:r w:rsidR="008416BB" w:rsidRPr="000C4B7C">
        <w:rPr>
          <w:rFonts w:ascii="Book Antiqua" w:hAnsi="Book Antiqua"/>
          <w:color w:val="000000" w:themeColor="text1"/>
          <w:lang w:eastAsia="zh-CN"/>
        </w:rPr>
        <w:t>mo</w:t>
      </w:r>
      <w:r w:rsidR="00E51B79" w:rsidRPr="000C4B7C">
        <w:rPr>
          <w:rFonts w:ascii="Book Antiqua" w:hAnsi="Book Antiqua"/>
          <w:color w:val="000000" w:themeColor="text1"/>
        </w:rPr>
        <w:t xml:space="preserve">) but the OS was not significant (18.3 </w:t>
      </w:r>
      <w:r w:rsidR="008416BB" w:rsidRPr="000C4B7C">
        <w:rPr>
          <w:rFonts w:ascii="Book Antiqua" w:hAnsi="Book Antiqua"/>
          <w:color w:val="000000" w:themeColor="text1"/>
          <w:lang w:eastAsia="zh-CN"/>
        </w:rPr>
        <w:t>mo</w:t>
      </w:r>
      <w:r w:rsidR="008416BB" w:rsidRPr="000C4B7C">
        <w:rPr>
          <w:rFonts w:ascii="Book Antiqua" w:hAnsi="Book Antiqua"/>
          <w:color w:val="000000" w:themeColor="text1"/>
        </w:rPr>
        <w:t xml:space="preserve">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17.4 </w:t>
      </w:r>
      <w:r w:rsidR="008416BB" w:rsidRPr="000C4B7C">
        <w:rPr>
          <w:rFonts w:ascii="Book Antiqua" w:hAnsi="Book Antiqua"/>
          <w:color w:val="000000" w:themeColor="text1"/>
          <w:lang w:eastAsia="zh-CN"/>
        </w:rPr>
        <w:t>mo</w:t>
      </w:r>
      <w:r w:rsidR="00E51B79" w:rsidRPr="000C4B7C">
        <w:rPr>
          <w:rFonts w:ascii="Book Antiqua" w:hAnsi="Book Antiqua"/>
          <w:color w:val="000000" w:themeColor="text1"/>
        </w:rPr>
        <w:t xml:space="preserve">). The combination group had a higher objective response rate (25.5% </w:t>
      </w:r>
      <w:r w:rsidR="00E51B79" w:rsidRPr="000C4B7C">
        <w:rPr>
          <w:rFonts w:ascii="Book Antiqua" w:hAnsi="Book Antiqua"/>
          <w:i/>
          <w:color w:val="000000" w:themeColor="text1"/>
        </w:rPr>
        <w:t>vs</w:t>
      </w:r>
      <w:r w:rsidR="00E51B79" w:rsidRPr="000C4B7C">
        <w:rPr>
          <w:rFonts w:ascii="Book Antiqua" w:hAnsi="Book Antiqua"/>
          <w:color w:val="000000" w:themeColor="text1"/>
        </w:rPr>
        <w:t xml:space="preserve"> 13.1%). </w:t>
      </w:r>
      <w:r w:rsidR="0035052D" w:rsidRPr="000C4B7C">
        <w:rPr>
          <w:rFonts w:ascii="Book Antiqua" w:hAnsi="Book Antiqua"/>
          <w:color w:val="000000" w:themeColor="text1"/>
        </w:rPr>
        <w:t>T</w:t>
      </w:r>
      <w:r w:rsidR="00E51B79" w:rsidRPr="000C4B7C">
        <w:rPr>
          <w:rFonts w:ascii="Book Antiqua" w:hAnsi="Book Antiqua"/>
          <w:color w:val="000000" w:themeColor="text1"/>
        </w:rPr>
        <w:t>here was significantly greater toxicity in the bevacizumab plus IFN-α group than the control group in the form on grade 3 to 4 hypertension, fati</w:t>
      </w:r>
      <w:r w:rsidR="008416BB" w:rsidRPr="000C4B7C">
        <w:rPr>
          <w:rFonts w:ascii="Book Antiqua" w:hAnsi="Book Antiqua"/>
          <w:color w:val="000000" w:themeColor="text1"/>
        </w:rPr>
        <w:t xml:space="preserve">gue, anorexia, and </w:t>
      </w:r>
      <w:proofErr w:type="gramStart"/>
      <w:r w:rsidR="008416BB" w:rsidRPr="000C4B7C">
        <w:rPr>
          <w:rFonts w:ascii="Book Antiqua" w:hAnsi="Book Antiqua"/>
          <w:color w:val="000000" w:themeColor="text1"/>
        </w:rPr>
        <w:t>proteinuria</w:t>
      </w:r>
      <w:r w:rsidR="00A470C8" w:rsidRPr="000C4B7C">
        <w:rPr>
          <w:rFonts w:ascii="Book Antiqua" w:hAnsi="Book Antiqua"/>
          <w:noProof/>
          <w:color w:val="000000" w:themeColor="text1"/>
          <w:vertAlign w:val="superscript"/>
        </w:rPr>
        <w:t>[</w:t>
      </w:r>
      <w:proofErr w:type="gramEnd"/>
      <w:r w:rsidR="00A470C8" w:rsidRPr="000C4B7C">
        <w:rPr>
          <w:rFonts w:ascii="Book Antiqua" w:hAnsi="Book Antiqua"/>
          <w:noProof/>
          <w:color w:val="000000" w:themeColor="text1"/>
          <w:vertAlign w:val="superscript"/>
        </w:rPr>
        <w:t>36]</w:t>
      </w:r>
      <w:r w:rsidR="0098248E" w:rsidRPr="000C4B7C">
        <w:rPr>
          <w:rFonts w:ascii="Book Antiqua" w:hAnsi="Book Antiqua"/>
          <w:color w:val="000000" w:themeColor="text1"/>
        </w:rPr>
        <w:t>.</w:t>
      </w:r>
      <w:r w:rsidR="00CC3AF5" w:rsidRPr="000C4B7C">
        <w:rPr>
          <w:rFonts w:ascii="Book Antiqua" w:hAnsi="Book Antiqua"/>
          <w:color w:val="000000" w:themeColor="text1"/>
        </w:rPr>
        <w:t xml:space="preserve"> In </w:t>
      </w:r>
      <w:r w:rsidR="00CC3AF5" w:rsidRPr="000C4B7C">
        <w:rPr>
          <w:rFonts w:ascii="Book Antiqua" w:hAnsi="Book Antiqua"/>
          <w:color w:val="000000" w:themeColor="text1"/>
          <w:shd w:val="clear" w:color="auto" w:fill="FFFFFF"/>
        </w:rPr>
        <w:t>July 2009, the FDA granted approval for the use of bevacizumab in combination with IFN-αfor the treatment of patients with metastatic RCC.</w:t>
      </w:r>
      <w:r w:rsidR="009A6712" w:rsidRPr="000C4B7C">
        <w:rPr>
          <w:rFonts w:ascii="Book Antiqua" w:hAnsi="Book Antiqua"/>
          <w:color w:val="000000" w:themeColor="text1"/>
          <w:shd w:val="clear" w:color="auto" w:fill="FFFFFF"/>
        </w:rPr>
        <w:t xml:space="preserve"> Despite bevacizumab being approved as combination therapy with IFN, many practitioners have used bevacizumab as monotherapy rather than combination as the added benefit of IFN was </w:t>
      </w:r>
      <w:proofErr w:type="gramStart"/>
      <w:r w:rsidR="009A6712" w:rsidRPr="000C4B7C">
        <w:rPr>
          <w:rFonts w:ascii="Book Antiqua" w:hAnsi="Book Antiqua"/>
          <w:color w:val="000000" w:themeColor="text1"/>
          <w:shd w:val="clear" w:color="auto" w:fill="FFFFFF"/>
        </w:rPr>
        <w:t>unclear</w:t>
      </w:r>
      <w:r w:rsidR="00010C0F" w:rsidRPr="000C4B7C">
        <w:rPr>
          <w:rFonts w:ascii="Book Antiqua" w:hAnsi="Book Antiqua"/>
          <w:noProof/>
          <w:color w:val="000000" w:themeColor="text1"/>
          <w:shd w:val="clear" w:color="auto" w:fill="FFFFFF"/>
          <w:vertAlign w:val="superscript"/>
        </w:rPr>
        <w:t>[</w:t>
      </w:r>
      <w:proofErr w:type="gramEnd"/>
      <w:r w:rsidR="00010C0F" w:rsidRPr="000C4B7C">
        <w:rPr>
          <w:rFonts w:ascii="Book Antiqua" w:hAnsi="Book Antiqua"/>
          <w:noProof/>
          <w:color w:val="000000" w:themeColor="text1"/>
          <w:shd w:val="clear" w:color="auto" w:fill="FFFFFF"/>
          <w:vertAlign w:val="superscript"/>
        </w:rPr>
        <w:t>37]</w:t>
      </w:r>
      <w:r w:rsidR="009A6712" w:rsidRPr="000C4B7C">
        <w:rPr>
          <w:rFonts w:ascii="Book Antiqua" w:hAnsi="Book Antiqua"/>
          <w:color w:val="000000" w:themeColor="text1"/>
          <w:shd w:val="clear" w:color="auto" w:fill="FFFFFF"/>
        </w:rPr>
        <w:t>.</w:t>
      </w:r>
    </w:p>
    <w:p w:rsidR="001C67E0" w:rsidRPr="000C4B7C" w:rsidRDefault="001C67E0" w:rsidP="000C4B7C">
      <w:pPr>
        <w:adjustRightInd w:val="0"/>
        <w:snapToGrid w:val="0"/>
        <w:spacing w:line="360" w:lineRule="auto"/>
        <w:jc w:val="both"/>
        <w:rPr>
          <w:rFonts w:ascii="Book Antiqua" w:hAnsi="Book Antiqua"/>
          <w:color w:val="000000" w:themeColor="text1"/>
        </w:rPr>
      </w:pPr>
    </w:p>
    <w:p w:rsidR="006540C3" w:rsidRPr="000C4B7C" w:rsidRDefault="001C67E0"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Everolimus</w:t>
      </w:r>
      <w:r w:rsidR="00A43AF9">
        <w:rPr>
          <w:rFonts w:ascii="Book Antiqua" w:eastAsia="Times New Roman" w:hAnsi="Book Antiqua"/>
          <w:b/>
          <w:color w:val="000000" w:themeColor="text1"/>
        </w:rPr>
        <w:t xml:space="preserve"> </w:t>
      </w:r>
      <w:r w:rsidR="00671327" w:rsidRPr="000C4B7C">
        <w:rPr>
          <w:rFonts w:ascii="Book Antiqua" w:eastAsia="Times New Roman" w:hAnsi="Book Antiqua"/>
          <w:b/>
          <w:color w:val="000000" w:themeColor="text1"/>
        </w:rPr>
        <w:t>plus</w:t>
      </w:r>
      <w:r w:rsidR="00A43AF9">
        <w:rPr>
          <w:rFonts w:ascii="Book Antiqua" w:eastAsia="Times New Roman" w:hAnsi="Book Antiqua"/>
          <w:b/>
          <w:color w:val="000000" w:themeColor="text1"/>
        </w:rPr>
        <w:t xml:space="preserve"> </w:t>
      </w:r>
      <w:r w:rsidRPr="000C4B7C">
        <w:rPr>
          <w:rFonts w:ascii="Book Antiqua" w:eastAsia="Times New Roman" w:hAnsi="Book Antiqua"/>
          <w:b/>
          <w:color w:val="000000" w:themeColor="text1"/>
        </w:rPr>
        <w:t>lenvatinib</w:t>
      </w:r>
      <w:r w:rsidR="008416BB" w:rsidRPr="000C4B7C">
        <w:rPr>
          <w:rFonts w:ascii="Book Antiqua" w:hAnsi="Book Antiqua"/>
          <w:b/>
          <w:color w:val="000000" w:themeColor="text1"/>
          <w:lang w:eastAsia="zh-CN"/>
        </w:rPr>
        <w:t xml:space="preserve">: </w:t>
      </w:r>
      <w:r w:rsidRPr="000C4B7C">
        <w:rPr>
          <w:rFonts w:ascii="Book Antiqua" w:eastAsia="Times New Roman" w:hAnsi="Book Antiqua"/>
          <w:color w:val="000000" w:themeColor="text1"/>
        </w:rPr>
        <w:t xml:space="preserve">Resistance to targeted monotherapy in </w:t>
      </w:r>
      <w:r w:rsidR="007654F6" w:rsidRPr="000C4B7C">
        <w:rPr>
          <w:rFonts w:ascii="Book Antiqua" w:eastAsia="Times New Roman" w:hAnsi="Book Antiqua"/>
          <w:color w:val="000000" w:themeColor="text1"/>
        </w:rPr>
        <w:t>RCC</w:t>
      </w:r>
      <w:r w:rsidRPr="000C4B7C">
        <w:rPr>
          <w:rFonts w:ascii="Book Antiqua" w:eastAsia="Times New Roman" w:hAnsi="Book Antiqua"/>
          <w:color w:val="000000" w:themeColor="text1"/>
        </w:rPr>
        <w:t xml:space="preserve"> is believed to be due to feedback mechanisms that </w:t>
      </w:r>
      <w:r w:rsidR="00A05E78" w:rsidRPr="000C4B7C">
        <w:rPr>
          <w:rFonts w:ascii="Book Antiqua" w:eastAsia="Times New Roman" w:hAnsi="Book Antiqua"/>
          <w:color w:val="000000" w:themeColor="text1"/>
        </w:rPr>
        <w:t xml:space="preserve">are mediated </w:t>
      </w:r>
      <w:r w:rsidR="00A05E78" w:rsidRPr="000C4B7C">
        <w:rPr>
          <w:rFonts w:ascii="Book Antiqua" w:eastAsia="Times New Roman" w:hAnsi="Book Antiqua"/>
          <w:i/>
          <w:color w:val="000000" w:themeColor="text1"/>
        </w:rPr>
        <w:t>via</w:t>
      </w:r>
      <w:r w:rsidR="00A05E78" w:rsidRPr="000C4B7C">
        <w:rPr>
          <w:rFonts w:ascii="Book Antiqua" w:eastAsia="Times New Roman" w:hAnsi="Book Antiqua"/>
          <w:color w:val="000000" w:themeColor="text1"/>
        </w:rPr>
        <w:t xml:space="preserve"> biological changes permitting tumor growth and perfusion independent of VEGF or mTOR pathways.</w:t>
      </w:r>
      <w:r w:rsidR="00B21069" w:rsidRPr="000C4B7C">
        <w:rPr>
          <w:rFonts w:ascii="Book Antiqua" w:eastAsia="Times New Roman" w:hAnsi="Book Antiqua"/>
          <w:color w:val="000000" w:themeColor="text1"/>
        </w:rPr>
        <w:t xml:space="preserve"> This can</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offset targeted inhibition</w:t>
      </w:r>
      <w:r w:rsidR="00B21069" w:rsidRPr="000C4B7C">
        <w:rPr>
          <w:rFonts w:ascii="Book Antiqua" w:eastAsia="Times New Roman" w:hAnsi="Book Antiqua"/>
          <w:color w:val="000000" w:themeColor="text1"/>
        </w:rPr>
        <w:t xml:space="preserve"> and permit tumor </w:t>
      </w:r>
      <w:proofErr w:type="gramStart"/>
      <w:r w:rsidR="00B21069" w:rsidRPr="000C4B7C">
        <w:rPr>
          <w:rFonts w:ascii="Book Antiqua" w:eastAsia="Times New Roman" w:hAnsi="Book Antiqua"/>
          <w:color w:val="000000" w:themeColor="text1"/>
        </w:rPr>
        <w:t>growth</w:t>
      </w:r>
      <w:r w:rsidR="006540C3" w:rsidRPr="000C4B7C">
        <w:rPr>
          <w:rFonts w:ascii="Book Antiqua" w:eastAsia="Times New Roman" w:hAnsi="Book Antiqua"/>
          <w:noProof/>
          <w:color w:val="000000" w:themeColor="text1"/>
          <w:vertAlign w:val="superscript"/>
        </w:rPr>
        <w:t>[</w:t>
      </w:r>
      <w:proofErr w:type="gramEnd"/>
      <w:r w:rsidR="006540C3" w:rsidRPr="000C4B7C">
        <w:rPr>
          <w:rFonts w:ascii="Book Antiqua" w:eastAsia="Times New Roman" w:hAnsi="Book Antiqua"/>
          <w:noProof/>
          <w:color w:val="000000" w:themeColor="text1"/>
          <w:vertAlign w:val="superscript"/>
        </w:rPr>
        <w:t>38,</w:t>
      </w:r>
      <w:r w:rsidR="00010C0F" w:rsidRPr="000C4B7C">
        <w:rPr>
          <w:rFonts w:ascii="Book Antiqua" w:eastAsia="Times New Roman" w:hAnsi="Book Antiqua"/>
          <w:noProof/>
          <w:color w:val="000000" w:themeColor="text1"/>
          <w:vertAlign w:val="superscript"/>
        </w:rPr>
        <w:t>39]</w:t>
      </w:r>
      <w:r w:rsidR="00B83239" w:rsidRPr="000C4B7C">
        <w:rPr>
          <w:rFonts w:ascii="Book Antiqua" w:eastAsia="Times New Roman" w:hAnsi="Book Antiqua"/>
          <w:color w:val="000000" w:themeColor="text1"/>
        </w:rPr>
        <w:t>.</w:t>
      </w:r>
      <w:r w:rsidR="006540C3"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Hence</w:t>
      </w:r>
      <w:r w:rsidR="002C51FA" w:rsidRPr="000C4B7C">
        <w:rPr>
          <w:rFonts w:ascii="Book Antiqua" w:eastAsia="Times New Roman" w:hAnsi="Book Antiqua"/>
          <w:color w:val="000000" w:themeColor="text1"/>
        </w:rPr>
        <w: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sequential treatments with</w:t>
      </w:r>
      <w:r w:rsidR="00EE29CC" w:rsidRPr="000C4B7C">
        <w:rPr>
          <w:rFonts w:ascii="Book Antiqua" w:eastAsia="Times New Roman" w:hAnsi="Book Antiqua"/>
          <w:color w:val="000000" w:themeColor="text1"/>
        </w:rPr>
        <w:t xml:space="preserve"> a</w:t>
      </w:r>
      <w:r w:rsidRPr="000C4B7C">
        <w:rPr>
          <w:rFonts w:ascii="Book Antiqua" w:eastAsia="Times New Roman" w:hAnsi="Book Antiqua"/>
          <w:color w:val="000000" w:themeColor="text1"/>
        </w:rPr>
        <w:t xml:space="preserve"> single anti-VEGF agent followed by </w:t>
      </w:r>
      <w:proofErr w:type="gramStart"/>
      <w:r w:rsidR="00EE29CC" w:rsidRPr="000C4B7C">
        <w:rPr>
          <w:rFonts w:ascii="Book Antiqua" w:eastAsia="Times New Roman" w:hAnsi="Book Antiqua"/>
          <w:color w:val="000000" w:themeColor="text1"/>
        </w:rPr>
        <w:t>a</w:t>
      </w:r>
      <w:proofErr w:type="gramEnd"/>
      <w:r w:rsidR="00EE29CC"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mTOR inhibitor often results in </w:t>
      </w:r>
      <w:r w:rsidR="00EE29CC" w:rsidRPr="000C4B7C">
        <w:rPr>
          <w:rFonts w:ascii="Book Antiqua" w:eastAsia="Times New Roman" w:hAnsi="Book Antiqua"/>
          <w:color w:val="000000" w:themeColor="text1"/>
        </w:rPr>
        <w:t xml:space="preserve">the </w:t>
      </w:r>
      <w:r w:rsidRPr="000C4B7C">
        <w:rPr>
          <w:rFonts w:ascii="Book Antiqua" w:eastAsia="Times New Roman" w:hAnsi="Book Antiqua"/>
          <w:color w:val="000000" w:themeColor="text1"/>
        </w:rPr>
        <w:t xml:space="preserve">development of resistance. </w:t>
      </w:r>
      <w:r w:rsidR="00800286" w:rsidRPr="000C4B7C">
        <w:rPr>
          <w:rFonts w:ascii="Book Antiqua" w:eastAsia="Times New Roman" w:hAnsi="Book Antiqua"/>
          <w:color w:val="000000" w:themeColor="text1"/>
        </w:rPr>
        <w:t xml:space="preserve">Consequently, </w:t>
      </w:r>
      <w:r w:rsidRPr="000C4B7C">
        <w:rPr>
          <w:rFonts w:ascii="Book Antiqua" w:eastAsia="Times New Roman" w:hAnsi="Book Antiqua"/>
          <w:color w:val="000000" w:themeColor="text1"/>
        </w:rPr>
        <w:t xml:space="preserve">combination therapy with both VEGF and mTOR inhibitors </w:t>
      </w:r>
      <w:r w:rsidR="00381EA1" w:rsidRPr="000C4B7C">
        <w:rPr>
          <w:rFonts w:ascii="Book Antiqua" w:eastAsia="Times New Roman" w:hAnsi="Book Antiqua"/>
          <w:color w:val="000000" w:themeColor="text1"/>
        </w:rPr>
        <w:t>was thought to potentially</w:t>
      </w:r>
      <w:r w:rsidRPr="000C4B7C">
        <w:rPr>
          <w:rFonts w:ascii="Book Antiqua" w:eastAsia="Times New Roman" w:hAnsi="Book Antiqua"/>
          <w:color w:val="000000" w:themeColor="text1"/>
        </w:rPr>
        <w:t xml:space="preserve"> surmount monotherapy </w:t>
      </w:r>
      <w:proofErr w:type="gramStart"/>
      <w:r w:rsidRPr="000C4B7C">
        <w:rPr>
          <w:rFonts w:ascii="Book Antiqua" w:eastAsia="Times New Roman" w:hAnsi="Book Antiqua"/>
          <w:color w:val="000000" w:themeColor="text1"/>
        </w:rPr>
        <w:t>resistance</w:t>
      </w:r>
      <w:r w:rsidR="00010C0F" w:rsidRPr="000C4B7C">
        <w:rPr>
          <w:rFonts w:ascii="Book Antiqua" w:eastAsia="Times New Roman" w:hAnsi="Book Antiqua"/>
          <w:noProof/>
          <w:color w:val="000000" w:themeColor="text1"/>
          <w:vertAlign w:val="superscript"/>
        </w:rPr>
        <w:t>[</w:t>
      </w:r>
      <w:proofErr w:type="gramEnd"/>
      <w:r w:rsidR="00010C0F" w:rsidRPr="000C4B7C">
        <w:rPr>
          <w:rFonts w:ascii="Book Antiqua" w:eastAsia="Times New Roman" w:hAnsi="Book Antiqua"/>
          <w:noProof/>
          <w:color w:val="000000" w:themeColor="text1"/>
          <w:vertAlign w:val="superscript"/>
        </w:rPr>
        <w:t>40]</w:t>
      </w:r>
      <w:r w:rsidR="00B83239" w:rsidRPr="000C4B7C">
        <w:rPr>
          <w:rFonts w:ascii="Book Antiqua" w:eastAsia="Times New Roman" w:hAnsi="Book Antiqua"/>
          <w:color w:val="000000" w:themeColor="text1"/>
        </w:rPr>
        <w:t>.</w:t>
      </w:r>
      <w:r w:rsidR="006540C3"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Lenvatinib is a tyrosine kinase inhibitor ofVEGF</w:t>
      </w:r>
      <w:r w:rsidR="00EC1069" w:rsidRPr="000C4B7C">
        <w:rPr>
          <w:rFonts w:ascii="Book Antiqua" w:eastAsia="Times New Roman" w:hAnsi="Book Antiqua"/>
          <w:color w:val="000000" w:themeColor="text1"/>
        </w:rPr>
        <w:t>R1, VEGFR2, VEGFR3</w:t>
      </w:r>
      <w:r w:rsidRPr="000C4B7C">
        <w:rPr>
          <w:rFonts w:ascii="Book Antiqua" w:eastAsia="Times New Roman" w:hAnsi="Book Antiqua"/>
          <w:color w:val="000000" w:themeColor="text1"/>
        </w:rPr>
        <w:t xml:space="preserve"> and everolimus is an mTOR inhibitor.</w:t>
      </w:r>
    </w:p>
    <w:p w:rsidR="0032314E" w:rsidRPr="000C4B7C" w:rsidRDefault="001C67E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Motzer</w:t>
      </w:r>
      <w:r w:rsidR="006D0534" w:rsidRPr="000C4B7C">
        <w:rPr>
          <w:rFonts w:ascii="Book Antiqua" w:hAnsi="Book Antiqua"/>
          <w:color w:val="000000" w:themeColor="text1"/>
          <w:lang w:eastAsia="zh-CN"/>
        </w:rPr>
        <w:t xml:space="preserve"> </w:t>
      </w:r>
      <w:r w:rsidR="00B61CB4" w:rsidRPr="000C4B7C">
        <w:rPr>
          <w:rFonts w:ascii="Book Antiqua" w:eastAsia="Times New Roman" w:hAnsi="Book Antiqua"/>
          <w:i/>
          <w:color w:val="000000" w:themeColor="text1"/>
        </w:rPr>
        <w:t xml:space="preserve">et </w:t>
      </w:r>
      <w:proofErr w:type="gramStart"/>
      <w:r w:rsidR="00B61CB4" w:rsidRPr="000C4B7C">
        <w:rPr>
          <w:rFonts w:ascii="Book Antiqua" w:eastAsia="Times New Roman" w:hAnsi="Book Antiqua"/>
          <w:i/>
          <w:color w:val="000000" w:themeColor="text1"/>
        </w:rPr>
        <w:t>al</w:t>
      </w:r>
      <w:r w:rsidR="007C35AB" w:rsidRPr="000C4B7C">
        <w:rPr>
          <w:rFonts w:ascii="Book Antiqua" w:eastAsia="Times New Roman" w:hAnsi="Book Antiqua"/>
          <w:noProof/>
          <w:color w:val="000000" w:themeColor="text1"/>
          <w:vertAlign w:val="superscript"/>
        </w:rPr>
        <w:t>[</w:t>
      </w:r>
      <w:proofErr w:type="gramEnd"/>
      <w:r w:rsidR="007C35AB" w:rsidRPr="000C4B7C">
        <w:rPr>
          <w:rFonts w:ascii="Book Antiqua" w:eastAsia="Times New Roman" w:hAnsi="Book Antiqua"/>
          <w:noProof/>
          <w:color w:val="000000" w:themeColor="text1"/>
          <w:vertAlign w:val="superscript"/>
        </w:rPr>
        <w:t>41]</w:t>
      </w:r>
      <w:r w:rsidR="007C35AB"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conducted a phase II, randomized, open-label efficacy and safety study with lenvatinib or everolimus alone, or lenvatinib plus everolimus in patients with metastatic or unresectable, locally advanced, clear cell RCC who had received prior treatment with a VEGF-targeted therapy and progressed within 9 </w:t>
      </w:r>
      <w:r w:rsidR="007C35AB"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of </w:t>
      </w:r>
      <w:r w:rsidR="00EA64D8" w:rsidRPr="000C4B7C">
        <w:rPr>
          <w:rFonts w:ascii="Book Antiqua" w:eastAsia="Times New Roman" w:hAnsi="Book Antiqua"/>
          <w:color w:val="000000" w:themeColor="text1"/>
        </w:rPr>
        <w:t>drug discontinuation</w:t>
      </w:r>
      <w:r w:rsidRPr="000C4B7C">
        <w:rPr>
          <w:rFonts w:ascii="Book Antiqua" w:eastAsia="Times New Roman" w:hAnsi="Book Antiqua"/>
          <w:color w:val="000000" w:themeColor="text1"/>
        </w:rPr>
        <w:t>. The primary objective was PFS using investigator-assessed objective responses</w:t>
      </w:r>
      <w:r w:rsidR="00CC3AF5"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Lenvatinib plus everolimus significantly prolonged </w:t>
      </w:r>
      <w:r w:rsidR="006C0AE1" w:rsidRPr="000C4B7C">
        <w:rPr>
          <w:rFonts w:ascii="Book Antiqua" w:eastAsia="Times New Roman" w:hAnsi="Book Antiqua"/>
          <w:color w:val="000000" w:themeColor="text1"/>
        </w:rPr>
        <w:t>PFS</w:t>
      </w:r>
      <w:r w:rsidRPr="000C4B7C">
        <w:rPr>
          <w:rFonts w:ascii="Book Antiqua" w:eastAsia="Times New Roman" w:hAnsi="Book Antiqua"/>
          <w:color w:val="000000" w:themeColor="text1"/>
        </w:rPr>
        <w:t xml:space="preserve"> compared with </w:t>
      </w:r>
      <w:r w:rsidRPr="000C4B7C">
        <w:rPr>
          <w:rFonts w:ascii="Book Antiqua" w:eastAsia="Times New Roman" w:hAnsi="Book Antiqua"/>
          <w:color w:val="000000" w:themeColor="text1"/>
        </w:rPr>
        <w:lastRenderedPageBreak/>
        <w:t>everolimus alone (14</w:t>
      </w:r>
      <w:r w:rsidR="006B4EDB" w:rsidRPr="000C4B7C">
        <w:rPr>
          <w:rFonts w:ascii="Book Antiqua" w:eastAsia="Times New Roman" w:hAnsi="Book Antiqua"/>
          <w:color w:val="000000" w:themeColor="text1"/>
        </w:rPr>
        <w:t>.</w:t>
      </w:r>
      <w:r w:rsidR="00B21069" w:rsidRPr="000C4B7C">
        <w:rPr>
          <w:rFonts w:ascii="Book Antiqua" w:eastAsia="Times New Roman" w:hAnsi="Book Antiqua"/>
          <w:color w:val="000000" w:themeColor="text1"/>
        </w:rPr>
        <w:t>6</w:t>
      </w:r>
      <w:r w:rsidR="00AD4FC6" w:rsidRPr="000C4B7C">
        <w:rPr>
          <w:rFonts w:ascii="Book Antiqua" w:hAnsi="Book Antiqua"/>
          <w:color w:val="000000" w:themeColor="text1"/>
          <w:lang w:eastAsia="zh-CN"/>
        </w:rPr>
        <w:t xml:space="preserve"> mo</w:t>
      </w:r>
      <w:r w:rsidR="00AD4FC6" w:rsidRPr="000C4B7C">
        <w:rPr>
          <w:rFonts w:ascii="Book Antiqua" w:eastAsia="Times New Roman" w:hAnsi="Book Antiqua"/>
          <w:iCs/>
          <w:color w:val="000000" w:themeColor="text1"/>
        </w:rPr>
        <w:t xml:space="preserve"> </w:t>
      </w:r>
      <w:r w:rsidRPr="000C4B7C">
        <w:rPr>
          <w:rFonts w:ascii="Book Antiqua" w:eastAsia="Times New Roman" w:hAnsi="Book Antiqua"/>
          <w:i/>
          <w:iCs/>
          <w:color w:val="000000" w:themeColor="text1"/>
        </w:rPr>
        <w:t>vs</w:t>
      </w:r>
      <w:r w:rsidR="00AD4FC6" w:rsidRPr="000C4B7C">
        <w:rPr>
          <w:rFonts w:ascii="Book Antiqua" w:hAnsi="Book Antiqua"/>
          <w:iCs/>
          <w:color w:val="000000" w:themeColor="text1"/>
          <w:lang w:eastAsia="zh-CN"/>
        </w:rPr>
        <w:t xml:space="preserve"> </w:t>
      </w:r>
      <w:r w:rsidRPr="000C4B7C">
        <w:rPr>
          <w:rFonts w:ascii="Book Antiqua" w:eastAsia="Times New Roman" w:hAnsi="Book Antiqua"/>
          <w:color w:val="000000" w:themeColor="text1"/>
        </w:rPr>
        <w:t>5</w:t>
      </w:r>
      <w:r w:rsidR="00EF2C6B" w:rsidRPr="000C4B7C">
        <w:rPr>
          <w:rFonts w:ascii="Book Antiqua" w:eastAsia="Times New Roman" w:hAnsi="Book Antiqua"/>
          <w:color w:val="000000" w:themeColor="text1"/>
        </w:rPr>
        <w:t>.5</w:t>
      </w:r>
      <w:r w:rsidR="00B21069" w:rsidRPr="000C4B7C">
        <w:rPr>
          <w:rFonts w:ascii="Book Antiqua" w:eastAsia="Times New Roman" w:hAnsi="Book Antiqua"/>
          <w:color w:val="000000" w:themeColor="text1"/>
        </w:rPr>
        <w:t xml:space="preserve"> </w:t>
      </w:r>
      <w:r w:rsidR="00AD4FC6"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w:t>
      </w:r>
      <w:r w:rsidR="00AD4FC6" w:rsidRPr="000C4B7C">
        <w:rPr>
          <w:rFonts w:ascii="Book Antiqua" w:eastAsia="Times New Roman" w:hAnsi="Book Antiqua"/>
          <w:i/>
          <w:color w:val="000000" w:themeColor="text1"/>
        </w:rPr>
        <w:t>P</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6B4EDB"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0005), but not compared with lenvatinib alone (7</w:t>
      </w:r>
      <w:r w:rsidR="00EC565B"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4 </w:t>
      </w:r>
      <w:r w:rsidR="00AD4FC6" w:rsidRPr="000C4B7C">
        <w:rPr>
          <w:rFonts w:ascii="Book Antiqua" w:hAnsi="Book Antiqua"/>
          <w:color w:val="000000" w:themeColor="text1"/>
          <w:lang w:eastAsia="zh-CN"/>
        </w:rPr>
        <w:t>mo,</w:t>
      </w:r>
      <w:r w:rsidRPr="000C4B7C">
        <w:rPr>
          <w:rFonts w:ascii="Book Antiqua" w:eastAsia="Times New Roman" w:hAnsi="Book Antiqua"/>
          <w:color w:val="000000" w:themeColor="text1"/>
        </w:rPr>
        <w:t xml:space="preserve"> </w:t>
      </w:r>
      <w:r w:rsidR="00AD4FC6" w:rsidRPr="000C4B7C">
        <w:rPr>
          <w:rFonts w:ascii="Book Antiqua" w:eastAsia="Times New Roman" w:hAnsi="Book Antiqua"/>
          <w:i/>
          <w:color w:val="000000" w:themeColor="text1"/>
        </w:rPr>
        <w:t>P</w:t>
      </w:r>
      <w:r w:rsidR="00AD4FC6" w:rsidRPr="000C4B7C">
        <w:rPr>
          <w:rFonts w:ascii="Book Antiqua" w:hAnsi="Book Antiqua"/>
          <w:i/>
          <w:color w:val="000000" w:themeColor="text1"/>
          <w:lang w:eastAsia="zh-CN"/>
        </w:rPr>
        <w:t xml:space="preserve"> </w:t>
      </w:r>
      <w:r w:rsidRPr="000C4B7C">
        <w:rPr>
          <w:rFonts w:ascii="Book Antiqua" w:eastAsia="Times New Roman" w:hAnsi="Book Antiqua"/>
          <w:color w:val="000000" w:themeColor="text1"/>
        </w:rPr>
        <w:t>=</w:t>
      </w:r>
      <w:r w:rsidR="00AD4FC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8764C2"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12). </w:t>
      </w:r>
      <w:r w:rsidR="005853FC" w:rsidRPr="000C4B7C">
        <w:rPr>
          <w:rFonts w:ascii="Book Antiqua" w:eastAsia="Times New Roman" w:hAnsi="Book Antiqua"/>
          <w:color w:val="000000" w:themeColor="text1"/>
        </w:rPr>
        <w:t>Single agent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lenvatinib significantly prolonged </w:t>
      </w:r>
      <w:r w:rsidR="006C0AE1" w:rsidRPr="000C4B7C">
        <w:rPr>
          <w:rFonts w:ascii="Book Antiqua" w:eastAsia="Times New Roman" w:hAnsi="Book Antiqua"/>
          <w:color w:val="000000" w:themeColor="text1"/>
        </w:rPr>
        <w:t>PFS</w:t>
      </w:r>
      <w:r w:rsidRPr="000C4B7C">
        <w:rPr>
          <w:rFonts w:ascii="Book Antiqua" w:eastAsia="Times New Roman" w:hAnsi="Book Antiqua"/>
          <w:color w:val="000000" w:themeColor="text1"/>
        </w:rPr>
        <w:t xml:space="preserve"> compared with everolimus alone (</w:t>
      </w:r>
      <w:r w:rsidR="00896454" w:rsidRPr="000C4B7C">
        <w:rPr>
          <w:rFonts w:ascii="Book Antiqua" w:eastAsia="Times New Roman" w:hAnsi="Book Antiqua"/>
          <w:i/>
          <w:color w:val="000000" w:themeColor="text1"/>
        </w:rPr>
        <w:t>P</w:t>
      </w:r>
      <w:r w:rsidR="00896454"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w:t>
      </w:r>
      <w:r w:rsidR="00896454"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0</w:t>
      </w:r>
      <w:r w:rsidR="00DD5DF1"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048). </w:t>
      </w:r>
      <w:r w:rsidR="006C0AE1" w:rsidRPr="000C4B7C">
        <w:rPr>
          <w:rFonts w:ascii="Book Antiqua" w:eastAsia="Times New Roman" w:hAnsi="Book Antiqua"/>
          <w:color w:val="000000" w:themeColor="text1"/>
        </w:rPr>
        <w:t xml:space="preserve">But retrospective </w:t>
      </w:r>
      <w:r w:rsidR="0032314E" w:rsidRPr="000C4B7C">
        <w:rPr>
          <w:rFonts w:ascii="Book Antiqua" w:eastAsia="Times New Roman" w:hAnsi="Book Antiqua"/>
          <w:color w:val="000000" w:themeColor="text1"/>
        </w:rPr>
        <w:t>independent radiological review</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of the study</w:t>
      </w:r>
      <w:r w:rsidR="008314A9" w:rsidRPr="000C4B7C">
        <w:rPr>
          <w:rFonts w:ascii="Book Antiqua" w:eastAsia="Times New Roman" w:hAnsi="Book Antiqua"/>
          <w:color w:val="000000" w:themeColor="text1"/>
        </w:rPr>
        <w:t xml:space="preserve"> </w:t>
      </w:r>
      <w:r w:rsidR="006C0AE1" w:rsidRPr="000C4B7C">
        <w:rPr>
          <w:rFonts w:ascii="Book Antiqua" w:eastAsia="Times New Roman" w:hAnsi="Book Antiqua"/>
          <w:color w:val="000000" w:themeColor="text1"/>
        </w:rPr>
        <w:t xml:space="preserve">did not show any significant difference in PFS between lenvatinib alone </w:t>
      </w:r>
      <w:r w:rsidR="006C0AE1" w:rsidRPr="000C4B7C">
        <w:rPr>
          <w:rFonts w:ascii="Book Antiqua" w:eastAsia="Times New Roman" w:hAnsi="Book Antiqua"/>
          <w:i/>
          <w:color w:val="000000" w:themeColor="text1"/>
        </w:rPr>
        <w:t>vs</w:t>
      </w:r>
      <w:r w:rsidR="006C0AE1" w:rsidRPr="000C4B7C">
        <w:rPr>
          <w:rFonts w:ascii="Book Antiqua" w:eastAsia="Times New Roman" w:hAnsi="Book Antiqua"/>
          <w:color w:val="000000" w:themeColor="text1"/>
        </w:rPr>
        <w:t xml:space="preserve"> everolimus alone groups (</w:t>
      </w:r>
      <w:r w:rsidR="0032314E" w:rsidRPr="000C4B7C">
        <w:rPr>
          <w:rFonts w:ascii="Book Antiqua" w:eastAsia="Times New Roman" w:hAnsi="Book Antiqua"/>
          <w:i/>
          <w:color w:val="000000" w:themeColor="text1"/>
        </w:rPr>
        <w:t>P</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w:t>
      </w:r>
      <w:r w:rsidR="0032314E" w:rsidRPr="000C4B7C">
        <w:rPr>
          <w:rFonts w:ascii="Book Antiqua" w:hAnsi="Book Antiqua"/>
          <w:color w:val="000000" w:themeColor="text1"/>
          <w:lang w:eastAsia="zh-CN"/>
        </w:rPr>
        <w:t xml:space="preserve"> </w:t>
      </w:r>
      <w:r w:rsidR="006C0AE1" w:rsidRPr="000C4B7C">
        <w:rPr>
          <w:rFonts w:ascii="Book Antiqua" w:eastAsia="Times New Roman" w:hAnsi="Book Antiqua"/>
          <w:color w:val="000000" w:themeColor="text1"/>
        </w:rPr>
        <w:t xml:space="preserve">0.12). This was attributed to small sample size. </w:t>
      </w:r>
    </w:p>
    <w:p w:rsidR="00D63421" w:rsidRPr="000C4B7C" w:rsidRDefault="001C67E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Lenvatinib plus everolimus showed significantly increased median OS </w:t>
      </w:r>
      <w:r w:rsidR="00D7638B" w:rsidRPr="000C4B7C">
        <w:rPr>
          <w:rFonts w:ascii="Book Antiqua" w:hAnsi="Book Antiqua"/>
          <w:color w:val="000000" w:themeColor="text1"/>
        </w:rPr>
        <w:t>of 25</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5 </w:t>
      </w:r>
      <w:r w:rsidR="000B7197" w:rsidRPr="000C4B7C">
        <w:rPr>
          <w:rFonts w:ascii="Book Antiqua" w:hAnsi="Book Antiqua"/>
          <w:color w:val="000000" w:themeColor="text1"/>
          <w:lang w:eastAsia="zh-CN"/>
        </w:rPr>
        <w:t>mo</w:t>
      </w:r>
      <w:r w:rsidR="000B7197" w:rsidRPr="000C4B7C">
        <w:rPr>
          <w:rFonts w:ascii="Book Antiqua" w:hAnsi="Book Antiqua"/>
          <w:color w:val="000000" w:themeColor="text1"/>
        </w:rPr>
        <w:t xml:space="preserve"> </w:t>
      </w:r>
      <w:r w:rsidR="004B3B3D" w:rsidRPr="000C4B7C">
        <w:rPr>
          <w:rFonts w:ascii="Book Antiqua" w:hAnsi="Book Antiqua"/>
          <w:color w:val="000000" w:themeColor="text1"/>
        </w:rPr>
        <w:t>(95%CI</w:t>
      </w:r>
      <w:r w:rsidR="004B3B3D" w:rsidRPr="000C4B7C">
        <w:rPr>
          <w:rFonts w:ascii="Book Antiqua" w:hAnsi="Book Antiqua"/>
          <w:color w:val="000000" w:themeColor="text1"/>
          <w:lang w:eastAsia="zh-CN"/>
        </w:rPr>
        <w:t xml:space="preserve">: </w:t>
      </w:r>
      <w:r w:rsidR="00D7638B" w:rsidRPr="000C4B7C">
        <w:rPr>
          <w:rFonts w:ascii="Book Antiqua" w:hAnsi="Book Antiqua"/>
          <w:color w:val="000000" w:themeColor="text1"/>
        </w:rPr>
        <w:t>20</w:t>
      </w:r>
      <w:r w:rsidR="008F2EC0" w:rsidRPr="000C4B7C">
        <w:rPr>
          <w:rFonts w:ascii="Book Antiqua" w:hAnsi="Book Antiqua"/>
          <w:color w:val="000000" w:themeColor="text1"/>
        </w:rPr>
        <w:t>.</w:t>
      </w:r>
      <w:r w:rsidR="00D7638B" w:rsidRPr="000C4B7C">
        <w:rPr>
          <w:rFonts w:ascii="Book Antiqua" w:hAnsi="Book Antiqua"/>
          <w:color w:val="000000" w:themeColor="text1"/>
        </w:rPr>
        <w:t>8</w:t>
      </w:r>
      <w:r w:rsidR="001E23CA">
        <w:rPr>
          <w:rFonts w:ascii="Book Antiqua" w:hAnsi="Book Antiqua"/>
          <w:color w:val="000000" w:themeColor="text1"/>
        </w:rPr>
        <w:t>-</w:t>
      </w:r>
      <w:r w:rsidR="00D7638B" w:rsidRPr="000C4B7C">
        <w:rPr>
          <w:rFonts w:ascii="Book Antiqua" w:hAnsi="Book Antiqua"/>
          <w:color w:val="000000" w:themeColor="text1"/>
        </w:rPr>
        <w:t>25</w:t>
      </w:r>
      <w:r w:rsidR="008F2EC0" w:rsidRPr="000C4B7C">
        <w:rPr>
          <w:rFonts w:ascii="Book Antiqua" w:hAnsi="Book Antiqua"/>
          <w:color w:val="000000" w:themeColor="text1"/>
        </w:rPr>
        <w:t>.</w:t>
      </w:r>
      <w:r w:rsidR="004B3B3D" w:rsidRPr="000C4B7C">
        <w:rPr>
          <w:rFonts w:ascii="Book Antiqua" w:hAnsi="Book Antiqua"/>
          <w:color w:val="000000" w:themeColor="text1"/>
        </w:rPr>
        <w:t>5)</w:t>
      </w:r>
      <w:r w:rsidR="00D7638B" w:rsidRPr="000C4B7C">
        <w:rPr>
          <w:rFonts w:ascii="Book Antiqua" w:hAnsi="Book Antiqua"/>
          <w:color w:val="000000" w:themeColor="text1"/>
        </w:rPr>
        <w:t>, compared with 18</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4 </w:t>
      </w:r>
      <w:r w:rsidR="004B3B3D" w:rsidRPr="000C4B7C">
        <w:rPr>
          <w:rFonts w:ascii="Book Antiqua" w:hAnsi="Book Antiqua"/>
          <w:color w:val="000000" w:themeColor="text1"/>
          <w:lang w:eastAsia="zh-CN"/>
        </w:rPr>
        <w:t>mo</w:t>
      </w:r>
      <w:r w:rsidR="004B3B3D" w:rsidRPr="000C4B7C">
        <w:rPr>
          <w:rFonts w:ascii="Book Antiqua" w:hAnsi="Book Antiqua"/>
          <w:color w:val="000000" w:themeColor="text1"/>
        </w:rPr>
        <w:t xml:space="preserve"> </w:t>
      </w:r>
      <w:r w:rsidR="00D7638B" w:rsidRPr="000C4B7C">
        <w:rPr>
          <w:rFonts w:ascii="Book Antiqua" w:hAnsi="Book Antiqua"/>
          <w:color w:val="000000" w:themeColor="text1"/>
        </w:rPr>
        <w:t>(13</w:t>
      </w:r>
      <w:r w:rsidR="00D65C62" w:rsidRPr="000C4B7C">
        <w:rPr>
          <w:rFonts w:ascii="Book Antiqua" w:hAnsi="Book Antiqua"/>
          <w:color w:val="000000" w:themeColor="text1"/>
        </w:rPr>
        <w:t>.</w:t>
      </w:r>
      <w:r w:rsidR="00D7638B" w:rsidRPr="000C4B7C">
        <w:rPr>
          <w:rFonts w:ascii="Book Antiqua" w:hAnsi="Book Antiqua"/>
          <w:color w:val="000000" w:themeColor="text1"/>
        </w:rPr>
        <w:t>3–NE) for single-agent lenvatinib, and 17</w:t>
      </w:r>
      <w:r w:rsidR="00D65C62" w:rsidRPr="000C4B7C">
        <w:rPr>
          <w:rFonts w:ascii="Book Antiqua" w:hAnsi="Book Antiqua"/>
          <w:color w:val="000000" w:themeColor="text1"/>
        </w:rPr>
        <w:t>.</w:t>
      </w:r>
      <w:r w:rsidR="00D7638B" w:rsidRPr="000C4B7C">
        <w:rPr>
          <w:rFonts w:ascii="Book Antiqua" w:hAnsi="Book Antiqua"/>
          <w:color w:val="000000" w:themeColor="text1"/>
        </w:rPr>
        <w:t xml:space="preserve">5 </w:t>
      </w:r>
      <w:r w:rsidR="00C53563" w:rsidRPr="000C4B7C">
        <w:rPr>
          <w:rFonts w:ascii="Book Antiqua" w:hAnsi="Book Antiqua"/>
          <w:color w:val="000000" w:themeColor="text1"/>
          <w:lang w:eastAsia="zh-CN"/>
        </w:rPr>
        <w:t>mo</w:t>
      </w:r>
      <w:r w:rsidR="00C53563" w:rsidRPr="000C4B7C">
        <w:rPr>
          <w:rFonts w:ascii="Book Antiqua" w:hAnsi="Book Antiqua"/>
          <w:color w:val="000000" w:themeColor="text1"/>
        </w:rPr>
        <w:t xml:space="preserve"> </w:t>
      </w:r>
      <w:r w:rsidR="00D7638B" w:rsidRPr="000C4B7C">
        <w:rPr>
          <w:rFonts w:ascii="Book Antiqua" w:hAnsi="Book Antiqua"/>
          <w:color w:val="000000" w:themeColor="text1"/>
        </w:rPr>
        <w:t>(11</w:t>
      </w:r>
      <w:r w:rsidR="00D65C62" w:rsidRPr="000C4B7C">
        <w:rPr>
          <w:rFonts w:ascii="Book Antiqua" w:hAnsi="Book Antiqua"/>
          <w:color w:val="000000" w:themeColor="text1"/>
        </w:rPr>
        <w:t>.</w:t>
      </w:r>
      <w:r w:rsidR="00D7638B" w:rsidRPr="000C4B7C">
        <w:rPr>
          <w:rFonts w:ascii="Book Antiqua" w:hAnsi="Book Antiqua"/>
          <w:color w:val="000000" w:themeColor="text1"/>
        </w:rPr>
        <w:t>8–NE) for single-agent everolimus.</w:t>
      </w:r>
      <w:r w:rsidR="008314A9" w:rsidRPr="000C4B7C">
        <w:rPr>
          <w:rFonts w:ascii="Book Antiqua" w:hAnsi="Book Antiqua"/>
          <w:color w:val="000000" w:themeColor="text1"/>
        </w:rPr>
        <w:t xml:space="preserve"> </w:t>
      </w:r>
      <w:r w:rsidR="00D7638B" w:rsidRPr="000C4B7C">
        <w:rPr>
          <w:rFonts w:ascii="Book Antiqua" w:hAnsi="Book Antiqua"/>
          <w:color w:val="000000" w:themeColor="text1"/>
        </w:rPr>
        <w:t xml:space="preserve">In the post-hoc updated analysis, median </w:t>
      </w:r>
      <w:r w:rsidR="00F23EA7" w:rsidRPr="000C4B7C">
        <w:rPr>
          <w:rFonts w:ascii="Book Antiqua" w:hAnsi="Book Antiqua"/>
          <w:color w:val="000000" w:themeColor="text1"/>
          <w:lang w:eastAsia="zh-CN"/>
        </w:rPr>
        <w:t>OS</w:t>
      </w:r>
      <w:r w:rsidR="00D7638B" w:rsidRPr="000C4B7C">
        <w:rPr>
          <w:rFonts w:ascii="Book Antiqua" w:hAnsi="Book Antiqua"/>
          <w:color w:val="000000" w:themeColor="text1"/>
        </w:rPr>
        <w:t xml:space="preserve"> between patients assigned lenvatinib plus everolimus </w:t>
      </w:r>
      <w:r w:rsidR="00D65C62" w:rsidRPr="000C4B7C">
        <w:rPr>
          <w:rFonts w:ascii="Book Antiqua" w:hAnsi="Book Antiqua"/>
          <w:color w:val="000000" w:themeColor="text1"/>
        </w:rPr>
        <w:t xml:space="preserve">was significantly improved at </w:t>
      </w:r>
      <w:r w:rsidR="005346F9" w:rsidRPr="000C4B7C">
        <w:rPr>
          <w:rFonts w:ascii="Book Antiqua" w:hAnsi="Book Antiqua"/>
          <w:color w:val="000000" w:themeColor="text1"/>
        </w:rPr>
        <w:t>25</w:t>
      </w:r>
      <w:r w:rsidR="005346F9" w:rsidRPr="000C4B7C">
        <w:rPr>
          <w:rFonts w:ascii="Book Antiqua" w:hAnsi="Book Antiqua"/>
          <w:color w:val="000000" w:themeColor="text1"/>
          <w:lang w:eastAsia="zh-CN"/>
        </w:rPr>
        <w:t>.</w:t>
      </w:r>
      <w:r w:rsidR="00D65C62" w:rsidRPr="000C4B7C">
        <w:rPr>
          <w:rFonts w:ascii="Book Antiqua" w:hAnsi="Book Antiqua"/>
          <w:color w:val="000000" w:themeColor="text1"/>
        </w:rPr>
        <w:t xml:space="preserve">5 </w:t>
      </w:r>
      <w:r w:rsidR="005346F9" w:rsidRPr="000C4B7C">
        <w:rPr>
          <w:rFonts w:ascii="Book Antiqua" w:hAnsi="Book Antiqua"/>
          <w:color w:val="000000" w:themeColor="text1"/>
          <w:lang w:eastAsia="zh-CN"/>
        </w:rPr>
        <w:t>mo</w:t>
      </w:r>
      <w:r w:rsidR="005346F9" w:rsidRPr="000C4B7C">
        <w:rPr>
          <w:rFonts w:ascii="Book Antiqua" w:hAnsi="Book Antiqua"/>
          <w:color w:val="000000" w:themeColor="text1"/>
        </w:rPr>
        <w:t xml:space="preserve"> </w:t>
      </w:r>
      <w:r w:rsidR="006E48A9" w:rsidRPr="000C4B7C">
        <w:rPr>
          <w:rFonts w:ascii="Book Antiqua" w:hAnsi="Book Antiqua"/>
          <w:color w:val="000000" w:themeColor="text1"/>
        </w:rPr>
        <w:t>(95%</w:t>
      </w:r>
      <w:r w:rsidR="00D65C62" w:rsidRPr="000C4B7C">
        <w:rPr>
          <w:rFonts w:ascii="Book Antiqua" w:hAnsi="Book Antiqua"/>
          <w:color w:val="000000" w:themeColor="text1"/>
        </w:rPr>
        <w:t>CI</w:t>
      </w:r>
      <w:r w:rsidR="006E48A9" w:rsidRPr="000C4B7C">
        <w:rPr>
          <w:rFonts w:ascii="Book Antiqua" w:hAnsi="Book Antiqua"/>
          <w:color w:val="000000" w:themeColor="text1"/>
          <w:lang w:eastAsia="zh-CN"/>
        </w:rPr>
        <w:t>:</w:t>
      </w:r>
      <w:r w:rsidR="00D65C62" w:rsidRPr="000C4B7C">
        <w:rPr>
          <w:rFonts w:ascii="Book Antiqua" w:hAnsi="Book Antiqua"/>
          <w:color w:val="000000" w:themeColor="text1"/>
        </w:rPr>
        <w:t xml:space="preserve"> 16.4–NE)</w:t>
      </w:r>
      <w:r w:rsidR="005346F9" w:rsidRPr="000C4B7C">
        <w:rPr>
          <w:rFonts w:ascii="Book Antiqua" w:hAnsi="Book Antiqua"/>
          <w:color w:val="000000" w:themeColor="text1"/>
          <w:lang w:eastAsia="zh-CN"/>
        </w:rPr>
        <w:t xml:space="preserve"> </w:t>
      </w:r>
      <w:r w:rsidR="00D65C62" w:rsidRPr="000C4B7C">
        <w:rPr>
          <w:rFonts w:ascii="Book Antiqua" w:hAnsi="Book Antiqua"/>
          <w:color w:val="000000" w:themeColor="text1"/>
        </w:rPr>
        <w:t xml:space="preserve">compared with </w:t>
      </w:r>
      <w:r w:rsidR="00D7638B" w:rsidRPr="000C4B7C">
        <w:rPr>
          <w:rFonts w:ascii="Book Antiqua" w:hAnsi="Book Antiqua"/>
          <w:color w:val="000000" w:themeColor="text1"/>
        </w:rPr>
        <w:t xml:space="preserve">single-agent everolimus </w:t>
      </w:r>
      <w:r w:rsidR="006E48A9" w:rsidRPr="000C4B7C">
        <w:rPr>
          <w:rFonts w:ascii="Book Antiqua" w:hAnsi="Book Antiqua"/>
          <w:color w:val="000000" w:themeColor="text1"/>
        </w:rPr>
        <w:t>15</w:t>
      </w:r>
      <w:r w:rsidR="006E48A9" w:rsidRPr="000C4B7C">
        <w:rPr>
          <w:rFonts w:ascii="Book Antiqua" w:hAnsi="Book Antiqua"/>
          <w:color w:val="000000" w:themeColor="text1"/>
          <w:lang w:eastAsia="zh-CN"/>
        </w:rPr>
        <w:t>.</w:t>
      </w:r>
      <w:r w:rsidR="00581789" w:rsidRPr="000C4B7C">
        <w:rPr>
          <w:rFonts w:ascii="Book Antiqua" w:hAnsi="Book Antiqua"/>
          <w:color w:val="000000" w:themeColor="text1"/>
        </w:rPr>
        <w:t xml:space="preserve">4 </w:t>
      </w:r>
      <w:r w:rsidR="006E48A9" w:rsidRPr="000C4B7C">
        <w:rPr>
          <w:rFonts w:ascii="Book Antiqua" w:hAnsi="Book Antiqua"/>
          <w:color w:val="000000" w:themeColor="text1"/>
          <w:lang w:eastAsia="zh-CN"/>
        </w:rPr>
        <w:t>mo</w:t>
      </w:r>
      <w:r w:rsidR="006E48A9" w:rsidRPr="000C4B7C">
        <w:rPr>
          <w:rFonts w:ascii="Book Antiqua" w:hAnsi="Book Antiqua"/>
          <w:color w:val="000000" w:themeColor="text1"/>
        </w:rPr>
        <w:t xml:space="preserve"> </w:t>
      </w:r>
      <w:r w:rsidR="00581789" w:rsidRPr="000C4B7C">
        <w:rPr>
          <w:rFonts w:ascii="Book Antiqua" w:hAnsi="Book Antiqua"/>
          <w:color w:val="000000" w:themeColor="text1"/>
        </w:rPr>
        <w:t>(11</w:t>
      </w:r>
      <w:r w:rsidR="00D65C62" w:rsidRPr="000C4B7C">
        <w:rPr>
          <w:rFonts w:ascii="Book Antiqua" w:hAnsi="Book Antiqua"/>
          <w:color w:val="000000" w:themeColor="text1"/>
        </w:rPr>
        <w:t>.</w:t>
      </w:r>
      <w:r w:rsidR="00581789" w:rsidRPr="000C4B7C">
        <w:rPr>
          <w:rFonts w:ascii="Book Antiqua" w:hAnsi="Book Antiqua"/>
          <w:color w:val="000000" w:themeColor="text1"/>
        </w:rPr>
        <w:t>8</w:t>
      </w:r>
      <w:r w:rsidR="00A60850">
        <w:rPr>
          <w:rFonts w:ascii="Book Antiqua" w:hAnsi="Book Antiqua"/>
          <w:color w:val="000000" w:themeColor="text1"/>
        </w:rPr>
        <w:t>-</w:t>
      </w:r>
      <w:r w:rsidR="00581789" w:rsidRPr="000C4B7C">
        <w:rPr>
          <w:rFonts w:ascii="Book Antiqua" w:hAnsi="Book Antiqua"/>
          <w:color w:val="000000" w:themeColor="text1"/>
        </w:rPr>
        <w:t>19</w:t>
      </w:r>
      <w:r w:rsidR="00D65C62" w:rsidRPr="000C4B7C">
        <w:rPr>
          <w:rFonts w:ascii="Book Antiqua" w:hAnsi="Book Antiqua"/>
          <w:color w:val="000000" w:themeColor="text1"/>
        </w:rPr>
        <w:t>.</w:t>
      </w:r>
      <w:r w:rsidR="00581789" w:rsidRPr="000C4B7C">
        <w:rPr>
          <w:rFonts w:ascii="Book Antiqua" w:hAnsi="Book Antiqua"/>
          <w:color w:val="000000" w:themeColor="text1"/>
        </w:rPr>
        <w:t>6)</w:t>
      </w:r>
      <w:r w:rsidR="00D7638B" w:rsidRPr="000C4B7C">
        <w:rPr>
          <w:rFonts w:ascii="Book Antiqua" w:hAnsi="Book Antiqua"/>
          <w:color w:val="000000" w:themeColor="text1"/>
        </w:rPr>
        <w:t>; HR 0</w:t>
      </w:r>
      <w:r w:rsidR="00D65C62" w:rsidRPr="000C4B7C">
        <w:rPr>
          <w:rFonts w:ascii="Book Antiqua" w:hAnsi="Book Antiqua"/>
          <w:color w:val="000000" w:themeColor="text1"/>
        </w:rPr>
        <w:t>.</w:t>
      </w:r>
      <w:r w:rsidR="00212EBA" w:rsidRPr="000C4B7C">
        <w:rPr>
          <w:rFonts w:ascii="Book Antiqua" w:hAnsi="Book Antiqua"/>
          <w:color w:val="000000" w:themeColor="text1"/>
        </w:rPr>
        <w:t>51, 95%CI</w:t>
      </w:r>
      <w:r w:rsidR="00212EBA" w:rsidRPr="000C4B7C">
        <w:rPr>
          <w:rFonts w:ascii="Book Antiqua" w:hAnsi="Book Antiqua"/>
          <w:color w:val="000000" w:themeColor="text1"/>
          <w:lang w:eastAsia="zh-CN"/>
        </w:rPr>
        <w:t xml:space="preserve">: </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212EBA" w:rsidRPr="000C4B7C">
        <w:rPr>
          <w:rFonts w:ascii="Book Antiqua" w:hAnsi="Book Antiqua"/>
          <w:color w:val="000000" w:themeColor="text1"/>
        </w:rPr>
        <w:t>30</w:t>
      </w:r>
      <w:r w:rsidR="00A60850">
        <w:rPr>
          <w:rFonts w:ascii="Book Antiqua" w:hAnsi="Book Antiqua"/>
          <w:color w:val="000000" w:themeColor="text1"/>
        </w:rPr>
        <w:t>-</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D7638B" w:rsidRPr="000C4B7C">
        <w:rPr>
          <w:rFonts w:ascii="Book Antiqua" w:hAnsi="Book Antiqua"/>
          <w:color w:val="000000" w:themeColor="text1"/>
        </w:rPr>
        <w:t xml:space="preserve">88; </w:t>
      </w:r>
      <w:r w:rsidR="00212EBA" w:rsidRPr="000C4B7C">
        <w:rPr>
          <w:rFonts w:ascii="Book Antiqua" w:hAnsi="Book Antiqua"/>
          <w:i/>
          <w:color w:val="000000" w:themeColor="text1"/>
        </w:rPr>
        <w:t>P</w:t>
      </w:r>
      <w:r w:rsidR="00212EBA" w:rsidRPr="000C4B7C">
        <w:rPr>
          <w:rFonts w:ascii="Book Antiqua" w:hAnsi="Book Antiqua"/>
          <w:color w:val="000000" w:themeColor="text1"/>
          <w:lang w:eastAsia="zh-CN"/>
        </w:rPr>
        <w:t xml:space="preserve"> </w:t>
      </w:r>
      <w:r w:rsidR="00D7638B" w:rsidRPr="000C4B7C">
        <w:rPr>
          <w:rFonts w:ascii="Book Antiqua" w:hAnsi="Book Antiqua"/>
          <w:color w:val="000000" w:themeColor="text1"/>
        </w:rPr>
        <w:t>=</w:t>
      </w:r>
      <w:r w:rsidR="00212EBA" w:rsidRPr="000C4B7C">
        <w:rPr>
          <w:rFonts w:ascii="Book Antiqua" w:hAnsi="Book Antiqua"/>
          <w:color w:val="000000" w:themeColor="text1"/>
          <w:lang w:eastAsia="zh-CN"/>
        </w:rPr>
        <w:t xml:space="preserve"> </w:t>
      </w:r>
      <w:r w:rsidR="00212EBA" w:rsidRPr="000C4B7C">
        <w:rPr>
          <w:rFonts w:ascii="Book Antiqua" w:hAnsi="Book Antiqua"/>
          <w:color w:val="000000" w:themeColor="text1"/>
        </w:rPr>
        <w:t>0</w:t>
      </w:r>
      <w:r w:rsidR="00212EBA" w:rsidRPr="000C4B7C">
        <w:rPr>
          <w:rFonts w:ascii="Book Antiqua" w:hAnsi="Book Antiqua"/>
          <w:color w:val="000000" w:themeColor="text1"/>
          <w:lang w:eastAsia="zh-CN"/>
        </w:rPr>
        <w:t>.</w:t>
      </w:r>
      <w:r w:rsidR="00D7638B" w:rsidRPr="000C4B7C">
        <w:rPr>
          <w:rFonts w:ascii="Book Antiqua" w:hAnsi="Book Antiqua"/>
          <w:color w:val="000000" w:themeColor="text1"/>
        </w:rPr>
        <w:t>024</w:t>
      </w:r>
      <w:r w:rsidR="000C4504" w:rsidRPr="000C4B7C">
        <w:rPr>
          <w:rFonts w:ascii="Book Antiqua" w:hAnsi="Book Antiqua"/>
          <w:color w:val="000000" w:themeColor="text1"/>
        </w:rPr>
        <w:t xml:space="preserve">. However, </w:t>
      </w:r>
      <w:r w:rsidR="00F23EA7" w:rsidRPr="000C4B7C">
        <w:rPr>
          <w:rFonts w:ascii="Book Antiqua" w:hAnsi="Book Antiqua"/>
          <w:color w:val="000000" w:themeColor="text1"/>
          <w:lang w:eastAsia="zh-CN"/>
        </w:rPr>
        <w:t>OS</w:t>
      </w:r>
      <w:r w:rsidR="000C4504" w:rsidRPr="000C4B7C">
        <w:rPr>
          <w:rFonts w:ascii="Book Antiqua" w:hAnsi="Book Antiqua"/>
          <w:color w:val="000000" w:themeColor="text1"/>
        </w:rPr>
        <w:t xml:space="preserve"> did not differ between patients who received </w:t>
      </w:r>
      <w:r w:rsidR="00D23C1D" w:rsidRPr="000C4B7C">
        <w:rPr>
          <w:rFonts w:ascii="Book Antiqua" w:hAnsi="Book Antiqua"/>
          <w:color w:val="000000" w:themeColor="text1"/>
        </w:rPr>
        <w:t>lenvatinib plus everolimus (HR 0.75, 0.43</w:t>
      </w:r>
      <w:r w:rsidR="001E23CA">
        <w:rPr>
          <w:rFonts w:ascii="Book Antiqua" w:hAnsi="Book Antiqua"/>
          <w:color w:val="000000" w:themeColor="text1"/>
        </w:rPr>
        <w:t>-</w:t>
      </w:r>
      <w:r w:rsidR="00D23C1D" w:rsidRPr="000C4B7C">
        <w:rPr>
          <w:rFonts w:ascii="Book Antiqua" w:hAnsi="Book Antiqua"/>
          <w:color w:val="000000" w:themeColor="text1"/>
        </w:rPr>
        <w:t xml:space="preserve">1.30; </w:t>
      </w:r>
      <w:r w:rsidR="00927C82" w:rsidRPr="000C4B7C">
        <w:rPr>
          <w:rFonts w:ascii="Book Antiqua" w:hAnsi="Book Antiqua"/>
          <w:i/>
          <w:color w:val="000000" w:themeColor="text1"/>
        </w:rPr>
        <w:t>P</w:t>
      </w:r>
      <w:r w:rsidR="00927C82" w:rsidRPr="000C4B7C">
        <w:rPr>
          <w:rFonts w:ascii="Book Antiqua" w:hAnsi="Book Antiqua"/>
          <w:color w:val="000000" w:themeColor="text1"/>
          <w:lang w:eastAsia="zh-CN"/>
        </w:rPr>
        <w:t xml:space="preserve"> </w:t>
      </w:r>
      <w:r w:rsidR="00D23C1D" w:rsidRPr="000C4B7C">
        <w:rPr>
          <w:rFonts w:ascii="Book Antiqua" w:hAnsi="Book Antiqua"/>
          <w:color w:val="000000" w:themeColor="text1"/>
        </w:rPr>
        <w:t>=</w:t>
      </w:r>
      <w:r w:rsidR="00927C82" w:rsidRPr="000C4B7C">
        <w:rPr>
          <w:rFonts w:ascii="Book Antiqua" w:hAnsi="Book Antiqua"/>
          <w:color w:val="000000" w:themeColor="text1"/>
          <w:lang w:eastAsia="zh-CN"/>
        </w:rPr>
        <w:t xml:space="preserve"> </w:t>
      </w:r>
      <w:r w:rsidR="00D23C1D" w:rsidRPr="000C4B7C">
        <w:rPr>
          <w:rFonts w:ascii="Book Antiqua" w:hAnsi="Book Antiqua"/>
          <w:color w:val="000000" w:themeColor="text1"/>
        </w:rPr>
        <w:t>0.32), and</w:t>
      </w:r>
      <w:r w:rsidR="00A457D2" w:rsidRPr="000C4B7C">
        <w:rPr>
          <w:rFonts w:ascii="Book Antiqua" w:hAnsi="Book Antiqua"/>
          <w:color w:val="000000" w:themeColor="text1"/>
          <w:lang w:eastAsia="zh-CN"/>
        </w:rPr>
        <w:t xml:space="preserve"> </w:t>
      </w:r>
      <w:r w:rsidR="00927C82" w:rsidRPr="000C4B7C">
        <w:rPr>
          <w:rFonts w:ascii="Book Antiqua" w:hAnsi="Book Antiqua"/>
          <w:color w:val="000000" w:themeColor="text1"/>
        </w:rPr>
        <w:t xml:space="preserve">single-agent lenvatinib </w:t>
      </w:r>
      <w:r w:rsidR="00927C82"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median </w:t>
      </w:r>
      <w:r w:rsidR="00F84B51" w:rsidRPr="000C4B7C">
        <w:rPr>
          <w:rFonts w:ascii="Book Antiqua" w:hAnsi="Book Antiqua"/>
          <w:color w:val="000000" w:themeColor="text1"/>
          <w:lang w:eastAsia="zh-CN"/>
        </w:rPr>
        <w:t xml:space="preserve">OS </w:t>
      </w:r>
      <w:r w:rsidR="000C4504" w:rsidRPr="000C4B7C">
        <w:rPr>
          <w:rFonts w:ascii="Book Antiqua" w:hAnsi="Book Antiqua"/>
          <w:color w:val="000000" w:themeColor="text1"/>
        </w:rPr>
        <w:t>19</w:t>
      </w:r>
      <w:r w:rsidR="00D65C62" w:rsidRPr="000C4B7C">
        <w:rPr>
          <w:rFonts w:ascii="Book Antiqua" w:hAnsi="Book Antiqua"/>
          <w:color w:val="000000" w:themeColor="text1"/>
        </w:rPr>
        <w:t>.</w:t>
      </w:r>
      <w:r w:rsidR="000C4504" w:rsidRPr="000C4B7C">
        <w:rPr>
          <w:rFonts w:ascii="Book Antiqua" w:hAnsi="Book Antiqua"/>
          <w:color w:val="000000" w:themeColor="text1"/>
        </w:rPr>
        <w:t xml:space="preserve">1 </w:t>
      </w:r>
      <w:r w:rsidR="00F84B51" w:rsidRPr="000C4B7C">
        <w:rPr>
          <w:rFonts w:ascii="Book Antiqua" w:hAnsi="Book Antiqua"/>
          <w:color w:val="000000" w:themeColor="text1"/>
          <w:lang w:eastAsia="zh-CN"/>
        </w:rPr>
        <w:t>mo</w:t>
      </w:r>
      <w:r w:rsidR="000C4504" w:rsidRPr="000C4B7C">
        <w:rPr>
          <w:rFonts w:ascii="Book Antiqua" w:hAnsi="Book Antiqua"/>
          <w:color w:val="000000" w:themeColor="text1"/>
        </w:rPr>
        <w:t xml:space="preserve"> </w:t>
      </w:r>
      <w:r w:rsidR="00927C82" w:rsidRPr="000C4B7C">
        <w:rPr>
          <w:rFonts w:ascii="Book Antiqua" w:hAnsi="Book Antiqua"/>
          <w:color w:val="000000" w:themeColor="text1"/>
        </w:rPr>
        <w:t>(95%</w:t>
      </w:r>
      <w:r w:rsidR="00581789" w:rsidRPr="000C4B7C">
        <w:rPr>
          <w:rFonts w:ascii="Book Antiqua" w:hAnsi="Book Antiqua"/>
          <w:color w:val="000000" w:themeColor="text1"/>
        </w:rPr>
        <w:t>CI</w:t>
      </w:r>
      <w:r w:rsidR="00927C82" w:rsidRPr="000C4B7C">
        <w:rPr>
          <w:rFonts w:ascii="Book Antiqua" w:hAnsi="Book Antiqua"/>
          <w:color w:val="000000" w:themeColor="text1"/>
          <w:lang w:eastAsia="zh-CN"/>
        </w:rPr>
        <w:t>:</w:t>
      </w:r>
      <w:r w:rsidR="00927C82" w:rsidRPr="000C4B7C">
        <w:rPr>
          <w:rFonts w:ascii="Book Antiqua" w:hAnsi="Book Antiqua"/>
          <w:color w:val="000000" w:themeColor="text1"/>
        </w:rPr>
        <w:t xml:space="preserve"> 13</w:t>
      </w:r>
      <w:r w:rsidR="00927C82" w:rsidRPr="000C4B7C">
        <w:rPr>
          <w:rFonts w:ascii="Book Antiqua" w:hAnsi="Book Antiqua"/>
          <w:color w:val="000000" w:themeColor="text1"/>
          <w:lang w:eastAsia="zh-CN"/>
        </w:rPr>
        <w:t>.</w:t>
      </w:r>
      <w:r w:rsidR="00927C82" w:rsidRPr="000C4B7C">
        <w:rPr>
          <w:rFonts w:ascii="Book Antiqua" w:hAnsi="Book Antiqua"/>
          <w:color w:val="000000" w:themeColor="text1"/>
        </w:rPr>
        <w:t>6</w:t>
      </w:r>
      <w:r w:rsidR="001E23CA">
        <w:rPr>
          <w:rFonts w:ascii="Book Antiqua" w:hAnsi="Book Antiqua"/>
          <w:color w:val="000000" w:themeColor="text1"/>
        </w:rPr>
        <w:t>-</w:t>
      </w:r>
      <w:r w:rsidR="00927C82" w:rsidRPr="000C4B7C">
        <w:rPr>
          <w:rFonts w:ascii="Book Antiqua" w:hAnsi="Book Antiqua"/>
          <w:color w:val="000000" w:themeColor="text1"/>
        </w:rPr>
        <w:t>26</w:t>
      </w:r>
      <w:r w:rsidR="00927C82" w:rsidRPr="000C4B7C">
        <w:rPr>
          <w:rFonts w:ascii="Book Antiqua" w:hAnsi="Book Antiqua"/>
          <w:color w:val="000000" w:themeColor="text1"/>
          <w:lang w:eastAsia="zh-CN"/>
        </w:rPr>
        <w:t>.</w:t>
      </w:r>
      <w:r w:rsidR="00581789" w:rsidRPr="000C4B7C">
        <w:rPr>
          <w:rFonts w:ascii="Book Antiqua" w:hAnsi="Book Antiqua"/>
          <w:color w:val="000000" w:themeColor="text1"/>
        </w:rPr>
        <w:t>2)</w:t>
      </w:r>
      <w:r w:rsidR="00927C82"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 </w:t>
      </w:r>
      <w:r w:rsidR="00D23C1D" w:rsidRPr="000C4B7C">
        <w:rPr>
          <w:rFonts w:ascii="Book Antiqua" w:hAnsi="Book Antiqua"/>
          <w:color w:val="000000" w:themeColor="text1"/>
        </w:rPr>
        <w:t>or</w:t>
      </w:r>
      <w:r w:rsidR="00ED737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single-agent everolimus (HR 0</w:t>
      </w:r>
      <w:r w:rsidR="00D65C62" w:rsidRPr="000C4B7C">
        <w:rPr>
          <w:rFonts w:ascii="Book Antiqua" w:hAnsi="Book Antiqua"/>
          <w:color w:val="000000" w:themeColor="text1"/>
        </w:rPr>
        <w:t>.</w:t>
      </w:r>
      <w:r w:rsidR="003A262A" w:rsidRPr="000C4B7C">
        <w:rPr>
          <w:rFonts w:ascii="Book Antiqua" w:hAnsi="Book Antiqua"/>
          <w:color w:val="000000" w:themeColor="text1"/>
        </w:rPr>
        <w:t>68, 95%CI</w:t>
      </w:r>
      <w:r w:rsidR="003A262A" w:rsidRPr="000C4B7C">
        <w:rPr>
          <w:rFonts w:ascii="Book Antiqua" w:hAnsi="Book Antiqua"/>
          <w:color w:val="000000" w:themeColor="text1"/>
          <w:lang w:eastAsia="zh-CN"/>
        </w:rPr>
        <w:t xml:space="preserve">: </w:t>
      </w:r>
      <w:r w:rsidR="003A262A" w:rsidRPr="000C4B7C">
        <w:rPr>
          <w:rFonts w:ascii="Book Antiqua" w:hAnsi="Book Antiqua"/>
          <w:color w:val="000000" w:themeColor="text1"/>
        </w:rPr>
        <w:t>0</w:t>
      </w:r>
      <w:r w:rsidR="003A262A" w:rsidRPr="000C4B7C">
        <w:rPr>
          <w:rFonts w:ascii="Book Antiqua" w:hAnsi="Book Antiqua"/>
          <w:color w:val="000000" w:themeColor="text1"/>
          <w:lang w:eastAsia="zh-CN"/>
        </w:rPr>
        <w:t>.</w:t>
      </w:r>
      <w:r w:rsidR="000C4504" w:rsidRPr="000C4B7C">
        <w:rPr>
          <w:rFonts w:ascii="Book Antiqua" w:hAnsi="Book Antiqua"/>
          <w:color w:val="000000" w:themeColor="text1"/>
        </w:rPr>
        <w:t>41</w:t>
      </w:r>
      <w:r w:rsidR="001E23CA">
        <w:rPr>
          <w:rFonts w:ascii="Book Antiqua" w:hAnsi="Book Antiqua"/>
          <w:color w:val="000000" w:themeColor="text1"/>
        </w:rPr>
        <w:t>-</w:t>
      </w:r>
      <w:r w:rsidR="000C4504" w:rsidRPr="000C4B7C">
        <w:rPr>
          <w:rFonts w:ascii="Book Antiqua" w:hAnsi="Book Antiqua"/>
          <w:color w:val="000000" w:themeColor="text1"/>
        </w:rPr>
        <w:t>1</w:t>
      </w:r>
      <w:r w:rsidR="003A262A" w:rsidRPr="000C4B7C">
        <w:rPr>
          <w:rFonts w:ascii="Book Antiqua" w:hAnsi="Book Antiqua"/>
          <w:color w:val="000000" w:themeColor="text1"/>
          <w:lang w:eastAsia="zh-CN"/>
        </w:rPr>
        <w:t>.</w:t>
      </w:r>
      <w:r w:rsidR="000C4504" w:rsidRPr="000C4B7C">
        <w:rPr>
          <w:rFonts w:ascii="Book Antiqua" w:hAnsi="Book Antiqua"/>
          <w:color w:val="000000" w:themeColor="text1"/>
        </w:rPr>
        <w:t xml:space="preserve">14; </w:t>
      </w:r>
      <w:r w:rsidR="00F84B51" w:rsidRPr="000C4B7C">
        <w:rPr>
          <w:rFonts w:ascii="Book Antiqua" w:hAnsi="Book Antiqua"/>
          <w:i/>
          <w:color w:val="000000" w:themeColor="text1"/>
        </w:rPr>
        <w:t>P</w:t>
      </w:r>
      <w:r w:rsidR="00F84B5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w:t>
      </w:r>
      <w:r w:rsidR="00F84B51" w:rsidRPr="000C4B7C">
        <w:rPr>
          <w:rFonts w:ascii="Book Antiqua" w:hAnsi="Book Antiqua"/>
          <w:color w:val="000000" w:themeColor="text1"/>
          <w:lang w:eastAsia="zh-CN"/>
        </w:rPr>
        <w:t xml:space="preserve"> </w:t>
      </w:r>
      <w:r w:rsidR="000C4504" w:rsidRPr="000C4B7C">
        <w:rPr>
          <w:rFonts w:ascii="Book Antiqua" w:hAnsi="Book Antiqua"/>
          <w:color w:val="000000" w:themeColor="text1"/>
        </w:rPr>
        <w:t>0</w:t>
      </w:r>
      <w:r w:rsidR="00D65C62" w:rsidRPr="000C4B7C">
        <w:rPr>
          <w:rFonts w:ascii="Book Antiqua" w:hAnsi="Book Antiqua"/>
          <w:color w:val="000000" w:themeColor="text1"/>
        </w:rPr>
        <w:t>.</w:t>
      </w:r>
      <w:r w:rsidR="00F84B51" w:rsidRPr="000C4B7C">
        <w:rPr>
          <w:rFonts w:ascii="Book Antiqua" w:hAnsi="Book Antiqua"/>
          <w:color w:val="000000" w:themeColor="text1"/>
        </w:rPr>
        <w:t>12</w:t>
      </w:r>
      <w:proofErr w:type="gramStart"/>
      <w:r w:rsidR="00F84B51" w:rsidRPr="000C4B7C">
        <w:rPr>
          <w:rFonts w:ascii="Book Antiqua" w:hAnsi="Book Antiqua"/>
          <w:color w:val="000000" w:themeColor="text1"/>
        </w:rPr>
        <w:t>)</w:t>
      </w:r>
      <w:r w:rsidR="00010C0F" w:rsidRPr="000C4B7C">
        <w:rPr>
          <w:rFonts w:ascii="Book Antiqua" w:hAnsi="Book Antiqua"/>
          <w:noProof/>
          <w:color w:val="000000" w:themeColor="text1"/>
          <w:vertAlign w:val="superscript"/>
        </w:rPr>
        <w:t>[</w:t>
      </w:r>
      <w:proofErr w:type="gramEnd"/>
      <w:r w:rsidR="00010C0F" w:rsidRPr="000C4B7C">
        <w:rPr>
          <w:rFonts w:ascii="Book Antiqua" w:hAnsi="Book Antiqua"/>
          <w:noProof/>
          <w:color w:val="000000" w:themeColor="text1"/>
          <w:vertAlign w:val="superscript"/>
        </w:rPr>
        <w:t>41]</w:t>
      </w:r>
      <w:r w:rsidR="000C4504" w:rsidRPr="000C4B7C">
        <w:rPr>
          <w:rFonts w:ascii="Book Antiqua" w:eastAsia="Times New Roman" w:hAnsi="Book Antiqua"/>
          <w:color w:val="000000" w:themeColor="text1"/>
        </w:rPr>
        <w:t>.</w:t>
      </w:r>
    </w:p>
    <w:p w:rsidR="00EE06DA" w:rsidRPr="000C4B7C" w:rsidRDefault="00B01747"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w:t>
      </w:r>
      <w:r w:rsidR="001C67E0" w:rsidRPr="000C4B7C">
        <w:rPr>
          <w:rFonts w:ascii="Book Antiqua" w:eastAsia="Times New Roman" w:hAnsi="Book Antiqua"/>
          <w:color w:val="000000" w:themeColor="text1"/>
        </w:rPr>
        <w:t>safety profile for lenvatinib plus everolimus was similar to the known toxic effects of each individual agent</w:t>
      </w:r>
      <w:r w:rsidR="001C67E0" w:rsidRPr="000C4B7C">
        <w:rPr>
          <w:rFonts w:ascii="Book Antiqua" w:eastAsia="Times New Roman" w:hAnsi="Book Antiqua"/>
          <w:bCs/>
          <w:color w:val="000000" w:themeColor="text1"/>
        </w:rPr>
        <w:t xml:space="preserve">. Grade 3-4 </w:t>
      </w:r>
      <w:r w:rsidR="001C67E0" w:rsidRPr="000C4B7C">
        <w:rPr>
          <w:rFonts w:ascii="Book Antiqua" w:eastAsia="Times New Roman" w:hAnsi="Book Antiqua"/>
          <w:color w:val="000000" w:themeColor="text1"/>
        </w:rPr>
        <w:t xml:space="preserve">treatment-emergent adverse event (TEAE), </w:t>
      </w:r>
      <w:r w:rsidR="001C67E0" w:rsidRPr="000C4B7C">
        <w:rPr>
          <w:rFonts w:ascii="Book Antiqua" w:eastAsia="Times New Roman" w:hAnsi="Book Antiqua"/>
          <w:bCs/>
          <w:color w:val="000000" w:themeColor="text1"/>
        </w:rPr>
        <w:t xml:space="preserve">occurred in fewer patients allocated single-agent everolimus (50%) compared with those assigned lenvatinib alone (79%) or lenvatinib plus everolimus (71%). The most common grade 3 or 4 </w:t>
      </w:r>
      <w:r w:rsidR="00EC1069" w:rsidRPr="000C4B7C">
        <w:rPr>
          <w:rFonts w:ascii="Book Antiqua" w:eastAsia="Times New Roman" w:hAnsi="Book Antiqua"/>
          <w:bCs/>
          <w:color w:val="000000" w:themeColor="text1"/>
        </w:rPr>
        <w:t>TEAE</w:t>
      </w:r>
      <w:r w:rsidR="001C67E0" w:rsidRPr="000C4B7C">
        <w:rPr>
          <w:rFonts w:ascii="Book Antiqua" w:eastAsia="Times New Roman" w:hAnsi="Book Antiqua"/>
          <w:bCs/>
          <w:color w:val="000000" w:themeColor="text1"/>
        </w:rPr>
        <w:t xml:space="preserve"> in patients allocated lenvat</w:t>
      </w:r>
      <w:r w:rsidR="00681603" w:rsidRPr="000C4B7C">
        <w:rPr>
          <w:rFonts w:ascii="Book Antiqua" w:eastAsia="Times New Roman" w:hAnsi="Book Antiqua"/>
          <w:bCs/>
          <w:color w:val="000000" w:themeColor="text1"/>
        </w:rPr>
        <w:t>inib plus everolimus was diarrh</w:t>
      </w:r>
      <w:r w:rsidR="001C67E0" w:rsidRPr="000C4B7C">
        <w:rPr>
          <w:rFonts w:ascii="Book Antiqua" w:eastAsia="Times New Roman" w:hAnsi="Book Antiqua"/>
          <w:bCs/>
          <w:color w:val="000000" w:themeColor="text1"/>
        </w:rPr>
        <w:t>ea (20%)</w:t>
      </w:r>
      <w:proofErr w:type="gramStart"/>
      <w:r w:rsidR="00EC1069" w:rsidRPr="000C4B7C">
        <w:rPr>
          <w:rFonts w:ascii="Book Antiqua" w:eastAsia="Times New Roman" w:hAnsi="Book Antiqua"/>
          <w:bCs/>
          <w:color w:val="000000" w:themeColor="text1"/>
        </w:rPr>
        <w:t>,</w:t>
      </w:r>
      <w:r w:rsidR="001C67E0" w:rsidRPr="000C4B7C">
        <w:rPr>
          <w:rFonts w:ascii="Book Antiqua" w:eastAsia="Times New Roman" w:hAnsi="Book Antiqua"/>
          <w:bCs/>
          <w:color w:val="000000" w:themeColor="text1"/>
        </w:rPr>
        <w:t>in</w:t>
      </w:r>
      <w:proofErr w:type="gramEnd"/>
      <w:r w:rsidR="001C67E0" w:rsidRPr="000C4B7C">
        <w:rPr>
          <w:rFonts w:ascii="Book Antiqua" w:eastAsia="Times New Roman" w:hAnsi="Book Antiqua"/>
          <w:bCs/>
          <w:color w:val="000000" w:themeColor="text1"/>
        </w:rPr>
        <w:t xml:space="preserve"> those assigned single-agent lenvatinib it was proteinuria (19%), and in those assigned sing</w:t>
      </w:r>
      <w:r w:rsidR="00681603" w:rsidRPr="000C4B7C">
        <w:rPr>
          <w:rFonts w:ascii="Book Antiqua" w:eastAsia="Times New Roman" w:hAnsi="Book Antiqua"/>
          <w:bCs/>
          <w:color w:val="000000" w:themeColor="text1"/>
        </w:rPr>
        <w:t>le-agent everolimus it was an</w:t>
      </w:r>
      <w:r w:rsidR="001C67E0" w:rsidRPr="000C4B7C">
        <w:rPr>
          <w:rFonts w:ascii="Book Antiqua" w:eastAsia="Times New Roman" w:hAnsi="Book Antiqua"/>
          <w:bCs/>
          <w:color w:val="000000" w:themeColor="text1"/>
        </w:rPr>
        <w:t xml:space="preserve">emia (12%). One case of fatal drug-related AE (cerebral </w:t>
      </w:r>
      <w:r w:rsidR="00E01871" w:rsidRPr="000C4B7C">
        <w:rPr>
          <w:rFonts w:ascii="Book Antiqua" w:eastAsia="Times New Roman" w:hAnsi="Book Antiqua"/>
          <w:bCs/>
          <w:color w:val="000000" w:themeColor="text1"/>
        </w:rPr>
        <w:t>hemorrhage</w:t>
      </w:r>
      <w:r w:rsidR="001C67E0" w:rsidRPr="000C4B7C">
        <w:rPr>
          <w:rFonts w:ascii="Book Antiqua" w:eastAsia="Times New Roman" w:hAnsi="Book Antiqua"/>
          <w:bCs/>
          <w:color w:val="000000" w:themeColor="text1"/>
        </w:rPr>
        <w:t>) was reported in the lenvatinib plus everolimus group.</w:t>
      </w:r>
    </w:p>
    <w:p w:rsidR="001C67E0" w:rsidRPr="000C4B7C" w:rsidRDefault="001C67E0" w:rsidP="000C4B7C">
      <w:pPr>
        <w:adjustRightInd w:val="0"/>
        <w:snapToGrid w:val="0"/>
        <w:spacing w:line="360" w:lineRule="auto"/>
        <w:ind w:firstLineChars="100" w:firstLine="240"/>
        <w:jc w:val="both"/>
        <w:rPr>
          <w:rFonts w:ascii="Book Antiqua" w:eastAsia="Times New Roman" w:hAnsi="Book Antiqua"/>
          <w:color w:val="000000" w:themeColor="text1"/>
        </w:rPr>
      </w:pPr>
      <w:r w:rsidRPr="000C4B7C">
        <w:rPr>
          <w:rFonts w:ascii="Book Antiqua" w:eastAsia="Times New Roman" w:hAnsi="Book Antiqua"/>
          <w:color w:val="000000" w:themeColor="text1"/>
        </w:rPr>
        <w:t>These efficacy results were promising and</w:t>
      </w:r>
      <w:r w:rsidR="003362D4" w:rsidRPr="000C4B7C">
        <w:rPr>
          <w:rFonts w:ascii="Book Antiqua" w:eastAsia="Times New Roman" w:hAnsi="Book Antiqua"/>
          <w:color w:val="000000" w:themeColor="text1"/>
        </w:rPr>
        <w:t xml:space="preserve"> in May 2016</w:t>
      </w:r>
      <w:r w:rsidRPr="000C4B7C">
        <w:rPr>
          <w:rFonts w:ascii="Book Antiqua" w:eastAsia="Times New Roman" w:hAnsi="Book Antiqua"/>
          <w:color w:val="000000" w:themeColor="text1"/>
        </w:rPr>
        <w:t xml:space="preserve"> led to</w:t>
      </w:r>
      <w:r w:rsidR="003362D4" w:rsidRPr="000C4B7C">
        <w:rPr>
          <w:rFonts w:ascii="Book Antiqua" w:eastAsia="Times New Roman" w:hAnsi="Book Antiqua"/>
          <w:color w:val="000000" w:themeColor="text1"/>
        </w:rPr>
        <w:t xml:space="preserve"> the</w:t>
      </w:r>
      <w:r w:rsidRPr="000C4B7C">
        <w:rPr>
          <w:rFonts w:ascii="Book Antiqua" w:eastAsia="Times New Roman" w:hAnsi="Book Antiqua"/>
          <w:color w:val="000000" w:themeColor="text1"/>
        </w:rPr>
        <w:t xml:space="preserve"> FDA approval for the treatment </w:t>
      </w:r>
      <w:r w:rsidRPr="000C4B7C">
        <w:rPr>
          <w:rFonts w:ascii="Book Antiqua" w:hAnsi="Book Antiqua"/>
          <w:color w:val="000000" w:themeColor="text1"/>
        </w:rPr>
        <w:t>of advanced RCC after failure of prior antiangiogenic (TKI) therapy at the lenvatinib dose of 18 mg/daily in combinat</w:t>
      </w:r>
      <w:r w:rsidR="007747D3" w:rsidRPr="000C4B7C">
        <w:rPr>
          <w:rFonts w:ascii="Book Antiqua" w:hAnsi="Book Antiqua"/>
          <w:color w:val="000000" w:themeColor="text1"/>
        </w:rPr>
        <w:t>ion with everolimus 5 mg/daily.</w:t>
      </w:r>
    </w:p>
    <w:p w:rsidR="00E51B79" w:rsidRPr="000C4B7C" w:rsidRDefault="00E51B79" w:rsidP="000C4B7C">
      <w:pPr>
        <w:adjustRightInd w:val="0"/>
        <w:snapToGrid w:val="0"/>
        <w:spacing w:line="360" w:lineRule="auto"/>
        <w:jc w:val="both"/>
        <w:rPr>
          <w:rFonts w:ascii="Book Antiqua" w:eastAsia="Times New Roman" w:hAnsi="Book Antiqua"/>
          <w:color w:val="000000" w:themeColor="text1"/>
        </w:rPr>
      </w:pPr>
    </w:p>
    <w:p w:rsidR="00CA3570" w:rsidRPr="000C4B7C" w:rsidRDefault="00E51B79"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b/>
          <w:color w:val="000000" w:themeColor="text1"/>
        </w:rPr>
        <w:t>Nivo</w:t>
      </w:r>
      <w:r w:rsidR="00487C86" w:rsidRPr="000C4B7C">
        <w:rPr>
          <w:rFonts w:ascii="Book Antiqua" w:eastAsia="Times New Roman" w:hAnsi="Book Antiqua"/>
          <w:b/>
          <w:color w:val="000000" w:themeColor="text1"/>
        </w:rPr>
        <w:t xml:space="preserve">lumab </w:t>
      </w:r>
      <w:r w:rsidR="00671327" w:rsidRPr="000C4B7C">
        <w:rPr>
          <w:rFonts w:ascii="Book Antiqua" w:eastAsia="Times New Roman" w:hAnsi="Book Antiqua"/>
          <w:b/>
          <w:color w:val="000000" w:themeColor="text1"/>
        </w:rPr>
        <w:t xml:space="preserve">plus </w:t>
      </w:r>
      <w:r w:rsidRPr="000C4B7C">
        <w:rPr>
          <w:rFonts w:ascii="Book Antiqua" w:eastAsia="Times New Roman" w:hAnsi="Book Antiqua"/>
          <w:b/>
          <w:color w:val="000000" w:themeColor="text1"/>
        </w:rPr>
        <w:t>ipi</w:t>
      </w:r>
      <w:r w:rsidR="00487C86" w:rsidRPr="000C4B7C">
        <w:rPr>
          <w:rFonts w:ascii="Book Antiqua" w:eastAsia="Times New Roman" w:hAnsi="Book Antiqua"/>
          <w:b/>
          <w:color w:val="000000" w:themeColor="text1"/>
        </w:rPr>
        <w:t>limumab</w:t>
      </w:r>
      <w:r w:rsidR="00314D78" w:rsidRPr="000C4B7C">
        <w:rPr>
          <w:rFonts w:ascii="Book Antiqua" w:hAnsi="Book Antiqua"/>
          <w:b/>
          <w:color w:val="000000" w:themeColor="text1"/>
          <w:lang w:eastAsia="zh-CN"/>
        </w:rPr>
        <w:t xml:space="preserve">: </w:t>
      </w:r>
      <w:r w:rsidR="00EA64D8" w:rsidRPr="000C4B7C">
        <w:rPr>
          <w:rFonts w:ascii="Book Antiqua" w:hAnsi="Book Antiqua"/>
          <w:color w:val="000000" w:themeColor="text1"/>
        </w:rPr>
        <w:t>In April 2018</w:t>
      </w:r>
      <w:r w:rsidRPr="000C4B7C">
        <w:rPr>
          <w:rFonts w:ascii="Book Antiqua" w:hAnsi="Book Antiqua"/>
          <w:color w:val="000000" w:themeColor="text1"/>
        </w:rPr>
        <w:t>, the FDA approved the</w:t>
      </w:r>
      <w:r w:rsidR="008314A9" w:rsidRPr="000C4B7C">
        <w:rPr>
          <w:rFonts w:ascii="Book Antiqua" w:hAnsi="Book Antiqua"/>
          <w:color w:val="000000" w:themeColor="text1"/>
        </w:rPr>
        <w:t xml:space="preserve"> </w:t>
      </w:r>
      <w:r w:rsidR="00681603" w:rsidRPr="000C4B7C">
        <w:rPr>
          <w:rFonts w:ascii="Book Antiqua" w:hAnsi="Book Antiqua"/>
          <w:color w:val="000000" w:themeColor="text1"/>
        </w:rPr>
        <w:t xml:space="preserve">combination therapy </w:t>
      </w:r>
      <w:r w:rsidR="00EA64D8" w:rsidRPr="000C4B7C">
        <w:rPr>
          <w:rFonts w:ascii="Book Antiqua" w:hAnsi="Book Antiqua"/>
          <w:color w:val="000000" w:themeColor="text1"/>
        </w:rPr>
        <w:t>of</w:t>
      </w:r>
      <w:r w:rsidRPr="000C4B7C">
        <w:rPr>
          <w:rFonts w:ascii="Book Antiqua" w:hAnsi="Book Antiqua"/>
          <w:color w:val="000000" w:themeColor="text1"/>
        </w:rPr>
        <w:t xml:space="preserve"> ipilimumab and nivolumab for the treatment of intermediate or poor risk </w:t>
      </w:r>
      <w:r w:rsidRPr="000C4B7C">
        <w:rPr>
          <w:rFonts w:ascii="Book Antiqua" w:hAnsi="Book Antiqua"/>
          <w:color w:val="000000" w:themeColor="text1"/>
        </w:rPr>
        <w:lastRenderedPageBreak/>
        <w:t>advanced RCC. Both of these drugs work to prevent the inactivation of T</w:t>
      </w:r>
      <w:r w:rsidR="00A50CAE" w:rsidRPr="000C4B7C">
        <w:rPr>
          <w:rFonts w:ascii="Book Antiqua" w:hAnsi="Book Antiqua"/>
          <w:color w:val="000000" w:themeColor="text1"/>
        </w:rPr>
        <w:t>-</w:t>
      </w:r>
      <w:r w:rsidRPr="000C4B7C">
        <w:rPr>
          <w:rFonts w:ascii="Book Antiqua" w:hAnsi="Book Antiqua"/>
          <w:color w:val="000000" w:themeColor="text1"/>
        </w:rPr>
        <w:t>cells</w:t>
      </w:r>
      <w:r w:rsidR="00252E94" w:rsidRPr="000C4B7C">
        <w:rPr>
          <w:rFonts w:ascii="Book Antiqua" w:hAnsi="Book Antiqua"/>
          <w:color w:val="000000" w:themeColor="text1"/>
        </w:rPr>
        <w:t xml:space="preserve"> but </w:t>
      </w:r>
      <w:r w:rsidR="00493459" w:rsidRPr="000C4B7C">
        <w:rPr>
          <w:rFonts w:ascii="Book Antiqua" w:hAnsi="Book Antiqua"/>
          <w:i/>
          <w:color w:val="000000" w:themeColor="text1"/>
        </w:rPr>
        <w:t>via</w:t>
      </w:r>
      <w:r w:rsidR="00252E94" w:rsidRPr="000C4B7C">
        <w:rPr>
          <w:rFonts w:ascii="Book Antiqua" w:hAnsi="Book Antiqua"/>
          <w:color w:val="000000" w:themeColor="text1"/>
        </w:rPr>
        <w:t xml:space="preserve"> different mechanisms, which is why they are effective in combination.</w:t>
      </w:r>
    </w:p>
    <w:p w:rsidR="00941D25" w:rsidRPr="000C4B7C" w:rsidRDefault="00891A7A"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CheckMate 016 study was an open-label, parallel-cohort, phase 1 study that evaluated the safety and efficacy of nivolumab plus ipilimumab. </w:t>
      </w:r>
      <w:r w:rsidR="00756469" w:rsidRPr="000C4B7C">
        <w:rPr>
          <w:rFonts w:ascii="Book Antiqua" w:eastAsia="Times New Roman" w:hAnsi="Book Antiqua"/>
          <w:color w:val="000000" w:themeColor="text1"/>
        </w:rPr>
        <w:t>The s</w:t>
      </w:r>
      <w:r w:rsidR="00712F11" w:rsidRPr="000C4B7C">
        <w:rPr>
          <w:rFonts w:ascii="Book Antiqua" w:eastAsia="Times New Roman" w:hAnsi="Book Antiqua"/>
          <w:color w:val="000000" w:themeColor="text1"/>
        </w:rPr>
        <w:t>tudy included patients with poor (</w:t>
      </w:r>
      <w:r w:rsidR="00712F11"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6), intermediate (</w:t>
      </w:r>
      <w:r w:rsidR="007D5345"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47),</w:t>
      </w:r>
      <w:r w:rsidR="00756469" w:rsidRPr="000C4B7C">
        <w:rPr>
          <w:rFonts w:ascii="Book Antiqua" w:eastAsia="Times New Roman" w:hAnsi="Book Antiqua"/>
          <w:color w:val="000000" w:themeColor="text1"/>
        </w:rPr>
        <w:t xml:space="preserve"> and </w:t>
      </w:r>
      <w:r w:rsidR="00712F11" w:rsidRPr="000C4B7C">
        <w:rPr>
          <w:rFonts w:ascii="Book Antiqua" w:eastAsia="Times New Roman" w:hAnsi="Book Antiqua"/>
          <w:color w:val="000000" w:themeColor="text1"/>
        </w:rPr>
        <w:t>favorable risk (</w:t>
      </w:r>
      <w:r w:rsidR="007D5345" w:rsidRPr="000C4B7C">
        <w:rPr>
          <w:rFonts w:ascii="Book Antiqua" w:eastAsia="Times New Roman" w:hAnsi="Book Antiqua"/>
          <w:i/>
          <w:color w:val="000000" w:themeColor="text1"/>
        </w:rPr>
        <w:t>n</w:t>
      </w:r>
      <w:r w:rsidR="007D534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B539B5"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xml:space="preserve">47) </w:t>
      </w:r>
      <w:r w:rsidR="00756469" w:rsidRPr="000C4B7C">
        <w:rPr>
          <w:rFonts w:ascii="Book Antiqua" w:eastAsia="Times New Roman" w:hAnsi="Book Antiqua"/>
          <w:color w:val="000000" w:themeColor="text1"/>
        </w:rPr>
        <w:t xml:space="preserve">disease </w:t>
      </w:r>
      <w:r w:rsidR="00712F11" w:rsidRPr="000C4B7C">
        <w:rPr>
          <w:rFonts w:ascii="Book Antiqua" w:eastAsia="Times New Roman" w:hAnsi="Book Antiqua"/>
          <w:color w:val="000000" w:themeColor="text1"/>
        </w:rPr>
        <w:t xml:space="preserve">according to </w:t>
      </w:r>
      <w:r w:rsidR="00756469" w:rsidRPr="000C4B7C">
        <w:rPr>
          <w:rFonts w:ascii="Book Antiqua" w:eastAsia="Times New Roman" w:hAnsi="Book Antiqua"/>
          <w:color w:val="000000" w:themeColor="text1"/>
        </w:rPr>
        <w:t xml:space="preserve">the </w:t>
      </w:r>
      <w:r w:rsidR="00712F11" w:rsidRPr="000C4B7C">
        <w:rPr>
          <w:rFonts w:ascii="Book Antiqua" w:eastAsia="Times New Roman" w:hAnsi="Book Antiqua"/>
          <w:color w:val="000000" w:themeColor="text1"/>
        </w:rPr>
        <w:t xml:space="preserve">MSKCC risk categorization. </w:t>
      </w:r>
      <w:r w:rsidR="00D65C62" w:rsidRPr="000C4B7C">
        <w:rPr>
          <w:rFonts w:ascii="Book Antiqua" w:eastAsia="Times New Roman" w:hAnsi="Book Antiqua"/>
          <w:color w:val="000000" w:themeColor="text1"/>
        </w:rPr>
        <w:t>Patients in the expansion cohort</w:t>
      </w:r>
      <w:r w:rsidR="00D23C1D" w:rsidRPr="000C4B7C">
        <w:rPr>
          <w:rFonts w:ascii="Book Antiqua" w:eastAsia="Times New Roman" w:hAnsi="Book Antiqua"/>
          <w:color w:val="000000" w:themeColor="text1"/>
        </w:rPr>
        <w:t xml:space="preserve"> (intermediate and </w:t>
      </w:r>
      <w:r w:rsidR="0074552D" w:rsidRPr="000C4B7C">
        <w:rPr>
          <w:rFonts w:ascii="Book Antiqua" w:eastAsia="Times New Roman" w:hAnsi="Book Antiqua"/>
          <w:color w:val="000000" w:themeColor="text1"/>
        </w:rPr>
        <w:t>favorable</w:t>
      </w:r>
      <w:r w:rsidR="00D23C1D" w:rsidRPr="000C4B7C">
        <w:rPr>
          <w:rFonts w:ascii="Book Antiqua" w:eastAsia="Times New Roman" w:hAnsi="Book Antiqua"/>
          <w:color w:val="000000" w:themeColor="text1"/>
        </w:rPr>
        <w:t xml:space="preserve"> risk patients)</w:t>
      </w:r>
      <w:r w:rsidR="00D65C62" w:rsidRPr="000C4B7C">
        <w:rPr>
          <w:rFonts w:ascii="Book Antiqua" w:eastAsia="Times New Roman" w:hAnsi="Book Antiqua"/>
          <w:color w:val="000000" w:themeColor="text1"/>
        </w:rPr>
        <w:t xml:space="preserve"> were treatment naïve with the exception of either prior adjuvant or neoadjuvant therapy or cytokine treatment.</w:t>
      </w:r>
      <w:r w:rsidR="008314A9"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Patients were separated into three treatment arms: 3</w:t>
      </w:r>
      <w:r w:rsidR="008243ED"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mg/kg nivolumab plus 1 mg/kg ipilimumab (N3l1), 1 mg/kg nivolumab plus 3 mg/kg ipilimumab (N1l3), 3 mg/kg nivolumab plus 3 mg/kg ipilimumab (N3l3). All the patients in the N3l3 group were censored out of the study because of dose-related toxicities. The N3l1 and N1l3 combination groups had similarly efficacious results </w:t>
      </w:r>
      <w:r w:rsidR="00132B5D" w:rsidRPr="000C4B7C">
        <w:rPr>
          <w:rFonts w:ascii="Book Antiqua" w:eastAsia="Times New Roman" w:hAnsi="Book Antiqua"/>
          <w:color w:val="000000" w:themeColor="text1"/>
        </w:rPr>
        <w:t xml:space="preserve">(2-year OS was 67.3% and 69.6% respectively) </w:t>
      </w:r>
      <w:r w:rsidRPr="000C4B7C">
        <w:rPr>
          <w:rFonts w:ascii="Book Antiqua" w:eastAsia="Times New Roman" w:hAnsi="Book Antiqua"/>
          <w:color w:val="000000" w:themeColor="text1"/>
        </w:rPr>
        <w:t xml:space="preserve">but the N3l1 group had significantly less treatment related adverse events (38.3% </w:t>
      </w:r>
      <w:r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61.7%)</w:t>
      </w:r>
      <w:r w:rsidR="00010C0F" w:rsidRPr="000C4B7C">
        <w:rPr>
          <w:rFonts w:ascii="Book Antiqua" w:eastAsia="Times New Roman" w:hAnsi="Book Antiqua"/>
          <w:noProof/>
          <w:color w:val="000000" w:themeColor="text1"/>
          <w:vertAlign w:val="superscript"/>
        </w:rPr>
        <w:t>[42]</w:t>
      </w:r>
      <w:r w:rsidRPr="000C4B7C">
        <w:rPr>
          <w:rFonts w:ascii="Book Antiqua" w:eastAsia="Times New Roman" w:hAnsi="Book Antiqua"/>
          <w:color w:val="000000" w:themeColor="text1"/>
        </w:rPr>
        <w:t>.</w:t>
      </w:r>
    </w:p>
    <w:p w:rsidR="0096251F" w:rsidRPr="000C4B7C" w:rsidRDefault="00252E94"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The CheckMate 214 trial was an open-label</w:t>
      </w:r>
      <w:r w:rsidR="00D93F76" w:rsidRPr="000C4B7C">
        <w:rPr>
          <w:rFonts w:ascii="Book Antiqua" w:eastAsia="Times New Roman" w:hAnsi="Book Antiqua"/>
          <w:color w:val="000000" w:themeColor="text1"/>
        </w:rPr>
        <w:t xml:space="preserve"> phase </w:t>
      </w:r>
      <w:r w:rsidR="00EA64D8" w:rsidRPr="000C4B7C">
        <w:rPr>
          <w:rFonts w:ascii="Book Antiqua" w:eastAsia="Times New Roman" w:hAnsi="Book Antiqua"/>
          <w:color w:val="000000" w:themeColor="text1"/>
        </w:rPr>
        <w:t>III</w:t>
      </w:r>
      <w:r w:rsidR="00CB7ADE" w:rsidRPr="000C4B7C">
        <w:rPr>
          <w:rFonts w:ascii="Book Antiqua" w:eastAsia="Times New Roman" w:hAnsi="Book Antiqua"/>
          <w:color w:val="000000" w:themeColor="text1"/>
        </w:rPr>
        <w:t xml:space="preserve"> study</w:t>
      </w:r>
      <w:r w:rsidR="004A33F4" w:rsidRPr="000C4B7C">
        <w:rPr>
          <w:rFonts w:ascii="Book Antiqua" w:eastAsia="Times New Roman" w:hAnsi="Book Antiqua"/>
          <w:color w:val="000000" w:themeColor="text1"/>
        </w:rPr>
        <w:t xml:space="preserve"> evaluating OS and PFS</w:t>
      </w:r>
      <w:r w:rsidR="00CB7ADE" w:rsidRPr="000C4B7C">
        <w:rPr>
          <w:rFonts w:ascii="Book Antiqua" w:eastAsia="Times New Roman" w:hAnsi="Book Antiqua"/>
          <w:color w:val="000000" w:themeColor="text1"/>
        </w:rPr>
        <w:t xml:space="preserve"> for the combination of nivolumab plus ipilimumab </w:t>
      </w:r>
      <w:r w:rsidR="00FF43B4" w:rsidRPr="000C4B7C">
        <w:rPr>
          <w:rFonts w:ascii="Book Antiqua" w:eastAsia="Times New Roman" w:hAnsi="Book Antiqua"/>
          <w:i/>
          <w:color w:val="000000" w:themeColor="text1"/>
        </w:rPr>
        <w:t>vs</w:t>
      </w:r>
      <w:r w:rsidR="00CB7ADE" w:rsidRPr="000C4B7C">
        <w:rPr>
          <w:rFonts w:ascii="Book Antiqua" w:eastAsia="Times New Roman" w:hAnsi="Book Antiqua"/>
          <w:color w:val="000000" w:themeColor="text1"/>
        </w:rPr>
        <w:t xml:space="preserve"> sunitinib</w:t>
      </w:r>
      <w:r w:rsidR="00762F57" w:rsidRPr="000C4B7C">
        <w:rPr>
          <w:rFonts w:ascii="Book Antiqua" w:eastAsia="Times New Roman" w:hAnsi="Book Antiqua"/>
          <w:color w:val="000000" w:themeColor="text1"/>
        </w:rPr>
        <w:t xml:space="preserve"> monotherapy, in previously untreated patients with advanced ccRCC.</w:t>
      </w:r>
      <w:r w:rsidR="004A569C" w:rsidRPr="000C4B7C">
        <w:rPr>
          <w:rFonts w:ascii="Book Antiqua" w:eastAsia="Times New Roman" w:hAnsi="Book Antiqua"/>
          <w:color w:val="000000" w:themeColor="text1"/>
        </w:rPr>
        <w:t xml:space="preserve"> P</w:t>
      </w:r>
      <w:r w:rsidR="00CB7ADE" w:rsidRPr="000C4B7C">
        <w:rPr>
          <w:rFonts w:ascii="Book Antiqua" w:eastAsia="Times New Roman" w:hAnsi="Book Antiqua"/>
          <w:color w:val="000000" w:themeColor="text1"/>
        </w:rPr>
        <w:t>atients</w:t>
      </w:r>
      <w:r w:rsidR="004A569C" w:rsidRPr="000C4B7C">
        <w:rPr>
          <w:rFonts w:ascii="Book Antiqua" w:eastAsia="Times New Roman" w:hAnsi="Book Antiqua"/>
          <w:color w:val="000000" w:themeColor="text1"/>
        </w:rPr>
        <w:t xml:space="preserve"> (</w:t>
      </w:r>
      <w:r w:rsidR="000E6AEB" w:rsidRPr="000C4B7C">
        <w:rPr>
          <w:rFonts w:ascii="Book Antiqua" w:eastAsia="Times New Roman" w:hAnsi="Book Antiqua"/>
          <w:i/>
          <w:color w:val="000000" w:themeColor="text1"/>
        </w:rPr>
        <w:t>n</w:t>
      </w:r>
      <w:r w:rsidR="000E6AEB" w:rsidRPr="000C4B7C">
        <w:rPr>
          <w:rFonts w:ascii="Book Antiqua" w:hAnsi="Book Antiqua"/>
          <w:color w:val="000000" w:themeColor="text1"/>
          <w:lang w:eastAsia="zh-CN"/>
        </w:rPr>
        <w:t xml:space="preserve"> </w:t>
      </w:r>
      <w:r w:rsidR="004A569C" w:rsidRPr="000C4B7C">
        <w:rPr>
          <w:rFonts w:ascii="Book Antiqua" w:eastAsia="Times New Roman" w:hAnsi="Book Antiqua"/>
          <w:color w:val="000000" w:themeColor="text1"/>
        </w:rPr>
        <w:t>=</w:t>
      </w:r>
      <w:r w:rsidR="000E6AEB" w:rsidRPr="000C4B7C">
        <w:rPr>
          <w:rFonts w:ascii="Book Antiqua" w:hAnsi="Book Antiqua"/>
          <w:color w:val="000000" w:themeColor="text1"/>
          <w:lang w:eastAsia="zh-CN"/>
        </w:rPr>
        <w:t xml:space="preserve"> </w:t>
      </w:r>
      <w:r w:rsidR="004A569C" w:rsidRPr="000C4B7C">
        <w:rPr>
          <w:rFonts w:ascii="Book Antiqua" w:eastAsia="Times New Roman" w:hAnsi="Book Antiqua"/>
          <w:color w:val="000000" w:themeColor="text1"/>
        </w:rPr>
        <w:t>1096)</w:t>
      </w:r>
      <w:r w:rsidR="00CB7ADE" w:rsidRPr="000C4B7C">
        <w:rPr>
          <w:rFonts w:ascii="Book Antiqua" w:eastAsia="Times New Roman" w:hAnsi="Book Antiqua"/>
          <w:color w:val="000000" w:themeColor="text1"/>
        </w:rPr>
        <w:t xml:space="preserve"> were assigned to </w:t>
      </w:r>
      <w:r w:rsidR="000E06A4" w:rsidRPr="000C4B7C">
        <w:rPr>
          <w:rFonts w:ascii="Book Antiqua" w:eastAsia="Times New Roman" w:hAnsi="Book Antiqua"/>
          <w:color w:val="000000" w:themeColor="text1"/>
        </w:rPr>
        <w:t xml:space="preserve">either </w:t>
      </w:r>
      <w:r w:rsidR="00CB7ADE" w:rsidRPr="000C4B7C">
        <w:rPr>
          <w:rFonts w:ascii="Book Antiqua" w:eastAsia="Times New Roman" w:hAnsi="Book Antiqua"/>
          <w:color w:val="000000" w:themeColor="text1"/>
        </w:rPr>
        <w:t>the combination group of 3</w:t>
      </w:r>
      <w:r w:rsidR="00446DA1" w:rsidRPr="000C4B7C">
        <w:rPr>
          <w:rFonts w:ascii="Book Antiqua" w:hAnsi="Book Antiqua"/>
          <w:color w:val="000000" w:themeColor="text1"/>
          <w:lang w:eastAsia="zh-CN"/>
        </w:rPr>
        <w:t xml:space="preserve"> </w:t>
      </w:r>
      <w:r w:rsidR="00CB7ADE" w:rsidRPr="000C4B7C">
        <w:rPr>
          <w:rFonts w:ascii="Book Antiqua" w:eastAsia="Times New Roman" w:hAnsi="Book Antiqua"/>
          <w:color w:val="000000" w:themeColor="text1"/>
        </w:rPr>
        <w:t xml:space="preserve">mg/kg nivolumab with 1 mg/kg ipilimumab or the control group of 50 mg sunitinib. </w:t>
      </w:r>
      <w:r w:rsidR="00762F57" w:rsidRPr="000C4B7C">
        <w:rPr>
          <w:rFonts w:ascii="Book Antiqua" w:eastAsia="Times New Roman" w:hAnsi="Book Antiqua"/>
          <w:color w:val="000000" w:themeColor="text1"/>
        </w:rPr>
        <w:t>The co-primary end points were OS, PFS, and ORR in the intermediate</w:t>
      </w:r>
      <w:r w:rsidR="0074552D" w:rsidRPr="000C4B7C">
        <w:rPr>
          <w:rFonts w:ascii="Book Antiqua" w:eastAsia="Times New Roman" w:hAnsi="Book Antiqua"/>
          <w:color w:val="000000" w:themeColor="text1"/>
        </w:rPr>
        <w:t xml:space="preserve"> or</w:t>
      </w:r>
      <w:r w:rsidR="008314A9" w:rsidRPr="000C4B7C">
        <w:rPr>
          <w:rFonts w:ascii="Book Antiqua" w:eastAsia="Times New Roman" w:hAnsi="Book Antiqua"/>
          <w:color w:val="000000" w:themeColor="text1"/>
        </w:rPr>
        <w:t xml:space="preserve"> </w:t>
      </w:r>
      <w:r w:rsidR="00762F57" w:rsidRPr="000C4B7C">
        <w:rPr>
          <w:rFonts w:ascii="Book Antiqua" w:eastAsia="Times New Roman" w:hAnsi="Book Antiqua"/>
          <w:color w:val="000000" w:themeColor="text1"/>
        </w:rPr>
        <w:t>poor-risk patients (</w:t>
      </w:r>
      <w:r w:rsidR="00446DA1" w:rsidRPr="000C4B7C">
        <w:rPr>
          <w:rFonts w:ascii="Book Antiqua" w:eastAsia="Times New Roman" w:hAnsi="Book Antiqua"/>
          <w:i/>
          <w:color w:val="000000" w:themeColor="text1"/>
        </w:rPr>
        <w:t>n</w:t>
      </w:r>
      <w:r w:rsidR="00446DA1" w:rsidRPr="000C4B7C">
        <w:rPr>
          <w:rFonts w:ascii="Book Antiqua" w:hAnsi="Book Antiqua"/>
          <w:color w:val="000000" w:themeColor="text1"/>
          <w:lang w:eastAsia="zh-CN"/>
        </w:rPr>
        <w:t xml:space="preserve"> </w:t>
      </w:r>
      <w:r w:rsidR="00762F57" w:rsidRPr="000C4B7C">
        <w:rPr>
          <w:rFonts w:ascii="Book Antiqua" w:eastAsia="Times New Roman" w:hAnsi="Book Antiqua"/>
          <w:color w:val="000000" w:themeColor="text1"/>
        </w:rPr>
        <w:t xml:space="preserve">= </w:t>
      </w:r>
      <w:r w:rsidR="00712F11" w:rsidRPr="000C4B7C">
        <w:rPr>
          <w:rFonts w:ascii="Book Antiqua" w:eastAsia="Times New Roman" w:hAnsi="Book Antiqua"/>
          <w:color w:val="000000" w:themeColor="text1"/>
        </w:rPr>
        <w:t xml:space="preserve">425/550 patients in combination arm and </w:t>
      </w:r>
      <w:r w:rsidR="00446DA1" w:rsidRPr="000C4B7C">
        <w:rPr>
          <w:rFonts w:ascii="Book Antiqua" w:eastAsia="Times New Roman" w:hAnsi="Book Antiqua"/>
          <w:i/>
          <w:color w:val="000000" w:themeColor="text1"/>
        </w:rPr>
        <w:t>n</w:t>
      </w:r>
      <w:r w:rsidR="00446DA1" w:rsidRPr="000C4B7C">
        <w:rPr>
          <w:rFonts w:ascii="Book Antiqua" w:hAnsi="Book Antiqua"/>
          <w:color w:val="000000" w:themeColor="text1"/>
          <w:lang w:eastAsia="zh-CN"/>
        </w:rPr>
        <w:t xml:space="preserve"> </w:t>
      </w:r>
      <w:r w:rsidR="00762F57" w:rsidRPr="000C4B7C">
        <w:rPr>
          <w:rFonts w:ascii="Book Antiqua" w:eastAsia="Times New Roman" w:hAnsi="Book Antiqua"/>
          <w:color w:val="000000" w:themeColor="text1"/>
        </w:rPr>
        <w:t xml:space="preserve">= </w:t>
      </w:r>
      <w:r w:rsidR="00712F11" w:rsidRPr="000C4B7C">
        <w:rPr>
          <w:rFonts w:ascii="Book Antiqua" w:eastAsia="Times New Roman" w:hAnsi="Book Antiqua"/>
          <w:color w:val="000000" w:themeColor="text1"/>
        </w:rPr>
        <w:t>422/546 patients in sunitinib arm</w:t>
      </w:r>
      <w:r w:rsidR="00762F57" w:rsidRPr="000C4B7C">
        <w:rPr>
          <w:rFonts w:ascii="Book Antiqua" w:eastAsia="Times New Roman" w:hAnsi="Book Antiqua"/>
          <w:color w:val="000000" w:themeColor="text1"/>
        </w:rPr>
        <w:t>).</w:t>
      </w:r>
      <w:r w:rsidR="0089508F" w:rsidRPr="000C4B7C">
        <w:rPr>
          <w:rFonts w:ascii="Book Antiqua" w:hAnsi="Book Antiqua"/>
          <w:color w:val="000000" w:themeColor="text1"/>
          <w:lang w:eastAsia="zh-CN"/>
        </w:rPr>
        <w:t xml:space="preserve"> </w:t>
      </w:r>
      <w:r w:rsidR="000E06A4" w:rsidRPr="000C4B7C">
        <w:rPr>
          <w:rFonts w:ascii="Book Antiqua" w:eastAsia="Times New Roman" w:hAnsi="Book Antiqua"/>
          <w:color w:val="000000" w:themeColor="text1"/>
        </w:rPr>
        <w:t xml:space="preserve">The </w:t>
      </w:r>
      <w:r w:rsidR="000E30F7" w:rsidRPr="000C4B7C">
        <w:rPr>
          <w:rFonts w:ascii="Book Antiqua" w:eastAsia="Times New Roman" w:hAnsi="Book Antiqua"/>
          <w:color w:val="000000" w:themeColor="text1"/>
        </w:rPr>
        <w:t xml:space="preserve">median </w:t>
      </w:r>
      <w:r w:rsidR="004A33F4" w:rsidRPr="000C4B7C">
        <w:rPr>
          <w:rFonts w:ascii="Book Antiqua" w:eastAsia="Times New Roman" w:hAnsi="Book Antiqua"/>
          <w:color w:val="000000" w:themeColor="text1"/>
        </w:rPr>
        <w:t>OS</w:t>
      </w:r>
      <w:r w:rsidR="000E30F7" w:rsidRPr="000C4B7C">
        <w:rPr>
          <w:rFonts w:ascii="Book Antiqua" w:eastAsia="Times New Roman" w:hAnsi="Book Antiqua"/>
          <w:color w:val="000000" w:themeColor="text1"/>
        </w:rPr>
        <w:t xml:space="preserve">was not reached for the combination group </w:t>
      </w:r>
      <w:r w:rsidR="001D3B0D" w:rsidRPr="000C4B7C">
        <w:rPr>
          <w:rFonts w:ascii="Book Antiqua" w:hAnsi="Book Antiqua"/>
          <w:i/>
          <w:color w:val="000000" w:themeColor="text1"/>
          <w:lang w:eastAsia="zh-CN"/>
        </w:rPr>
        <w:t>vs</w:t>
      </w:r>
      <w:r w:rsidR="001D3B0D" w:rsidRPr="000C4B7C">
        <w:rPr>
          <w:rFonts w:ascii="Book Antiqua" w:hAnsi="Book Antiqua"/>
          <w:color w:val="000000" w:themeColor="text1"/>
        </w:rPr>
        <w:t xml:space="preserve"> </w:t>
      </w:r>
      <w:r w:rsidR="000E30F7" w:rsidRPr="000C4B7C">
        <w:rPr>
          <w:rFonts w:ascii="Book Antiqua" w:eastAsia="Times New Roman" w:hAnsi="Book Antiqua"/>
          <w:color w:val="000000" w:themeColor="text1"/>
        </w:rPr>
        <w:t xml:space="preserve">26 </w:t>
      </w:r>
      <w:r w:rsidR="007167C0" w:rsidRPr="000C4B7C">
        <w:rPr>
          <w:rFonts w:ascii="Book Antiqua" w:eastAsia="Times New Roman" w:hAnsi="Book Antiqua"/>
          <w:color w:val="000000" w:themeColor="text1"/>
        </w:rPr>
        <w:t>mo</w:t>
      </w:r>
      <w:r w:rsidR="000E30F7" w:rsidRPr="000C4B7C">
        <w:rPr>
          <w:rFonts w:ascii="Book Antiqua" w:eastAsia="Times New Roman" w:hAnsi="Book Antiqua"/>
          <w:color w:val="000000" w:themeColor="text1"/>
        </w:rPr>
        <w:t xml:space="preserve"> </w:t>
      </w:r>
      <w:r w:rsidR="00FC63BD" w:rsidRPr="000C4B7C">
        <w:rPr>
          <w:rFonts w:ascii="Book Antiqua" w:hAnsi="Book Antiqua"/>
          <w:color w:val="000000" w:themeColor="text1"/>
          <w:shd w:val="clear" w:color="auto" w:fill="FFFFFF"/>
        </w:rPr>
        <w:t>(</w:t>
      </w:r>
      <w:r w:rsidR="007955E0" w:rsidRPr="000C4B7C">
        <w:rPr>
          <w:rFonts w:ascii="Book Antiqua" w:hAnsi="Book Antiqua"/>
          <w:color w:val="000000" w:themeColor="text1"/>
          <w:shd w:val="clear" w:color="auto" w:fill="FFFFFF"/>
        </w:rPr>
        <w:t>HR</w:t>
      </w:r>
      <w:r w:rsidR="00FC63BD" w:rsidRPr="000C4B7C">
        <w:rPr>
          <w:rFonts w:ascii="Book Antiqua" w:hAnsi="Book Antiqua"/>
          <w:color w:val="000000" w:themeColor="text1"/>
          <w:shd w:val="clear" w:color="auto" w:fill="FFFFFF"/>
        </w:rPr>
        <w:t xml:space="preserve"> for death, 0.63; </w:t>
      </w:r>
      <w:r w:rsidR="00FC63BD" w:rsidRPr="000C4B7C">
        <w:rPr>
          <w:rFonts w:ascii="Book Antiqua" w:hAnsi="Book Antiqua"/>
          <w:i/>
          <w:color w:val="000000" w:themeColor="text1"/>
          <w:shd w:val="clear" w:color="auto" w:fill="FFFFFF"/>
        </w:rPr>
        <w:t>P</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&lt;</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 xml:space="preserve">0.001) </w:t>
      </w:r>
      <w:r w:rsidR="00EC1069" w:rsidRPr="000C4B7C">
        <w:rPr>
          <w:rFonts w:ascii="Book Antiqua" w:eastAsia="Times New Roman" w:hAnsi="Book Antiqua"/>
          <w:color w:val="000000" w:themeColor="text1"/>
        </w:rPr>
        <w:t>for</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the</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sunitinib</w:t>
      </w:r>
      <w:r w:rsidR="008314A9" w:rsidRPr="000C4B7C">
        <w:rPr>
          <w:rFonts w:ascii="Book Antiqua" w:eastAsia="Times New Roman" w:hAnsi="Book Antiqua"/>
          <w:color w:val="000000" w:themeColor="text1"/>
        </w:rPr>
        <w:t xml:space="preserve"> </w:t>
      </w:r>
      <w:r w:rsidR="000E30F7" w:rsidRPr="000C4B7C">
        <w:rPr>
          <w:rFonts w:ascii="Book Antiqua" w:eastAsia="Times New Roman" w:hAnsi="Book Antiqua"/>
          <w:color w:val="000000" w:themeColor="text1"/>
        </w:rPr>
        <w:t xml:space="preserve">group. The </w:t>
      </w:r>
      <w:r w:rsidR="00143821" w:rsidRPr="000C4B7C">
        <w:rPr>
          <w:rFonts w:ascii="Book Antiqua" w:eastAsia="Times New Roman" w:hAnsi="Book Antiqua"/>
          <w:color w:val="000000" w:themeColor="text1"/>
        </w:rPr>
        <w:t>ORRs</w:t>
      </w:r>
      <w:r w:rsidR="000E06A4" w:rsidRPr="000C4B7C">
        <w:rPr>
          <w:rFonts w:ascii="Book Antiqua" w:eastAsia="Times New Roman" w:hAnsi="Book Antiqua"/>
          <w:color w:val="000000" w:themeColor="text1"/>
        </w:rPr>
        <w:t xml:space="preserve"> were significantly higher with combination </w:t>
      </w:r>
      <w:r w:rsidR="00BB0FD8" w:rsidRPr="000C4B7C">
        <w:rPr>
          <w:rFonts w:ascii="Book Antiqua" w:eastAsia="Times New Roman" w:hAnsi="Book Antiqua"/>
          <w:color w:val="000000" w:themeColor="text1"/>
        </w:rPr>
        <w:t>therapy</w:t>
      </w:r>
      <w:r w:rsidR="000E30F7" w:rsidRPr="000C4B7C">
        <w:rPr>
          <w:rFonts w:ascii="Book Antiqua" w:eastAsia="Times New Roman" w:hAnsi="Book Antiqua"/>
          <w:color w:val="000000" w:themeColor="text1"/>
        </w:rPr>
        <w:t xml:space="preserve"> than with sunitinib </w:t>
      </w:r>
      <w:r w:rsidR="00143821" w:rsidRPr="000C4B7C">
        <w:rPr>
          <w:rFonts w:ascii="Book Antiqua" w:eastAsia="Times New Roman" w:hAnsi="Book Antiqua"/>
          <w:color w:val="000000" w:themeColor="text1"/>
        </w:rPr>
        <w:t xml:space="preserve">monotherapy </w:t>
      </w:r>
      <w:r w:rsidR="000E30F7" w:rsidRPr="000C4B7C">
        <w:rPr>
          <w:rFonts w:ascii="Book Antiqua" w:eastAsia="Times New Roman" w:hAnsi="Book Antiqua"/>
          <w:color w:val="000000" w:themeColor="text1"/>
        </w:rPr>
        <w:t xml:space="preserve">(42% </w:t>
      </w:r>
      <w:r w:rsidR="000E30F7" w:rsidRPr="000C4B7C">
        <w:rPr>
          <w:rFonts w:ascii="Book Antiqua" w:eastAsia="Times New Roman" w:hAnsi="Book Antiqua"/>
          <w:i/>
          <w:color w:val="000000" w:themeColor="text1"/>
        </w:rPr>
        <w:t>vs</w:t>
      </w:r>
      <w:r w:rsidR="000E30F7" w:rsidRPr="000C4B7C">
        <w:rPr>
          <w:rFonts w:ascii="Book Antiqua" w:eastAsia="Times New Roman" w:hAnsi="Book Antiqua"/>
          <w:color w:val="000000" w:themeColor="text1"/>
        </w:rPr>
        <w:t xml:space="preserve"> 27%, </w:t>
      </w:r>
      <w:r w:rsidR="00446DA1" w:rsidRPr="000C4B7C">
        <w:rPr>
          <w:rFonts w:ascii="Book Antiqua" w:eastAsia="Times New Roman" w:hAnsi="Book Antiqua"/>
          <w:i/>
          <w:color w:val="000000" w:themeColor="text1"/>
        </w:rPr>
        <w:t>P</w:t>
      </w:r>
      <w:r w:rsidR="00446DA1" w:rsidRPr="000C4B7C">
        <w:rPr>
          <w:rFonts w:ascii="Book Antiqua" w:hAnsi="Book Antiqua"/>
          <w:color w:val="000000" w:themeColor="text1"/>
          <w:lang w:eastAsia="zh-CN"/>
        </w:rPr>
        <w:t xml:space="preserve"> </w:t>
      </w:r>
      <w:r w:rsidR="000E30F7" w:rsidRPr="000C4B7C">
        <w:rPr>
          <w:rFonts w:ascii="Book Antiqua" w:eastAsia="Times New Roman" w:hAnsi="Book Antiqua"/>
          <w:color w:val="000000" w:themeColor="text1"/>
        </w:rPr>
        <w:t>&lt;</w:t>
      </w:r>
      <w:r w:rsidR="00446DA1" w:rsidRPr="000C4B7C">
        <w:rPr>
          <w:rFonts w:ascii="Book Antiqua" w:hAnsi="Book Antiqua"/>
          <w:color w:val="000000" w:themeColor="text1"/>
          <w:lang w:eastAsia="zh-CN"/>
        </w:rPr>
        <w:t xml:space="preserve"> </w:t>
      </w:r>
      <w:r w:rsidR="000E30F7" w:rsidRPr="000C4B7C">
        <w:rPr>
          <w:rFonts w:ascii="Book Antiqua" w:eastAsia="Times New Roman" w:hAnsi="Book Antiqua"/>
          <w:color w:val="000000" w:themeColor="text1"/>
        </w:rPr>
        <w:t>0.001)</w:t>
      </w:r>
      <w:r w:rsidR="00830D3E" w:rsidRPr="000C4B7C">
        <w:rPr>
          <w:rFonts w:ascii="Book Antiqua" w:eastAsia="Times New Roman" w:hAnsi="Book Antiqua"/>
          <w:color w:val="000000" w:themeColor="text1"/>
        </w:rPr>
        <w:t xml:space="preserve">, and the </w:t>
      </w:r>
      <w:r w:rsidR="00AF368F" w:rsidRPr="000C4B7C">
        <w:rPr>
          <w:rFonts w:ascii="Book Antiqua" w:hAnsi="Book Antiqua"/>
          <w:color w:val="000000" w:themeColor="text1"/>
        </w:rPr>
        <w:t xml:space="preserve">complete response rate (CRR) </w:t>
      </w:r>
      <w:r w:rsidR="00830D3E" w:rsidRPr="000C4B7C">
        <w:rPr>
          <w:rFonts w:ascii="Book Antiqua" w:eastAsia="Times New Roman" w:hAnsi="Book Antiqua"/>
          <w:color w:val="000000" w:themeColor="text1"/>
        </w:rPr>
        <w:t xml:space="preserve">was 9% </w:t>
      </w:r>
      <w:r w:rsidR="00446DA1" w:rsidRPr="000C4B7C">
        <w:rPr>
          <w:rFonts w:ascii="Book Antiqua" w:hAnsi="Book Antiqua"/>
          <w:i/>
          <w:color w:val="000000" w:themeColor="text1"/>
          <w:lang w:eastAsia="zh-CN"/>
        </w:rPr>
        <w:t>vs</w:t>
      </w:r>
      <w:r w:rsidR="00830D3E" w:rsidRPr="000C4B7C">
        <w:rPr>
          <w:rFonts w:ascii="Book Antiqua" w:eastAsia="Times New Roman" w:hAnsi="Book Antiqua"/>
          <w:color w:val="000000" w:themeColor="text1"/>
        </w:rPr>
        <w:t xml:space="preserve"> 1%</w:t>
      </w:r>
      <w:r w:rsidR="00B81DF6" w:rsidRPr="000C4B7C">
        <w:rPr>
          <w:rFonts w:ascii="Book Antiqua" w:hAnsi="Book Antiqua"/>
          <w:color w:val="000000" w:themeColor="text1"/>
          <w:lang w:eastAsia="zh-CN"/>
        </w:rPr>
        <w:t xml:space="preserve"> </w:t>
      </w:r>
      <w:r w:rsidR="00FC63BD" w:rsidRPr="000C4B7C">
        <w:rPr>
          <w:rFonts w:ascii="Book Antiqua" w:eastAsia="Times New Roman" w:hAnsi="Book Antiqua"/>
          <w:color w:val="000000" w:themeColor="text1"/>
        </w:rPr>
        <w:t>(</w:t>
      </w:r>
      <w:r w:rsidR="00FC63BD" w:rsidRPr="000C4B7C">
        <w:rPr>
          <w:rFonts w:ascii="Book Antiqua" w:hAnsi="Book Antiqua"/>
          <w:i/>
          <w:color w:val="000000" w:themeColor="text1"/>
          <w:shd w:val="clear" w:color="auto" w:fill="FFFFFF"/>
        </w:rPr>
        <w:t>P</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&lt;</w:t>
      </w:r>
      <w:r w:rsidR="00446DA1" w:rsidRPr="000C4B7C">
        <w:rPr>
          <w:rFonts w:ascii="Book Antiqua" w:hAnsi="Book Antiqua"/>
          <w:color w:val="000000" w:themeColor="text1"/>
          <w:shd w:val="clear" w:color="auto" w:fill="FFFFFF"/>
          <w:lang w:eastAsia="zh-CN"/>
        </w:rPr>
        <w:t xml:space="preserve"> </w:t>
      </w:r>
      <w:r w:rsidR="00FC63BD" w:rsidRPr="000C4B7C">
        <w:rPr>
          <w:rFonts w:ascii="Book Antiqua" w:hAnsi="Book Antiqua"/>
          <w:color w:val="000000" w:themeColor="text1"/>
          <w:shd w:val="clear" w:color="auto" w:fill="FFFFFF"/>
        </w:rPr>
        <w:t>0.001)</w:t>
      </w:r>
      <w:r w:rsidR="00830D3E" w:rsidRPr="000C4B7C">
        <w:rPr>
          <w:rFonts w:ascii="Book Antiqua" w:eastAsia="Times New Roman" w:hAnsi="Book Antiqua"/>
          <w:color w:val="000000" w:themeColor="text1"/>
        </w:rPr>
        <w:t>.</w:t>
      </w:r>
      <w:r w:rsidR="007910DB" w:rsidRPr="000C4B7C">
        <w:rPr>
          <w:rFonts w:ascii="Book Antiqua" w:eastAsia="Times New Roman" w:hAnsi="Book Antiqua"/>
          <w:color w:val="000000" w:themeColor="text1"/>
        </w:rPr>
        <w:t xml:space="preserve"> This is the best CR</w:t>
      </w:r>
      <w:r w:rsidR="004B64C3" w:rsidRPr="000C4B7C">
        <w:rPr>
          <w:rFonts w:ascii="Book Antiqua" w:eastAsia="Times New Roman" w:hAnsi="Book Antiqua"/>
          <w:color w:val="000000" w:themeColor="text1"/>
        </w:rPr>
        <w:t xml:space="preserve"> rate</w:t>
      </w:r>
      <w:r w:rsidR="007910DB" w:rsidRPr="000C4B7C">
        <w:rPr>
          <w:rFonts w:ascii="Book Antiqua" w:eastAsia="Times New Roman" w:hAnsi="Book Antiqua"/>
          <w:color w:val="000000" w:themeColor="text1"/>
        </w:rPr>
        <w:t xml:space="preserve"> any RCC treatment has shown to date</w:t>
      </w:r>
      <w:r w:rsidR="00B55D24" w:rsidRPr="000C4B7C">
        <w:rPr>
          <w:rFonts w:ascii="Book Antiqua" w:eastAsia="Times New Roman" w:hAnsi="Book Antiqua"/>
          <w:color w:val="000000" w:themeColor="text1"/>
        </w:rPr>
        <w:t xml:space="preserve">, and an updated 30 </w:t>
      </w:r>
      <w:r w:rsidR="007167C0" w:rsidRPr="000C4B7C">
        <w:rPr>
          <w:rFonts w:ascii="Book Antiqua" w:eastAsia="Times New Roman" w:hAnsi="Book Antiqua"/>
          <w:color w:val="000000" w:themeColor="text1"/>
        </w:rPr>
        <w:t>mo</w:t>
      </w:r>
      <w:r w:rsidR="00B55D24" w:rsidRPr="000C4B7C">
        <w:rPr>
          <w:rFonts w:ascii="Book Antiqua" w:eastAsia="Times New Roman" w:hAnsi="Book Antiqua"/>
          <w:color w:val="000000" w:themeColor="text1"/>
        </w:rPr>
        <w:t xml:space="preserve"> follow-up analysis reported slightly higher CR rate 11</w:t>
      </w:r>
      <w:proofErr w:type="gramStart"/>
      <w:r w:rsidR="00B55D24" w:rsidRPr="000C4B7C">
        <w:rPr>
          <w:rFonts w:ascii="Book Antiqua" w:eastAsia="Times New Roman" w:hAnsi="Book Antiqua"/>
          <w:color w:val="000000" w:themeColor="text1"/>
        </w:rPr>
        <w:t>%</w:t>
      </w:r>
      <w:r w:rsidR="00010C0F" w:rsidRPr="000C4B7C">
        <w:rPr>
          <w:rFonts w:ascii="Book Antiqua" w:eastAsia="Times New Roman" w:hAnsi="Book Antiqua"/>
          <w:noProof/>
          <w:color w:val="000000" w:themeColor="text1"/>
          <w:vertAlign w:val="superscript"/>
        </w:rPr>
        <w:t>[</w:t>
      </w:r>
      <w:proofErr w:type="gramEnd"/>
      <w:r w:rsidR="00010C0F" w:rsidRPr="000C4B7C">
        <w:rPr>
          <w:rFonts w:ascii="Book Antiqua" w:eastAsia="Times New Roman" w:hAnsi="Book Antiqua"/>
          <w:noProof/>
          <w:color w:val="000000" w:themeColor="text1"/>
          <w:vertAlign w:val="superscript"/>
        </w:rPr>
        <w:t>43]</w:t>
      </w:r>
    </w:p>
    <w:p w:rsidR="00402468" w:rsidRPr="000C4B7C" w:rsidRDefault="00175F3A"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The 18-</w:t>
      </w:r>
      <w:r w:rsidR="007167C0" w:rsidRPr="000C4B7C">
        <w:rPr>
          <w:rFonts w:ascii="Book Antiqua" w:eastAsia="Times New Roman" w:hAnsi="Book Antiqua"/>
          <w:color w:val="000000" w:themeColor="text1"/>
        </w:rPr>
        <w:t>mo</w:t>
      </w:r>
      <w:r w:rsidRPr="000C4B7C">
        <w:rPr>
          <w:rFonts w:ascii="Book Antiqua" w:eastAsia="Times New Roman" w:hAnsi="Book Antiqua"/>
          <w:color w:val="000000" w:themeColor="text1"/>
        </w:rPr>
        <w:t xml:space="preserve"> OS rate </w:t>
      </w:r>
      <w:r w:rsidR="00F001D7" w:rsidRPr="000C4B7C">
        <w:rPr>
          <w:rFonts w:ascii="Book Antiqua" w:eastAsia="Times New Roman" w:hAnsi="Book Antiqua"/>
          <w:color w:val="000000" w:themeColor="text1"/>
        </w:rPr>
        <w:t xml:space="preserve">in the intermediate or poor-risk patients </w:t>
      </w:r>
      <w:r w:rsidR="003B688A" w:rsidRPr="000C4B7C">
        <w:rPr>
          <w:rFonts w:ascii="Book Antiqua" w:eastAsia="Times New Roman" w:hAnsi="Book Antiqua"/>
          <w:color w:val="000000" w:themeColor="text1"/>
        </w:rPr>
        <w:t>was 75% (95%</w:t>
      </w:r>
      <w:r w:rsidR="00C44D26" w:rsidRPr="000C4B7C">
        <w:rPr>
          <w:rFonts w:ascii="Book Antiqua" w:eastAsia="Times New Roman" w:hAnsi="Book Antiqua"/>
          <w:color w:val="000000" w:themeColor="text1"/>
        </w:rPr>
        <w:t>CI</w:t>
      </w:r>
      <w:r w:rsidR="00C44D26"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70-78) with combination therapy </w:t>
      </w:r>
      <w:r w:rsidR="003B688A" w:rsidRPr="000C4B7C">
        <w:rPr>
          <w:rFonts w:ascii="Book Antiqua" w:eastAsia="Times New Roman" w:hAnsi="Book Antiqua"/>
          <w:color w:val="000000" w:themeColor="text1"/>
        </w:rPr>
        <w:t>and 60% with sunitinib (95%CI</w:t>
      </w:r>
      <w:r w:rsidR="003B688A"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55-65). The m</w:t>
      </w:r>
      <w:r w:rsidR="00F35C8C" w:rsidRPr="000C4B7C">
        <w:rPr>
          <w:rFonts w:ascii="Book Antiqua" w:eastAsia="Times New Roman" w:hAnsi="Book Antiqua"/>
          <w:color w:val="000000" w:themeColor="text1"/>
        </w:rPr>
        <w:t xml:space="preserve">edian PFS (11.6 mo </w:t>
      </w:r>
      <w:r w:rsidR="00F35C8C" w:rsidRPr="000C4B7C">
        <w:rPr>
          <w:rFonts w:ascii="Book Antiqua" w:eastAsia="Times New Roman" w:hAnsi="Book Antiqua"/>
          <w:i/>
          <w:color w:val="000000" w:themeColor="text1"/>
        </w:rPr>
        <w:t>vs</w:t>
      </w:r>
      <w:r w:rsidR="00F35C8C" w:rsidRPr="000C4B7C">
        <w:rPr>
          <w:rFonts w:ascii="Book Antiqua" w:eastAsia="Times New Roman" w:hAnsi="Book Antiqua"/>
          <w:color w:val="000000" w:themeColor="text1"/>
        </w:rPr>
        <w:t xml:space="preserve"> 8.4 mo</w:t>
      </w:r>
      <w:r w:rsidRPr="000C4B7C">
        <w:rPr>
          <w:rFonts w:ascii="Book Antiqua" w:eastAsia="Times New Roman" w:hAnsi="Book Antiqua"/>
          <w:color w:val="000000" w:themeColor="text1"/>
        </w:rPr>
        <w:t>, HR</w:t>
      </w:r>
      <w:r w:rsidR="0096696D" w:rsidRPr="000C4B7C">
        <w:rPr>
          <w:rFonts w:ascii="Book Antiqua" w:eastAsia="Times New Roman" w:hAnsi="Book Antiqua"/>
          <w:color w:val="000000" w:themeColor="text1"/>
        </w:rPr>
        <w:t>,</w:t>
      </w:r>
      <w:r w:rsidR="00F35C8C"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 xml:space="preserve">0.82, </w:t>
      </w:r>
      <w:r w:rsidR="0096696D" w:rsidRPr="000C4B7C">
        <w:rPr>
          <w:rFonts w:ascii="Book Antiqua" w:eastAsia="Times New Roman" w:hAnsi="Book Antiqua"/>
          <w:i/>
          <w:color w:val="000000" w:themeColor="text1"/>
        </w:rPr>
        <w:t>P</w:t>
      </w:r>
      <w:r w:rsidR="00F35C8C"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w:t>
      </w:r>
      <w:r w:rsidR="00F35C8C" w:rsidRPr="000C4B7C">
        <w:rPr>
          <w:rFonts w:ascii="Book Antiqua" w:hAnsi="Book Antiqua"/>
          <w:color w:val="000000" w:themeColor="text1"/>
          <w:lang w:eastAsia="zh-CN"/>
        </w:rPr>
        <w:t xml:space="preserve"> </w:t>
      </w:r>
      <w:r w:rsidR="0096414F" w:rsidRPr="000C4B7C">
        <w:rPr>
          <w:rFonts w:ascii="Book Antiqua" w:hAnsi="Book Antiqua"/>
          <w:color w:val="000000" w:themeColor="text1"/>
          <w:lang w:eastAsia="zh-CN"/>
        </w:rPr>
        <w:t>0</w:t>
      </w:r>
      <w:r w:rsidR="0096696D" w:rsidRPr="000C4B7C">
        <w:rPr>
          <w:rFonts w:ascii="Book Antiqua" w:eastAsia="Times New Roman" w:hAnsi="Book Antiqua"/>
          <w:color w:val="000000" w:themeColor="text1"/>
        </w:rPr>
        <w:t>.03)</w:t>
      </w:r>
      <w:r w:rsidR="00400080" w:rsidRPr="000C4B7C">
        <w:rPr>
          <w:rFonts w:ascii="Book Antiqua" w:hAnsi="Book Antiqua"/>
          <w:color w:val="000000" w:themeColor="text1"/>
          <w:lang w:eastAsia="zh-CN"/>
        </w:rPr>
        <w:t xml:space="preserve"> </w:t>
      </w:r>
      <w:r w:rsidR="0096696D" w:rsidRPr="000C4B7C">
        <w:rPr>
          <w:rFonts w:ascii="Book Antiqua" w:eastAsia="Times New Roman" w:hAnsi="Book Antiqua"/>
          <w:color w:val="000000" w:themeColor="text1"/>
        </w:rPr>
        <w:t xml:space="preserve">was not statistically significant. </w:t>
      </w:r>
      <w:r w:rsidR="009E57B4" w:rsidRPr="000C4B7C">
        <w:rPr>
          <w:rFonts w:ascii="Book Antiqua" w:eastAsia="Times New Roman" w:hAnsi="Book Antiqua"/>
          <w:color w:val="000000" w:themeColor="text1"/>
        </w:rPr>
        <w:t xml:space="preserve">Similar numbers of </w:t>
      </w:r>
      <w:r w:rsidR="009E57B4" w:rsidRPr="000C4B7C">
        <w:rPr>
          <w:rFonts w:ascii="Book Antiqua" w:eastAsia="Times New Roman" w:hAnsi="Book Antiqua"/>
          <w:color w:val="000000" w:themeColor="text1"/>
        </w:rPr>
        <w:lastRenderedPageBreak/>
        <w:t xml:space="preserve">treatment-related AEs occurred in both the combination and </w:t>
      </w:r>
      <w:r w:rsidR="00830D3E" w:rsidRPr="000C4B7C">
        <w:rPr>
          <w:rFonts w:ascii="Book Antiqua" w:eastAsia="Times New Roman" w:hAnsi="Book Antiqua"/>
          <w:color w:val="000000" w:themeColor="text1"/>
        </w:rPr>
        <w:t>sunitinib</w:t>
      </w:r>
      <w:r w:rsidR="00431A54" w:rsidRPr="000C4B7C">
        <w:rPr>
          <w:rFonts w:ascii="Book Antiqua" w:hAnsi="Book Antiqua"/>
          <w:color w:val="000000" w:themeColor="text1"/>
          <w:lang w:eastAsia="zh-CN"/>
        </w:rPr>
        <w:t xml:space="preserve"> </w:t>
      </w:r>
      <w:r w:rsidR="009E57B4" w:rsidRPr="000C4B7C">
        <w:rPr>
          <w:rFonts w:ascii="Book Antiqua" w:eastAsia="Times New Roman" w:hAnsi="Book Antiqua"/>
          <w:color w:val="000000" w:themeColor="text1"/>
        </w:rPr>
        <w:t xml:space="preserve">groups (93% </w:t>
      </w:r>
      <w:r w:rsidR="009E57B4" w:rsidRPr="000C4B7C">
        <w:rPr>
          <w:rFonts w:ascii="Book Antiqua" w:eastAsia="Times New Roman" w:hAnsi="Book Antiqua"/>
          <w:i/>
          <w:color w:val="000000" w:themeColor="text1"/>
        </w:rPr>
        <w:t>vs</w:t>
      </w:r>
      <w:r w:rsidR="009E57B4" w:rsidRPr="000C4B7C">
        <w:rPr>
          <w:rFonts w:ascii="Book Antiqua" w:eastAsia="Times New Roman" w:hAnsi="Book Antiqua"/>
          <w:color w:val="000000" w:themeColor="text1"/>
        </w:rPr>
        <w:t xml:space="preserve"> 97%) however these AEs led to discontinuation of 22% of the nivolumab plus ipilimumab group </w:t>
      </w:r>
      <w:r w:rsidR="00FF43B4" w:rsidRPr="000C4B7C">
        <w:rPr>
          <w:rFonts w:ascii="Book Antiqua" w:eastAsia="Times New Roman" w:hAnsi="Book Antiqua"/>
          <w:i/>
          <w:color w:val="000000" w:themeColor="text1"/>
        </w:rPr>
        <w:t>vs</w:t>
      </w:r>
      <w:r w:rsidR="009E57B4" w:rsidRPr="000C4B7C">
        <w:rPr>
          <w:rFonts w:ascii="Book Antiqua" w:eastAsia="Times New Roman" w:hAnsi="Book Antiqua"/>
          <w:color w:val="000000" w:themeColor="text1"/>
        </w:rPr>
        <w:t xml:space="preserve"> 12% of the sunitinib group. </w:t>
      </w:r>
      <w:r w:rsidR="00FC63BD" w:rsidRPr="000C4B7C">
        <w:rPr>
          <w:rFonts w:ascii="Book Antiqua" w:eastAsia="Times New Roman" w:hAnsi="Book Antiqua"/>
          <w:color w:val="000000" w:themeColor="text1"/>
        </w:rPr>
        <w:t>G</w:t>
      </w:r>
      <w:r w:rsidR="00FC63BD" w:rsidRPr="000C4B7C">
        <w:rPr>
          <w:rFonts w:ascii="Book Antiqua" w:hAnsi="Book Antiqua"/>
          <w:color w:val="000000" w:themeColor="text1"/>
          <w:shd w:val="clear" w:color="auto" w:fill="FFFFFF"/>
        </w:rPr>
        <w:t>rade 3 or 4 events occurred in 46</w:t>
      </w:r>
      <w:r w:rsidR="006C7A8A" w:rsidRPr="000C4B7C">
        <w:rPr>
          <w:rFonts w:ascii="Book Antiqua" w:hAnsi="Book Antiqua"/>
          <w:color w:val="000000" w:themeColor="text1"/>
          <w:shd w:val="clear" w:color="auto" w:fill="FFFFFF"/>
        </w:rPr>
        <w:t>%</w:t>
      </w:r>
      <w:r w:rsidR="00FC63BD" w:rsidRPr="000C4B7C">
        <w:rPr>
          <w:rFonts w:ascii="Book Antiqua" w:hAnsi="Book Antiqua"/>
          <w:color w:val="000000" w:themeColor="text1"/>
          <w:shd w:val="clear" w:color="auto" w:fill="FFFFFF"/>
        </w:rPr>
        <w:t xml:space="preserve"> and 63% patients, respectively.</w:t>
      </w:r>
      <w:r w:rsidR="008314A9" w:rsidRPr="000C4B7C">
        <w:rPr>
          <w:rFonts w:ascii="Book Antiqua" w:hAnsi="Book Antiqua"/>
          <w:color w:val="000000" w:themeColor="text1"/>
          <w:shd w:val="clear" w:color="auto" w:fill="FFFFFF"/>
        </w:rPr>
        <w:t xml:space="preserve"> </w:t>
      </w:r>
      <w:r w:rsidR="00C82D6E" w:rsidRPr="000C4B7C">
        <w:rPr>
          <w:rFonts w:ascii="Book Antiqua" w:eastAsia="Times New Roman" w:hAnsi="Book Antiqua"/>
          <w:color w:val="000000" w:themeColor="text1"/>
        </w:rPr>
        <w:t xml:space="preserve">The most common types of AEs were fatigue, rash, diarrhea, pyrexia, and </w:t>
      </w:r>
      <w:proofErr w:type="gramStart"/>
      <w:r w:rsidR="00C82D6E" w:rsidRPr="000C4B7C">
        <w:rPr>
          <w:rFonts w:ascii="Book Antiqua" w:eastAsia="Times New Roman" w:hAnsi="Book Antiqua"/>
          <w:color w:val="000000" w:themeColor="text1"/>
        </w:rPr>
        <w:t>arthralgia</w:t>
      </w:r>
      <w:r w:rsidR="00010C0F" w:rsidRPr="000C4B7C">
        <w:rPr>
          <w:rFonts w:ascii="Book Antiqua" w:eastAsia="Times New Roman" w:hAnsi="Book Antiqua"/>
          <w:noProof/>
          <w:color w:val="000000" w:themeColor="text1"/>
          <w:vertAlign w:val="superscript"/>
        </w:rPr>
        <w:t>[</w:t>
      </w:r>
      <w:proofErr w:type="gramEnd"/>
      <w:r w:rsidR="00010C0F" w:rsidRPr="000C4B7C">
        <w:rPr>
          <w:rFonts w:ascii="Book Antiqua" w:eastAsia="Times New Roman" w:hAnsi="Book Antiqua"/>
          <w:noProof/>
          <w:color w:val="000000" w:themeColor="text1"/>
          <w:vertAlign w:val="superscript"/>
        </w:rPr>
        <w:t>44]</w:t>
      </w:r>
      <w:r w:rsidR="00681603" w:rsidRPr="000C4B7C">
        <w:rPr>
          <w:rFonts w:ascii="Book Antiqua" w:eastAsia="Times New Roman" w:hAnsi="Book Antiqua"/>
          <w:color w:val="000000" w:themeColor="text1"/>
        </w:rPr>
        <w:t>.</w:t>
      </w:r>
    </w:p>
    <w:p w:rsidR="00E63FD3" w:rsidRPr="000C4B7C" w:rsidRDefault="00803E8F"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eastAsia="Times New Roman" w:hAnsi="Book Antiqua"/>
          <w:color w:val="000000" w:themeColor="text1"/>
        </w:rPr>
        <w:t xml:space="preserve">The intent-to-treat population in the </w:t>
      </w:r>
      <w:r w:rsidR="00712F11" w:rsidRPr="000C4B7C">
        <w:rPr>
          <w:rFonts w:ascii="Book Antiqua" w:eastAsia="Times New Roman" w:hAnsi="Book Antiqua"/>
          <w:color w:val="000000" w:themeColor="text1"/>
        </w:rPr>
        <w:t>C</w:t>
      </w:r>
      <w:r w:rsidR="007747D3" w:rsidRPr="000C4B7C">
        <w:rPr>
          <w:rFonts w:ascii="Book Antiqua" w:eastAsia="Times New Roman" w:hAnsi="Book Antiqua"/>
          <w:color w:val="000000" w:themeColor="text1"/>
        </w:rPr>
        <w:t>heckMate</w:t>
      </w:r>
      <w:r w:rsidR="00712F11" w:rsidRPr="000C4B7C">
        <w:rPr>
          <w:rFonts w:ascii="Book Antiqua" w:eastAsia="Times New Roman" w:hAnsi="Book Antiqua"/>
          <w:color w:val="000000" w:themeColor="text1"/>
        </w:rPr>
        <w:t xml:space="preserve"> 214 study also included favorable-risk patients (</w:t>
      </w:r>
      <w:r w:rsidR="0057612D" w:rsidRPr="000C4B7C">
        <w:rPr>
          <w:rFonts w:ascii="Book Antiqua" w:eastAsia="Times New Roman" w:hAnsi="Book Antiqua"/>
          <w:i/>
          <w:color w:val="000000" w:themeColor="text1"/>
        </w:rPr>
        <w:t>n</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 xml:space="preserve">125 in combination arm and </w:t>
      </w:r>
      <w:r w:rsidR="0057612D" w:rsidRPr="000C4B7C">
        <w:rPr>
          <w:rFonts w:ascii="Book Antiqua" w:eastAsia="Times New Roman" w:hAnsi="Book Antiqua"/>
          <w:i/>
          <w:color w:val="000000" w:themeColor="text1"/>
        </w:rPr>
        <w:t>n</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w:t>
      </w:r>
      <w:r w:rsidR="0057612D" w:rsidRPr="000C4B7C">
        <w:rPr>
          <w:rFonts w:ascii="Book Antiqua" w:hAnsi="Book Antiqua"/>
          <w:color w:val="000000" w:themeColor="text1"/>
          <w:lang w:eastAsia="zh-CN"/>
        </w:rPr>
        <w:t xml:space="preserve"> </w:t>
      </w:r>
      <w:r w:rsidR="00712F11" w:rsidRPr="000C4B7C">
        <w:rPr>
          <w:rFonts w:ascii="Book Antiqua" w:eastAsia="Times New Roman" w:hAnsi="Book Antiqua"/>
          <w:color w:val="000000" w:themeColor="text1"/>
        </w:rPr>
        <w:t>124 in sunitinib group)</w:t>
      </w:r>
      <w:r w:rsidRPr="000C4B7C">
        <w:rPr>
          <w:rFonts w:ascii="Book Antiqua" w:eastAsia="Times New Roman" w:hAnsi="Book Antiqua"/>
          <w:color w:val="000000" w:themeColor="text1"/>
        </w:rPr>
        <w:t>. The 18-</w:t>
      </w:r>
      <w:r w:rsidR="007167C0" w:rsidRPr="000C4B7C">
        <w:rPr>
          <w:rFonts w:ascii="Book Antiqua" w:eastAsia="Times New Roman" w:hAnsi="Book Antiqua"/>
          <w:color w:val="000000" w:themeColor="text1"/>
        </w:rPr>
        <w:t>mo</w:t>
      </w:r>
      <w:r w:rsidRPr="000C4B7C">
        <w:rPr>
          <w:rFonts w:ascii="Book Antiqua" w:eastAsia="Times New Roman" w:hAnsi="Book Antiqua"/>
          <w:color w:val="000000" w:themeColor="text1"/>
        </w:rPr>
        <w:t xml:space="preserve"> OS in the overall intent-to-treat population favored nivolumab plus iplimumab </w:t>
      </w:r>
      <w:r w:rsidR="00FF43B4"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sunitinb (78% </w:t>
      </w:r>
      <w:r w:rsidRPr="000C4B7C">
        <w:rPr>
          <w:rFonts w:ascii="Book Antiqua" w:eastAsia="Times New Roman" w:hAnsi="Book Antiqua"/>
          <w:i/>
          <w:color w:val="000000" w:themeColor="text1"/>
        </w:rPr>
        <w:t>vs</w:t>
      </w:r>
      <w:r w:rsidRPr="000C4B7C">
        <w:rPr>
          <w:rFonts w:ascii="Book Antiqua" w:eastAsia="Times New Roman" w:hAnsi="Book Antiqua"/>
          <w:color w:val="000000" w:themeColor="text1"/>
        </w:rPr>
        <w:t xml:space="preserve"> 68%), but exploratory </w:t>
      </w:r>
      <w:r w:rsidR="007747D3" w:rsidRPr="000C4B7C">
        <w:rPr>
          <w:rFonts w:ascii="Book Antiqua" w:eastAsia="Times New Roman" w:hAnsi="Book Antiqua"/>
          <w:color w:val="000000" w:themeColor="text1"/>
        </w:rPr>
        <w:t>analyses</w:t>
      </w:r>
      <w:r w:rsidRPr="000C4B7C">
        <w:rPr>
          <w:rFonts w:ascii="Book Antiqua" w:eastAsia="Times New Roman" w:hAnsi="Book Antiqua"/>
          <w:color w:val="000000" w:themeColor="text1"/>
        </w:rPr>
        <w:t xml:space="preserve"> of just favorable-risk patients favored sunitinib (88% </w:t>
      </w:r>
      <w:r w:rsidR="004F11D5" w:rsidRPr="000C4B7C">
        <w:rPr>
          <w:rFonts w:ascii="Book Antiqua" w:eastAsia="Times New Roman" w:hAnsi="Book Antiqua"/>
          <w:i/>
          <w:color w:val="000000" w:themeColor="text1"/>
        </w:rPr>
        <w:t>vs</w:t>
      </w:r>
      <w:r w:rsidR="004F11D5" w:rsidRPr="000C4B7C">
        <w:rPr>
          <w:rFonts w:ascii="Book Antiqua" w:eastAsia="Times New Roman" w:hAnsi="Book Antiqua"/>
          <w:color w:val="000000" w:themeColor="text1"/>
        </w:rPr>
        <w:t xml:space="preserve"> 93). The ORR (29% and 52%;</w:t>
      </w:r>
      <w:r w:rsidR="004F11D5" w:rsidRPr="000C4B7C">
        <w:rPr>
          <w:rFonts w:ascii="Book Antiqua" w:hAnsi="Book Antiqua"/>
          <w:color w:val="000000" w:themeColor="text1"/>
          <w:lang w:eastAsia="zh-CN"/>
        </w:rPr>
        <w:t xml:space="preserve"> </w:t>
      </w:r>
      <w:r w:rsidR="007747D3" w:rsidRPr="000C4B7C">
        <w:rPr>
          <w:rFonts w:ascii="Book Antiqua" w:eastAsia="Times New Roman" w:hAnsi="Book Antiqua"/>
          <w:i/>
          <w:color w:val="000000" w:themeColor="text1"/>
        </w:rPr>
        <w:t>P</w:t>
      </w:r>
      <w:r w:rsidR="004F11D5" w:rsidRPr="000C4B7C">
        <w:rPr>
          <w:rFonts w:ascii="Book Antiqua" w:hAnsi="Book Antiqua"/>
          <w:i/>
          <w:color w:val="000000" w:themeColor="text1"/>
          <w:lang w:eastAsia="zh-CN"/>
        </w:rPr>
        <w:t xml:space="preserve"> </w:t>
      </w:r>
      <w:r w:rsidR="004F11D5" w:rsidRPr="000C4B7C">
        <w:rPr>
          <w:rFonts w:ascii="Book Antiqua" w:hAnsi="Book Antiqua"/>
          <w:color w:val="000000" w:themeColor="text1"/>
          <w:lang w:eastAsia="zh-CN"/>
        </w:rPr>
        <w:t>&lt; 0</w:t>
      </w:r>
      <w:r w:rsidRPr="000C4B7C">
        <w:rPr>
          <w:rFonts w:ascii="Book Antiqua" w:eastAsia="Times New Roman" w:hAnsi="Book Antiqua"/>
          <w:color w:val="000000" w:themeColor="text1"/>
        </w:rPr>
        <w:t>.001) and median P</w:t>
      </w:r>
      <w:r w:rsidR="002E2050" w:rsidRPr="000C4B7C">
        <w:rPr>
          <w:rFonts w:ascii="Book Antiqua" w:eastAsia="Times New Roman" w:hAnsi="Book Antiqua"/>
          <w:color w:val="000000" w:themeColor="text1"/>
        </w:rPr>
        <w:t xml:space="preserve">FS (14.3 and 25.1 </w:t>
      </w:r>
      <w:r w:rsidR="007167C0" w:rsidRPr="000C4B7C">
        <w:rPr>
          <w:rFonts w:ascii="Book Antiqua" w:eastAsia="Times New Roman" w:hAnsi="Book Antiqua"/>
          <w:color w:val="000000" w:themeColor="text1"/>
        </w:rPr>
        <w:t>mo</w:t>
      </w:r>
      <w:r w:rsidR="004F11D5" w:rsidRPr="000C4B7C">
        <w:rPr>
          <w:rFonts w:ascii="Book Antiqua" w:eastAsia="Times New Roman" w:hAnsi="Book Antiqua"/>
          <w:color w:val="000000" w:themeColor="text1"/>
        </w:rPr>
        <w:t>; HR, 2.18; 99.1%CI</w:t>
      </w:r>
      <w:r w:rsidR="004F11D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1.29-3.68; </w:t>
      </w:r>
      <w:r w:rsidRPr="000C4B7C">
        <w:rPr>
          <w:rFonts w:ascii="Book Antiqua" w:eastAsia="Times New Roman" w:hAnsi="Book Antiqua"/>
          <w:i/>
          <w:color w:val="000000" w:themeColor="text1"/>
        </w:rPr>
        <w:t>P</w:t>
      </w:r>
      <w:r w:rsidR="004F11D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&lt;</w:t>
      </w:r>
      <w:r w:rsidR="004F11D5" w:rsidRPr="000C4B7C">
        <w:rPr>
          <w:rFonts w:ascii="Book Antiqua" w:hAnsi="Book Antiqua"/>
          <w:color w:val="000000" w:themeColor="text1"/>
          <w:lang w:eastAsia="zh-CN"/>
        </w:rPr>
        <w:t xml:space="preserve"> 0</w:t>
      </w:r>
      <w:r w:rsidRPr="000C4B7C">
        <w:rPr>
          <w:rFonts w:ascii="Book Antiqua" w:eastAsia="Times New Roman" w:hAnsi="Book Antiqua"/>
          <w:color w:val="000000" w:themeColor="text1"/>
        </w:rPr>
        <w:t>.001) were also lower in the favorable group patients taking nivolimumab</w:t>
      </w:r>
      <w:r w:rsidR="008314A9" w:rsidRPr="000C4B7C">
        <w:rPr>
          <w:rFonts w:ascii="Book Antiqua" w:eastAsia="Times New Roman" w:hAnsi="Book Antiqua"/>
          <w:color w:val="000000" w:themeColor="text1"/>
        </w:rPr>
        <w:t xml:space="preserve"> </w:t>
      </w:r>
      <w:r w:rsidR="00E01626" w:rsidRPr="000C4B7C">
        <w:rPr>
          <w:rFonts w:ascii="Book Antiqua" w:eastAsia="Times New Roman" w:hAnsi="Book Antiqua"/>
          <w:color w:val="000000" w:themeColor="text1"/>
        </w:rPr>
        <w:t>plus</w:t>
      </w:r>
      <w:r w:rsidRPr="000C4B7C">
        <w:rPr>
          <w:rFonts w:ascii="Book Antiqua" w:eastAsia="Times New Roman" w:hAnsi="Book Antiqua"/>
          <w:color w:val="000000" w:themeColor="text1"/>
        </w:rPr>
        <w:t xml:space="preserve"> ipilimumab </w:t>
      </w:r>
      <w:r w:rsidR="00301192" w:rsidRPr="000C4B7C">
        <w:rPr>
          <w:rFonts w:ascii="Book Antiqua" w:hAnsi="Book Antiqua"/>
          <w:i/>
          <w:color w:val="000000" w:themeColor="text1"/>
          <w:lang w:eastAsia="zh-CN"/>
        </w:rPr>
        <w:t>vs</w:t>
      </w:r>
      <w:r w:rsidRPr="000C4B7C">
        <w:rPr>
          <w:rFonts w:ascii="Book Antiqua" w:eastAsia="Times New Roman" w:hAnsi="Book Antiqua"/>
          <w:color w:val="000000" w:themeColor="text1"/>
        </w:rPr>
        <w:t xml:space="preserve"> sunitinib. </w:t>
      </w:r>
    </w:p>
    <w:p w:rsidR="002339AD" w:rsidRPr="000C4B7C" w:rsidRDefault="002339AD" w:rsidP="000C4B7C">
      <w:pPr>
        <w:adjustRightInd w:val="0"/>
        <w:snapToGrid w:val="0"/>
        <w:spacing w:line="360" w:lineRule="auto"/>
        <w:jc w:val="both"/>
        <w:rPr>
          <w:rFonts w:ascii="Book Antiqua" w:eastAsia="Times New Roman" w:hAnsi="Book Antiqua"/>
          <w:color w:val="000000" w:themeColor="text1"/>
        </w:rPr>
      </w:pPr>
    </w:p>
    <w:p w:rsidR="00671327" w:rsidRPr="000C4B7C" w:rsidRDefault="00671327"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eastAsia="Times New Roman" w:hAnsi="Book Antiqua"/>
          <w:b/>
          <w:color w:val="000000" w:themeColor="text1"/>
        </w:rPr>
        <w:t xml:space="preserve">Pembrolizumab plus </w:t>
      </w:r>
      <w:r w:rsidR="00FB280F" w:rsidRPr="000C4B7C">
        <w:rPr>
          <w:rFonts w:ascii="Book Antiqua" w:eastAsia="Times New Roman" w:hAnsi="Book Antiqua"/>
          <w:b/>
          <w:color w:val="000000" w:themeColor="text1"/>
        </w:rPr>
        <w:t>a</w:t>
      </w:r>
      <w:r w:rsidRPr="000C4B7C">
        <w:rPr>
          <w:rFonts w:ascii="Book Antiqua" w:eastAsia="Times New Roman" w:hAnsi="Book Antiqua"/>
          <w:b/>
          <w:color w:val="000000" w:themeColor="text1"/>
        </w:rPr>
        <w:t>xitinib</w:t>
      </w:r>
      <w:r w:rsidR="00301192" w:rsidRPr="000C4B7C">
        <w:rPr>
          <w:rFonts w:ascii="Book Antiqua" w:hAnsi="Book Antiqua"/>
          <w:b/>
          <w:color w:val="000000" w:themeColor="text1"/>
          <w:lang w:eastAsia="zh-CN"/>
        </w:rPr>
        <w:t xml:space="preserve">: </w:t>
      </w:r>
      <w:r w:rsidRPr="000C4B7C">
        <w:rPr>
          <w:rFonts w:ascii="Book Antiqua" w:eastAsia="Times New Roman" w:hAnsi="Book Antiqua"/>
          <w:color w:val="000000" w:themeColor="text1"/>
        </w:rPr>
        <w:t xml:space="preserve">In April 2019, the FDA approved </w:t>
      </w:r>
      <w:r w:rsidR="00BE01F6" w:rsidRPr="000C4B7C">
        <w:rPr>
          <w:rFonts w:ascii="Book Antiqua" w:eastAsia="Times New Roman" w:hAnsi="Book Antiqua"/>
          <w:color w:val="000000" w:themeColor="text1"/>
        </w:rPr>
        <w:t>the</w:t>
      </w:r>
      <w:r w:rsidR="00711188" w:rsidRPr="000C4B7C">
        <w:rPr>
          <w:rFonts w:ascii="Book Antiqua" w:eastAsia="Times New Roman" w:hAnsi="Book Antiqua"/>
          <w:color w:val="000000" w:themeColor="text1"/>
        </w:rPr>
        <w:t xml:space="preserve"> </w:t>
      </w:r>
      <w:r w:rsidR="004A33F4" w:rsidRPr="000C4B7C">
        <w:rPr>
          <w:rFonts w:ascii="Book Antiqua" w:eastAsia="Times New Roman" w:hAnsi="Book Antiqua"/>
          <w:color w:val="000000" w:themeColor="text1"/>
        </w:rPr>
        <w:t xml:space="preserve">combination therapy of </w:t>
      </w:r>
      <w:r w:rsidRPr="000C4B7C">
        <w:rPr>
          <w:rFonts w:ascii="Book Antiqua" w:eastAsia="Times New Roman" w:hAnsi="Book Antiqua"/>
          <w:color w:val="000000" w:themeColor="text1"/>
        </w:rPr>
        <w:t>pembrolizumab plus axitinib for first-line treatment of patients with advanced RCC</w:t>
      </w:r>
      <w:r w:rsidR="00B55D24" w:rsidRPr="000C4B7C">
        <w:rPr>
          <w:rFonts w:ascii="Book Antiqua" w:eastAsia="Times New Roman" w:hAnsi="Book Antiqua"/>
          <w:color w:val="000000" w:themeColor="text1"/>
        </w:rPr>
        <w:t xml:space="preserve"> irrespective of risk category</w:t>
      </w:r>
      <w:r w:rsidRPr="000C4B7C">
        <w:rPr>
          <w:rFonts w:ascii="Book Antiqua" w:eastAsia="Times New Roman" w:hAnsi="Book Antiqua"/>
          <w:color w:val="000000" w:themeColor="text1"/>
        </w:rPr>
        <w:t>.</w:t>
      </w:r>
      <w:r w:rsidR="00711188" w:rsidRPr="000C4B7C">
        <w:rPr>
          <w:rFonts w:ascii="Book Antiqua" w:eastAsia="Times New Roman" w:hAnsi="Book Antiqua"/>
          <w:color w:val="000000" w:themeColor="text1"/>
        </w:rPr>
        <w:t xml:space="preserve"> </w:t>
      </w:r>
      <w:r w:rsidR="003A3163" w:rsidRPr="000C4B7C">
        <w:rPr>
          <w:rFonts w:ascii="Book Antiqua" w:eastAsia="Times New Roman" w:hAnsi="Book Antiqua"/>
          <w:color w:val="000000" w:themeColor="text1"/>
        </w:rPr>
        <w:t>In the phase 3 KEYNOTE-426 trial, 861 patients with previously untreated ccRCC were randomly assigned to receive axitinib plus pembrolizumab (</w:t>
      </w:r>
      <w:r w:rsidR="003A3163" w:rsidRPr="000C4B7C">
        <w:rPr>
          <w:rFonts w:ascii="Book Antiqua" w:eastAsia="Times New Roman" w:hAnsi="Book Antiqua"/>
          <w:i/>
          <w:color w:val="000000" w:themeColor="text1"/>
        </w:rPr>
        <w:t>n</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432) or sunitinib (</w:t>
      </w:r>
      <w:r w:rsidR="001C263A" w:rsidRPr="000C4B7C">
        <w:rPr>
          <w:rFonts w:ascii="Book Antiqua" w:eastAsia="Times New Roman" w:hAnsi="Book Antiqua"/>
          <w:i/>
          <w:color w:val="000000" w:themeColor="text1"/>
        </w:rPr>
        <w:t>n</w:t>
      </w:r>
      <w:r w:rsidR="001C263A" w:rsidRPr="000C4B7C">
        <w:rPr>
          <w:rFonts w:ascii="Book Antiqua" w:eastAsia="Times New Roman" w:hAnsi="Book Antiqua"/>
          <w:color w:val="000000" w:themeColor="text1"/>
        </w:rPr>
        <w:t xml:space="preserve"> </w:t>
      </w:r>
      <w:r w:rsidR="003A3163" w:rsidRPr="000C4B7C">
        <w:rPr>
          <w:rFonts w:ascii="Book Antiqua" w:eastAsia="Times New Roman" w:hAnsi="Book Antiqua"/>
          <w:color w:val="000000" w:themeColor="text1"/>
        </w:rPr>
        <w:t>=</w:t>
      </w:r>
      <w:r w:rsidR="001C263A"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429) in the first line setting. </w:t>
      </w:r>
      <w:r w:rsidR="004D7B63" w:rsidRPr="000C4B7C">
        <w:rPr>
          <w:rFonts w:ascii="Book Antiqua" w:eastAsia="Times New Roman" w:hAnsi="Book Antiqua"/>
          <w:color w:val="000000" w:themeColor="text1"/>
        </w:rPr>
        <w:t>The IMDC risk factors were favorable for 31.2%, intermediate for 56.2%, and poor for 12.5% patients</w:t>
      </w:r>
      <w:proofErr w:type="gramStart"/>
      <w:r w:rsidR="004D7B63" w:rsidRPr="000C4B7C">
        <w:rPr>
          <w:rFonts w:ascii="Book Antiqua" w:eastAsia="Times New Roman" w:hAnsi="Book Antiqua"/>
          <w:color w:val="000000" w:themeColor="text1"/>
        </w:rPr>
        <w:t>..</w:t>
      </w:r>
      <w:proofErr w:type="gramEnd"/>
      <w:r w:rsidR="004D7B63" w:rsidRPr="000C4B7C">
        <w:rPr>
          <w:rFonts w:ascii="Book Antiqua" w:eastAsia="Times New Roman" w:hAnsi="Book Antiqua"/>
          <w:color w:val="000000" w:themeColor="text1"/>
        </w:rPr>
        <w:t xml:space="preserve"> The dual primary end points were PFS and OS and the secondary end point was ORR, both as decided by blinded independent central review. </w:t>
      </w:r>
      <w:r w:rsidR="002A2C5B" w:rsidRPr="000C4B7C">
        <w:rPr>
          <w:rFonts w:ascii="Book Antiqua" w:eastAsia="Times New Roman" w:hAnsi="Book Antiqua"/>
          <w:color w:val="000000" w:themeColor="text1"/>
        </w:rPr>
        <w:t>Median PFS was 15.1</w:t>
      </w:r>
      <w:r w:rsidR="002A2C5B" w:rsidRPr="000C4B7C">
        <w:rPr>
          <w:rFonts w:ascii="Book Antiqua" w:hAnsi="Book Antiqua"/>
          <w:color w:val="000000" w:themeColor="text1"/>
          <w:lang w:eastAsia="zh-CN"/>
        </w:rPr>
        <w:t xml:space="preserve"> </w:t>
      </w:r>
      <w:r w:rsidR="002A2C5B" w:rsidRPr="000C4B7C">
        <w:rPr>
          <w:rFonts w:ascii="Book Antiqua" w:eastAsia="Times New Roman" w:hAnsi="Book Antiqua"/>
          <w:color w:val="000000" w:themeColor="text1"/>
        </w:rPr>
        <w:t>(95%CI</w:t>
      </w:r>
      <w:r w:rsidR="002A2C5B"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12.6 to 17.7) </w:t>
      </w:r>
      <w:r w:rsidR="007167C0" w:rsidRPr="000C4B7C">
        <w:rPr>
          <w:rFonts w:ascii="Book Antiqua" w:eastAsia="Times New Roman" w:hAnsi="Book Antiqua"/>
          <w:color w:val="000000" w:themeColor="text1"/>
        </w:rPr>
        <w:t>mo</w:t>
      </w:r>
      <w:r w:rsidR="003A3163" w:rsidRPr="000C4B7C">
        <w:rPr>
          <w:rFonts w:ascii="Book Antiqua" w:eastAsia="Times New Roman" w:hAnsi="Book Antiqua"/>
          <w:color w:val="000000" w:themeColor="text1"/>
        </w:rPr>
        <w:t xml:space="preserve"> in the axitinib plus pembrolizumab group and 11.1 </w:t>
      </w:r>
      <w:r w:rsidR="007167C0" w:rsidRPr="000C4B7C">
        <w:rPr>
          <w:rFonts w:ascii="Book Antiqua" w:eastAsia="Times New Roman" w:hAnsi="Book Antiqua"/>
          <w:color w:val="000000" w:themeColor="text1"/>
        </w:rPr>
        <w:t>mo</w:t>
      </w:r>
      <w:r w:rsidR="00B54344" w:rsidRPr="000C4B7C">
        <w:rPr>
          <w:rFonts w:ascii="Book Antiqua" w:eastAsia="Times New Roman" w:hAnsi="Book Antiqua"/>
          <w:color w:val="000000" w:themeColor="text1"/>
        </w:rPr>
        <w:t xml:space="preserve"> (95%</w:t>
      </w:r>
      <w:r w:rsidR="003A3163" w:rsidRPr="000C4B7C">
        <w:rPr>
          <w:rFonts w:ascii="Book Antiqua" w:eastAsia="Times New Roman" w:hAnsi="Book Antiqua"/>
          <w:color w:val="000000" w:themeColor="text1"/>
        </w:rPr>
        <w:t>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8.7 to 12.5) (HR</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B54344" w:rsidRPr="000C4B7C">
        <w:rPr>
          <w:rFonts w:ascii="Book Antiqua" w:hAnsi="Book Antiqua"/>
          <w:color w:val="000000" w:themeColor="text1"/>
          <w:lang w:eastAsia="zh-CN"/>
        </w:rPr>
        <w:t xml:space="preserve"> </w:t>
      </w:r>
      <w:r w:rsidR="00B54344" w:rsidRPr="000C4B7C">
        <w:rPr>
          <w:rFonts w:ascii="Book Antiqua" w:eastAsia="Times New Roman" w:hAnsi="Book Antiqua"/>
          <w:color w:val="000000" w:themeColor="text1"/>
        </w:rPr>
        <w:t>0.69; 95%CI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0.57 to 0.84, </w:t>
      </w:r>
      <w:r w:rsidR="00B54344" w:rsidRPr="000C4B7C">
        <w:rPr>
          <w:rFonts w:ascii="Book Antiqua" w:eastAsia="Times New Roman" w:hAnsi="Book Antiqua"/>
          <w:i/>
          <w:color w:val="000000" w:themeColor="text1"/>
        </w:rPr>
        <w:t>P</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&lt;</w:t>
      </w:r>
      <w:r w:rsidR="00B54344"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0.0001) in the sunitinib group. ORR in the axitinib plus pembro</w:t>
      </w:r>
      <w:r w:rsidR="00B54344" w:rsidRPr="000C4B7C">
        <w:rPr>
          <w:rFonts w:ascii="Book Antiqua" w:eastAsia="Times New Roman" w:hAnsi="Book Antiqua"/>
          <w:color w:val="000000" w:themeColor="text1"/>
        </w:rPr>
        <w:t>lizumab group was 59.3% (95%CI</w:t>
      </w:r>
      <w:r w:rsidR="00B54344" w:rsidRPr="000C4B7C">
        <w:rPr>
          <w:rFonts w:ascii="Book Antiqua" w:hAnsi="Book Antiqua"/>
          <w:color w:val="000000" w:themeColor="text1"/>
          <w:lang w:eastAsia="zh-CN"/>
        </w:rPr>
        <w:t>:</w:t>
      </w:r>
      <w:r w:rsidR="00B54344" w:rsidRPr="000C4B7C">
        <w:rPr>
          <w:rFonts w:ascii="Book Antiqua" w:eastAsia="Times New Roman" w:hAnsi="Book Antiqua"/>
          <w:color w:val="000000" w:themeColor="text1"/>
        </w:rPr>
        <w:t xml:space="preserve"> 54.5 to 63.9) and 35.7% (95%</w:t>
      </w:r>
      <w:r w:rsidR="003A3163" w:rsidRPr="000C4B7C">
        <w:rPr>
          <w:rFonts w:ascii="Book Antiqua" w:eastAsia="Times New Roman" w:hAnsi="Book Antiqua"/>
          <w:color w:val="000000" w:themeColor="text1"/>
        </w:rPr>
        <w:t>CI</w:t>
      </w:r>
      <w:r w:rsidR="00B54344" w:rsidRPr="000C4B7C">
        <w:rPr>
          <w:rFonts w:ascii="Book Antiqua" w:hAnsi="Book Antiqua"/>
          <w:color w:val="000000" w:themeColor="text1"/>
          <w:lang w:eastAsia="zh-CN"/>
        </w:rPr>
        <w:t>:</w:t>
      </w:r>
      <w:r w:rsidR="003A3163" w:rsidRPr="000C4B7C">
        <w:rPr>
          <w:rFonts w:ascii="Book Antiqua" w:eastAsia="Times New Roman" w:hAnsi="Book Antiqua"/>
          <w:color w:val="000000" w:themeColor="text1"/>
        </w:rPr>
        <w:t xml:space="preserve"> 31.1 to 40.4) in the sunitinib group (</w:t>
      </w:r>
      <w:r w:rsidR="00437F79" w:rsidRPr="000C4B7C">
        <w:rPr>
          <w:rFonts w:ascii="Book Antiqua" w:eastAsia="Times New Roman" w:hAnsi="Book Antiqua"/>
          <w:i/>
          <w:color w:val="000000" w:themeColor="text1"/>
        </w:rPr>
        <w:t>P</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&lt;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0.001). In the axitinib plus pembrolizumab group, the complete response rate was 5.8% (</w:t>
      </w:r>
      <w:r w:rsidR="003A3163" w:rsidRPr="000C4B7C">
        <w:rPr>
          <w:rFonts w:ascii="Book Antiqua" w:eastAsia="Times New Roman" w:hAnsi="Book Antiqua"/>
          <w:i/>
          <w:color w:val="000000" w:themeColor="text1"/>
        </w:rPr>
        <w:t>n</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25) </w:t>
      </w:r>
      <w:r w:rsidR="003A3163" w:rsidRPr="000C4B7C">
        <w:rPr>
          <w:rFonts w:ascii="Book Antiqua" w:eastAsia="Times New Roman" w:hAnsi="Book Antiqua"/>
          <w:i/>
          <w:color w:val="000000" w:themeColor="text1"/>
        </w:rPr>
        <w:t>vs</w:t>
      </w:r>
      <w:r w:rsidR="003A3163" w:rsidRPr="000C4B7C">
        <w:rPr>
          <w:rFonts w:ascii="Book Antiqua" w:eastAsia="Times New Roman" w:hAnsi="Book Antiqua"/>
          <w:color w:val="000000" w:themeColor="text1"/>
        </w:rPr>
        <w:t xml:space="preserve"> 1.9% (</w:t>
      </w:r>
      <w:r w:rsidR="003A3163" w:rsidRPr="000C4B7C">
        <w:rPr>
          <w:rFonts w:ascii="Book Antiqua" w:eastAsia="Times New Roman" w:hAnsi="Book Antiqua"/>
          <w:i/>
          <w:color w:val="000000" w:themeColor="text1"/>
        </w:rPr>
        <w:t>n</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w:t>
      </w:r>
      <w:r w:rsidR="00437F79" w:rsidRPr="000C4B7C">
        <w:rPr>
          <w:rFonts w:ascii="Book Antiqua" w:hAnsi="Book Antiqua"/>
          <w:color w:val="000000" w:themeColor="text1"/>
          <w:lang w:eastAsia="zh-CN"/>
        </w:rPr>
        <w:t xml:space="preserve"> </w:t>
      </w:r>
      <w:r w:rsidR="003A3163" w:rsidRPr="000C4B7C">
        <w:rPr>
          <w:rFonts w:ascii="Book Antiqua" w:eastAsia="Times New Roman" w:hAnsi="Book Antiqua"/>
          <w:color w:val="000000" w:themeColor="text1"/>
        </w:rPr>
        <w:t xml:space="preserve">8) in the sunitinib group. </w:t>
      </w:r>
      <w:r w:rsidR="00AC2E83" w:rsidRPr="000C4B7C">
        <w:rPr>
          <w:rFonts w:ascii="Book Antiqua" w:eastAsia="Times New Roman" w:hAnsi="Book Antiqua"/>
          <w:color w:val="000000" w:themeColor="text1"/>
        </w:rPr>
        <w:t xml:space="preserve">After 1 year, 90% of patients were alive in the combination group </w:t>
      </w:r>
      <w:r w:rsidR="00FF43B4" w:rsidRPr="000C4B7C">
        <w:rPr>
          <w:rFonts w:ascii="Book Antiqua" w:eastAsia="Times New Roman" w:hAnsi="Book Antiqua"/>
          <w:i/>
          <w:color w:val="000000" w:themeColor="text1"/>
        </w:rPr>
        <w:t>vs</w:t>
      </w:r>
      <w:r w:rsidR="00AC2E83" w:rsidRPr="000C4B7C">
        <w:rPr>
          <w:rFonts w:ascii="Book Antiqua" w:eastAsia="Times New Roman" w:hAnsi="Book Antiqua"/>
          <w:color w:val="000000" w:themeColor="text1"/>
        </w:rPr>
        <w:t xml:space="preserve"> 78% in the sunitinib group</w:t>
      </w:r>
      <w:r w:rsidR="00711188" w:rsidRPr="000C4B7C">
        <w:rPr>
          <w:rFonts w:ascii="Book Antiqua" w:eastAsia="Times New Roman" w:hAnsi="Book Antiqua"/>
          <w:color w:val="000000" w:themeColor="text1"/>
        </w:rPr>
        <w:t xml:space="preserve"> </w:t>
      </w:r>
      <w:r w:rsidR="00B614E8" w:rsidRPr="000C4B7C">
        <w:rPr>
          <w:rFonts w:ascii="Book Antiqua" w:eastAsia="Times New Roman" w:hAnsi="Book Antiqua"/>
          <w:color w:val="000000" w:themeColor="text1"/>
        </w:rPr>
        <w:t>(</w:t>
      </w:r>
      <w:r w:rsidR="00D359A1" w:rsidRPr="000C4B7C">
        <w:rPr>
          <w:rFonts w:ascii="Book Antiqua" w:hAnsi="Book Antiqua"/>
          <w:color w:val="000000" w:themeColor="text1"/>
          <w:lang w:eastAsia="zh-CN"/>
        </w:rPr>
        <w:t>HR</w:t>
      </w:r>
      <w:r w:rsidR="00B614E8" w:rsidRPr="000C4B7C">
        <w:rPr>
          <w:rFonts w:ascii="Book Antiqua" w:eastAsia="Times New Roman" w:hAnsi="Book Antiqua"/>
          <w:color w:val="000000" w:themeColor="text1"/>
        </w:rPr>
        <w:t xml:space="preserve"> for death, 0</w:t>
      </w:r>
      <w:r w:rsidR="00437F79" w:rsidRPr="000C4B7C">
        <w:rPr>
          <w:rFonts w:ascii="Book Antiqua" w:eastAsia="Times New Roman" w:hAnsi="Book Antiqua"/>
          <w:color w:val="000000" w:themeColor="text1"/>
        </w:rPr>
        <w:t>.53; 95%</w:t>
      </w:r>
      <w:r w:rsidR="00B614E8" w:rsidRPr="000C4B7C">
        <w:rPr>
          <w:rFonts w:ascii="Book Antiqua" w:eastAsia="Times New Roman" w:hAnsi="Book Antiqua"/>
          <w:color w:val="000000" w:themeColor="text1"/>
        </w:rPr>
        <w:t>CI</w:t>
      </w:r>
      <w:r w:rsidR="00437F79" w:rsidRPr="000C4B7C">
        <w:rPr>
          <w:rFonts w:ascii="Book Antiqua" w:hAnsi="Book Antiqua"/>
          <w:color w:val="000000" w:themeColor="text1"/>
          <w:lang w:eastAsia="zh-CN"/>
        </w:rPr>
        <w:t>:</w:t>
      </w:r>
      <w:r w:rsidR="00B614E8" w:rsidRPr="000C4B7C">
        <w:rPr>
          <w:rFonts w:ascii="Book Antiqua" w:eastAsia="Times New Roman" w:hAnsi="Book Antiqua"/>
          <w:color w:val="000000" w:themeColor="text1"/>
        </w:rPr>
        <w:t xml:space="preserve"> 0.38 to 0.74; </w:t>
      </w:r>
      <w:r w:rsidR="00437F79" w:rsidRPr="000C4B7C">
        <w:rPr>
          <w:rFonts w:ascii="Book Antiqua" w:eastAsia="Times New Roman" w:hAnsi="Book Antiqua"/>
          <w:i/>
          <w:color w:val="000000" w:themeColor="text1"/>
        </w:rPr>
        <w:t>P</w:t>
      </w:r>
      <w:r w:rsidR="00437F79" w:rsidRPr="000C4B7C">
        <w:rPr>
          <w:rFonts w:ascii="Book Antiqua" w:hAnsi="Book Antiqua"/>
          <w:color w:val="000000" w:themeColor="text1"/>
          <w:lang w:eastAsia="zh-CN"/>
        </w:rPr>
        <w:t xml:space="preserve"> </w:t>
      </w:r>
      <w:r w:rsidR="00B614E8" w:rsidRPr="000C4B7C">
        <w:rPr>
          <w:rFonts w:ascii="Book Antiqua" w:eastAsia="Times New Roman" w:hAnsi="Book Antiqua"/>
          <w:color w:val="000000" w:themeColor="text1"/>
        </w:rPr>
        <w:t>&lt;</w:t>
      </w:r>
      <w:r w:rsidR="00437F79" w:rsidRPr="000C4B7C">
        <w:rPr>
          <w:rFonts w:ascii="Book Antiqua" w:hAnsi="Book Antiqua"/>
          <w:color w:val="000000" w:themeColor="text1"/>
          <w:lang w:eastAsia="zh-CN"/>
        </w:rPr>
        <w:t xml:space="preserve"> </w:t>
      </w:r>
      <w:r w:rsidR="00B614E8" w:rsidRPr="000C4B7C">
        <w:rPr>
          <w:rFonts w:ascii="Book Antiqua" w:eastAsia="Times New Roman" w:hAnsi="Book Antiqua"/>
          <w:color w:val="000000" w:themeColor="text1"/>
        </w:rPr>
        <w:t>0.0001)</w:t>
      </w:r>
      <w:r w:rsidR="001A5590" w:rsidRPr="000C4B7C">
        <w:rPr>
          <w:rFonts w:ascii="Book Antiqua" w:eastAsia="Times New Roman" w:hAnsi="Book Antiqua"/>
          <w:color w:val="000000" w:themeColor="text1"/>
        </w:rPr>
        <w:t xml:space="preserve">. </w:t>
      </w:r>
      <w:r w:rsidR="00206B2B" w:rsidRPr="000C4B7C">
        <w:rPr>
          <w:rFonts w:ascii="Book Antiqua" w:eastAsia="Times New Roman" w:hAnsi="Book Antiqua"/>
          <w:color w:val="000000" w:themeColor="text1"/>
        </w:rPr>
        <w:t>Grade 3 or higher adverse event of any cause occurred in 75.8% of patients in the pembrolizumab</w:t>
      </w:r>
      <w:r w:rsidR="00101416" w:rsidRPr="000C4B7C">
        <w:rPr>
          <w:rFonts w:ascii="Book Antiqua" w:eastAsia="Times New Roman" w:hAnsi="Book Antiqua"/>
          <w:color w:val="000000" w:themeColor="text1"/>
        </w:rPr>
        <w:t xml:space="preserve"> plus</w:t>
      </w:r>
      <w:r w:rsidR="00A43AF9">
        <w:rPr>
          <w:rFonts w:ascii="Book Antiqua" w:eastAsia="Times New Roman" w:hAnsi="Book Antiqua"/>
          <w:color w:val="000000" w:themeColor="text1"/>
        </w:rPr>
        <w:t xml:space="preserve"> </w:t>
      </w:r>
      <w:r w:rsidR="00206B2B" w:rsidRPr="000C4B7C">
        <w:rPr>
          <w:rFonts w:ascii="Book Antiqua" w:eastAsia="Times New Roman" w:hAnsi="Book Antiqua"/>
          <w:color w:val="000000" w:themeColor="text1"/>
        </w:rPr>
        <w:lastRenderedPageBreak/>
        <w:t>axitinib group and in 70</w:t>
      </w:r>
      <w:r w:rsidR="001A5590" w:rsidRPr="000C4B7C">
        <w:rPr>
          <w:rFonts w:ascii="Book Antiqua" w:eastAsia="Times New Roman" w:hAnsi="Book Antiqua"/>
          <w:color w:val="000000" w:themeColor="text1"/>
        </w:rPr>
        <w:t>.</w:t>
      </w:r>
      <w:r w:rsidR="00206B2B" w:rsidRPr="000C4B7C">
        <w:rPr>
          <w:rFonts w:ascii="Book Antiqua" w:eastAsia="Times New Roman" w:hAnsi="Book Antiqua"/>
          <w:color w:val="000000" w:themeColor="text1"/>
        </w:rPr>
        <w:t>6% in sunitinib group</w:t>
      </w:r>
      <w:r w:rsidR="001A5590" w:rsidRPr="000C4B7C">
        <w:rPr>
          <w:rFonts w:ascii="Book Antiqua" w:eastAsia="Times New Roman" w:hAnsi="Book Antiqua"/>
          <w:color w:val="000000" w:themeColor="text1"/>
        </w:rPr>
        <w:t xml:space="preserve"> with </w:t>
      </w:r>
      <w:r w:rsidR="00206B2B" w:rsidRPr="000C4B7C">
        <w:rPr>
          <w:rFonts w:ascii="Book Antiqua" w:eastAsia="Times New Roman" w:hAnsi="Book Antiqua"/>
          <w:color w:val="000000" w:themeColor="text1"/>
        </w:rPr>
        <w:t xml:space="preserve">the most common adverse event of any cause </w:t>
      </w:r>
      <w:r w:rsidR="001A5590" w:rsidRPr="000C4B7C">
        <w:rPr>
          <w:rFonts w:ascii="Book Antiqua" w:eastAsia="Times New Roman" w:hAnsi="Book Antiqua"/>
          <w:color w:val="000000" w:themeColor="text1"/>
        </w:rPr>
        <w:t xml:space="preserve">being </w:t>
      </w:r>
      <w:r w:rsidR="00997CF8" w:rsidRPr="000C4B7C">
        <w:rPr>
          <w:rFonts w:ascii="Book Antiqua" w:eastAsia="Times New Roman" w:hAnsi="Book Antiqua"/>
          <w:color w:val="000000" w:themeColor="text1"/>
        </w:rPr>
        <w:t xml:space="preserve">diarrhea and </w:t>
      </w:r>
      <w:proofErr w:type="gramStart"/>
      <w:r w:rsidR="00997CF8" w:rsidRPr="000C4B7C">
        <w:rPr>
          <w:rFonts w:ascii="Book Antiqua" w:eastAsia="Times New Roman" w:hAnsi="Book Antiqua"/>
          <w:color w:val="000000" w:themeColor="text1"/>
        </w:rPr>
        <w:t>hypertension</w:t>
      </w:r>
      <w:r w:rsidR="00010C0F" w:rsidRPr="000C4B7C">
        <w:rPr>
          <w:rFonts w:ascii="Book Antiqua" w:eastAsia="Times New Roman" w:hAnsi="Book Antiqua"/>
          <w:noProof/>
          <w:color w:val="000000" w:themeColor="text1"/>
          <w:vertAlign w:val="superscript"/>
        </w:rPr>
        <w:t>[</w:t>
      </w:r>
      <w:proofErr w:type="gramEnd"/>
      <w:r w:rsidR="00010C0F" w:rsidRPr="000C4B7C">
        <w:rPr>
          <w:rFonts w:ascii="Book Antiqua" w:eastAsia="Times New Roman" w:hAnsi="Book Antiqua"/>
          <w:noProof/>
          <w:color w:val="000000" w:themeColor="text1"/>
          <w:vertAlign w:val="superscript"/>
        </w:rPr>
        <w:t>45]</w:t>
      </w:r>
      <w:r w:rsidR="003A3163" w:rsidRPr="000C4B7C">
        <w:rPr>
          <w:rFonts w:ascii="Book Antiqua" w:eastAsia="Times New Roman" w:hAnsi="Book Antiqua"/>
          <w:color w:val="000000" w:themeColor="text1"/>
        </w:rPr>
        <w:t xml:space="preserve">. </w:t>
      </w:r>
      <w:r w:rsidR="003F304F" w:rsidRPr="000C4B7C">
        <w:rPr>
          <w:rFonts w:ascii="Book Antiqua" w:eastAsia="Times New Roman" w:hAnsi="Book Antiqua"/>
          <w:color w:val="000000" w:themeColor="text1"/>
        </w:rPr>
        <w:t>Medication discontinuation due to AEs of any cause and deaths attributed to treatment-related AEs occurred in 30.5% and 4/11 patients, respectively in pembrolizumab</w:t>
      </w:r>
      <w:r w:rsidR="00101416" w:rsidRPr="000C4B7C">
        <w:rPr>
          <w:rFonts w:ascii="Book Antiqua" w:eastAsia="Times New Roman" w:hAnsi="Book Antiqua"/>
          <w:color w:val="000000" w:themeColor="text1"/>
        </w:rPr>
        <w:t xml:space="preserve"> plus </w:t>
      </w:r>
      <w:r w:rsidR="003F304F" w:rsidRPr="000C4B7C">
        <w:rPr>
          <w:rFonts w:ascii="Book Antiqua" w:eastAsia="Times New Roman" w:hAnsi="Book Antiqua"/>
          <w:color w:val="000000" w:themeColor="text1"/>
        </w:rPr>
        <w:t>axitinib group. The corresponding data was 13.9% and 7/15 patients in sunitinib group.</w:t>
      </w:r>
    </w:p>
    <w:p w:rsidR="003F304F" w:rsidRPr="000C4B7C" w:rsidRDefault="003F304F" w:rsidP="000C4B7C">
      <w:pPr>
        <w:adjustRightInd w:val="0"/>
        <w:snapToGrid w:val="0"/>
        <w:spacing w:line="360" w:lineRule="auto"/>
        <w:jc w:val="both"/>
        <w:rPr>
          <w:rFonts w:ascii="Book Antiqua" w:eastAsia="Times New Roman" w:hAnsi="Book Antiqua"/>
          <w:color w:val="000000" w:themeColor="text1"/>
        </w:rPr>
      </w:pPr>
    </w:p>
    <w:p w:rsidR="000D78C8" w:rsidRPr="000C4B7C" w:rsidRDefault="00CE4D2D" w:rsidP="000C4B7C">
      <w:pPr>
        <w:adjustRightInd w:val="0"/>
        <w:snapToGrid w:val="0"/>
        <w:spacing w:line="360" w:lineRule="auto"/>
        <w:jc w:val="both"/>
        <w:rPr>
          <w:rFonts w:ascii="Book Antiqua" w:hAnsi="Book Antiqua"/>
          <w:b/>
          <w:color w:val="000000" w:themeColor="text1"/>
          <w:lang w:eastAsia="zh-CN"/>
        </w:rPr>
      </w:pPr>
      <w:r w:rsidRPr="000C4B7C">
        <w:rPr>
          <w:rFonts w:ascii="Book Antiqua" w:eastAsia="Times New Roman" w:hAnsi="Book Antiqua"/>
          <w:b/>
          <w:color w:val="000000" w:themeColor="text1"/>
        </w:rPr>
        <w:t>Avelumab plus axitinib</w:t>
      </w:r>
      <w:r w:rsidR="00D4221A" w:rsidRPr="000C4B7C">
        <w:rPr>
          <w:rFonts w:ascii="Book Antiqua" w:hAnsi="Book Antiqua"/>
          <w:b/>
          <w:color w:val="000000" w:themeColor="text1"/>
          <w:lang w:eastAsia="zh-CN"/>
        </w:rPr>
        <w:t xml:space="preserve">: </w:t>
      </w:r>
      <w:r w:rsidRPr="000C4B7C">
        <w:rPr>
          <w:rFonts w:ascii="Book Antiqua" w:hAnsi="Book Antiqua"/>
          <w:color w:val="000000" w:themeColor="text1"/>
          <w:shd w:val="clear" w:color="auto" w:fill="FFFFFF"/>
        </w:rPr>
        <w:t>In May 2019, the FDA approved avelumab in combination with axitinib for first-line treatment of patients with advanced RCC</w:t>
      </w:r>
      <w:r w:rsidR="00B55D24" w:rsidRPr="000C4B7C">
        <w:rPr>
          <w:rFonts w:ascii="Book Antiqua" w:hAnsi="Book Antiqua"/>
          <w:color w:val="000000" w:themeColor="text1"/>
          <w:shd w:val="clear" w:color="auto" w:fill="FFFFFF"/>
        </w:rPr>
        <w:t xml:space="preserve"> irrespective of risk category</w:t>
      </w:r>
      <w:r w:rsidRPr="000C4B7C">
        <w:rPr>
          <w:rFonts w:ascii="Book Antiqua" w:hAnsi="Book Antiqua"/>
          <w:color w:val="000000" w:themeColor="text1"/>
          <w:shd w:val="clear" w:color="auto" w:fill="FFFFFF"/>
        </w:rPr>
        <w:t>. In the phase I</w:t>
      </w:r>
      <w:r w:rsidR="0039445C" w:rsidRPr="000C4B7C">
        <w:rPr>
          <w:rFonts w:ascii="Book Antiqua" w:hAnsi="Book Antiqua"/>
          <w:color w:val="000000" w:themeColor="text1"/>
          <w:shd w:val="clear" w:color="auto" w:fill="FFFFFF"/>
        </w:rPr>
        <w:t xml:space="preserve">II JAVELIN Renal 101 trial, </w:t>
      </w:r>
      <w:r w:rsidRPr="000C4B7C">
        <w:rPr>
          <w:rFonts w:ascii="Book Antiqua" w:hAnsi="Book Antiqua"/>
          <w:color w:val="000000" w:themeColor="text1"/>
          <w:shd w:val="clear" w:color="auto" w:fill="FFFFFF"/>
        </w:rPr>
        <w:t>patients with advanced untreated ccRCC</w:t>
      </w:r>
      <w:r w:rsidR="0039445C" w:rsidRPr="000C4B7C">
        <w:rPr>
          <w:rFonts w:ascii="Book Antiqua" w:hAnsi="Book Antiqua"/>
          <w:color w:val="000000" w:themeColor="text1"/>
          <w:shd w:val="clear" w:color="auto" w:fill="FFFFFF"/>
        </w:rPr>
        <w:t xml:space="preserve"> (</w:t>
      </w:r>
      <w:r w:rsidR="0039445C"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886)</w:t>
      </w:r>
      <w:r w:rsidRPr="000C4B7C">
        <w:rPr>
          <w:rFonts w:ascii="Book Antiqua" w:hAnsi="Book Antiqua"/>
          <w:color w:val="000000" w:themeColor="text1"/>
          <w:shd w:val="clear" w:color="auto" w:fill="FFFFFF"/>
        </w:rPr>
        <w:t xml:space="preserve"> were </w:t>
      </w:r>
      <w:r w:rsidR="00C97F10" w:rsidRPr="000C4B7C">
        <w:rPr>
          <w:rFonts w:ascii="Book Antiqua" w:hAnsi="Book Antiqua"/>
          <w:color w:val="000000" w:themeColor="text1"/>
          <w:shd w:val="clear" w:color="auto" w:fill="FFFFFF"/>
        </w:rPr>
        <w:t xml:space="preserve">randomized in a one to one fashion </w:t>
      </w:r>
      <w:r w:rsidRPr="000C4B7C">
        <w:rPr>
          <w:rFonts w:ascii="Book Antiqua" w:hAnsi="Book Antiqua"/>
          <w:color w:val="000000" w:themeColor="text1"/>
          <w:shd w:val="clear" w:color="auto" w:fill="FFFFFF"/>
        </w:rPr>
        <w:t xml:space="preserve">to receive </w:t>
      </w:r>
      <w:r w:rsidR="00C97F10" w:rsidRPr="000C4B7C">
        <w:rPr>
          <w:rFonts w:ascii="Book Antiqua" w:hAnsi="Book Antiqua"/>
          <w:color w:val="000000" w:themeColor="text1"/>
          <w:shd w:val="clear" w:color="auto" w:fill="FFFFFF"/>
        </w:rPr>
        <w:t xml:space="preserve">either </w:t>
      </w:r>
      <w:r w:rsidRPr="000C4B7C">
        <w:rPr>
          <w:rFonts w:ascii="Book Antiqua" w:hAnsi="Book Antiqua"/>
          <w:color w:val="000000" w:themeColor="text1"/>
          <w:shd w:val="clear" w:color="auto" w:fill="FFFFFF"/>
        </w:rPr>
        <w:t>avelumab plus axitinib (</w:t>
      </w:r>
      <w:r w:rsidR="004A1AAB"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442) or sunitinib (</w:t>
      </w:r>
      <w:r w:rsidR="004A1AAB" w:rsidRPr="000C4B7C">
        <w:rPr>
          <w:rFonts w:ascii="Book Antiqua" w:hAnsi="Book Antiqua"/>
          <w:i/>
          <w:color w:val="000000" w:themeColor="text1"/>
          <w:shd w:val="clear" w:color="auto" w:fill="FFFFFF"/>
        </w:rPr>
        <w:t>n</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w:t>
      </w:r>
      <w:r w:rsidR="004A1AAB" w:rsidRPr="000C4B7C">
        <w:rPr>
          <w:rFonts w:ascii="Book Antiqua" w:hAnsi="Book Antiqua"/>
          <w:color w:val="000000" w:themeColor="text1"/>
          <w:shd w:val="clear" w:color="auto" w:fill="FFFFFF"/>
          <w:lang w:eastAsia="zh-CN"/>
        </w:rPr>
        <w:t xml:space="preserve"> </w:t>
      </w:r>
      <w:r w:rsidRPr="000C4B7C">
        <w:rPr>
          <w:rFonts w:ascii="Book Antiqua" w:hAnsi="Book Antiqua"/>
          <w:color w:val="000000" w:themeColor="text1"/>
          <w:shd w:val="clear" w:color="auto" w:fill="FFFFFF"/>
        </w:rPr>
        <w:t xml:space="preserve">444) as first line therapy. </w:t>
      </w:r>
      <w:r w:rsidR="00F20BAF" w:rsidRPr="000C4B7C">
        <w:rPr>
          <w:rFonts w:ascii="Book Antiqua" w:hAnsi="Book Antiqua"/>
          <w:color w:val="000000" w:themeColor="text1"/>
          <w:shd w:val="clear" w:color="auto" w:fill="FFFFFF"/>
        </w:rPr>
        <w:t>P</w:t>
      </w:r>
      <w:r w:rsidR="00017FE1" w:rsidRPr="000C4B7C">
        <w:rPr>
          <w:rFonts w:ascii="Book Antiqua" w:hAnsi="Book Antiqua"/>
          <w:color w:val="000000" w:themeColor="text1"/>
          <w:shd w:val="clear" w:color="auto" w:fill="FFFFFF"/>
        </w:rPr>
        <w:t>atients across all MSKCC and IMDC</w:t>
      </w:r>
      <w:r w:rsidR="00F20BAF" w:rsidRPr="000C4B7C">
        <w:rPr>
          <w:rFonts w:ascii="Book Antiqua" w:hAnsi="Book Antiqua"/>
          <w:color w:val="000000" w:themeColor="text1"/>
          <w:shd w:val="clear" w:color="auto" w:fill="FFFFFF"/>
        </w:rPr>
        <w:t xml:space="preserve"> progn</w:t>
      </w:r>
      <w:r w:rsidR="00046251" w:rsidRPr="000C4B7C">
        <w:rPr>
          <w:rFonts w:ascii="Book Antiqua" w:hAnsi="Book Antiqua"/>
          <w:color w:val="000000" w:themeColor="text1"/>
          <w:shd w:val="clear" w:color="auto" w:fill="FFFFFF"/>
        </w:rPr>
        <w:t>ostic risk groups were included</w:t>
      </w:r>
      <w:r w:rsidR="0039445C" w:rsidRPr="000C4B7C">
        <w:rPr>
          <w:rFonts w:ascii="Book Antiqua" w:hAnsi="Book Antiqua"/>
          <w:color w:val="000000" w:themeColor="text1"/>
          <w:shd w:val="clear" w:color="auto" w:fill="FFFFFF"/>
        </w:rPr>
        <w:t>.</w:t>
      </w:r>
      <w:r w:rsidR="00711188" w:rsidRPr="000C4B7C">
        <w:rPr>
          <w:rFonts w:ascii="Book Antiqua" w:hAnsi="Book Antiqua"/>
          <w:color w:val="000000" w:themeColor="text1"/>
          <w:shd w:val="clear" w:color="auto" w:fill="FFFFFF"/>
        </w:rPr>
        <w:t xml:space="preserve"> </w:t>
      </w:r>
      <w:r w:rsidR="00661AD1" w:rsidRPr="000C4B7C">
        <w:rPr>
          <w:rFonts w:ascii="Book Antiqua" w:hAnsi="Book Antiqua"/>
          <w:color w:val="000000" w:themeColor="text1"/>
          <w:shd w:val="clear" w:color="auto" w:fill="FFFFFF"/>
        </w:rPr>
        <w:t>The dual primary end points were PFS and OS among pa</w:t>
      </w:r>
      <w:r w:rsidR="0039445C" w:rsidRPr="000C4B7C">
        <w:rPr>
          <w:rFonts w:ascii="Book Antiqua" w:hAnsi="Book Antiqua"/>
          <w:color w:val="000000" w:themeColor="text1"/>
          <w:shd w:val="clear" w:color="auto" w:fill="FFFFFF"/>
        </w:rPr>
        <w:t>tients with PD-L1 positive (&gt;</w:t>
      </w:r>
      <w:r w:rsidR="00EA6B0A" w:rsidRPr="000C4B7C">
        <w:rPr>
          <w:rFonts w:ascii="Book Antiqua" w:hAnsi="Book Antiqua"/>
          <w:color w:val="000000" w:themeColor="text1"/>
          <w:shd w:val="clear" w:color="auto" w:fill="FFFFFF"/>
          <w:lang w:eastAsia="zh-CN"/>
        </w:rPr>
        <w:t xml:space="preserve"> </w:t>
      </w:r>
      <w:r w:rsidR="0039445C" w:rsidRPr="000C4B7C">
        <w:rPr>
          <w:rFonts w:ascii="Book Antiqua" w:hAnsi="Book Antiqua"/>
          <w:color w:val="000000" w:themeColor="text1"/>
          <w:shd w:val="clear" w:color="auto" w:fill="FFFFFF"/>
        </w:rPr>
        <w:t>1%</w:t>
      </w:r>
      <w:r w:rsidR="00661AD1" w:rsidRPr="000C4B7C">
        <w:rPr>
          <w:rFonts w:ascii="Book Antiqua" w:hAnsi="Book Antiqua"/>
          <w:color w:val="000000" w:themeColor="text1"/>
          <w:shd w:val="clear" w:color="auto" w:fill="FFFFFF"/>
        </w:rPr>
        <w:t>) tumors. Secondary end points were PFS and OS among all patients regardless of PD-L1 expression. These determinations were made by blinded independent central</w:t>
      </w:r>
      <w:r w:rsidR="00711188" w:rsidRPr="000C4B7C">
        <w:rPr>
          <w:rFonts w:ascii="Book Antiqua" w:hAnsi="Book Antiqua"/>
          <w:color w:val="000000" w:themeColor="text1"/>
          <w:shd w:val="clear" w:color="auto" w:fill="FFFFFF"/>
        </w:rPr>
        <w:t xml:space="preserve"> </w:t>
      </w:r>
      <w:r w:rsidR="00661AD1" w:rsidRPr="000C4B7C">
        <w:rPr>
          <w:rFonts w:ascii="Book Antiqua" w:hAnsi="Book Antiqua"/>
          <w:color w:val="000000" w:themeColor="text1"/>
          <w:shd w:val="clear" w:color="auto" w:fill="FFFFFF"/>
        </w:rPr>
        <w:t xml:space="preserve">review. </w:t>
      </w:r>
      <w:r w:rsidR="00D45E55" w:rsidRPr="000C4B7C">
        <w:rPr>
          <w:rFonts w:ascii="Book Antiqua" w:hAnsi="Book Antiqua"/>
          <w:color w:val="000000" w:themeColor="text1"/>
          <w:shd w:val="clear" w:color="auto" w:fill="FFFFFF"/>
        </w:rPr>
        <w:t xml:space="preserve">Among patients with PD-L1-positive tumors, </w:t>
      </w:r>
      <w:r w:rsidR="007A4842" w:rsidRPr="000C4B7C">
        <w:rPr>
          <w:rFonts w:ascii="Book Antiqua" w:hAnsi="Book Antiqua"/>
          <w:color w:val="000000" w:themeColor="text1"/>
          <w:shd w:val="clear" w:color="auto" w:fill="FFFFFF"/>
        </w:rPr>
        <w:t xml:space="preserve">median </w:t>
      </w:r>
      <w:r w:rsidRPr="000C4B7C">
        <w:rPr>
          <w:rFonts w:ascii="Book Antiqua" w:hAnsi="Book Antiqua"/>
          <w:color w:val="000000" w:themeColor="text1"/>
          <w:shd w:val="clear" w:color="auto" w:fill="FFFFFF"/>
        </w:rPr>
        <w:t>PFS</w:t>
      </w:r>
      <w:r w:rsidR="007A4842" w:rsidRPr="000C4B7C">
        <w:rPr>
          <w:rFonts w:ascii="Book Antiqua" w:hAnsi="Book Antiqua"/>
          <w:color w:val="000000" w:themeColor="text1"/>
          <w:shd w:val="clear" w:color="auto" w:fill="FFFFFF"/>
        </w:rPr>
        <w:t xml:space="preserve"> (13.8</w:t>
      </w:r>
      <w:r w:rsidR="00EA6B0A" w:rsidRPr="000C4B7C">
        <w:rPr>
          <w:rFonts w:ascii="Book Antiqua" w:hAnsi="Book Antiqua"/>
          <w:color w:val="000000" w:themeColor="text1"/>
          <w:shd w:val="clear" w:color="auto" w:fill="FFFFFF"/>
        </w:rPr>
        <w:t xml:space="preserve"> mo</w:t>
      </w:r>
      <w:r w:rsidR="007A4842" w:rsidRPr="000C4B7C">
        <w:rPr>
          <w:rFonts w:ascii="Book Antiqua" w:hAnsi="Book Antiqua"/>
          <w:color w:val="000000" w:themeColor="text1"/>
          <w:shd w:val="clear" w:color="auto" w:fill="FFFFFF"/>
        </w:rPr>
        <w:t xml:space="preserve"> </w:t>
      </w:r>
      <w:r w:rsidR="00EA6B0A" w:rsidRPr="000C4B7C">
        <w:rPr>
          <w:rFonts w:ascii="Book Antiqua" w:hAnsi="Book Antiqua"/>
          <w:i/>
          <w:color w:val="000000" w:themeColor="text1"/>
          <w:shd w:val="clear" w:color="auto" w:fill="FFFFFF"/>
          <w:lang w:eastAsia="zh-CN"/>
        </w:rPr>
        <w:t>vs</w:t>
      </w:r>
      <w:r w:rsidR="007A4842" w:rsidRPr="000C4B7C">
        <w:rPr>
          <w:rFonts w:ascii="Book Antiqua" w:hAnsi="Book Antiqua"/>
          <w:color w:val="000000" w:themeColor="text1"/>
          <w:shd w:val="clear" w:color="auto" w:fill="FFFFFF"/>
        </w:rPr>
        <w:t xml:space="preserve"> 7.2 </w:t>
      </w:r>
      <w:r w:rsidR="007167C0" w:rsidRPr="000C4B7C">
        <w:rPr>
          <w:rFonts w:ascii="Book Antiqua" w:hAnsi="Book Antiqua"/>
          <w:color w:val="000000" w:themeColor="text1"/>
          <w:shd w:val="clear" w:color="auto" w:fill="FFFFFF"/>
        </w:rPr>
        <w:t>mo</w:t>
      </w:r>
      <w:r w:rsidR="007A4842" w:rsidRPr="000C4B7C">
        <w:rPr>
          <w:rFonts w:ascii="Book Antiqua" w:hAnsi="Book Antiqua"/>
          <w:color w:val="000000" w:themeColor="text1"/>
          <w:shd w:val="clear" w:color="auto" w:fill="FFFFFF"/>
        </w:rPr>
        <w:t>),</w:t>
      </w:r>
      <w:r w:rsidR="0039445C" w:rsidRPr="000C4B7C">
        <w:rPr>
          <w:rFonts w:ascii="Book Antiqua" w:hAnsi="Book Antiqua"/>
          <w:color w:val="000000" w:themeColor="text1"/>
          <w:shd w:val="clear" w:color="auto" w:fill="FFFFFF"/>
        </w:rPr>
        <w:t xml:space="preserve"> confirmed ORR </w:t>
      </w:r>
      <w:r w:rsidR="007A4842" w:rsidRPr="000C4B7C">
        <w:rPr>
          <w:rFonts w:ascii="Book Antiqua" w:hAnsi="Book Antiqua"/>
          <w:color w:val="000000" w:themeColor="text1"/>
          <w:shd w:val="clear" w:color="auto" w:fill="FFFFFF"/>
        </w:rPr>
        <w:t xml:space="preserve">(55.2% </w:t>
      </w:r>
      <w:r w:rsidR="00C27578" w:rsidRPr="000C4B7C">
        <w:rPr>
          <w:rFonts w:ascii="Book Antiqua" w:hAnsi="Book Antiqua"/>
          <w:i/>
          <w:color w:val="000000" w:themeColor="text1"/>
          <w:shd w:val="clear" w:color="auto" w:fill="FFFFFF"/>
          <w:lang w:eastAsia="zh-CN"/>
        </w:rPr>
        <w:t>vs</w:t>
      </w:r>
      <w:r w:rsidR="007A4842" w:rsidRPr="000C4B7C">
        <w:rPr>
          <w:rFonts w:ascii="Book Antiqua" w:hAnsi="Book Antiqua"/>
          <w:color w:val="000000" w:themeColor="text1"/>
          <w:shd w:val="clear" w:color="auto" w:fill="FFFFFF"/>
        </w:rPr>
        <w:t xml:space="preserve"> 25.5%) and CRR (4.4% </w:t>
      </w:r>
      <w:r w:rsidR="00C27578" w:rsidRPr="000C4B7C">
        <w:rPr>
          <w:rFonts w:ascii="Book Antiqua" w:hAnsi="Book Antiqua"/>
          <w:i/>
          <w:color w:val="000000" w:themeColor="text1"/>
          <w:shd w:val="clear" w:color="auto" w:fill="FFFFFF"/>
          <w:lang w:eastAsia="zh-CN"/>
        </w:rPr>
        <w:t>vs</w:t>
      </w:r>
      <w:r w:rsidR="00C27578" w:rsidRPr="000C4B7C">
        <w:rPr>
          <w:rFonts w:ascii="Book Antiqua" w:hAnsi="Book Antiqua"/>
          <w:color w:val="000000" w:themeColor="text1"/>
          <w:shd w:val="clear" w:color="auto" w:fill="FFFFFF"/>
        </w:rPr>
        <w:t xml:space="preserve"> </w:t>
      </w:r>
      <w:r w:rsidR="007A4842" w:rsidRPr="000C4B7C">
        <w:rPr>
          <w:rFonts w:ascii="Book Antiqua" w:hAnsi="Book Antiqua"/>
          <w:color w:val="000000" w:themeColor="text1"/>
          <w:shd w:val="clear" w:color="auto" w:fill="FFFFFF"/>
        </w:rPr>
        <w:t xml:space="preserve">2.1%) </w:t>
      </w:r>
      <w:r w:rsidR="0039445C" w:rsidRPr="000C4B7C">
        <w:rPr>
          <w:rFonts w:ascii="Book Antiqua" w:hAnsi="Book Antiqua"/>
          <w:color w:val="000000" w:themeColor="text1"/>
          <w:shd w:val="clear" w:color="auto" w:fill="FFFFFF"/>
        </w:rPr>
        <w:t xml:space="preserve">were </w:t>
      </w:r>
      <w:r w:rsidR="007A4842" w:rsidRPr="000C4B7C">
        <w:rPr>
          <w:rFonts w:ascii="Book Antiqua" w:hAnsi="Book Antiqua"/>
          <w:color w:val="000000" w:themeColor="text1"/>
          <w:shd w:val="clear" w:color="auto" w:fill="FFFFFF"/>
        </w:rPr>
        <w:t>approximately</w:t>
      </w:r>
      <w:r w:rsidR="0039445C" w:rsidRPr="000C4B7C">
        <w:rPr>
          <w:rFonts w:ascii="Book Antiqua" w:hAnsi="Book Antiqua"/>
          <w:color w:val="000000" w:themeColor="text1"/>
          <w:shd w:val="clear" w:color="auto" w:fill="FFFFFF"/>
        </w:rPr>
        <w:t xml:space="preserve"> twice </w:t>
      </w:r>
      <w:r w:rsidR="007A4842" w:rsidRPr="000C4B7C">
        <w:rPr>
          <w:rFonts w:ascii="Book Antiqua" w:hAnsi="Book Antiqua"/>
          <w:color w:val="000000" w:themeColor="text1"/>
          <w:shd w:val="clear" w:color="auto" w:fill="FFFFFF"/>
        </w:rPr>
        <w:t xml:space="preserve">as robust with the avelumab plus axitinib </w:t>
      </w:r>
      <w:r w:rsidR="00FF43B4" w:rsidRPr="000C4B7C">
        <w:rPr>
          <w:rFonts w:ascii="Book Antiqua" w:hAnsi="Book Antiqua"/>
          <w:i/>
          <w:color w:val="000000" w:themeColor="text1"/>
          <w:shd w:val="clear" w:color="auto" w:fill="FFFFFF"/>
        </w:rPr>
        <w:t>vs</w:t>
      </w:r>
      <w:r w:rsidR="007A4842" w:rsidRPr="000C4B7C">
        <w:rPr>
          <w:rFonts w:ascii="Book Antiqua" w:hAnsi="Book Antiqua"/>
          <w:color w:val="000000" w:themeColor="text1"/>
          <w:shd w:val="clear" w:color="auto" w:fill="FFFFFF"/>
        </w:rPr>
        <w:t xml:space="preserve"> sunitinib groups</w:t>
      </w:r>
      <w:r w:rsidR="00895BDB" w:rsidRPr="000C4B7C">
        <w:rPr>
          <w:rFonts w:ascii="Book Antiqua" w:hAnsi="Book Antiqua"/>
          <w:color w:val="000000" w:themeColor="text1"/>
          <w:shd w:val="clear" w:color="auto" w:fill="FFFFFF"/>
        </w:rPr>
        <w:t>, respectively</w:t>
      </w:r>
      <w:r w:rsidR="007747D3" w:rsidRPr="000C4B7C">
        <w:rPr>
          <w:rFonts w:ascii="Book Antiqua" w:hAnsi="Book Antiqua"/>
          <w:color w:val="000000" w:themeColor="text1"/>
          <w:shd w:val="clear" w:color="auto" w:fill="FFFFFF"/>
        </w:rPr>
        <w:t>.</w:t>
      </w:r>
    </w:p>
    <w:p w:rsidR="006461D2" w:rsidRPr="000C4B7C" w:rsidRDefault="00C871CB" w:rsidP="000C4B7C">
      <w:pPr>
        <w:adjustRightInd w:val="0"/>
        <w:snapToGrid w:val="0"/>
        <w:spacing w:line="360" w:lineRule="auto"/>
        <w:ind w:firstLineChars="100" w:firstLine="240"/>
        <w:jc w:val="both"/>
        <w:rPr>
          <w:rFonts w:ascii="Book Antiqua" w:hAnsi="Book Antiqua"/>
          <w:b/>
          <w:color w:val="000000" w:themeColor="text1"/>
          <w:lang w:eastAsia="zh-CN"/>
        </w:rPr>
      </w:pPr>
      <w:r w:rsidRPr="000C4B7C">
        <w:rPr>
          <w:rFonts w:ascii="Book Antiqua" w:hAnsi="Book Antiqua"/>
          <w:color w:val="000000" w:themeColor="text1"/>
          <w:shd w:val="clear" w:color="auto" w:fill="FFFFFF"/>
        </w:rPr>
        <w:t>Similar responses were observed in the overall population</w:t>
      </w:r>
      <w:r w:rsidR="00895BDB" w:rsidRPr="000C4B7C">
        <w:rPr>
          <w:rFonts w:ascii="Book Antiqua" w:hAnsi="Book Antiqua"/>
          <w:color w:val="000000" w:themeColor="text1"/>
          <w:shd w:val="clear" w:color="auto" w:fill="FFFFFF"/>
        </w:rPr>
        <w:t xml:space="preserve">, with PFS (13.8 </w:t>
      </w:r>
      <w:r w:rsidR="00491B17" w:rsidRPr="000C4B7C">
        <w:rPr>
          <w:rFonts w:ascii="Book Antiqua" w:hAnsi="Book Antiqua"/>
          <w:color w:val="000000" w:themeColor="text1"/>
          <w:shd w:val="clear" w:color="auto" w:fill="FFFFFF"/>
          <w:lang w:eastAsia="zh-CN"/>
        </w:rPr>
        <w:t xml:space="preserve">mo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8.4 </w:t>
      </w:r>
      <w:r w:rsidR="007167C0" w:rsidRPr="000C4B7C">
        <w:rPr>
          <w:rFonts w:ascii="Book Antiqua" w:hAnsi="Book Antiqua"/>
          <w:color w:val="000000" w:themeColor="text1"/>
          <w:shd w:val="clear" w:color="auto" w:fill="FFFFFF"/>
        </w:rPr>
        <w:t>mo</w:t>
      </w:r>
      <w:r w:rsidR="00895BDB" w:rsidRPr="000C4B7C">
        <w:rPr>
          <w:rFonts w:ascii="Book Antiqua" w:hAnsi="Book Antiqua"/>
          <w:color w:val="000000" w:themeColor="text1"/>
          <w:shd w:val="clear" w:color="auto" w:fill="FFFFFF"/>
        </w:rPr>
        <w:t xml:space="preserve">), confirmed ORR (51.4%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25.7%) and CRR (3.4% </w:t>
      </w:r>
      <w:r w:rsidR="00491B17" w:rsidRPr="000C4B7C">
        <w:rPr>
          <w:rFonts w:ascii="Book Antiqua" w:hAnsi="Book Antiqua"/>
          <w:i/>
          <w:color w:val="000000" w:themeColor="text1"/>
          <w:shd w:val="clear" w:color="auto" w:fill="FFFFFF"/>
          <w:lang w:eastAsia="zh-CN"/>
        </w:rPr>
        <w:t>vs</w:t>
      </w:r>
      <w:r w:rsidR="00491B17" w:rsidRPr="000C4B7C">
        <w:rPr>
          <w:rFonts w:ascii="Book Antiqua" w:hAnsi="Book Antiqua"/>
          <w:color w:val="000000" w:themeColor="text1"/>
          <w:shd w:val="clear" w:color="auto" w:fill="FFFFFF"/>
        </w:rPr>
        <w:t xml:space="preserve"> </w:t>
      </w:r>
      <w:r w:rsidR="00895BDB" w:rsidRPr="000C4B7C">
        <w:rPr>
          <w:rFonts w:ascii="Book Antiqua" w:hAnsi="Book Antiqua"/>
          <w:color w:val="000000" w:themeColor="text1"/>
          <w:shd w:val="clear" w:color="auto" w:fill="FFFFFF"/>
        </w:rPr>
        <w:t xml:space="preserve">1.8%) in the avelumab plus axitinib </w:t>
      </w:r>
      <w:r w:rsidR="00FF43B4" w:rsidRPr="000C4B7C">
        <w:rPr>
          <w:rFonts w:ascii="Book Antiqua" w:hAnsi="Book Antiqua"/>
          <w:i/>
          <w:color w:val="000000" w:themeColor="text1"/>
          <w:shd w:val="clear" w:color="auto" w:fill="FFFFFF"/>
        </w:rPr>
        <w:t>vs</w:t>
      </w:r>
      <w:r w:rsidR="00895BDB" w:rsidRPr="000C4B7C">
        <w:rPr>
          <w:rFonts w:ascii="Book Antiqua" w:hAnsi="Book Antiqua"/>
          <w:color w:val="000000" w:themeColor="text1"/>
          <w:shd w:val="clear" w:color="auto" w:fill="FFFFFF"/>
        </w:rPr>
        <w:t xml:space="preserve"> sunitinib groups, respectively. </w:t>
      </w:r>
    </w:p>
    <w:p w:rsidR="00F35633" w:rsidRPr="000C4B7C" w:rsidRDefault="00F63845" w:rsidP="000C4B7C">
      <w:pPr>
        <w:adjustRightInd w:val="0"/>
        <w:snapToGrid w:val="0"/>
        <w:spacing w:line="360" w:lineRule="auto"/>
        <w:ind w:firstLineChars="100" w:firstLine="240"/>
        <w:jc w:val="both"/>
        <w:rPr>
          <w:rFonts w:ascii="Book Antiqua" w:hAnsi="Book Antiqua"/>
          <w:b/>
          <w:color w:val="000000" w:themeColor="text1"/>
          <w:lang w:eastAsia="zh-CN"/>
        </w:rPr>
      </w:pPr>
      <w:r w:rsidRPr="000C4B7C">
        <w:rPr>
          <w:rFonts w:ascii="Book Antiqua" w:hAnsi="Book Antiqua"/>
          <w:color w:val="000000" w:themeColor="text1"/>
          <w:shd w:val="clear" w:color="auto" w:fill="FFFFFF"/>
        </w:rPr>
        <w:t>G</w:t>
      </w:r>
      <w:r w:rsidR="00EC7BE0" w:rsidRPr="000C4B7C">
        <w:rPr>
          <w:rFonts w:ascii="Book Antiqua" w:hAnsi="Book Antiqua"/>
          <w:color w:val="000000" w:themeColor="text1"/>
          <w:shd w:val="clear" w:color="auto" w:fill="FFFFFF"/>
        </w:rPr>
        <w:t>rade 3 or higher treatment-</w:t>
      </w:r>
      <w:r w:rsidR="00552079" w:rsidRPr="000C4B7C">
        <w:rPr>
          <w:rFonts w:ascii="Book Antiqua" w:hAnsi="Book Antiqua"/>
          <w:color w:val="000000" w:themeColor="text1"/>
          <w:shd w:val="clear" w:color="auto" w:fill="FFFFFF"/>
        </w:rPr>
        <w:t>r</w:t>
      </w:r>
      <w:r w:rsidR="00EC7BE0" w:rsidRPr="000C4B7C">
        <w:rPr>
          <w:rFonts w:ascii="Book Antiqua" w:hAnsi="Book Antiqua"/>
          <w:color w:val="000000" w:themeColor="text1"/>
          <w:shd w:val="clear" w:color="auto" w:fill="FFFFFF"/>
        </w:rPr>
        <w:t>elated AE</w:t>
      </w:r>
      <w:r w:rsidR="006716AD" w:rsidRPr="000C4B7C">
        <w:rPr>
          <w:rFonts w:ascii="Book Antiqua" w:hAnsi="Book Antiqua"/>
          <w:color w:val="000000" w:themeColor="text1"/>
          <w:shd w:val="clear" w:color="auto" w:fill="FFFFFF"/>
        </w:rPr>
        <w:t>s</w:t>
      </w:r>
      <w:r w:rsidR="00EC7BE0" w:rsidRPr="000C4B7C">
        <w:rPr>
          <w:rFonts w:ascii="Book Antiqua" w:hAnsi="Book Antiqua"/>
          <w:color w:val="000000" w:themeColor="text1"/>
          <w:shd w:val="clear" w:color="auto" w:fill="FFFFFF"/>
        </w:rPr>
        <w:t xml:space="preserve"> i</w:t>
      </w:r>
      <w:r w:rsidRPr="000C4B7C">
        <w:rPr>
          <w:rFonts w:ascii="Book Antiqua" w:hAnsi="Book Antiqua"/>
          <w:color w:val="000000" w:themeColor="text1"/>
          <w:shd w:val="clear" w:color="auto" w:fill="FFFFFF"/>
        </w:rPr>
        <w:t>n the overall population</w:t>
      </w:r>
      <w:r w:rsidR="00EC7BE0" w:rsidRPr="000C4B7C">
        <w:rPr>
          <w:rFonts w:ascii="Book Antiqua" w:hAnsi="Book Antiqua"/>
          <w:color w:val="000000" w:themeColor="text1"/>
          <w:shd w:val="clear" w:color="auto" w:fill="FFFFFF"/>
        </w:rPr>
        <w:t xml:space="preserve"> were reported in </w:t>
      </w:r>
      <w:r w:rsidRPr="000C4B7C">
        <w:rPr>
          <w:rFonts w:ascii="Book Antiqua" w:hAnsi="Book Antiqua"/>
          <w:color w:val="000000" w:themeColor="text1"/>
          <w:shd w:val="clear" w:color="auto" w:fill="FFFFFF"/>
        </w:rPr>
        <w:t>comparable percentage of patients (</w:t>
      </w:r>
      <w:r w:rsidR="00EC7BE0" w:rsidRPr="000C4B7C">
        <w:rPr>
          <w:rFonts w:ascii="Book Antiqua" w:hAnsi="Book Antiqua"/>
          <w:color w:val="000000" w:themeColor="text1"/>
          <w:shd w:val="clear" w:color="auto" w:fill="FFFFFF"/>
        </w:rPr>
        <w:t>71.2%</w:t>
      </w:r>
      <w:r w:rsidR="006716AD" w:rsidRPr="000C4B7C">
        <w:rPr>
          <w:rFonts w:ascii="Book Antiqua" w:hAnsi="Book Antiqua"/>
          <w:color w:val="000000" w:themeColor="text1"/>
          <w:shd w:val="clear" w:color="auto" w:fill="FFFFFF"/>
        </w:rPr>
        <w:t xml:space="preserve"> </w:t>
      </w:r>
      <w:r w:rsidR="00C11AC4" w:rsidRPr="000C4B7C">
        <w:rPr>
          <w:rFonts w:ascii="Book Antiqua" w:hAnsi="Book Antiqua"/>
          <w:i/>
          <w:color w:val="000000" w:themeColor="text1"/>
          <w:shd w:val="clear" w:color="auto" w:fill="FFFFFF"/>
          <w:lang w:eastAsia="zh-CN"/>
        </w:rPr>
        <w:t>vs</w:t>
      </w:r>
      <w:r w:rsidR="00C11AC4" w:rsidRPr="000C4B7C">
        <w:rPr>
          <w:rFonts w:ascii="Book Antiqua" w:hAnsi="Book Antiqua"/>
          <w:color w:val="000000" w:themeColor="text1"/>
          <w:shd w:val="clear" w:color="auto" w:fill="FFFFFF"/>
        </w:rPr>
        <w:t xml:space="preserve"> </w:t>
      </w:r>
      <w:r w:rsidR="006716AD" w:rsidRPr="000C4B7C">
        <w:rPr>
          <w:rFonts w:ascii="Book Antiqua" w:hAnsi="Book Antiqua"/>
          <w:color w:val="000000" w:themeColor="text1"/>
          <w:shd w:val="clear" w:color="auto" w:fill="FFFFFF"/>
        </w:rPr>
        <w:t>71.5%</w:t>
      </w:r>
      <w:r w:rsidRPr="000C4B7C">
        <w:rPr>
          <w:rFonts w:ascii="Book Antiqua" w:hAnsi="Book Antiqua"/>
          <w:color w:val="000000" w:themeColor="text1"/>
          <w:shd w:val="clear" w:color="auto" w:fill="FFFFFF"/>
        </w:rPr>
        <w:t>)</w:t>
      </w:r>
      <w:r w:rsidR="00711188" w:rsidRPr="000C4B7C">
        <w:rPr>
          <w:rFonts w:ascii="Book Antiqua" w:hAnsi="Book Antiqua"/>
          <w:color w:val="000000" w:themeColor="text1"/>
          <w:shd w:val="clear" w:color="auto" w:fill="FFFFFF"/>
        </w:rPr>
        <w:t xml:space="preserve"> </w:t>
      </w:r>
      <w:r w:rsidRPr="000C4B7C">
        <w:rPr>
          <w:rFonts w:ascii="Book Antiqua" w:hAnsi="Book Antiqua"/>
          <w:color w:val="000000" w:themeColor="text1"/>
          <w:shd w:val="clear" w:color="auto" w:fill="FFFFFF"/>
        </w:rPr>
        <w:t>in</w:t>
      </w:r>
      <w:r w:rsidR="006716AD" w:rsidRPr="000C4B7C">
        <w:rPr>
          <w:rFonts w:ascii="Book Antiqua" w:hAnsi="Book Antiqua"/>
          <w:color w:val="000000" w:themeColor="text1"/>
          <w:shd w:val="clear" w:color="auto" w:fill="FFFFFF"/>
        </w:rPr>
        <w:t xml:space="preserve">avelumab plus axitinib </w:t>
      </w:r>
      <w:r w:rsidR="00FF43B4" w:rsidRPr="000C4B7C">
        <w:rPr>
          <w:rFonts w:ascii="Book Antiqua" w:hAnsi="Book Antiqua"/>
          <w:i/>
          <w:color w:val="000000" w:themeColor="text1"/>
          <w:shd w:val="clear" w:color="auto" w:fill="FFFFFF"/>
        </w:rPr>
        <w:t>vs</w:t>
      </w:r>
      <w:r w:rsidR="006716AD" w:rsidRPr="000C4B7C">
        <w:rPr>
          <w:rFonts w:ascii="Book Antiqua" w:hAnsi="Book Antiqua"/>
          <w:color w:val="000000" w:themeColor="text1"/>
          <w:shd w:val="clear" w:color="auto" w:fill="FFFFFF"/>
        </w:rPr>
        <w:t xml:space="preserve"> sunitinib groups, respectively. </w:t>
      </w:r>
      <w:r w:rsidRPr="000C4B7C">
        <w:rPr>
          <w:rFonts w:ascii="Book Antiqua" w:hAnsi="Book Antiqua"/>
          <w:color w:val="000000" w:themeColor="text1"/>
          <w:shd w:val="clear" w:color="auto" w:fill="FFFFFF"/>
        </w:rPr>
        <w:t xml:space="preserve">However, discontinuation was higher in the sunitinib group compared to the avelumab plus axitinib group (13.4% </w:t>
      </w:r>
      <w:r w:rsidR="00775ABB" w:rsidRPr="000C4B7C">
        <w:rPr>
          <w:rFonts w:ascii="Book Antiqua" w:hAnsi="Book Antiqua"/>
          <w:i/>
          <w:color w:val="000000" w:themeColor="text1"/>
          <w:shd w:val="clear" w:color="auto" w:fill="FFFFFF"/>
          <w:lang w:eastAsia="zh-CN"/>
        </w:rPr>
        <w:t>vs</w:t>
      </w:r>
      <w:r w:rsidR="00775ABB" w:rsidRPr="000C4B7C">
        <w:rPr>
          <w:rFonts w:ascii="Book Antiqua" w:hAnsi="Book Antiqua"/>
          <w:color w:val="000000" w:themeColor="text1"/>
          <w:shd w:val="clear" w:color="auto" w:fill="FFFFFF"/>
        </w:rPr>
        <w:t xml:space="preserve"> </w:t>
      </w:r>
      <w:r w:rsidRPr="000C4B7C">
        <w:rPr>
          <w:rFonts w:ascii="Book Antiqua" w:hAnsi="Book Antiqua"/>
          <w:color w:val="000000" w:themeColor="text1"/>
          <w:shd w:val="clear" w:color="auto" w:fill="FFFFFF"/>
        </w:rPr>
        <w:t xml:space="preserve">7.6%, respectively). </w:t>
      </w:r>
      <w:r w:rsidR="00EC7BE0" w:rsidRPr="000C4B7C">
        <w:rPr>
          <w:rFonts w:ascii="Book Antiqua" w:hAnsi="Book Antiqua"/>
          <w:color w:val="000000" w:themeColor="text1"/>
          <w:shd w:val="clear" w:color="auto" w:fill="FFFFFF"/>
        </w:rPr>
        <w:t>The most common adverse reactions were diarrhea, fatigue, hypertension, musculoskeletal pain, nausea, mucositis, palmar-plantar erythrodysesthesia, dysphonia, decreased appetite, hypothyroidism, rash, hepatotoxicity, cough, dyspnea, abdominal pain and headache. Of patients treated with combination arm, 38.2% experienced immune-</w:t>
      </w:r>
      <w:r w:rsidR="00EC7BE0" w:rsidRPr="000C4B7C">
        <w:rPr>
          <w:rFonts w:ascii="Book Antiqua" w:hAnsi="Book Antiqua"/>
          <w:color w:val="000000" w:themeColor="text1"/>
          <w:shd w:val="clear" w:color="auto" w:fill="FFFFFF"/>
        </w:rPr>
        <w:lastRenderedPageBreak/>
        <w:t>related AEs of which 9% had severity grade 3 or higher, and the most common immune-related AE was hypothyroidism. Serious adverse reactions occurred in 35% of patients receiving combination regime</w:t>
      </w:r>
      <w:r w:rsidR="00552079" w:rsidRPr="000C4B7C">
        <w:rPr>
          <w:rFonts w:ascii="Book Antiqua" w:hAnsi="Book Antiqua"/>
          <w:color w:val="000000" w:themeColor="text1"/>
          <w:shd w:val="clear" w:color="auto" w:fill="FFFFFF"/>
        </w:rPr>
        <w:t>n</w:t>
      </w:r>
      <w:r w:rsidR="00EC7BE0" w:rsidRPr="000C4B7C">
        <w:rPr>
          <w:rFonts w:ascii="Book Antiqua" w:hAnsi="Book Antiqua"/>
          <w:color w:val="000000" w:themeColor="text1"/>
          <w:shd w:val="clear" w:color="auto" w:fill="FFFFFF"/>
        </w:rPr>
        <w:t xml:space="preserve"> and the incidence of major adverse cardiovascular events was also higher compared with </w:t>
      </w:r>
      <w:proofErr w:type="gramStart"/>
      <w:r w:rsidR="00EC7BE0" w:rsidRPr="000C4B7C">
        <w:rPr>
          <w:rFonts w:ascii="Book Antiqua" w:hAnsi="Book Antiqua"/>
          <w:color w:val="000000" w:themeColor="text1"/>
          <w:shd w:val="clear" w:color="auto" w:fill="FFFFFF"/>
        </w:rPr>
        <w:t>sunitinib</w:t>
      </w:r>
      <w:r w:rsidR="00010C0F" w:rsidRPr="000C4B7C">
        <w:rPr>
          <w:rFonts w:ascii="Book Antiqua" w:hAnsi="Book Antiqua"/>
          <w:noProof/>
          <w:color w:val="000000" w:themeColor="text1"/>
          <w:shd w:val="clear" w:color="auto" w:fill="FFFFFF"/>
          <w:vertAlign w:val="superscript"/>
        </w:rPr>
        <w:t>[</w:t>
      </w:r>
      <w:proofErr w:type="gramEnd"/>
      <w:r w:rsidR="00010C0F" w:rsidRPr="000C4B7C">
        <w:rPr>
          <w:rFonts w:ascii="Book Antiqua" w:hAnsi="Book Antiqua"/>
          <w:noProof/>
          <w:color w:val="000000" w:themeColor="text1"/>
          <w:shd w:val="clear" w:color="auto" w:fill="FFFFFF"/>
          <w:vertAlign w:val="superscript"/>
        </w:rPr>
        <w:t>46]</w:t>
      </w:r>
      <w:r w:rsidR="00131A4F" w:rsidRPr="000C4B7C">
        <w:rPr>
          <w:rFonts w:ascii="Book Antiqua" w:hAnsi="Book Antiqua"/>
          <w:color w:val="000000" w:themeColor="text1"/>
          <w:shd w:val="clear" w:color="auto" w:fill="FFFFFF"/>
        </w:rPr>
        <w:t>.</w:t>
      </w:r>
    </w:p>
    <w:p w:rsidR="00D45E55" w:rsidRPr="000C4B7C" w:rsidRDefault="00D45E55" w:rsidP="000C4B7C">
      <w:pPr>
        <w:adjustRightInd w:val="0"/>
        <w:snapToGrid w:val="0"/>
        <w:spacing w:line="360" w:lineRule="auto"/>
        <w:jc w:val="both"/>
        <w:rPr>
          <w:rFonts w:ascii="Book Antiqua" w:hAnsi="Book Antiqua"/>
          <w:color w:val="000000" w:themeColor="text1"/>
          <w:shd w:val="clear" w:color="auto" w:fill="FFFFFF"/>
        </w:rPr>
      </w:pPr>
    </w:p>
    <w:p w:rsidR="00095AF9" w:rsidRPr="000C4B7C" w:rsidRDefault="00FD27F8" w:rsidP="000C4B7C">
      <w:pPr>
        <w:adjustRightInd w:val="0"/>
        <w:snapToGrid w:val="0"/>
        <w:spacing w:line="360" w:lineRule="auto"/>
        <w:jc w:val="both"/>
        <w:rPr>
          <w:rFonts w:ascii="Book Antiqua" w:eastAsia="Times New Roman" w:hAnsi="Book Antiqua"/>
          <w:b/>
          <w:color w:val="000000" w:themeColor="text1"/>
          <w:u w:val="single"/>
        </w:rPr>
      </w:pPr>
      <w:r w:rsidRPr="000C4B7C">
        <w:rPr>
          <w:rFonts w:ascii="Book Antiqua" w:eastAsia="Times New Roman" w:hAnsi="Book Antiqua"/>
          <w:b/>
          <w:color w:val="000000" w:themeColor="text1"/>
          <w:u w:val="single"/>
        </w:rPr>
        <w:t>ONGOING TRIALS AND FUTURE DIRECTIONS</w:t>
      </w:r>
    </w:p>
    <w:p w:rsidR="00027335" w:rsidRPr="000C4B7C" w:rsidRDefault="001D795A"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Table </w:t>
      </w:r>
      <w:r w:rsidR="0067058F" w:rsidRPr="000C4B7C">
        <w:rPr>
          <w:rFonts w:ascii="Book Antiqua" w:hAnsi="Book Antiqua"/>
          <w:color w:val="000000" w:themeColor="text1"/>
        </w:rPr>
        <w:t>5</w:t>
      </w:r>
      <w:r w:rsidR="00B269A9" w:rsidRPr="000C4B7C">
        <w:rPr>
          <w:rFonts w:ascii="Book Antiqua" w:hAnsi="Book Antiqua"/>
          <w:b/>
          <w:color w:val="000000" w:themeColor="text1"/>
        </w:rPr>
        <w:t xml:space="preserve"> </w:t>
      </w:r>
      <w:r w:rsidRPr="000C4B7C">
        <w:rPr>
          <w:rFonts w:ascii="Book Antiqua" w:hAnsi="Book Antiqua"/>
          <w:color w:val="000000" w:themeColor="text1"/>
        </w:rPr>
        <w:t xml:space="preserve">summarizes ongoing </w:t>
      </w:r>
      <w:r w:rsidR="006F2EBA" w:rsidRPr="000C4B7C">
        <w:rPr>
          <w:rFonts w:ascii="Book Antiqua" w:hAnsi="Book Antiqua"/>
          <w:color w:val="000000" w:themeColor="text1"/>
        </w:rPr>
        <w:t xml:space="preserve">phase </w:t>
      </w:r>
      <w:r w:rsidRPr="000C4B7C">
        <w:rPr>
          <w:rFonts w:ascii="Book Antiqua" w:hAnsi="Book Antiqua"/>
          <w:color w:val="000000" w:themeColor="text1"/>
        </w:rPr>
        <w:t xml:space="preserve">3 </w:t>
      </w:r>
      <w:r w:rsidR="000324A9" w:rsidRPr="000C4B7C">
        <w:rPr>
          <w:rFonts w:ascii="Book Antiqua" w:hAnsi="Book Antiqua"/>
          <w:color w:val="000000" w:themeColor="text1"/>
        </w:rPr>
        <w:t xml:space="preserve">trials of combination therapy </w:t>
      </w:r>
      <w:r w:rsidRPr="000C4B7C">
        <w:rPr>
          <w:rFonts w:ascii="Book Antiqua" w:hAnsi="Book Antiqua"/>
          <w:color w:val="000000" w:themeColor="text1"/>
        </w:rPr>
        <w:t>in RCC</w:t>
      </w:r>
      <w:r w:rsidR="00B55D24" w:rsidRPr="000C4B7C">
        <w:rPr>
          <w:rFonts w:ascii="Book Antiqua" w:hAnsi="Book Antiqua"/>
          <w:color w:val="000000" w:themeColor="text1"/>
        </w:rPr>
        <w:t>, studies designed in part to further optimize optimal first line regimens</w:t>
      </w:r>
      <w:r w:rsidRPr="000C4B7C">
        <w:rPr>
          <w:rFonts w:ascii="Book Antiqua" w:hAnsi="Book Antiqua"/>
          <w:color w:val="000000" w:themeColor="text1"/>
        </w:rPr>
        <w:t>.</w:t>
      </w:r>
      <w:r w:rsidR="00B269A9" w:rsidRPr="000C4B7C">
        <w:rPr>
          <w:rFonts w:ascii="Book Antiqua" w:hAnsi="Book Antiqua"/>
          <w:color w:val="000000" w:themeColor="text1"/>
        </w:rPr>
        <w:t xml:space="preserve"> </w:t>
      </w:r>
      <w:r w:rsidR="000F6D96" w:rsidRPr="000C4B7C">
        <w:rPr>
          <w:rFonts w:ascii="Book Antiqua" w:hAnsi="Book Antiqua"/>
          <w:color w:val="000000" w:themeColor="text1"/>
        </w:rPr>
        <w:t>New</w:t>
      </w:r>
      <w:r w:rsidR="00B269A9" w:rsidRPr="000C4B7C">
        <w:rPr>
          <w:rFonts w:ascii="Book Antiqua" w:hAnsi="Book Antiqua"/>
          <w:color w:val="000000" w:themeColor="text1"/>
        </w:rPr>
        <w:t xml:space="preserve"> agents under investigation </w:t>
      </w:r>
      <w:r w:rsidR="000F6D96" w:rsidRPr="000C4B7C">
        <w:rPr>
          <w:rFonts w:ascii="Book Antiqua" w:hAnsi="Book Antiqua"/>
          <w:color w:val="000000" w:themeColor="text1"/>
        </w:rPr>
        <w:t xml:space="preserve">in the treatment of RCC </w:t>
      </w:r>
      <w:r w:rsidR="00EC2E71" w:rsidRPr="000C4B7C">
        <w:rPr>
          <w:rFonts w:ascii="Book Antiqua" w:hAnsi="Book Antiqua"/>
          <w:color w:val="000000" w:themeColor="text1"/>
        </w:rPr>
        <w:t>include</w:t>
      </w:r>
      <w:r w:rsidR="000F6D96" w:rsidRPr="000C4B7C">
        <w:rPr>
          <w:rFonts w:ascii="Book Antiqua" w:hAnsi="Book Antiqua"/>
          <w:color w:val="000000" w:themeColor="text1"/>
        </w:rPr>
        <w:t xml:space="preserve"> NKTR-214 and abexinostat. </w:t>
      </w:r>
      <w:r w:rsidR="000F6D96" w:rsidRPr="000C4B7C">
        <w:rPr>
          <w:rFonts w:ascii="Book Antiqua" w:hAnsi="Book Antiqua" w:cs="Arial"/>
          <w:color w:val="000000" w:themeColor="text1"/>
          <w:shd w:val="clear" w:color="auto" w:fill="FFFFFF"/>
        </w:rPr>
        <w:t>NKTR-214</w:t>
      </w:r>
      <w:r w:rsidR="0093399D" w:rsidRPr="000C4B7C">
        <w:rPr>
          <w:rFonts w:ascii="Book Antiqua" w:hAnsi="Book Antiqua" w:cs="Arial"/>
          <w:color w:val="000000" w:themeColor="text1"/>
          <w:shd w:val="clear" w:color="auto" w:fill="FFFFFF"/>
        </w:rPr>
        <w:t xml:space="preserve"> is a novel IL2 pathway agonist, designed to provide sustained signaling through heterodimeric IL2 receptor βγ to drive increased proliferation and activation of CD8</w:t>
      </w:r>
      <w:r w:rsidR="0093399D" w:rsidRPr="000C4B7C">
        <w:rPr>
          <w:rFonts w:ascii="Book Antiqua" w:hAnsi="Book Antiqua" w:cs="Arial"/>
          <w:color w:val="000000" w:themeColor="text1"/>
          <w:bdr w:val="none" w:sz="0" w:space="0" w:color="auto" w:frame="1"/>
          <w:shd w:val="clear" w:color="auto" w:fill="FFFFFF"/>
          <w:vertAlign w:val="superscript"/>
        </w:rPr>
        <w:t>+</w:t>
      </w:r>
      <w:r w:rsidR="0093399D" w:rsidRPr="000C4B7C">
        <w:rPr>
          <w:rFonts w:ascii="Book Antiqua" w:hAnsi="Book Antiqua" w:cs="Arial"/>
          <w:color w:val="000000" w:themeColor="text1"/>
          <w:shd w:val="clear" w:color="auto" w:fill="FFFFFF"/>
        </w:rPr>
        <w:t>T and natural killer cells without unwanted expansion of T regulatory cells</w:t>
      </w:r>
      <w:r w:rsidR="00B819DD" w:rsidRPr="000C4B7C">
        <w:rPr>
          <w:rFonts w:ascii="Book Antiqua" w:hAnsi="Book Antiqua" w:cs="Arial"/>
          <w:color w:val="000000" w:themeColor="text1"/>
          <w:shd w:val="clear" w:color="auto" w:fill="FFFFFF"/>
        </w:rPr>
        <w:t xml:space="preserve"> </w:t>
      </w:r>
      <w:r w:rsidR="0093399D" w:rsidRPr="000C4B7C">
        <w:rPr>
          <w:rFonts w:ascii="Book Antiqua" w:hAnsi="Book Antiqua" w:cs="Arial"/>
          <w:color w:val="000000" w:themeColor="text1"/>
          <w:shd w:val="clear" w:color="auto" w:fill="FFFFFF"/>
        </w:rPr>
        <w:t>in the tumor microenvironment</w:t>
      </w:r>
      <w:r w:rsidR="00010C0F" w:rsidRPr="000C4B7C">
        <w:rPr>
          <w:rFonts w:ascii="Book Antiqua" w:hAnsi="Book Antiqua" w:cs="Arial"/>
          <w:noProof/>
          <w:color w:val="000000" w:themeColor="text1"/>
          <w:shd w:val="clear" w:color="auto" w:fill="FFFFFF"/>
          <w:vertAlign w:val="superscript"/>
        </w:rPr>
        <w:t>[47]</w:t>
      </w:r>
      <w:r w:rsidR="008A17C0" w:rsidRPr="000C4B7C">
        <w:rPr>
          <w:rFonts w:ascii="Book Antiqua" w:hAnsi="Book Antiqua"/>
          <w:bCs/>
          <w:color w:val="000000" w:themeColor="text1"/>
        </w:rPr>
        <w:t>. A</w:t>
      </w:r>
      <w:r w:rsidR="00F574CA" w:rsidRPr="000C4B7C">
        <w:rPr>
          <w:rFonts w:ascii="Book Antiqua" w:hAnsi="Book Antiqua"/>
          <w:bCs/>
          <w:color w:val="000000" w:themeColor="text1"/>
        </w:rPr>
        <w:t>bexinostat</w:t>
      </w:r>
      <w:r w:rsidR="00B269A9" w:rsidRPr="000C4B7C">
        <w:rPr>
          <w:rFonts w:ascii="Book Antiqua" w:hAnsi="Book Antiqua"/>
          <w:bCs/>
          <w:color w:val="000000" w:themeColor="text1"/>
        </w:rPr>
        <w:t xml:space="preserve"> </w:t>
      </w:r>
      <w:r w:rsidR="00F574CA" w:rsidRPr="000C4B7C">
        <w:rPr>
          <w:rFonts w:ascii="Book Antiqua" w:hAnsi="Book Antiqua"/>
          <w:color w:val="000000" w:themeColor="text1"/>
        </w:rPr>
        <w:t xml:space="preserve">is a novel histone deacetylase (HDAC) inhibitor. HDAC inhibitors target HDAC enzymes leading to highly acetylated histones and chromatin reshaping. In addition to altering histone acetylation, HDAC inhibitors can also influence the degree of acetylation on non-histone proteins, increasing or repressing their activity. HDAC </w:t>
      </w:r>
      <w:proofErr w:type="gramStart"/>
      <w:r w:rsidR="00F574CA" w:rsidRPr="000C4B7C">
        <w:rPr>
          <w:rFonts w:ascii="Book Antiqua" w:hAnsi="Book Antiqua"/>
          <w:color w:val="000000" w:themeColor="text1"/>
        </w:rPr>
        <w:t>inhibition thus inhibits th</w:t>
      </w:r>
      <w:r w:rsidR="00FF724C" w:rsidRPr="000C4B7C">
        <w:rPr>
          <w:rFonts w:ascii="Book Antiqua" w:hAnsi="Book Antiqua"/>
          <w:color w:val="000000" w:themeColor="text1"/>
        </w:rPr>
        <w:t>e proliferation of cancer cells</w:t>
      </w:r>
      <w:r w:rsidR="00FF724C" w:rsidRPr="000C4B7C">
        <w:rPr>
          <w:rFonts w:ascii="Book Antiqua" w:hAnsi="Book Antiqua"/>
          <w:color w:val="000000" w:themeColor="text1"/>
          <w:lang w:eastAsia="zh-CN"/>
        </w:rPr>
        <w:t xml:space="preserve"> </w:t>
      </w:r>
      <w:r w:rsidR="00F574CA" w:rsidRPr="000C4B7C">
        <w:rPr>
          <w:rFonts w:ascii="Book Antiqua" w:hAnsi="Book Antiqua"/>
          <w:color w:val="000000" w:themeColor="text1"/>
        </w:rPr>
        <w:t>and induce</w:t>
      </w:r>
      <w:proofErr w:type="gramEnd"/>
      <w:r w:rsidR="00F574CA" w:rsidRPr="000C4B7C">
        <w:rPr>
          <w:rFonts w:ascii="Book Antiqua" w:hAnsi="Book Antiqua"/>
          <w:color w:val="000000" w:themeColor="text1"/>
        </w:rPr>
        <w:t xml:space="preserve"> cancer cell death, or apoptosis. Through the epigenetic modulation of vascular endothelial growth factor expression, it is thought that abexinostat can </w:t>
      </w:r>
      <w:r w:rsidR="007566B7" w:rsidRPr="000C4B7C">
        <w:rPr>
          <w:rFonts w:ascii="Book Antiqua" w:hAnsi="Book Antiqua"/>
          <w:color w:val="000000" w:themeColor="text1"/>
        </w:rPr>
        <w:t xml:space="preserve">prolong the therapeutic effect of pazopanib and </w:t>
      </w:r>
      <w:r w:rsidR="00F574CA" w:rsidRPr="000C4B7C">
        <w:rPr>
          <w:rFonts w:ascii="Book Antiqua" w:hAnsi="Book Antiqua"/>
          <w:color w:val="000000" w:themeColor="text1"/>
        </w:rPr>
        <w:t xml:space="preserve">prevent </w:t>
      </w:r>
      <w:proofErr w:type="gramStart"/>
      <w:r w:rsidR="00F574CA" w:rsidRPr="000C4B7C">
        <w:rPr>
          <w:rFonts w:ascii="Book Antiqua" w:hAnsi="Book Antiqua"/>
          <w:color w:val="000000" w:themeColor="text1"/>
        </w:rPr>
        <w:t>resistance</w:t>
      </w:r>
      <w:r w:rsidR="00010C0F" w:rsidRPr="000C4B7C">
        <w:rPr>
          <w:rFonts w:ascii="Book Antiqua" w:hAnsi="Book Antiqua"/>
          <w:noProof/>
          <w:color w:val="000000" w:themeColor="text1"/>
          <w:vertAlign w:val="superscript"/>
        </w:rPr>
        <w:t>[</w:t>
      </w:r>
      <w:proofErr w:type="gramEnd"/>
      <w:r w:rsidR="00010C0F" w:rsidRPr="000C4B7C">
        <w:rPr>
          <w:rFonts w:ascii="Book Antiqua" w:hAnsi="Book Antiqua"/>
          <w:noProof/>
          <w:color w:val="000000" w:themeColor="text1"/>
          <w:vertAlign w:val="superscript"/>
        </w:rPr>
        <w:t>48]</w:t>
      </w:r>
      <w:r w:rsidR="00F574CA" w:rsidRPr="000C4B7C">
        <w:rPr>
          <w:rFonts w:ascii="Book Antiqua" w:hAnsi="Book Antiqua"/>
          <w:color w:val="000000" w:themeColor="text1"/>
        </w:rPr>
        <w:t>.</w:t>
      </w:r>
      <w:r w:rsidR="00027335" w:rsidRPr="000C4B7C">
        <w:rPr>
          <w:rFonts w:ascii="Book Antiqua" w:hAnsi="Book Antiqua"/>
          <w:color w:val="000000" w:themeColor="text1"/>
        </w:rPr>
        <w:t xml:space="preserve"> In a recently completed Phase Ib/II trial of pembrolizumab with bevacizumab, the combination regimen was found to be safe and effective in the treatment of </w:t>
      </w:r>
      <w:proofErr w:type="gramStart"/>
      <w:r w:rsidR="00027335" w:rsidRPr="000C4B7C">
        <w:rPr>
          <w:rFonts w:ascii="Book Antiqua" w:hAnsi="Book Antiqua"/>
          <w:color w:val="000000" w:themeColor="text1"/>
        </w:rPr>
        <w:t>mRCC</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49]</w:t>
      </w:r>
      <w:r w:rsidR="00027335" w:rsidRPr="000C4B7C">
        <w:rPr>
          <w:rFonts w:ascii="Book Antiqua" w:hAnsi="Book Antiqua"/>
          <w:color w:val="000000" w:themeColor="text1"/>
        </w:rPr>
        <w:t>. It may be potentially helpful in patients who cannot tolerate TKIs.</w:t>
      </w:r>
    </w:p>
    <w:p w:rsidR="001D795A" w:rsidRPr="000C4B7C" w:rsidRDefault="001D795A" w:rsidP="000C4B7C">
      <w:pPr>
        <w:adjustRightInd w:val="0"/>
        <w:snapToGrid w:val="0"/>
        <w:spacing w:line="360" w:lineRule="auto"/>
        <w:jc w:val="both"/>
        <w:rPr>
          <w:rFonts w:ascii="Book Antiqua" w:hAnsi="Book Antiqua"/>
          <w:color w:val="000000" w:themeColor="text1"/>
        </w:rPr>
      </w:pPr>
    </w:p>
    <w:p w:rsidR="00FB280F" w:rsidRPr="000C4B7C" w:rsidRDefault="00FB280F" w:rsidP="000C4B7C">
      <w:pPr>
        <w:adjustRightInd w:val="0"/>
        <w:snapToGrid w:val="0"/>
        <w:spacing w:line="360" w:lineRule="auto"/>
        <w:jc w:val="both"/>
        <w:rPr>
          <w:rFonts w:ascii="Book Antiqua" w:eastAsia="Times New Roman" w:hAnsi="Book Antiqua"/>
          <w:b/>
          <w:i/>
          <w:color w:val="000000" w:themeColor="text1"/>
        </w:rPr>
      </w:pPr>
      <w:r w:rsidRPr="000C4B7C">
        <w:rPr>
          <w:rFonts w:ascii="Book Antiqua" w:eastAsia="Times New Roman" w:hAnsi="Book Antiqua"/>
          <w:b/>
          <w:i/>
          <w:color w:val="000000" w:themeColor="text1"/>
        </w:rPr>
        <w:t>Atezolizumab plus bevacizumab</w:t>
      </w:r>
    </w:p>
    <w:p w:rsidR="00C57180" w:rsidRPr="000C4B7C" w:rsidRDefault="00FB280F"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In t</w:t>
      </w:r>
      <w:r w:rsidR="00F63845" w:rsidRPr="000C4B7C">
        <w:rPr>
          <w:rFonts w:ascii="Book Antiqua" w:eastAsia="Times New Roman" w:hAnsi="Book Antiqua"/>
          <w:color w:val="000000" w:themeColor="text1"/>
        </w:rPr>
        <w:t>he phase III IMmotion151 trial,</w:t>
      </w:r>
      <w:r w:rsidR="00C95C54" w:rsidRPr="000C4B7C">
        <w:rPr>
          <w:rFonts w:ascii="Book Antiqua" w:eastAsia="Times New Roman" w:hAnsi="Book Antiqua"/>
          <w:color w:val="000000" w:themeColor="text1"/>
        </w:rPr>
        <w:t xml:space="preserve"> patients</w:t>
      </w:r>
      <w:r w:rsidR="00F63845" w:rsidRPr="000C4B7C">
        <w:rPr>
          <w:rFonts w:ascii="Book Antiqua" w:eastAsia="Times New Roman" w:hAnsi="Book Antiqua"/>
          <w:color w:val="000000" w:themeColor="text1"/>
        </w:rPr>
        <w:t xml:space="preserve"> (</w:t>
      </w:r>
      <w:r w:rsidR="00F63845" w:rsidRPr="000C4B7C">
        <w:rPr>
          <w:rFonts w:ascii="Book Antiqua" w:eastAsia="Times New Roman" w:hAnsi="Book Antiqua"/>
          <w:i/>
          <w:color w:val="000000" w:themeColor="text1"/>
        </w:rPr>
        <w:t>n</w:t>
      </w:r>
      <w:r w:rsidR="00B60387" w:rsidRPr="000C4B7C">
        <w:rPr>
          <w:rFonts w:ascii="Book Antiqua" w:hAnsi="Book Antiqua"/>
          <w:i/>
          <w:color w:val="000000" w:themeColor="text1"/>
          <w:lang w:eastAsia="zh-CN"/>
        </w:rPr>
        <w:t xml:space="preserve"> </w:t>
      </w:r>
      <w:r w:rsidR="00F63845" w:rsidRPr="000C4B7C">
        <w:rPr>
          <w:rFonts w:ascii="Book Antiqua" w:eastAsia="Times New Roman" w:hAnsi="Book Antiqua"/>
          <w:color w:val="000000" w:themeColor="text1"/>
        </w:rPr>
        <w:t>=</w:t>
      </w:r>
      <w:r w:rsidR="00B60387" w:rsidRPr="000C4B7C">
        <w:rPr>
          <w:rFonts w:ascii="Book Antiqua" w:hAnsi="Book Antiqua"/>
          <w:color w:val="000000" w:themeColor="text1"/>
          <w:lang w:eastAsia="zh-CN"/>
        </w:rPr>
        <w:t xml:space="preserve"> </w:t>
      </w:r>
      <w:r w:rsidR="00F63845" w:rsidRPr="000C4B7C">
        <w:rPr>
          <w:rFonts w:ascii="Book Antiqua" w:eastAsia="Times New Roman" w:hAnsi="Book Antiqua"/>
          <w:color w:val="000000" w:themeColor="text1"/>
        </w:rPr>
        <w:t>915)</w:t>
      </w:r>
      <w:r w:rsidR="00C95C54" w:rsidRPr="000C4B7C">
        <w:rPr>
          <w:rFonts w:ascii="Book Antiqua" w:eastAsia="Times New Roman" w:hAnsi="Book Antiqua"/>
          <w:color w:val="000000" w:themeColor="text1"/>
        </w:rPr>
        <w:t xml:space="preserve"> were stratified by PD-L1 status (</w:t>
      </w:r>
      <w:r w:rsidR="00B60387" w:rsidRPr="000C4B7C">
        <w:rPr>
          <w:rFonts w:ascii="Book Antiqua" w:eastAsia="Times New Roman" w:hAnsi="Book Antiqua"/>
          <w:i/>
          <w:color w:val="000000" w:themeColor="text1"/>
        </w:rPr>
        <w:t>n</w:t>
      </w:r>
      <w:r w:rsidR="00B60387" w:rsidRPr="000C4B7C">
        <w:rPr>
          <w:rFonts w:ascii="Book Antiqua" w:hAnsi="Book Antiqua"/>
          <w:i/>
          <w:color w:val="000000" w:themeColor="text1"/>
          <w:lang w:eastAsia="zh-CN"/>
        </w:rPr>
        <w:t xml:space="preserve"> </w:t>
      </w:r>
      <w:r w:rsidR="003567D9" w:rsidRPr="000C4B7C">
        <w:rPr>
          <w:rFonts w:ascii="Book Antiqua" w:eastAsia="Times New Roman" w:hAnsi="Book Antiqua"/>
          <w:color w:val="000000" w:themeColor="text1"/>
        </w:rPr>
        <w:t>=</w:t>
      </w:r>
      <w:r w:rsidR="00B60387" w:rsidRPr="000C4B7C">
        <w:rPr>
          <w:rFonts w:ascii="Book Antiqua" w:hAnsi="Book Antiqua"/>
          <w:color w:val="000000" w:themeColor="text1"/>
          <w:lang w:eastAsia="zh-CN"/>
        </w:rPr>
        <w:t xml:space="preserve"> </w:t>
      </w:r>
      <w:r w:rsidR="003567D9" w:rsidRPr="000C4B7C">
        <w:rPr>
          <w:rFonts w:ascii="Book Antiqua" w:eastAsia="Times New Roman" w:hAnsi="Book Antiqua"/>
          <w:color w:val="000000" w:themeColor="text1"/>
        </w:rPr>
        <w:t>362</w:t>
      </w:r>
      <w:r w:rsidR="00C95C54" w:rsidRPr="000C4B7C">
        <w:rPr>
          <w:rFonts w:ascii="Book Antiqua" w:eastAsia="Times New Roman" w:hAnsi="Book Antiqua"/>
          <w:color w:val="000000" w:themeColor="text1"/>
        </w:rPr>
        <w:t xml:space="preserve"> PD-L1+)</w:t>
      </w:r>
      <w:r w:rsidR="00D83E78" w:rsidRPr="000C4B7C">
        <w:rPr>
          <w:rFonts w:ascii="Book Antiqua" w:eastAsia="Times New Roman" w:hAnsi="Book Antiqua"/>
          <w:color w:val="000000" w:themeColor="text1"/>
        </w:rPr>
        <w:t xml:space="preserve">, MSKCC risk </w:t>
      </w:r>
      <w:proofErr w:type="gramStart"/>
      <w:r w:rsidR="00D83E78" w:rsidRPr="000C4B7C">
        <w:rPr>
          <w:rFonts w:ascii="Book Antiqua" w:eastAsia="Times New Roman" w:hAnsi="Book Antiqua"/>
          <w:color w:val="000000" w:themeColor="text1"/>
        </w:rPr>
        <w:t>score</w:t>
      </w:r>
      <w:r w:rsidR="00A470C8" w:rsidRPr="000C4B7C">
        <w:rPr>
          <w:rFonts w:ascii="Book Antiqua" w:eastAsia="Times New Roman" w:hAnsi="Book Antiqua"/>
          <w:noProof/>
          <w:color w:val="000000" w:themeColor="text1"/>
          <w:vertAlign w:val="superscript"/>
        </w:rPr>
        <w:t>[</w:t>
      </w:r>
      <w:proofErr w:type="gramEnd"/>
      <w:r w:rsidR="00A470C8" w:rsidRPr="000C4B7C">
        <w:rPr>
          <w:rFonts w:ascii="Book Antiqua" w:eastAsia="Times New Roman" w:hAnsi="Book Antiqua"/>
          <w:noProof/>
          <w:color w:val="000000" w:themeColor="text1"/>
          <w:vertAlign w:val="superscript"/>
        </w:rPr>
        <w:t>6]</w:t>
      </w:r>
      <w:r w:rsidR="00B60387" w:rsidRPr="000C4B7C">
        <w:rPr>
          <w:rFonts w:ascii="Book Antiqua" w:hAnsi="Book Antiqua"/>
          <w:color w:val="000000" w:themeColor="text1"/>
          <w:lang w:eastAsia="zh-CN"/>
        </w:rPr>
        <w:t xml:space="preserve"> </w:t>
      </w:r>
      <w:r w:rsidR="00D83E78" w:rsidRPr="000C4B7C">
        <w:rPr>
          <w:rFonts w:ascii="Book Antiqua" w:eastAsia="Times New Roman" w:hAnsi="Book Antiqua"/>
          <w:color w:val="000000" w:themeColor="text1"/>
        </w:rPr>
        <w:t>an</w:t>
      </w:r>
      <w:r w:rsidR="007747D3" w:rsidRPr="000C4B7C">
        <w:rPr>
          <w:rFonts w:ascii="Book Antiqua" w:eastAsia="Times New Roman" w:hAnsi="Book Antiqua"/>
          <w:color w:val="000000" w:themeColor="text1"/>
        </w:rPr>
        <w:t>d presence of liver metastases</w:t>
      </w:r>
      <w:r w:rsidR="00C95C54" w:rsidRPr="000C4B7C">
        <w:rPr>
          <w:rFonts w:ascii="Book Antiqua" w:eastAsia="Times New Roman" w:hAnsi="Book Antiqua"/>
          <w:color w:val="000000" w:themeColor="text1"/>
        </w:rPr>
        <w:t xml:space="preserve">. </w:t>
      </w:r>
      <w:r w:rsidR="00C95C54" w:rsidRPr="000C4B7C">
        <w:rPr>
          <w:rFonts w:ascii="Book Antiqua" w:hAnsi="Book Antiqua"/>
          <w:color w:val="000000" w:themeColor="text1"/>
        </w:rPr>
        <w:t xml:space="preserve">In PD-L1+ patients, PFS was 11.2 </w:t>
      </w:r>
      <w:r w:rsidR="007167C0" w:rsidRPr="000C4B7C">
        <w:rPr>
          <w:rFonts w:ascii="Book Antiqua" w:hAnsi="Book Antiqua"/>
          <w:color w:val="000000" w:themeColor="text1"/>
        </w:rPr>
        <w:t>mo</w:t>
      </w:r>
      <w:r w:rsidR="00B60387" w:rsidRPr="000C4B7C">
        <w:rPr>
          <w:rFonts w:ascii="Book Antiqua" w:hAnsi="Book Antiqua"/>
          <w:color w:val="000000" w:themeColor="text1"/>
        </w:rPr>
        <w:t xml:space="preserve"> (95%CI</w:t>
      </w:r>
      <w:r w:rsidR="00B60387" w:rsidRPr="000C4B7C">
        <w:rPr>
          <w:rFonts w:ascii="Book Antiqua" w:hAnsi="Book Antiqua"/>
          <w:color w:val="000000" w:themeColor="text1"/>
          <w:lang w:eastAsia="zh-CN"/>
        </w:rPr>
        <w:t xml:space="preserve">: </w:t>
      </w:r>
      <w:r w:rsidR="00C95C54" w:rsidRPr="000C4B7C">
        <w:rPr>
          <w:rFonts w:ascii="Book Antiqua" w:hAnsi="Book Antiqua"/>
          <w:color w:val="000000" w:themeColor="text1"/>
        </w:rPr>
        <w:t>8.9 to 15.0) in atezo</w:t>
      </w:r>
      <w:r w:rsidR="008626E0" w:rsidRPr="000C4B7C">
        <w:rPr>
          <w:rFonts w:ascii="Book Antiqua" w:hAnsi="Book Antiqua"/>
          <w:color w:val="000000" w:themeColor="text1"/>
        </w:rPr>
        <w:t>lizumab</w:t>
      </w:r>
      <w:r w:rsidR="00F63845" w:rsidRPr="000C4B7C">
        <w:rPr>
          <w:rFonts w:ascii="Book Antiqua" w:hAnsi="Book Antiqua"/>
          <w:color w:val="000000" w:themeColor="text1"/>
        </w:rPr>
        <w:t xml:space="preserve"> plus </w:t>
      </w:r>
      <w:r w:rsidR="00C95C54" w:rsidRPr="000C4B7C">
        <w:rPr>
          <w:rFonts w:ascii="Book Antiqua" w:hAnsi="Book Antiqua"/>
          <w:color w:val="000000" w:themeColor="text1"/>
        </w:rPr>
        <w:t>bev</w:t>
      </w:r>
      <w:r w:rsidR="008626E0" w:rsidRPr="000C4B7C">
        <w:rPr>
          <w:rFonts w:ascii="Book Antiqua" w:hAnsi="Book Antiqua"/>
          <w:color w:val="000000" w:themeColor="text1"/>
        </w:rPr>
        <w:t>acizumab</w:t>
      </w:r>
      <w:r w:rsidR="00A441C0" w:rsidRPr="000C4B7C">
        <w:rPr>
          <w:rFonts w:ascii="Book Antiqua" w:hAnsi="Book Antiqua"/>
          <w:color w:val="000000" w:themeColor="text1"/>
        </w:rPr>
        <w:t xml:space="preserve"> </w:t>
      </w:r>
      <w:r w:rsidR="00B60387"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7.7</w:t>
      </w:r>
      <w:r w:rsidR="00A441C0" w:rsidRPr="000C4B7C">
        <w:rPr>
          <w:rFonts w:ascii="Book Antiqua" w:hAnsi="Book Antiqua"/>
          <w:color w:val="000000" w:themeColor="text1"/>
        </w:rPr>
        <w:t xml:space="preserve"> </w:t>
      </w:r>
      <w:r w:rsidR="007167C0" w:rsidRPr="000C4B7C">
        <w:rPr>
          <w:rFonts w:ascii="Book Antiqua" w:hAnsi="Book Antiqua"/>
          <w:color w:val="000000" w:themeColor="text1"/>
        </w:rPr>
        <w:t>mo</w:t>
      </w:r>
      <w:r w:rsidR="00B60387" w:rsidRPr="000C4B7C">
        <w:rPr>
          <w:rFonts w:ascii="Book Antiqua" w:hAnsi="Book Antiqua"/>
          <w:color w:val="000000" w:themeColor="text1"/>
        </w:rPr>
        <w:t xml:space="preserve"> (95%CI</w:t>
      </w:r>
      <w:r w:rsidR="00B60387" w:rsidRPr="000C4B7C">
        <w:rPr>
          <w:rFonts w:ascii="Book Antiqua" w:hAnsi="Book Antiqua"/>
          <w:color w:val="000000" w:themeColor="text1"/>
          <w:lang w:eastAsia="zh-CN"/>
        </w:rPr>
        <w:t xml:space="preserve">: </w:t>
      </w:r>
      <w:r w:rsidR="00C95C54" w:rsidRPr="000C4B7C">
        <w:rPr>
          <w:rFonts w:ascii="Book Antiqua" w:hAnsi="Book Antiqua"/>
          <w:color w:val="000000" w:themeColor="text1"/>
        </w:rPr>
        <w:t>6.8 to 9.7) in sun</w:t>
      </w:r>
      <w:r w:rsidR="008626E0" w:rsidRPr="000C4B7C">
        <w:rPr>
          <w:rFonts w:ascii="Book Antiqua" w:hAnsi="Book Antiqua"/>
          <w:color w:val="000000" w:themeColor="text1"/>
        </w:rPr>
        <w:t>itinib</w:t>
      </w:r>
      <w:r w:rsidR="00C95C54" w:rsidRPr="000C4B7C">
        <w:rPr>
          <w:rFonts w:ascii="Book Antiqua" w:hAnsi="Book Antiqua"/>
          <w:color w:val="000000" w:themeColor="text1"/>
        </w:rPr>
        <w:t xml:space="preserve"> (</w:t>
      </w:r>
      <w:r w:rsidR="00B60387" w:rsidRPr="000C4B7C">
        <w:rPr>
          <w:rFonts w:ascii="Book Antiqua" w:hAnsi="Book Antiqua"/>
          <w:i/>
          <w:color w:val="000000" w:themeColor="text1"/>
        </w:rPr>
        <w:t>P</w:t>
      </w:r>
      <w:r w:rsidR="00B60387" w:rsidRPr="000C4B7C">
        <w:rPr>
          <w:rFonts w:ascii="Book Antiqua" w:hAnsi="Book Antiqua"/>
          <w:i/>
          <w:color w:val="000000" w:themeColor="text1"/>
          <w:lang w:eastAsia="zh-CN"/>
        </w:rPr>
        <w:t xml:space="preserve"> </w:t>
      </w:r>
      <w:r w:rsidR="00C95C54" w:rsidRPr="000C4B7C">
        <w:rPr>
          <w:rFonts w:ascii="Book Antiqua" w:hAnsi="Book Antiqua"/>
          <w:color w:val="000000" w:themeColor="text1"/>
        </w:rPr>
        <w:t>=</w:t>
      </w:r>
      <w:r w:rsidR="00B60387" w:rsidRPr="000C4B7C">
        <w:rPr>
          <w:rFonts w:ascii="Book Antiqua" w:hAnsi="Book Antiqua"/>
          <w:color w:val="000000" w:themeColor="text1"/>
          <w:lang w:eastAsia="zh-CN"/>
        </w:rPr>
        <w:t xml:space="preserve"> </w:t>
      </w:r>
      <w:r w:rsidR="00B60387" w:rsidRPr="000C4B7C">
        <w:rPr>
          <w:rFonts w:ascii="Book Antiqua" w:hAnsi="Book Antiqua"/>
          <w:color w:val="000000" w:themeColor="text1"/>
        </w:rPr>
        <w:t>0.0217); ORR was 43% (95%</w:t>
      </w:r>
      <w:r w:rsidR="00C95C54" w:rsidRPr="000C4B7C">
        <w:rPr>
          <w:rFonts w:ascii="Book Antiqua" w:hAnsi="Book Antiqua"/>
          <w:color w:val="000000" w:themeColor="text1"/>
        </w:rPr>
        <w:t>CI</w:t>
      </w:r>
      <w:r w:rsidR="00B60387" w:rsidRPr="000C4B7C">
        <w:rPr>
          <w:rFonts w:ascii="Book Antiqua" w:hAnsi="Book Antiqua"/>
          <w:color w:val="000000" w:themeColor="text1"/>
          <w:lang w:eastAsia="zh-CN"/>
        </w:rPr>
        <w:t>:</w:t>
      </w:r>
      <w:r w:rsidR="00C95C54" w:rsidRPr="000C4B7C">
        <w:rPr>
          <w:rFonts w:ascii="Book Antiqua" w:hAnsi="Book Antiqua"/>
          <w:color w:val="000000" w:themeColor="text1"/>
        </w:rPr>
        <w:t xml:space="preserve"> 35 to 50) in </w:t>
      </w:r>
      <w:r w:rsidR="008626E0" w:rsidRPr="000C4B7C">
        <w:rPr>
          <w:rFonts w:ascii="Book Antiqua" w:hAnsi="Book Antiqua"/>
          <w:color w:val="000000" w:themeColor="text1"/>
        </w:rPr>
        <w:lastRenderedPageBreak/>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3567D9" w:rsidRPr="000C4B7C">
        <w:rPr>
          <w:rFonts w:ascii="Book Antiqua" w:hAnsi="Book Antiqua"/>
          <w:color w:val="000000" w:themeColor="text1"/>
        </w:rPr>
        <w:t xml:space="preserve"> </w:t>
      </w:r>
      <w:r w:rsidR="00B60387"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w:t>
      </w:r>
      <w:r w:rsidR="00B60387" w:rsidRPr="000C4B7C">
        <w:rPr>
          <w:rFonts w:ascii="Book Antiqua" w:hAnsi="Book Antiqua"/>
          <w:color w:val="000000" w:themeColor="text1"/>
        </w:rPr>
        <w:t>35% (95%CI</w:t>
      </w:r>
      <w:r w:rsidR="00B60387" w:rsidRPr="000C4B7C">
        <w:rPr>
          <w:rFonts w:ascii="Book Antiqua" w:hAnsi="Book Antiqua"/>
          <w:color w:val="000000" w:themeColor="text1"/>
          <w:lang w:eastAsia="zh-CN"/>
        </w:rPr>
        <w:t>:</w:t>
      </w:r>
      <w:r w:rsidR="00C95C54" w:rsidRPr="000C4B7C">
        <w:rPr>
          <w:rFonts w:ascii="Book Antiqua" w:hAnsi="Book Antiqua"/>
          <w:color w:val="000000" w:themeColor="text1"/>
        </w:rPr>
        <w:t xml:space="preserve"> 28 to 42) in sun</w:t>
      </w:r>
      <w:r w:rsidR="008626E0" w:rsidRPr="000C4B7C">
        <w:rPr>
          <w:rFonts w:ascii="Book Antiqua" w:hAnsi="Book Antiqua"/>
          <w:color w:val="000000" w:themeColor="text1"/>
        </w:rPr>
        <w:t>itinib</w:t>
      </w:r>
      <w:r w:rsidR="00C95C54" w:rsidRPr="000C4B7C">
        <w:rPr>
          <w:rFonts w:ascii="Book Antiqua" w:hAnsi="Book Antiqua"/>
          <w:color w:val="000000" w:themeColor="text1"/>
        </w:rPr>
        <w:t xml:space="preserve">. </w:t>
      </w:r>
      <w:r w:rsidR="008626E0" w:rsidRPr="000C4B7C">
        <w:rPr>
          <w:rFonts w:ascii="Book Antiqua" w:hAnsi="Book Antiqua"/>
          <w:color w:val="000000" w:themeColor="text1"/>
        </w:rPr>
        <w:t xml:space="preserve">Duration of response </w:t>
      </w:r>
      <w:r w:rsidR="00C95C54" w:rsidRPr="000C4B7C">
        <w:rPr>
          <w:rFonts w:ascii="Book Antiqua" w:hAnsi="Book Antiqua"/>
          <w:color w:val="000000" w:themeColor="text1"/>
        </w:rPr>
        <w:t xml:space="preserve">was not reached for </w:t>
      </w:r>
      <w:r w:rsidR="008626E0" w:rsidRPr="000C4B7C">
        <w:rPr>
          <w:rFonts w:ascii="Book Antiqua" w:hAnsi="Book Antiqua"/>
          <w:color w:val="000000" w:themeColor="text1"/>
        </w:rPr>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A441C0" w:rsidRPr="000C4B7C">
        <w:rPr>
          <w:rFonts w:ascii="Book Antiqua" w:hAnsi="Book Antiqua"/>
          <w:color w:val="000000" w:themeColor="text1"/>
        </w:rPr>
        <w:t xml:space="preserve"> </w:t>
      </w:r>
      <w:r w:rsidR="009B72FA" w:rsidRPr="000C4B7C">
        <w:rPr>
          <w:rFonts w:ascii="Book Antiqua" w:hAnsi="Book Antiqua"/>
          <w:i/>
          <w:color w:val="000000" w:themeColor="text1"/>
          <w:lang w:eastAsia="zh-CN"/>
        </w:rPr>
        <w:t>vs</w:t>
      </w:r>
      <w:r w:rsidR="00C95C54" w:rsidRPr="000C4B7C">
        <w:rPr>
          <w:rFonts w:ascii="Book Antiqua" w:hAnsi="Book Antiqua"/>
          <w:color w:val="000000" w:themeColor="text1"/>
        </w:rPr>
        <w:t xml:space="preserve"> 12.9 </w:t>
      </w:r>
      <w:r w:rsidR="007167C0" w:rsidRPr="000C4B7C">
        <w:rPr>
          <w:rFonts w:ascii="Book Antiqua" w:hAnsi="Book Antiqua"/>
          <w:color w:val="000000" w:themeColor="text1"/>
        </w:rPr>
        <w:t>mo</w:t>
      </w:r>
      <w:r w:rsidR="00C95C54" w:rsidRPr="000C4B7C">
        <w:rPr>
          <w:rFonts w:ascii="Book Antiqua" w:hAnsi="Book Antiqua"/>
          <w:color w:val="000000" w:themeColor="text1"/>
        </w:rPr>
        <w:t xml:space="preserve"> for sun</w:t>
      </w:r>
      <w:r w:rsidR="008626E0" w:rsidRPr="000C4B7C">
        <w:rPr>
          <w:rFonts w:ascii="Book Antiqua" w:hAnsi="Book Antiqua"/>
          <w:color w:val="000000" w:themeColor="text1"/>
        </w:rPr>
        <w:t>itinib</w:t>
      </w:r>
      <w:r w:rsidR="00711188" w:rsidRPr="000C4B7C">
        <w:rPr>
          <w:rFonts w:ascii="Book Antiqua" w:hAnsi="Book Antiqua"/>
          <w:color w:val="000000" w:themeColor="text1"/>
        </w:rPr>
        <w:t xml:space="preserve"> </w:t>
      </w:r>
      <w:r w:rsidR="00C95C54" w:rsidRPr="000C4B7C">
        <w:rPr>
          <w:rFonts w:ascii="Book Antiqua" w:hAnsi="Book Antiqua"/>
          <w:color w:val="000000" w:themeColor="text1"/>
        </w:rPr>
        <w:t xml:space="preserve">treated patients. </w:t>
      </w:r>
      <w:r w:rsidR="00AD72FE" w:rsidRPr="000C4B7C">
        <w:rPr>
          <w:rFonts w:ascii="Book Antiqua" w:hAnsi="Book Antiqua"/>
          <w:color w:val="000000" w:themeColor="text1"/>
        </w:rPr>
        <w:t xml:space="preserve">The combination arm was well tolerated. </w:t>
      </w:r>
      <w:r w:rsidR="007025A2" w:rsidRPr="000C4B7C">
        <w:rPr>
          <w:rFonts w:ascii="Book Antiqua" w:hAnsi="Book Antiqua"/>
          <w:color w:val="000000" w:themeColor="text1"/>
        </w:rPr>
        <w:t>Treatment-related grade 3-4 AEs were noted in 40% of</w:t>
      </w:r>
      <w:r w:rsidR="00711188" w:rsidRPr="000C4B7C">
        <w:rPr>
          <w:rFonts w:ascii="Book Antiqua" w:hAnsi="Book Antiqua"/>
          <w:color w:val="000000" w:themeColor="text1"/>
        </w:rPr>
        <w:t xml:space="preserve"> </w:t>
      </w:r>
      <w:r w:rsidR="008626E0" w:rsidRPr="000C4B7C">
        <w:rPr>
          <w:rFonts w:ascii="Book Antiqua" w:hAnsi="Book Antiqua"/>
          <w:color w:val="000000" w:themeColor="text1"/>
        </w:rPr>
        <w:t>atezolizumab</w:t>
      </w:r>
      <w:r w:rsidR="003567D9" w:rsidRPr="000C4B7C">
        <w:rPr>
          <w:rFonts w:ascii="Book Antiqua" w:hAnsi="Book Antiqua"/>
          <w:color w:val="000000" w:themeColor="text1"/>
        </w:rPr>
        <w:t xml:space="preserve"> plus </w:t>
      </w:r>
      <w:r w:rsidR="008626E0" w:rsidRPr="000C4B7C">
        <w:rPr>
          <w:rFonts w:ascii="Book Antiqua" w:hAnsi="Book Antiqua"/>
          <w:color w:val="000000" w:themeColor="text1"/>
        </w:rPr>
        <w:t>bevacizumab</w:t>
      </w:r>
      <w:r w:rsidR="007025A2" w:rsidRPr="000C4B7C">
        <w:rPr>
          <w:rFonts w:ascii="Book Antiqua" w:hAnsi="Book Antiqua"/>
          <w:color w:val="000000" w:themeColor="text1"/>
        </w:rPr>
        <w:t xml:space="preserve"> and 54% of sun</w:t>
      </w:r>
      <w:r w:rsidR="008626E0" w:rsidRPr="000C4B7C">
        <w:rPr>
          <w:rFonts w:ascii="Book Antiqua" w:hAnsi="Book Antiqua"/>
          <w:color w:val="000000" w:themeColor="text1"/>
        </w:rPr>
        <w:t>itinib</w:t>
      </w:r>
      <w:r w:rsidR="00711188" w:rsidRPr="000C4B7C">
        <w:rPr>
          <w:rFonts w:ascii="Book Antiqua" w:hAnsi="Book Antiqua"/>
          <w:color w:val="000000" w:themeColor="text1"/>
        </w:rPr>
        <w:t xml:space="preserve"> </w:t>
      </w:r>
      <w:r w:rsidR="007025A2" w:rsidRPr="000C4B7C">
        <w:rPr>
          <w:rFonts w:ascii="Book Antiqua" w:hAnsi="Book Antiqua"/>
          <w:color w:val="000000" w:themeColor="text1"/>
        </w:rPr>
        <w:t>treated patients; 12% and 8% of treatment-related all-Gr</w:t>
      </w:r>
      <w:r w:rsidR="00AD72FE" w:rsidRPr="000C4B7C">
        <w:rPr>
          <w:rFonts w:ascii="Book Antiqua" w:hAnsi="Book Antiqua"/>
          <w:color w:val="000000" w:themeColor="text1"/>
        </w:rPr>
        <w:t>ade</w:t>
      </w:r>
      <w:r w:rsidR="00711188" w:rsidRPr="000C4B7C">
        <w:rPr>
          <w:rFonts w:ascii="Book Antiqua" w:hAnsi="Book Antiqua"/>
          <w:color w:val="000000" w:themeColor="text1"/>
        </w:rPr>
        <w:t xml:space="preserve"> </w:t>
      </w:r>
      <w:r w:rsidR="007025A2" w:rsidRPr="000C4B7C">
        <w:rPr>
          <w:rFonts w:ascii="Book Antiqua" w:hAnsi="Book Antiqua"/>
          <w:color w:val="000000" w:themeColor="text1"/>
        </w:rPr>
        <w:t xml:space="preserve">AEs led to discontinuation, </w:t>
      </w:r>
      <w:proofErr w:type="gramStart"/>
      <w:r w:rsidR="007025A2" w:rsidRPr="000C4B7C">
        <w:rPr>
          <w:rFonts w:ascii="Book Antiqua" w:hAnsi="Book Antiqua"/>
          <w:color w:val="000000" w:themeColor="text1"/>
        </w:rPr>
        <w:t>respectively</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50]</w:t>
      </w:r>
      <w:r w:rsidR="00A50CAE" w:rsidRPr="000C4B7C">
        <w:rPr>
          <w:rFonts w:ascii="Book Antiqua" w:hAnsi="Book Antiqua"/>
          <w:color w:val="000000" w:themeColor="text1"/>
        </w:rPr>
        <w:t>.</w:t>
      </w:r>
      <w:r w:rsidR="00EB56D2" w:rsidRPr="000C4B7C">
        <w:rPr>
          <w:rFonts w:ascii="Book Antiqua" w:hAnsi="Book Antiqua"/>
          <w:color w:val="000000" w:themeColor="text1"/>
          <w:lang w:eastAsia="zh-CN"/>
        </w:rPr>
        <w:t xml:space="preserve"> </w:t>
      </w:r>
      <w:r w:rsidR="00F9194F" w:rsidRPr="000C4B7C">
        <w:rPr>
          <w:rFonts w:ascii="Book Antiqua" w:hAnsi="Book Antiqua"/>
          <w:color w:val="000000" w:themeColor="text1"/>
        </w:rPr>
        <w:t>Five</w:t>
      </w:r>
      <w:r w:rsidR="003567D9" w:rsidRPr="000C4B7C">
        <w:rPr>
          <w:rFonts w:ascii="Book Antiqua" w:hAnsi="Book Antiqua"/>
          <w:color w:val="000000" w:themeColor="text1"/>
        </w:rPr>
        <w:t xml:space="preserve"> treatment</w:t>
      </w:r>
      <w:r w:rsidR="00AD72FE" w:rsidRPr="000C4B7C">
        <w:rPr>
          <w:rFonts w:ascii="Book Antiqua" w:hAnsi="Book Antiqua"/>
          <w:color w:val="000000" w:themeColor="text1"/>
        </w:rPr>
        <w:t xml:space="preserve">–related deaths were recorded in combination group </w:t>
      </w:r>
      <w:r w:rsidR="00AD72FE" w:rsidRPr="000C4B7C">
        <w:rPr>
          <w:rFonts w:ascii="Book Antiqua" w:hAnsi="Book Antiqua"/>
          <w:i/>
          <w:color w:val="000000" w:themeColor="text1"/>
        </w:rPr>
        <w:t>vs</w:t>
      </w:r>
      <w:r w:rsidR="00AD72FE" w:rsidRPr="000C4B7C">
        <w:rPr>
          <w:rFonts w:ascii="Book Antiqua" w:hAnsi="Book Antiqua"/>
          <w:color w:val="000000" w:themeColor="text1"/>
        </w:rPr>
        <w:t xml:space="preserve"> 1 with sunitinib. </w:t>
      </w:r>
      <w:r w:rsidR="008626E0" w:rsidRPr="000C4B7C">
        <w:rPr>
          <w:rFonts w:ascii="Book Antiqua" w:hAnsi="Book Antiqua"/>
          <w:color w:val="000000" w:themeColor="text1"/>
        </w:rPr>
        <w:t>Although</w:t>
      </w:r>
      <w:r w:rsidR="00AD72FE" w:rsidRPr="000C4B7C">
        <w:rPr>
          <w:rFonts w:ascii="Book Antiqua" w:hAnsi="Book Antiqua"/>
          <w:color w:val="000000" w:themeColor="text1"/>
        </w:rPr>
        <w:t xml:space="preserve"> the PFS benefit was met in the PD-L</w:t>
      </w:r>
      <w:r w:rsidR="007955E0" w:rsidRPr="000C4B7C">
        <w:rPr>
          <w:rFonts w:ascii="Book Antiqua" w:hAnsi="Book Antiqua"/>
          <w:color w:val="000000" w:themeColor="text1"/>
        </w:rPr>
        <w:t>1+</w:t>
      </w:r>
      <w:r w:rsidR="00AD72FE" w:rsidRPr="000C4B7C">
        <w:rPr>
          <w:rFonts w:ascii="Book Antiqua" w:hAnsi="Book Antiqua"/>
          <w:color w:val="000000" w:themeColor="text1"/>
        </w:rPr>
        <w:t xml:space="preserve">patients as well as in other subgroups and in the </w:t>
      </w:r>
      <w:r w:rsidR="00281AF9" w:rsidRPr="000C4B7C">
        <w:rPr>
          <w:rFonts w:ascii="Book Antiqua" w:hAnsi="Book Antiqua"/>
          <w:color w:val="000000" w:themeColor="text1"/>
        </w:rPr>
        <w:t>intent to treat (</w:t>
      </w:r>
      <w:r w:rsidR="00AD72FE" w:rsidRPr="000C4B7C">
        <w:rPr>
          <w:rFonts w:ascii="Book Antiqua" w:hAnsi="Book Antiqua"/>
          <w:color w:val="000000" w:themeColor="text1"/>
        </w:rPr>
        <w:t>ITT</w:t>
      </w:r>
      <w:r w:rsidR="00281AF9" w:rsidRPr="000C4B7C">
        <w:rPr>
          <w:rFonts w:ascii="Book Antiqua" w:hAnsi="Book Antiqua"/>
          <w:color w:val="000000" w:themeColor="text1"/>
        </w:rPr>
        <w:t>)</w:t>
      </w:r>
      <w:r w:rsidR="00AD72FE" w:rsidRPr="000C4B7C">
        <w:rPr>
          <w:rFonts w:ascii="Book Antiqua" w:hAnsi="Book Antiqua"/>
          <w:color w:val="000000" w:themeColor="text1"/>
        </w:rPr>
        <w:t xml:space="preserve"> population, the</w:t>
      </w:r>
      <w:r w:rsidR="00DC55A3" w:rsidRPr="000C4B7C">
        <w:rPr>
          <w:rFonts w:ascii="Book Antiqua" w:hAnsi="Book Antiqua"/>
          <w:color w:val="000000" w:themeColor="text1"/>
        </w:rPr>
        <w:t xml:space="preserve"> I</w:t>
      </w:r>
      <w:r w:rsidR="00572B55" w:rsidRPr="000C4B7C">
        <w:rPr>
          <w:rFonts w:ascii="Book Antiqua" w:hAnsi="Book Antiqua"/>
          <w:color w:val="000000" w:themeColor="text1"/>
        </w:rPr>
        <w:t>ndependent Radiological Review</w:t>
      </w:r>
      <w:r w:rsidR="00AD72FE" w:rsidRPr="000C4B7C">
        <w:rPr>
          <w:rFonts w:ascii="Book Antiqua" w:hAnsi="Book Antiqua"/>
          <w:color w:val="000000" w:themeColor="text1"/>
        </w:rPr>
        <w:t xml:space="preserve">-assessed PFS in PD-L1 patients did not show a statistically significant benefit. Because of this variance, </w:t>
      </w:r>
      <w:r w:rsidR="00F9194F" w:rsidRPr="000C4B7C">
        <w:rPr>
          <w:rFonts w:ascii="Book Antiqua" w:hAnsi="Book Antiqua"/>
          <w:color w:val="000000" w:themeColor="text1"/>
        </w:rPr>
        <w:t>the</w:t>
      </w:r>
      <w:r w:rsidR="009F02E9" w:rsidRPr="000C4B7C">
        <w:rPr>
          <w:rFonts w:ascii="Book Antiqua" w:hAnsi="Book Antiqua"/>
          <w:color w:val="000000" w:themeColor="text1"/>
        </w:rPr>
        <w:t xml:space="preserve"> fate of this combination is uncertain.</w:t>
      </w:r>
    </w:p>
    <w:p w:rsidR="00587C74" w:rsidRPr="000C4B7C" w:rsidRDefault="00587C74" w:rsidP="000C4B7C">
      <w:pPr>
        <w:autoSpaceDE w:val="0"/>
        <w:autoSpaceDN w:val="0"/>
        <w:adjustRightInd w:val="0"/>
        <w:snapToGrid w:val="0"/>
        <w:spacing w:line="360" w:lineRule="auto"/>
        <w:jc w:val="both"/>
        <w:rPr>
          <w:rFonts w:ascii="Book Antiqua" w:eastAsia="Times New Roman" w:hAnsi="Book Antiqua"/>
          <w:color w:val="000000" w:themeColor="text1"/>
          <w:lang w:eastAsia="zh-CN"/>
        </w:rPr>
      </w:pPr>
    </w:p>
    <w:p w:rsidR="00AE6521" w:rsidRPr="000C4B7C" w:rsidRDefault="00587C74" w:rsidP="000C4B7C">
      <w:pPr>
        <w:autoSpaceDE w:val="0"/>
        <w:autoSpaceDN w:val="0"/>
        <w:adjustRightInd w:val="0"/>
        <w:snapToGrid w:val="0"/>
        <w:spacing w:line="360" w:lineRule="auto"/>
        <w:jc w:val="both"/>
        <w:rPr>
          <w:rFonts w:ascii="Book Antiqua" w:hAnsi="Book Antiqua"/>
          <w:b/>
          <w:color w:val="000000" w:themeColor="text1"/>
          <w:u w:val="single"/>
        </w:rPr>
      </w:pPr>
      <w:r w:rsidRPr="000C4B7C">
        <w:rPr>
          <w:rFonts w:ascii="Book Antiqua" w:hAnsi="Book Antiqua"/>
          <w:b/>
          <w:color w:val="000000" w:themeColor="text1"/>
          <w:u w:val="single"/>
        </w:rPr>
        <w:t>TREATMENT SELECTION</w:t>
      </w:r>
    </w:p>
    <w:p w:rsidR="00AE6521" w:rsidRPr="000C4B7C" w:rsidRDefault="00BF379D" w:rsidP="000C4B7C">
      <w:pPr>
        <w:autoSpaceDE w:val="0"/>
        <w:autoSpaceDN w:val="0"/>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 xml:space="preserve">Treatment </w:t>
      </w:r>
      <w:r w:rsidR="00587C74" w:rsidRPr="000C4B7C">
        <w:rPr>
          <w:rFonts w:ascii="Book Antiqua" w:hAnsi="Book Antiqua"/>
          <w:b/>
          <w:i/>
          <w:color w:val="000000" w:themeColor="text1"/>
        </w:rPr>
        <w:t>dilemma</w:t>
      </w:r>
    </w:p>
    <w:p w:rsidR="00EE098B"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There is no single established sequence of systemic therap</w:t>
      </w:r>
      <w:r w:rsidR="00ED4FDC" w:rsidRPr="000C4B7C">
        <w:rPr>
          <w:rFonts w:ascii="Book Antiqua" w:hAnsi="Book Antiqua"/>
          <w:color w:val="000000" w:themeColor="text1"/>
        </w:rPr>
        <w:t>ies</w:t>
      </w:r>
      <w:r w:rsidRPr="000C4B7C">
        <w:rPr>
          <w:rFonts w:ascii="Book Antiqua" w:hAnsi="Book Antiqua"/>
          <w:color w:val="000000" w:themeColor="text1"/>
        </w:rPr>
        <w:t xml:space="preserve"> in metastatic ccRCC. Treatment choices are based on </w:t>
      </w:r>
      <w:r w:rsidR="00CF07D1" w:rsidRPr="000C4B7C">
        <w:rPr>
          <w:rFonts w:ascii="Book Antiqua" w:hAnsi="Book Antiqua"/>
          <w:color w:val="000000" w:themeColor="text1"/>
        </w:rPr>
        <w:t>evidence-based</w:t>
      </w:r>
      <w:r w:rsidRPr="000C4B7C">
        <w:rPr>
          <w:rFonts w:ascii="Book Antiqua" w:hAnsi="Book Antiqua"/>
          <w:color w:val="000000" w:themeColor="text1"/>
        </w:rPr>
        <w:t xml:space="preserve"> efficacy data, individual patient factors, co-morbidities, and </w:t>
      </w:r>
      <w:r w:rsidR="00ED4FDC" w:rsidRPr="000C4B7C">
        <w:rPr>
          <w:rFonts w:ascii="Book Antiqua" w:hAnsi="Book Antiqua"/>
          <w:color w:val="000000" w:themeColor="text1"/>
        </w:rPr>
        <w:t xml:space="preserve">the </w:t>
      </w:r>
      <w:r w:rsidRPr="000C4B7C">
        <w:rPr>
          <w:rFonts w:ascii="Book Antiqua" w:hAnsi="Book Antiqua"/>
          <w:color w:val="000000" w:themeColor="text1"/>
        </w:rPr>
        <w:t xml:space="preserve">toxicity profiles of </w:t>
      </w:r>
      <w:r w:rsidR="00ED4FDC" w:rsidRPr="000C4B7C">
        <w:rPr>
          <w:rFonts w:ascii="Book Antiqua" w:hAnsi="Book Antiqua"/>
          <w:color w:val="000000" w:themeColor="text1"/>
        </w:rPr>
        <w:t>the</w:t>
      </w:r>
      <w:r w:rsidR="00FE1F51" w:rsidRPr="000C4B7C">
        <w:rPr>
          <w:rFonts w:ascii="Book Antiqua" w:hAnsi="Book Antiqua"/>
          <w:color w:val="000000" w:themeColor="text1"/>
        </w:rPr>
        <w:t xml:space="preserve"> potential</w:t>
      </w:r>
      <w:r w:rsidRPr="000C4B7C">
        <w:rPr>
          <w:rFonts w:ascii="Book Antiqua" w:hAnsi="Book Antiqua"/>
          <w:color w:val="000000" w:themeColor="text1"/>
        </w:rPr>
        <w:t xml:space="preserve"> agents.</w:t>
      </w:r>
    </w:p>
    <w:p w:rsidR="00EE098B"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w:t>
      </w:r>
      <w:r w:rsidR="00505778" w:rsidRPr="000C4B7C">
        <w:rPr>
          <w:rFonts w:ascii="Book Antiqua" w:hAnsi="Book Antiqua"/>
          <w:color w:val="000000" w:themeColor="text1"/>
        </w:rPr>
        <w:t>National Comprehensive Cancer Network (</w:t>
      </w:r>
      <w:r w:rsidRPr="000C4B7C">
        <w:rPr>
          <w:rFonts w:ascii="Book Antiqua" w:hAnsi="Book Antiqua"/>
          <w:color w:val="000000" w:themeColor="text1"/>
        </w:rPr>
        <w:t>NCCN</w:t>
      </w:r>
      <w:r w:rsidR="00505778" w:rsidRPr="000C4B7C">
        <w:rPr>
          <w:rFonts w:ascii="Book Antiqua" w:hAnsi="Book Antiqua"/>
          <w:color w:val="000000" w:themeColor="text1"/>
        </w:rPr>
        <w:t>)</w:t>
      </w:r>
      <w:r w:rsidRPr="000C4B7C">
        <w:rPr>
          <w:rFonts w:ascii="Book Antiqua" w:hAnsi="Book Antiqua"/>
          <w:color w:val="000000" w:themeColor="text1"/>
        </w:rPr>
        <w:t xml:space="preserve"> Kidney Cancer Panel has categorized all syste</w:t>
      </w:r>
      <w:r w:rsidR="00390C12" w:rsidRPr="000C4B7C">
        <w:rPr>
          <w:rFonts w:ascii="Book Antiqua" w:hAnsi="Book Antiqua"/>
          <w:color w:val="000000" w:themeColor="text1"/>
        </w:rPr>
        <w:t>mic kidney cancer regimens as “</w:t>
      </w:r>
      <w:r w:rsidRPr="000C4B7C">
        <w:rPr>
          <w:rFonts w:ascii="Book Antiqua" w:hAnsi="Book Antiqua"/>
          <w:color w:val="000000" w:themeColor="text1"/>
        </w:rPr>
        <w:t xml:space="preserve">preferred”, “other recommended”, or </w:t>
      </w:r>
      <w:r w:rsidR="00416F03" w:rsidRPr="000C4B7C">
        <w:rPr>
          <w:rFonts w:ascii="Book Antiqua" w:hAnsi="Book Antiqua"/>
          <w:color w:val="000000" w:themeColor="text1"/>
        </w:rPr>
        <w:t>“</w:t>
      </w:r>
      <w:r w:rsidRPr="000C4B7C">
        <w:rPr>
          <w:rFonts w:ascii="Book Antiqua" w:hAnsi="Book Antiqua"/>
          <w:color w:val="000000" w:themeColor="text1"/>
        </w:rPr>
        <w:t>useful under certain circumstances</w:t>
      </w:r>
      <w:proofErr w:type="gramStart"/>
      <w:r w:rsidRPr="000C4B7C">
        <w:rPr>
          <w:rFonts w:ascii="Book Antiqua" w:hAnsi="Book Antiqua"/>
          <w:color w:val="000000" w:themeColor="text1"/>
        </w:rPr>
        <w:t>”</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51]</w:t>
      </w:r>
      <w:r w:rsidR="001207C0" w:rsidRPr="000C4B7C">
        <w:rPr>
          <w:rFonts w:ascii="Book Antiqua" w:hAnsi="Book Antiqua"/>
          <w:color w:val="000000" w:themeColor="text1"/>
        </w:rPr>
        <w:t>.</w:t>
      </w:r>
    </w:p>
    <w:p w:rsidR="00AE6521"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The first line therapies are further categorized acc</w:t>
      </w:r>
      <w:r w:rsidR="00F41AEF" w:rsidRPr="000C4B7C">
        <w:rPr>
          <w:rFonts w:ascii="Book Antiqua" w:hAnsi="Book Antiqua"/>
          <w:color w:val="000000" w:themeColor="text1"/>
        </w:rPr>
        <w:t xml:space="preserve">ording to the </w:t>
      </w:r>
      <w:proofErr w:type="gramStart"/>
      <w:r w:rsidR="00F41AEF" w:rsidRPr="000C4B7C">
        <w:rPr>
          <w:rFonts w:ascii="Book Antiqua" w:hAnsi="Book Antiqua"/>
          <w:color w:val="000000" w:themeColor="text1"/>
        </w:rPr>
        <w:t>IMDC</w:t>
      </w:r>
      <w:r w:rsidR="00EE098B" w:rsidRPr="000C4B7C">
        <w:rPr>
          <w:rFonts w:ascii="Book Antiqua" w:hAnsi="Book Antiqua"/>
          <w:noProof/>
          <w:color w:val="000000" w:themeColor="text1"/>
          <w:vertAlign w:val="superscript"/>
        </w:rPr>
        <w:t>[</w:t>
      </w:r>
      <w:proofErr w:type="gramEnd"/>
      <w:r w:rsidR="00EE098B" w:rsidRPr="000C4B7C">
        <w:rPr>
          <w:rFonts w:ascii="Book Antiqua" w:hAnsi="Book Antiqua"/>
          <w:noProof/>
          <w:color w:val="000000" w:themeColor="text1"/>
          <w:vertAlign w:val="superscript"/>
        </w:rPr>
        <w:t>7,</w:t>
      </w:r>
      <w:r w:rsidR="00027335" w:rsidRPr="000C4B7C">
        <w:rPr>
          <w:rFonts w:ascii="Book Antiqua" w:hAnsi="Book Antiqua"/>
          <w:noProof/>
          <w:color w:val="000000" w:themeColor="text1"/>
          <w:vertAlign w:val="superscript"/>
        </w:rPr>
        <w:t>52]</w:t>
      </w:r>
      <w:r w:rsidR="00EE098B" w:rsidRPr="000C4B7C">
        <w:rPr>
          <w:rFonts w:ascii="Book Antiqua" w:hAnsi="Book Antiqua"/>
          <w:b/>
          <w:color w:val="000000" w:themeColor="text1"/>
          <w:lang w:eastAsia="zh-CN"/>
        </w:rPr>
        <w:t xml:space="preserve"> </w:t>
      </w:r>
      <w:r w:rsidRPr="000C4B7C">
        <w:rPr>
          <w:rFonts w:ascii="Book Antiqua" w:hAnsi="Book Antiqua"/>
          <w:color w:val="000000" w:themeColor="text1"/>
        </w:rPr>
        <w:t>prognostic model which provides the primary selection criteria. Patients are larg</w:t>
      </w:r>
      <w:r w:rsidR="002339AD" w:rsidRPr="000C4B7C">
        <w:rPr>
          <w:rFonts w:ascii="Book Antiqua" w:hAnsi="Book Antiqua"/>
          <w:color w:val="000000" w:themeColor="text1"/>
        </w:rPr>
        <w:t xml:space="preserve">ely </w:t>
      </w:r>
      <w:r w:rsidR="00416F03" w:rsidRPr="000C4B7C">
        <w:rPr>
          <w:rFonts w:ascii="Book Antiqua" w:hAnsi="Book Antiqua"/>
          <w:color w:val="000000" w:themeColor="text1"/>
        </w:rPr>
        <w:t>stratified</w:t>
      </w:r>
      <w:r w:rsidR="00711188" w:rsidRPr="000C4B7C">
        <w:rPr>
          <w:rFonts w:ascii="Book Antiqua" w:hAnsi="Book Antiqua"/>
          <w:color w:val="000000" w:themeColor="text1"/>
        </w:rPr>
        <w:t xml:space="preserve"> </w:t>
      </w:r>
      <w:r w:rsidR="002339AD" w:rsidRPr="000C4B7C">
        <w:rPr>
          <w:rFonts w:ascii="Book Antiqua" w:hAnsi="Book Antiqua"/>
          <w:color w:val="000000" w:themeColor="text1"/>
        </w:rPr>
        <w:t>into low- or favo</w:t>
      </w:r>
      <w:r w:rsidRPr="000C4B7C">
        <w:rPr>
          <w:rFonts w:ascii="Book Antiqua" w:hAnsi="Book Antiqua"/>
          <w:color w:val="000000" w:themeColor="text1"/>
        </w:rPr>
        <w:t xml:space="preserve">rable-risk and intermediate-or poor-risk groups, based on clinical and laboratory risk factors. </w:t>
      </w:r>
    </w:p>
    <w:p w:rsidR="00AE6521" w:rsidRPr="000C4B7C" w:rsidRDefault="00AE6521" w:rsidP="000C4B7C">
      <w:pPr>
        <w:autoSpaceDE w:val="0"/>
        <w:autoSpaceDN w:val="0"/>
        <w:adjustRightInd w:val="0"/>
        <w:snapToGrid w:val="0"/>
        <w:spacing w:line="360" w:lineRule="auto"/>
        <w:jc w:val="both"/>
        <w:rPr>
          <w:rFonts w:ascii="Book Antiqua" w:hAnsi="Book Antiqua"/>
          <w:color w:val="000000" w:themeColor="text1"/>
        </w:rPr>
      </w:pPr>
    </w:p>
    <w:p w:rsidR="00C46BD3"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themeColor="text1"/>
        </w:rPr>
        <w:t>First-</w:t>
      </w:r>
      <w:r w:rsidR="00EE098B" w:rsidRPr="000C4B7C">
        <w:rPr>
          <w:rFonts w:ascii="Book Antiqua" w:hAnsi="Book Antiqua"/>
          <w:b/>
          <w:color w:val="000000" w:themeColor="text1"/>
        </w:rPr>
        <w:t>line therapies</w:t>
      </w:r>
      <w:r w:rsidR="00EE2383" w:rsidRPr="000C4B7C">
        <w:rPr>
          <w:rFonts w:ascii="Book Antiqua" w:hAnsi="Book Antiqua"/>
          <w:b/>
          <w:color w:val="000000" w:themeColor="text1"/>
          <w:lang w:eastAsia="zh-CN"/>
        </w:rPr>
        <w:t xml:space="preserve">: </w:t>
      </w:r>
      <w:r w:rsidR="00EE2383" w:rsidRPr="000C4B7C">
        <w:rPr>
          <w:rFonts w:ascii="Book Antiqua" w:hAnsi="Book Antiqua"/>
          <w:color w:val="000000" w:themeColor="text1"/>
          <w:lang w:eastAsia="zh-CN"/>
        </w:rPr>
        <w:t xml:space="preserve">(1) </w:t>
      </w:r>
      <w:r w:rsidRPr="000C4B7C">
        <w:rPr>
          <w:rFonts w:ascii="Book Antiqua" w:hAnsi="Book Antiqua"/>
          <w:color w:val="000000" w:themeColor="text1"/>
        </w:rPr>
        <w:t xml:space="preserve">Low-or </w:t>
      </w:r>
      <w:r w:rsidR="00EE2383" w:rsidRPr="000C4B7C">
        <w:rPr>
          <w:rFonts w:ascii="Book Antiqua" w:hAnsi="Book Antiqua"/>
          <w:color w:val="000000" w:themeColor="text1"/>
        </w:rPr>
        <w:t>favorable-risk patients</w:t>
      </w:r>
      <w:r w:rsidR="00EE2383" w:rsidRPr="000C4B7C">
        <w:rPr>
          <w:rFonts w:ascii="Book Antiqua" w:hAnsi="Book Antiqua"/>
          <w:color w:val="000000" w:themeColor="text1"/>
          <w:lang w:eastAsia="zh-CN"/>
        </w:rPr>
        <w:t xml:space="preserve">: </w:t>
      </w:r>
      <w:r w:rsidR="00543F15" w:rsidRPr="000C4B7C">
        <w:rPr>
          <w:rFonts w:ascii="Book Antiqua" w:hAnsi="Book Antiqua"/>
          <w:color w:val="000000" w:themeColor="text1"/>
        </w:rPr>
        <w:t xml:space="preserve">The </w:t>
      </w:r>
      <w:r w:rsidR="00856FB1" w:rsidRPr="000C4B7C">
        <w:rPr>
          <w:rFonts w:ascii="Book Antiqua" w:hAnsi="Book Antiqua"/>
          <w:color w:val="000000" w:themeColor="text1"/>
        </w:rPr>
        <w:t xml:space="preserve">NCCN </w:t>
      </w:r>
      <w:r w:rsidR="00543F15" w:rsidRPr="000C4B7C">
        <w:rPr>
          <w:rFonts w:ascii="Book Antiqua" w:hAnsi="Book Antiqua"/>
          <w:color w:val="000000" w:themeColor="text1"/>
        </w:rPr>
        <w:t xml:space="preserve">preferred category 1option for low-risk patients is </w:t>
      </w:r>
      <w:r w:rsidR="00F22295" w:rsidRPr="000C4B7C">
        <w:rPr>
          <w:rFonts w:ascii="Book Antiqua" w:hAnsi="Book Antiqua"/>
          <w:color w:val="000000" w:themeColor="text1"/>
        </w:rPr>
        <w:t xml:space="preserve">the </w:t>
      </w:r>
      <w:r w:rsidR="00543F15" w:rsidRPr="000C4B7C">
        <w:rPr>
          <w:rFonts w:ascii="Book Antiqua" w:hAnsi="Book Antiqua"/>
          <w:color w:val="000000" w:themeColor="text1"/>
        </w:rPr>
        <w:t>combination of pembrolizumab plus axitinib,</w:t>
      </w:r>
      <w:r w:rsidR="00711188" w:rsidRPr="000C4B7C">
        <w:rPr>
          <w:rFonts w:ascii="Book Antiqua" w:hAnsi="Book Antiqua"/>
          <w:color w:val="000000" w:themeColor="text1"/>
        </w:rPr>
        <w:t xml:space="preserve"> </w:t>
      </w:r>
      <w:r w:rsidR="00F22295" w:rsidRPr="000C4B7C">
        <w:rPr>
          <w:rFonts w:ascii="Book Antiqua" w:hAnsi="Book Antiqua"/>
          <w:color w:val="000000" w:themeColor="text1"/>
        </w:rPr>
        <w:t xml:space="preserve">which was </w:t>
      </w:r>
      <w:r w:rsidR="00543F15" w:rsidRPr="000C4B7C">
        <w:rPr>
          <w:rFonts w:ascii="Book Antiqua" w:hAnsi="Book Antiqua"/>
          <w:color w:val="000000" w:themeColor="text1"/>
        </w:rPr>
        <w:t>recently approved</w:t>
      </w:r>
      <w:r w:rsidR="00F01A80" w:rsidRPr="000C4B7C">
        <w:rPr>
          <w:rFonts w:ascii="Book Antiqua" w:hAnsi="Book Antiqua"/>
          <w:color w:val="000000" w:themeColor="text1"/>
        </w:rPr>
        <w:t xml:space="preserve"> </w:t>
      </w:r>
      <w:r w:rsidR="00240154" w:rsidRPr="000C4B7C">
        <w:rPr>
          <w:rFonts w:ascii="Book Antiqua" w:hAnsi="Book Antiqua"/>
          <w:color w:val="000000" w:themeColor="text1"/>
        </w:rPr>
        <w:t>(April 2019)</w:t>
      </w:r>
      <w:r w:rsidR="00543F15" w:rsidRPr="000C4B7C">
        <w:rPr>
          <w:rFonts w:ascii="Book Antiqua" w:hAnsi="Book Antiqua"/>
          <w:color w:val="000000" w:themeColor="text1"/>
        </w:rPr>
        <w:t xml:space="preserve"> across all risk groups. KEYNOTE 426</w:t>
      </w:r>
      <w:r w:rsidR="00010C0F" w:rsidRPr="000C4B7C">
        <w:rPr>
          <w:rFonts w:ascii="Book Antiqua" w:hAnsi="Book Antiqua"/>
          <w:noProof/>
          <w:color w:val="000000" w:themeColor="text1"/>
          <w:vertAlign w:val="superscript"/>
        </w:rPr>
        <w:t>[45]</w:t>
      </w:r>
      <w:r w:rsidR="00543F15" w:rsidRPr="000C4B7C">
        <w:rPr>
          <w:rFonts w:ascii="Book Antiqua" w:hAnsi="Book Antiqua"/>
          <w:color w:val="000000" w:themeColor="text1"/>
        </w:rPr>
        <w:t xml:space="preserve"> demonstrated a 47% lower risk of death and a 31% lower risk of disease progression or death on treatment with pembrolizumab plus axitinib compared with sunitinib. The </w:t>
      </w:r>
      <w:r w:rsidR="00543F15" w:rsidRPr="000C4B7C">
        <w:rPr>
          <w:rFonts w:ascii="Book Antiqua" w:hAnsi="Book Antiqua"/>
          <w:color w:val="000000" w:themeColor="text1"/>
        </w:rPr>
        <w:lastRenderedPageBreak/>
        <w:t xml:space="preserve">ORR was 23% higher in the combination group than in sunitinib group. The benefits of improved PFS and OS were observed in all subgroups of patients, including across all IMDC risk groups and </w:t>
      </w:r>
      <w:r w:rsidR="00675CF7" w:rsidRPr="000C4B7C">
        <w:rPr>
          <w:rFonts w:ascii="Book Antiqua" w:hAnsi="Book Antiqua"/>
          <w:color w:val="000000" w:themeColor="text1"/>
        </w:rPr>
        <w:t xml:space="preserve">regardless of </w:t>
      </w:r>
      <w:r w:rsidR="00543F15" w:rsidRPr="000C4B7C">
        <w:rPr>
          <w:rFonts w:ascii="Book Antiqua" w:hAnsi="Book Antiqua"/>
          <w:color w:val="000000" w:themeColor="text1"/>
        </w:rPr>
        <w:t xml:space="preserve">PD-L1 expression. The significant improvement in OS is of utmost importance because this has not been achieved before with any single or combination therapy. A head to head trial is needed </w:t>
      </w:r>
      <w:r w:rsidR="00944DC3" w:rsidRPr="000C4B7C">
        <w:rPr>
          <w:rFonts w:ascii="Book Antiqua" w:hAnsi="Book Antiqua"/>
          <w:color w:val="000000" w:themeColor="text1"/>
        </w:rPr>
        <w:t xml:space="preserve">to </w:t>
      </w:r>
      <w:r w:rsidR="00543F15" w:rsidRPr="000C4B7C">
        <w:rPr>
          <w:rFonts w:ascii="Book Antiqua" w:hAnsi="Book Antiqua"/>
          <w:color w:val="000000" w:themeColor="text1"/>
        </w:rPr>
        <w:t>compar</w:t>
      </w:r>
      <w:r w:rsidR="00944DC3" w:rsidRPr="000C4B7C">
        <w:rPr>
          <w:rFonts w:ascii="Book Antiqua" w:hAnsi="Book Antiqua"/>
          <w:color w:val="000000" w:themeColor="text1"/>
        </w:rPr>
        <w:t>e</w:t>
      </w:r>
      <w:r w:rsidR="00543F15" w:rsidRPr="000C4B7C">
        <w:rPr>
          <w:rFonts w:ascii="Book Antiqua" w:hAnsi="Book Antiqua"/>
          <w:color w:val="000000" w:themeColor="text1"/>
        </w:rPr>
        <w:t xml:space="preserve"> the combination of pembrolizumab plus axitinib with</w:t>
      </w:r>
      <w:r w:rsidR="00944DC3" w:rsidRPr="000C4B7C">
        <w:rPr>
          <w:rFonts w:ascii="Book Antiqua" w:hAnsi="Book Antiqua"/>
          <w:color w:val="000000" w:themeColor="text1"/>
        </w:rPr>
        <w:t xml:space="preserve"> a</w:t>
      </w:r>
      <w:r w:rsidR="00C727C7" w:rsidRPr="000C4B7C">
        <w:rPr>
          <w:rFonts w:ascii="Book Antiqua" w:hAnsi="Book Antiqua"/>
          <w:color w:val="000000" w:themeColor="text1"/>
        </w:rPr>
        <w:t xml:space="preserve"> newer TKI monotherap</w:t>
      </w:r>
      <w:r w:rsidR="00944DC3" w:rsidRPr="000C4B7C">
        <w:rPr>
          <w:rFonts w:ascii="Book Antiqua" w:hAnsi="Book Antiqua"/>
          <w:color w:val="000000" w:themeColor="text1"/>
        </w:rPr>
        <w:t>y,</w:t>
      </w:r>
      <w:r w:rsidR="00C727C7" w:rsidRPr="000C4B7C">
        <w:rPr>
          <w:rFonts w:ascii="Book Antiqua" w:hAnsi="Book Antiqua"/>
          <w:color w:val="000000" w:themeColor="text1"/>
        </w:rPr>
        <w:t xml:space="preserve"> such as</w:t>
      </w:r>
      <w:r w:rsidR="00F01A80" w:rsidRPr="000C4B7C">
        <w:rPr>
          <w:rFonts w:ascii="Book Antiqua" w:hAnsi="Book Antiqua"/>
          <w:color w:val="000000" w:themeColor="text1"/>
        </w:rPr>
        <w:t xml:space="preserve"> </w:t>
      </w:r>
      <w:r w:rsidR="008C13E9" w:rsidRPr="000C4B7C">
        <w:rPr>
          <w:rFonts w:ascii="Book Antiqua" w:hAnsi="Book Antiqua"/>
          <w:color w:val="000000" w:themeColor="text1"/>
        </w:rPr>
        <w:t xml:space="preserve">cabozantinib, </w:t>
      </w:r>
      <w:r w:rsidR="00FF43B4" w:rsidRPr="000C4B7C">
        <w:rPr>
          <w:rFonts w:ascii="Book Antiqua" w:hAnsi="Book Antiqua"/>
          <w:i/>
          <w:color w:val="000000" w:themeColor="text1"/>
        </w:rPr>
        <w:t>vs</w:t>
      </w:r>
      <w:r w:rsidR="008C13E9" w:rsidRPr="000C4B7C">
        <w:rPr>
          <w:rFonts w:ascii="Book Antiqua" w:hAnsi="Book Antiqua"/>
          <w:color w:val="000000" w:themeColor="text1"/>
        </w:rPr>
        <w:t xml:space="preserve"> other combinations</w:t>
      </w:r>
      <w:r w:rsidR="00543F15" w:rsidRPr="000C4B7C">
        <w:rPr>
          <w:rFonts w:ascii="Book Antiqua" w:hAnsi="Book Antiqua"/>
          <w:color w:val="000000" w:themeColor="text1"/>
        </w:rPr>
        <w:t xml:space="preserve"> to make further progress in selecting preferred category 1 option in low-risk patients.</w:t>
      </w:r>
    </w:p>
    <w:p w:rsidR="00E5082F"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w:t>
      </w:r>
      <w:r w:rsidR="00543F15" w:rsidRPr="000C4B7C">
        <w:rPr>
          <w:rFonts w:ascii="Book Antiqua" w:hAnsi="Book Antiqua"/>
          <w:color w:val="000000" w:themeColor="text1"/>
        </w:rPr>
        <w:t>alternative</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category 1 options for low-risk patients are </w:t>
      </w:r>
      <w:r w:rsidR="004A56E1" w:rsidRPr="000C4B7C">
        <w:rPr>
          <w:rFonts w:ascii="Book Antiqua" w:hAnsi="Book Antiqua"/>
          <w:color w:val="000000" w:themeColor="text1"/>
        </w:rPr>
        <w:t>p</w:t>
      </w:r>
      <w:r w:rsidRPr="000C4B7C">
        <w:rPr>
          <w:rFonts w:ascii="Book Antiqua" w:hAnsi="Book Antiqua"/>
          <w:color w:val="000000" w:themeColor="text1"/>
        </w:rPr>
        <w:t xml:space="preserve">azopanib and </w:t>
      </w:r>
      <w:r w:rsidR="004A56E1" w:rsidRPr="000C4B7C">
        <w:rPr>
          <w:rFonts w:ascii="Book Antiqua" w:hAnsi="Book Antiqua"/>
          <w:color w:val="000000" w:themeColor="text1"/>
        </w:rPr>
        <w:t>s</w:t>
      </w:r>
      <w:r w:rsidRPr="000C4B7C">
        <w:rPr>
          <w:rFonts w:ascii="Book Antiqua" w:hAnsi="Book Antiqua"/>
          <w:color w:val="000000" w:themeColor="text1"/>
        </w:rPr>
        <w:t xml:space="preserve">unitinib. A phase III non-inferiority direct comparison of </w:t>
      </w:r>
      <w:r w:rsidR="004A56E1" w:rsidRPr="000C4B7C">
        <w:rPr>
          <w:rFonts w:ascii="Book Antiqua" w:hAnsi="Book Antiqua"/>
          <w:color w:val="000000" w:themeColor="text1"/>
        </w:rPr>
        <w:t>p</w:t>
      </w:r>
      <w:r w:rsidR="00A441C0" w:rsidRPr="000C4B7C">
        <w:rPr>
          <w:rFonts w:ascii="Book Antiqua" w:hAnsi="Book Antiqua"/>
          <w:color w:val="000000" w:themeColor="text1"/>
        </w:rPr>
        <w:t xml:space="preserve">azopanib </w:t>
      </w:r>
      <w:r w:rsidR="00E22D51" w:rsidRPr="000C4B7C">
        <w:rPr>
          <w:rFonts w:ascii="Book Antiqua" w:hAnsi="Book Antiqua"/>
          <w:i/>
          <w:color w:val="000000" w:themeColor="text1"/>
          <w:lang w:eastAsia="zh-CN"/>
        </w:rPr>
        <w:t>vs</w:t>
      </w:r>
      <w:r w:rsidR="00F01A80" w:rsidRPr="000C4B7C">
        <w:rPr>
          <w:rFonts w:ascii="Book Antiqua" w:hAnsi="Book Antiqua"/>
          <w:color w:val="000000" w:themeColor="text1"/>
        </w:rPr>
        <w:t xml:space="preserve"> </w:t>
      </w:r>
      <w:r w:rsidR="004A56E1" w:rsidRPr="000C4B7C">
        <w:rPr>
          <w:rFonts w:ascii="Book Antiqua" w:hAnsi="Book Antiqua"/>
          <w:color w:val="000000" w:themeColor="text1"/>
        </w:rPr>
        <w:t>s</w:t>
      </w:r>
      <w:r w:rsidRPr="000C4B7C">
        <w:rPr>
          <w:rFonts w:ascii="Book Antiqua" w:hAnsi="Book Antiqua"/>
          <w:color w:val="000000" w:themeColor="text1"/>
        </w:rPr>
        <w:t>unitinib (COMPARZ study</w:t>
      </w:r>
      <w:proofErr w:type="gramStart"/>
      <w:r w:rsidRPr="000C4B7C">
        <w:rPr>
          <w:rFonts w:ascii="Book Antiqua" w:hAnsi="Book Antiqua"/>
          <w:color w:val="000000" w:themeColor="text1"/>
        </w:rPr>
        <w:t>)</w:t>
      </w:r>
      <w:r w:rsidR="00974088" w:rsidRPr="000C4B7C">
        <w:rPr>
          <w:rFonts w:ascii="Book Antiqua" w:hAnsi="Book Antiqua"/>
          <w:noProof/>
          <w:color w:val="000000" w:themeColor="text1"/>
          <w:vertAlign w:val="superscript"/>
        </w:rPr>
        <w:t>[</w:t>
      </w:r>
      <w:proofErr w:type="gramEnd"/>
      <w:r w:rsidR="00974088" w:rsidRPr="000C4B7C">
        <w:rPr>
          <w:rFonts w:ascii="Book Antiqua" w:hAnsi="Book Antiqua"/>
          <w:noProof/>
          <w:color w:val="000000" w:themeColor="text1"/>
          <w:vertAlign w:val="superscript"/>
        </w:rPr>
        <w:t>53,</w:t>
      </w:r>
      <w:r w:rsidR="00027335" w:rsidRPr="000C4B7C">
        <w:rPr>
          <w:rFonts w:ascii="Book Antiqua" w:hAnsi="Book Antiqua"/>
          <w:noProof/>
          <w:color w:val="000000" w:themeColor="text1"/>
          <w:vertAlign w:val="superscript"/>
        </w:rPr>
        <w:t>54]</w:t>
      </w:r>
      <w:r w:rsidRPr="000C4B7C">
        <w:rPr>
          <w:rFonts w:ascii="Book Antiqua" w:hAnsi="Book Antiqua"/>
          <w:color w:val="000000" w:themeColor="text1"/>
        </w:rPr>
        <w:t xml:space="preserve"> in treatment naïve mRCC patients showed a comparable efficacy profile. The PFS with pazopanib was non</w:t>
      </w:r>
      <w:r w:rsidR="007955E0" w:rsidRPr="000C4B7C">
        <w:rPr>
          <w:rFonts w:ascii="Book Antiqua" w:hAnsi="Book Antiqua"/>
          <w:color w:val="000000" w:themeColor="text1"/>
        </w:rPr>
        <w:t>-</w:t>
      </w:r>
      <w:r w:rsidRPr="000C4B7C">
        <w:rPr>
          <w:rFonts w:ascii="Book Antiqua" w:hAnsi="Book Antiqua"/>
          <w:color w:val="000000" w:themeColor="text1"/>
        </w:rPr>
        <w:t xml:space="preserve">inferior (median 8.4 </w:t>
      </w:r>
      <w:r w:rsidR="007167C0" w:rsidRPr="000C4B7C">
        <w:rPr>
          <w:rFonts w:ascii="Book Antiqua" w:hAnsi="Book Antiqua"/>
          <w:color w:val="000000" w:themeColor="text1"/>
        </w:rPr>
        <w:t>mo</w:t>
      </w:r>
      <w:r w:rsidR="00A441C0" w:rsidRPr="000C4B7C">
        <w:rPr>
          <w:rFonts w:ascii="Book Antiqua" w:hAnsi="Book Antiqua"/>
          <w:color w:val="000000" w:themeColor="text1"/>
        </w:rPr>
        <w:t>)</w:t>
      </w:r>
      <w:r w:rsidRPr="000C4B7C">
        <w:rPr>
          <w:rFonts w:ascii="Book Antiqua" w:hAnsi="Book Antiqua"/>
          <w:color w:val="000000" w:themeColor="text1"/>
        </w:rPr>
        <w:t xml:space="preserve"> to sunitin</w:t>
      </w:r>
      <w:r w:rsidR="004D150F" w:rsidRPr="000C4B7C">
        <w:rPr>
          <w:rFonts w:ascii="Book Antiqua" w:hAnsi="Book Antiqua"/>
          <w:color w:val="000000" w:themeColor="text1"/>
        </w:rPr>
        <w:t>i</w:t>
      </w:r>
      <w:r w:rsidRPr="000C4B7C">
        <w:rPr>
          <w:rFonts w:ascii="Book Antiqua" w:hAnsi="Book Antiqua"/>
          <w:color w:val="000000" w:themeColor="text1"/>
        </w:rPr>
        <w:t>b (median 9.5</w:t>
      </w:r>
      <w:r w:rsidR="00E22D51" w:rsidRPr="000C4B7C">
        <w:rPr>
          <w:rFonts w:ascii="Book Antiqua" w:hAnsi="Book Antiqua"/>
          <w:color w:val="000000" w:themeColor="text1"/>
          <w:lang w:eastAsia="zh-CN"/>
        </w:rPr>
        <w:t xml:space="preserve"> </w:t>
      </w:r>
      <w:r w:rsidR="007167C0" w:rsidRPr="000C4B7C">
        <w:rPr>
          <w:rFonts w:ascii="Book Antiqua" w:hAnsi="Book Antiqua"/>
          <w:color w:val="000000" w:themeColor="text1"/>
        </w:rPr>
        <w:t>mo</w:t>
      </w:r>
      <w:r w:rsidRPr="000C4B7C">
        <w:rPr>
          <w:rFonts w:ascii="Book Antiqua" w:hAnsi="Book Antiqua"/>
          <w:color w:val="000000" w:themeColor="text1"/>
        </w:rPr>
        <w:t xml:space="preserve">). The </w:t>
      </w:r>
      <w:r w:rsidR="004A56E1" w:rsidRPr="000C4B7C">
        <w:rPr>
          <w:rFonts w:ascii="Book Antiqua" w:hAnsi="Book Antiqua"/>
          <w:color w:val="000000" w:themeColor="text1"/>
        </w:rPr>
        <w:t xml:space="preserve">median OS was 28.4 and 29.3 </w:t>
      </w:r>
      <w:r w:rsidR="007167C0" w:rsidRPr="000C4B7C">
        <w:rPr>
          <w:rFonts w:ascii="Book Antiqua" w:hAnsi="Book Antiqua"/>
          <w:color w:val="000000" w:themeColor="text1"/>
        </w:rPr>
        <w:t>mo</w:t>
      </w:r>
      <w:r w:rsidRPr="000C4B7C">
        <w:rPr>
          <w:rFonts w:ascii="Book Antiqua" w:hAnsi="Book Antiqua"/>
          <w:color w:val="000000" w:themeColor="text1"/>
        </w:rPr>
        <w:t xml:space="preserve"> respectively. Certain adverse events were more frequent with </w:t>
      </w:r>
      <w:r w:rsidR="00A441C0" w:rsidRPr="000C4B7C">
        <w:rPr>
          <w:rFonts w:ascii="Book Antiqua" w:hAnsi="Book Antiqua"/>
          <w:color w:val="000000" w:themeColor="text1"/>
        </w:rPr>
        <w:t>sunitin</w:t>
      </w:r>
      <w:r w:rsidR="004D150F" w:rsidRPr="000C4B7C">
        <w:rPr>
          <w:rFonts w:ascii="Book Antiqua" w:hAnsi="Book Antiqua"/>
          <w:color w:val="000000" w:themeColor="text1"/>
        </w:rPr>
        <w:t>i</w:t>
      </w:r>
      <w:r w:rsidR="00A441C0" w:rsidRPr="000C4B7C">
        <w:rPr>
          <w:rFonts w:ascii="Book Antiqua" w:hAnsi="Book Antiqua"/>
          <w:color w:val="000000" w:themeColor="text1"/>
        </w:rPr>
        <w:t xml:space="preserve">b, namely fatigue 63% </w:t>
      </w:r>
      <w:r w:rsidR="00AB6E67" w:rsidRPr="000C4B7C">
        <w:rPr>
          <w:rFonts w:ascii="Book Antiqua" w:hAnsi="Book Antiqua"/>
          <w:i/>
          <w:color w:val="000000" w:themeColor="text1"/>
          <w:lang w:eastAsia="zh-CN"/>
        </w:rPr>
        <w:t>vs</w:t>
      </w:r>
      <w:r w:rsidR="00AB6E67"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55%, hand-foot syndrome 50% </w:t>
      </w:r>
      <w:r w:rsidR="00B34110" w:rsidRPr="000C4B7C">
        <w:rPr>
          <w:rFonts w:ascii="Book Antiqua" w:hAnsi="Book Antiqua"/>
          <w:i/>
          <w:color w:val="000000" w:themeColor="text1"/>
          <w:lang w:eastAsia="zh-CN"/>
        </w:rPr>
        <w:t>vs</w:t>
      </w:r>
      <w:r w:rsidR="00B34110" w:rsidRPr="000C4B7C">
        <w:rPr>
          <w:rFonts w:ascii="Book Antiqua" w:hAnsi="Book Antiqua"/>
          <w:color w:val="000000" w:themeColor="text1"/>
        </w:rPr>
        <w:t xml:space="preserve"> </w:t>
      </w:r>
      <w:r w:rsidRPr="000C4B7C">
        <w:rPr>
          <w:rFonts w:ascii="Book Antiqua" w:hAnsi="Book Antiqua"/>
          <w:color w:val="000000" w:themeColor="text1"/>
        </w:rPr>
        <w:t>2</w:t>
      </w:r>
      <w:r w:rsidR="00A441C0" w:rsidRPr="000C4B7C">
        <w:rPr>
          <w:rFonts w:ascii="Book Antiqua" w:hAnsi="Book Antiqua"/>
          <w:color w:val="000000" w:themeColor="text1"/>
        </w:rPr>
        <w:t xml:space="preserve">9%, and thrombocytopenia 78% </w:t>
      </w:r>
      <w:r w:rsidR="005E297A" w:rsidRPr="000C4B7C">
        <w:rPr>
          <w:rFonts w:ascii="Book Antiqua" w:hAnsi="Book Antiqua"/>
          <w:i/>
          <w:color w:val="000000" w:themeColor="text1"/>
          <w:lang w:eastAsia="zh-CN"/>
        </w:rPr>
        <w:t>vs</w:t>
      </w:r>
      <w:r w:rsidR="005E297A" w:rsidRPr="000C4B7C">
        <w:rPr>
          <w:rFonts w:ascii="Book Antiqua" w:hAnsi="Book Antiqua"/>
          <w:color w:val="000000" w:themeColor="text1"/>
        </w:rPr>
        <w:t xml:space="preserve"> </w:t>
      </w:r>
      <w:r w:rsidRPr="000C4B7C">
        <w:rPr>
          <w:rFonts w:ascii="Book Antiqua" w:hAnsi="Book Antiqua"/>
          <w:color w:val="000000" w:themeColor="text1"/>
        </w:rPr>
        <w:t>41</w:t>
      </w:r>
      <w:r w:rsidR="00A441C0" w:rsidRPr="000C4B7C">
        <w:rPr>
          <w:rFonts w:ascii="Book Antiqua" w:hAnsi="Book Antiqua"/>
          <w:color w:val="000000" w:themeColor="text1"/>
        </w:rPr>
        <w:t>%</w:t>
      </w:r>
      <w:r w:rsidRPr="000C4B7C">
        <w:rPr>
          <w:rFonts w:ascii="Book Antiqua" w:hAnsi="Book Antiqua"/>
          <w:color w:val="000000" w:themeColor="text1"/>
        </w:rPr>
        <w:t>. Although liver function abnor</w:t>
      </w:r>
      <w:r w:rsidR="00A441C0" w:rsidRPr="000C4B7C">
        <w:rPr>
          <w:rFonts w:ascii="Book Antiqua" w:hAnsi="Book Antiqua"/>
          <w:color w:val="000000" w:themeColor="text1"/>
        </w:rPr>
        <w:t xml:space="preserve">malities (60% with pazopanib </w:t>
      </w:r>
      <w:r w:rsidR="005E297A" w:rsidRPr="000C4B7C">
        <w:rPr>
          <w:rFonts w:ascii="Book Antiqua" w:hAnsi="Book Antiqua"/>
          <w:i/>
          <w:color w:val="000000" w:themeColor="text1"/>
          <w:lang w:eastAsia="zh-CN"/>
        </w:rPr>
        <w:t>vs</w:t>
      </w:r>
      <w:r w:rsidR="005E297A" w:rsidRPr="000C4B7C">
        <w:rPr>
          <w:rFonts w:ascii="Book Antiqua" w:hAnsi="Book Antiqua"/>
          <w:color w:val="000000" w:themeColor="text1"/>
        </w:rPr>
        <w:t xml:space="preserve"> </w:t>
      </w:r>
      <w:r w:rsidRPr="000C4B7C">
        <w:rPr>
          <w:rFonts w:ascii="Book Antiqua" w:hAnsi="Book Antiqua"/>
          <w:color w:val="000000" w:themeColor="text1"/>
        </w:rPr>
        <w:t>43% with sunitinib), weight loss and alopecia were noted more w</w:t>
      </w:r>
      <w:r w:rsidR="00A441C0" w:rsidRPr="000C4B7C">
        <w:rPr>
          <w:rFonts w:ascii="Book Antiqua" w:hAnsi="Book Antiqua"/>
          <w:color w:val="000000" w:themeColor="text1"/>
        </w:rPr>
        <w:t>ith pazopanib, several quality-</w:t>
      </w:r>
      <w:r w:rsidRPr="000C4B7C">
        <w:rPr>
          <w:rFonts w:ascii="Book Antiqua" w:hAnsi="Book Antiqua"/>
          <w:color w:val="000000" w:themeColor="text1"/>
        </w:rPr>
        <w:t xml:space="preserve">of-life indicators favored </w:t>
      </w:r>
      <w:proofErr w:type="gramStart"/>
      <w:r w:rsidRPr="000C4B7C">
        <w:rPr>
          <w:rFonts w:ascii="Book Antiqua" w:hAnsi="Book Antiqua"/>
          <w:color w:val="000000" w:themeColor="text1"/>
        </w:rPr>
        <w:t>pazopanib</w:t>
      </w:r>
      <w:r w:rsidR="00D24348" w:rsidRPr="000C4B7C">
        <w:rPr>
          <w:rFonts w:ascii="Book Antiqua" w:hAnsi="Book Antiqua"/>
          <w:noProof/>
          <w:color w:val="000000" w:themeColor="text1"/>
          <w:vertAlign w:val="superscript"/>
        </w:rPr>
        <w:t>[</w:t>
      </w:r>
      <w:proofErr w:type="gramEnd"/>
      <w:r w:rsidR="00D24348" w:rsidRPr="000C4B7C">
        <w:rPr>
          <w:rFonts w:ascii="Book Antiqua" w:hAnsi="Book Antiqua"/>
          <w:noProof/>
          <w:color w:val="000000" w:themeColor="text1"/>
          <w:vertAlign w:val="superscript"/>
        </w:rPr>
        <w:t>51,</w:t>
      </w:r>
      <w:r w:rsidR="00027335" w:rsidRPr="000C4B7C">
        <w:rPr>
          <w:rFonts w:ascii="Book Antiqua" w:hAnsi="Book Antiqua"/>
          <w:noProof/>
          <w:color w:val="000000" w:themeColor="text1"/>
          <w:vertAlign w:val="superscript"/>
        </w:rPr>
        <w:t>53]</w:t>
      </w:r>
      <w:r w:rsidR="001207C0" w:rsidRPr="000C4B7C">
        <w:rPr>
          <w:rFonts w:ascii="Book Antiqua" w:hAnsi="Book Antiqua"/>
          <w:color w:val="000000" w:themeColor="text1"/>
        </w:rPr>
        <w:t>.</w:t>
      </w:r>
      <w:r w:rsidRPr="000C4B7C">
        <w:rPr>
          <w:rFonts w:ascii="Book Antiqua" w:hAnsi="Book Antiqua"/>
          <w:color w:val="000000" w:themeColor="text1"/>
        </w:rPr>
        <w:t xml:space="preserve"> This is further supported by phase III crossover study (Pisces study) where significantly more patients preferred pazopanib (70%) over sunitinib (22%) </w:t>
      </w:r>
      <w:r w:rsidR="00A441C0" w:rsidRPr="000C4B7C">
        <w:rPr>
          <w:rFonts w:ascii="Book Antiqua" w:hAnsi="Book Antiqua"/>
          <w:color w:val="000000" w:themeColor="text1"/>
        </w:rPr>
        <w:t xml:space="preserve">while only 8% had no </w:t>
      </w:r>
      <w:proofErr w:type="gramStart"/>
      <w:r w:rsidR="00A441C0" w:rsidRPr="000C4B7C">
        <w:rPr>
          <w:rFonts w:ascii="Book Antiqua" w:hAnsi="Book Antiqua"/>
          <w:color w:val="000000" w:themeColor="text1"/>
        </w:rPr>
        <w:t>preference</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55]</w:t>
      </w:r>
      <w:r w:rsidR="00A441C0" w:rsidRPr="000C4B7C">
        <w:rPr>
          <w:rFonts w:ascii="Book Antiqua" w:hAnsi="Book Antiqua"/>
          <w:color w:val="000000" w:themeColor="text1"/>
        </w:rPr>
        <w:t>.</w:t>
      </w:r>
      <w:r w:rsidRPr="000C4B7C">
        <w:rPr>
          <w:rFonts w:ascii="Book Antiqua" w:hAnsi="Book Antiqua"/>
          <w:color w:val="000000" w:themeColor="text1"/>
        </w:rPr>
        <w:t xml:space="preserve"> In a subgroup analysis of COMPARZ trial, safety profile of the two drugs was studied in </w:t>
      </w:r>
      <w:r w:rsidR="004A56E1" w:rsidRPr="000C4B7C">
        <w:rPr>
          <w:rFonts w:ascii="Book Antiqua" w:hAnsi="Book Antiqua"/>
          <w:color w:val="000000" w:themeColor="text1"/>
        </w:rPr>
        <w:t>A</w:t>
      </w:r>
      <w:r w:rsidRPr="000C4B7C">
        <w:rPr>
          <w:rFonts w:ascii="Book Antiqua" w:hAnsi="Book Antiqua"/>
          <w:color w:val="000000" w:themeColor="text1"/>
        </w:rPr>
        <w:t xml:space="preserve">sian </w:t>
      </w:r>
      <w:r w:rsidRPr="000C4B7C">
        <w:rPr>
          <w:rFonts w:ascii="Book Antiqua" w:hAnsi="Book Antiqua"/>
          <w:i/>
          <w:color w:val="000000" w:themeColor="text1"/>
        </w:rPr>
        <w:t>vs</w:t>
      </w:r>
      <w:r w:rsidRPr="000C4B7C">
        <w:rPr>
          <w:rFonts w:ascii="Book Antiqua" w:hAnsi="Book Antiqua"/>
          <w:color w:val="000000" w:themeColor="text1"/>
        </w:rPr>
        <w:t xml:space="preserve"> non-</w:t>
      </w:r>
      <w:r w:rsidR="004A56E1" w:rsidRPr="000C4B7C">
        <w:rPr>
          <w:rFonts w:ascii="Book Antiqua" w:hAnsi="Book Antiqua"/>
          <w:color w:val="000000" w:themeColor="text1"/>
        </w:rPr>
        <w:t>A</w:t>
      </w:r>
      <w:r w:rsidRPr="000C4B7C">
        <w:rPr>
          <w:rFonts w:ascii="Book Antiqua" w:hAnsi="Book Antiqua"/>
          <w:color w:val="000000" w:themeColor="text1"/>
        </w:rPr>
        <w:t xml:space="preserve">sian </w:t>
      </w:r>
      <w:proofErr w:type="gramStart"/>
      <w:r w:rsidRPr="000C4B7C">
        <w:rPr>
          <w:rFonts w:ascii="Book Antiqua" w:hAnsi="Book Antiqua"/>
          <w:color w:val="000000" w:themeColor="text1"/>
        </w:rPr>
        <w:t>populations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56]</w:t>
      </w:r>
      <w:r w:rsidR="0093740D" w:rsidRPr="000C4B7C">
        <w:rPr>
          <w:rFonts w:ascii="Book Antiqua" w:hAnsi="Book Antiqua"/>
          <w:color w:val="000000" w:themeColor="text1"/>
        </w:rPr>
        <w:t>.</w:t>
      </w:r>
      <w:r w:rsidRPr="000C4B7C">
        <w:rPr>
          <w:rFonts w:ascii="Book Antiqua" w:hAnsi="Book Antiqua"/>
          <w:color w:val="000000" w:themeColor="text1"/>
        </w:rPr>
        <w:t xml:space="preserve"> In general</w:t>
      </w:r>
      <w:r w:rsidR="004D150F" w:rsidRPr="000C4B7C">
        <w:rPr>
          <w:rFonts w:ascii="Book Antiqua" w:hAnsi="Book Antiqua"/>
          <w:color w:val="000000" w:themeColor="text1"/>
        </w:rPr>
        <w:t>,</w:t>
      </w:r>
      <w:r w:rsidRPr="000C4B7C">
        <w:rPr>
          <w:rFonts w:ascii="Book Antiqua" w:hAnsi="Book Antiqua"/>
          <w:color w:val="000000" w:themeColor="text1"/>
        </w:rPr>
        <w:t xml:space="preserve"> Asian patients experienced higher incidences of hypertension, hematologic toxicity, hand-foot syndrome, liver chemistry abnormalities with either drug compared to non-Asian patients. On the other hand, non-Asian patients experienced higher incidences of gastrointestinal AEs, mucosal inflammation, and headache. This may reflect ethnic differences in absorption, metabolism, and tolerance of the drugs. Effects of other translational factors related to genetic and non-genetic factors may also be into play and will require further research.</w:t>
      </w:r>
    </w:p>
    <w:p w:rsidR="006B3369"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other options approved for low-risk group are </w:t>
      </w:r>
      <w:r w:rsidR="004A56E1" w:rsidRPr="000C4B7C">
        <w:rPr>
          <w:rFonts w:ascii="Book Antiqua" w:hAnsi="Book Antiqua"/>
          <w:color w:val="000000" w:themeColor="text1"/>
        </w:rPr>
        <w:t>c</w:t>
      </w:r>
      <w:r w:rsidRPr="000C4B7C">
        <w:rPr>
          <w:rFonts w:ascii="Book Antiqua" w:hAnsi="Book Antiqua"/>
          <w:color w:val="000000" w:themeColor="text1"/>
        </w:rPr>
        <w:t>abozantinib, nivo</w:t>
      </w:r>
      <w:r w:rsidR="00A441C0" w:rsidRPr="000C4B7C">
        <w:rPr>
          <w:rFonts w:ascii="Book Antiqua" w:hAnsi="Book Antiqua"/>
          <w:color w:val="000000" w:themeColor="text1"/>
        </w:rPr>
        <w:t xml:space="preserve">lumab plus ipilimumab, and axitinb plus </w:t>
      </w:r>
      <w:r w:rsidRPr="000C4B7C">
        <w:rPr>
          <w:rFonts w:ascii="Book Antiqua" w:hAnsi="Book Antiqua"/>
          <w:color w:val="000000" w:themeColor="text1"/>
        </w:rPr>
        <w:t xml:space="preserve">avelumab. Cabozantinib use as category 2B is </w:t>
      </w:r>
      <w:r w:rsidRPr="000C4B7C">
        <w:rPr>
          <w:rFonts w:ascii="Book Antiqua" w:hAnsi="Book Antiqua"/>
          <w:color w:val="000000" w:themeColor="text1"/>
        </w:rPr>
        <w:lastRenderedPageBreak/>
        <w:t>extrapolated from its response in intermediate to poor risk patients</w:t>
      </w:r>
      <w:r w:rsidR="00A441C0" w:rsidRPr="000C4B7C">
        <w:rPr>
          <w:rFonts w:ascii="Book Antiqua" w:hAnsi="Book Antiqua"/>
          <w:color w:val="000000" w:themeColor="text1"/>
        </w:rPr>
        <w:t xml:space="preserve">. The nivolumab plus </w:t>
      </w:r>
      <w:r w:rsidRPr="000C4B7C">
        <w:rPr>
          <w:rFonts w:ascii="Book Antiqua" w:hAnsi="Book Antiqua"/>
          <w:color w:val="000000" w:themeColor="text1"/>
        </w:rPr>
        <w:t>ipi</w:t>
      </w:r>
      <w:r w:rsidR="004D150F" w:rsidRPr="000C4B7C">
        <w:rPr>
          <w:rFonts w:ascii="Book Antiqua" w:hAnsi="Book Antiqua"/>
          <w:color w:val="000000" w:themeColor="text1"/>
        </w:rPr>
        <w:t>lu</w:t>
      </w:r>
      <w:r w:rsidRPr="000C4B7C">
        <w:rPr>
          <w:rFonts w:ascii="Book Antiqua" w:hAnsi="Book Antiqua"/>
          <w:color w:val="000000" w:themeColor="text1"/>
        </w:rPr>
        <w:t>mumab combination was F</w:t>
      </w:r>
      <w:r w:rsidR="00AB31BD" w:rsidRPr="000C4B7C">
        <w:rPr>
          <w:rFonts w:ascii="Book Antiqua" w:hAnsi="Book Antiqua"/>
          <w:color w:val="000000" w:themeColor="text1"/>
        </w:rPr>
        <w:t>DA approved (CheckMate</w:t>
      </w:r>
      <w:r w:rsidRPr="000C4B7C">
        <w:rPr>
          <w:rFonts w:ascii="Book Antiqua" w:hAnsi="Book Antiqua"/>
          <w:color w:val="000000" w:themeColor="text1"/>
        </w:rPr>
        <w:t xml:space="preserve"> 214 trial</w:t>
      </w:r>
      <w:proofErr w:type="gramStart"/>
      <w:r w:rsidRPr="000C4B7C">
        <w:rPr>
          <w:rFonts w:ascii="Book Antiqua" w:hAnsi="Book Antiqua"/>
          <w:color w:val="000000" w:themeColor="text1"/>
        </w:rPr>
        <w:t>)</w:t>
      </w:r>
      <w:r w:rsidR="00010C0F" w:rsidRPr="000C4B7C">
        <w:rPr>
          <w:rFonts w:ascii="Book Antiqua" w:hAnsi="Book Antiqua"/>
          <w:noProof/>
          <w:color w:val="000000" w:themeColor="text1"/>
          <w:vertAlign w:val="superscript"/>
        </w:rPr>
        <w:t>[</w:t>
      </w:r>
      <w:proofErr w:type="gramEnd"/>
      <w:r w:rsidR="00010C0F" w:rsidRPr="000C4B7C">
        <w:rPr>
          <w:rFonts w:ascii="Book Antiqua" w:hAnsi="Book Antiqua"/>
          <w:noProof/>
          <w:color w:val="000000" w:themeColor="text1"/>
          <w:vertAlign w:val="superscript"/>
        </w:rPr>
        <w:t>44]</w:t>
      </w:r>
      <w:r w:rsidRPr="000C4B7C">
        <w:rPr>
          <w:rFonts w:ascii="Book Antiqua" w:hAnsi="Book Antiqua"/>
          <w:color w:val="000000" w:themeColor="text1"/>
        </w:rPr>
        <w:t xml:space="preserve"> for </w:t>
      </w:r>
      <w:r w:rsidR="004A56E1" w:rsidRPr="000C4B7C">
        <w:rPr>
          <w:rFonts w:ascii="Book Antiqua" w:hAnsi="Book Antiqua"/>
          <w:color w:val="000000" w:themeColor="text1"/>
        </w:rPr>
        <w:t xml:space="preserve">intermediate to </w:t>
      </w:r>
      <w:r w:rsidRPr="000C4B7C">
        <w:rPr>
          <w:rFonts w:ascii="Book Antiqua" w:hAnsi="Book Antiqua"/>
          <w:color w:val="000000" w:themeColor="text1"/>
        </w:rPr>
        <w:t>poor-risk patients. However, it may be used in low-risk patients who cannot receive a TKI, as in severe hepatic impairment, uncontrolled hypertension, or significant cardiovascular disease or in patients with high PD-L1</w:t>
      </w:r>
      <w:r w:rsidR="00BC70EF" w:rsidRPr="000C4B7C">
        <w:rPr>
          <w:rFonts w:ascii="Book Antiqua" w:hAnsi="Book Antiqua"/>
          <w:color w:val="000000" w:themeColor="text1"/>
        </w:rPr>
        <w:t xml:space="preserve"> expression in the tumor cells.</w:t>
      </w:r>
    </w:p>
    <w:p w:rsidR="00BD39BA" w:rsidRPr="000C4B7C" w:rsidRDefault="00560A9B"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w:t>
      </w:r>
      <w:r w:rsidR="006B3369" w:rsidRPr="000C4B7C">
        <w:rPr>
          <w:rFonts w:ascii="Book Antiqua" w:hAnsi="Book Antiqua"/>
          <w:color w:val="000000" w:themeColor="text1"/>
          <w:lang w:eastAsia="zh-CN"/>
        </w:rPr>
        <w:t xml:space="preserve"> </w:t>
      </w:r>
      <w:r w:rsidR="00543F15" w:rsidRPr="000C4B7C">
        <w:rPr>
          <w:rFonts w:ascii="Book Antiqua" w:hAnsi="Book Antiqua"/>
          <w:color w:val="000000" w:themeColor="text1"/>
        </w:rPr>
        <w:t>May</w:t>
      </w:r>
      <w:r w:rsidR="000726ED" w:rsidRPr="000C4B7C">
        <w:rPr>
          <w:rFonts w:ascii="Book Antiqua" w:hAnsi="Book Antiqua"/>
          <w:color w:val="000000" w:themeColor="text1"/>
          <w:lang w:eastAsia="zh-CN"/>
        </w:rPr>
        <w:t xml:space="preserve"> </w:t>
      </w:r>
      <w:r w:rsidR="00A441C0" w:rsidRPr="000C4B7C">
        <w:rPr>
          <w:rFonts w:ascii="Book Antiqua" w:hAnsi="Book Antiqua"/>
          <w:color w:val="000000" w:themeColor="text1"/>
        </w:rPr>
        <w:t xml:space="preserve">2019 the FDA approved avelumab plus </w:t>
      </w:r>
      <w:r w:rsidRPr="000C4B7C">
        <w:rPr>
          <w:rFonts w:ascii="Book Antiqua" w:hAnsi="Book Antiqua"/>
          <w:color w:val="000000" w:themeColor="text1"/>
        </w:rPr>
        <w:t xml:space="preserve">axitinib as part of a combination regimen, regardless of </w:t>
      </w:r>
      <w:r w:rsidR="004A549E" w:rsidRPr="000C4B7C">
        <w:rPr>
          <w:rFonts w:ascii="Book Antiqua" w:hAnsi="Book Antiqua"/>
          <w:color w:val="000000" w:themeColor="text1"/>
        </w:rPr>
        <w:t xml:space="preserve">tumor </w:t>
      </w:r>
      <w:r w:rsidRPr="000C4B7C">
        <w:rPr>
          <w:rFonts w:ascii="Book Antiqua" w:hAnsi="Book Antiqua"/>
          <w:color w:val="000000" w:themeColor="text1"/>
        </w:rPr>
        <w:t>PD-L1 expression</w:t>
      </w:r>
      <w:r w:rsidR="004A549E" w:rsidRPr="000C4B7C">
        <w:rPr>
          <w:rFonts w:ascii="Book Antiqua" w:hAnsi="Book Antiqua"/>
          <w:color w:val="000000" w:themeColor="text1"/>
        </w:rPr>
        <w:t xml:space="preserve">. </w:t>
      </w:r>
      <w:r w:rsidR="00AE6521" w:rsidRPr="000C4B7C">
        <w:rPr>
          <w:rFonts w:ascii="Book Antiqua" w:hAnsi="Book Antiqua"/>
          <w:color w:val="000000" w:themeColor="text1"/>
        </w:rPr>
        <w:t>In the JAVELIN Renal 101 study, patients with advanced RCC across IMDC prognostic risk groups (21% favorable, 62% intermediate and 16% poor) demonstrated significantl</w:t>
      </w:r>
      <w:r w:rsidR="00A441C0" w:rsidRPr="000C4B7C">
        <w:rPr>
          <w:rFonts w:ascii="Book Antiqua" w:hAnsi="Book Antiqua"/>
          <w:color w:val="000000" w:themeColor="text1"/>
        </w:rPr>
        <w:t xml:space="preserve">y improved median PFS (13.8 </w:t>
      </w:r>
      <w:r w:rsidR="006439C0" w:rsidRPr="000C4B7C">
        <w:rPr>
          <w:rFonts w:ascii="Book Antiqua" w:hAnsi="Book Antiqua"/>
          <w:color w:val="000000" w:themeColor="text1"/>
        </w:rPr>
        <w:t>mo</w:t>
      </w:r>
      <w:r w:rsidR="006439C0" w:rsidRPr="000C4B7C">
        <w:rPr>
          <w:rFonts w:ascii="Book Antiqua" w:hAnsi="Book Antiqua"/>
          <w:i/>
          <w:color w:val="000000" w:themeColor="text1"/>
          <w:lang w:eastAsia="zh-CN"/>
        </w:rPr>
        <w:t xml:space="preserve"> </w:t>
      </w:r>
      <w:r w:rsidR="00EA136A" w:rsidRPr="000C4B7C">
        <w:rPr>
          <w:rFonts w:ascii="Book Antiqua" w:hAnsi="Book Antiqua"/>
          <w:i/>
          <w:color w:val="000000" w:themeColor="text1"/>
          <w:lang w:eastAsia="zh-CN"/>
        </w:rPr>
        <w:t>vs</w:t>
      </w:r>
      <w:r w:rsidR="00EA136A"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8.4 </w:t>
      </w:r>
      <w:r w:rsidR="007167C0" w:rsidRPr="000C4B7C">
        <w:rPr>
          <w:rFonts w:ascii="Book Antiqua" w:hAnsi="Book Antiqua"/>
          <w:color w:val="000000" w:themeColor="text1"/>
        </w:rPr>
        <w:t>mo</w:t>
      </w:r>
      <w:r w:rsidR="00A441C0" w:rsidRPr="000C4B7C">
        <w:rPr>
          <w:rFonts w:ascii="Book Antiqua" w:hAnsi="Book Antiqua"/>
          <w:color w:val="000000" w:themeColor="text1"/>
        </w:rPr>
        <w:t xml:space="preserve">) and ORR (51.4% </w:t>
      </w:r>
      <w:r w:rsidR="00E86845" w:rsidRPr="000C4B7C">
        <w:rPr>
          <w:rFonts w:ascii="Book Antiqua" w:hAnsi="Book Antiqua"/>
          <w:i/>
          <w:color w:val="000000" w:themeColor="text1"/>
          <w:lang w:eastAsia="zh-CN"/>
        </w:rPr>
        <w:t>vs</w:t>
      </w:r>
      <w:r w:rsidR="00E86845" w:rsidRPr="000C4B7C">
        <w:rPr>
          <w:rFonts w:ascii="Book Antiqua" w:hAnsi="Book Antiqua"/>
          <w:color w:val="000000" w:themeColor="text1"/>
        </w:rPr>
        <w:t xml:space="preserve"> </w:t>
      </w:r>
      <w:r w:rsidR="00AE6521" w:rsidRPr="000C4B7C">
        <w:rPr>
          <w:rFonts w:ascii="Book Antiqua" w:hAnsi="Book Antiqua"/>
          <w:color w:val="000000" w:themeColor="text1"/>
        </w:rPr>
        <w:t>25.7%) wit</w:t>
      </w:r>
      <w:r w:rsidR="00A441C0" w:rsidRPr="000C4B7C">
        <w:rPr>
          <w:rFonts w:ascii="Book Antiqua" w:hAnsi="Book Antiqua"/>
          <w:color w:val="000000" w:themeColor="text1"/>
        </w:rPr>
        <w:t xml:space="preserve">h the combination of avelumab plus </w:t>
      </w:r>
      <w:r w:rsidR="00AE6521" w:rsidRPr="000C4B7C">
        <w:rPr>
          <w:rFonts w:ascii="Book Antiqua" w:hAnsi="Book Antiqua"/>
          <w:color w:val="000000" w:themeColor="text1"/>
        </w:rPr>
        <w:t>axitinib compared with sunitinib. The study is continuing for OS</w:t>
      </w:r>
      <w:r w:rsidR="008C13E9" w:rsidRPr="000C4B7C">
        <w:rPr>
          <w:rFonts w:ascii="Book Antiqua" w:hAnsi="Book Antiqua"/>
          <w:color w:val="000000" w:themeColor="text1"/>
        </w:rPr>
        <w:t xml:space="preserve"> and further data are expected</w:t>
      </w:r>
      <w:r w:rsidR="00AE6521" w:rsidRPr="000C4B7C">
        <w:rPr>
          <w:rFonts w:ascii="Book Antiqua" w:hAnsi="Book Antiqua"/>
          <w:color w:val="000000" w:themeColor="text1"/>
        </w:rPr>
        <w:t>. The grade 3 or higher AEs were similar in the two groups. Hypertension, diarrhea, fatigue, nausea, and palmar-plantar erythrodysesthesia were the most frequent AEs and not significantly different in safety profiles of these drugs used individually or in combination. Axitinib was selected as VEGFR inhibitor in preference to sunitin</w:t>
      </w:r>
      <w:r w:rsidR="00A441C0" w:rsidRPr="000C4B7C">
        <w:rPr>
          <w:rFonts w:ascii="Book Antiqua" w:hAnsi="Book Antiqua"/>
          <w:color w:val="000000" w:themeColor="text1"/>
        </w:rPr>
        <w:t>i</w:t>
      </w:r>
      <w:r w:rsidR="00AE6521" w:rsidRPr="000C4B7C">
        <w:rPr>
          <w:rFonts w:ascii="Book Antiqua" w:hAnsi="Book Antiqua"/>
          <w:color w:val="000000" w:themeColor="text1"/>
        </w:rPr>
        <w:t>b, because it has demonstrated longer PFS than sorafenib among patients treated previously with sunitinib, though the benefit was relatively small</w:t>
      </w:r>
      <w:r w:rsidR="00027335" w:rsidRPr="000C4B7C">
        <w:rPr>
          <w:rFonts w:ascii="Book Antiqua" w:hAnsi="Book Antiqua"/>
          <w:noProof/>
          <w:color w:val="000000" w:themeColor="text1"/>
          <w:vertAlign w:val="superscript"/>
        </w:rPr>
        <w:t>[57]</w:t>
      </w:r>
      <w:r w:rsidR="0093740D" w:rsidRPr="000C4B7C">
        <w:rPr>
          <w:rFonts w:ascii="Book Antiqua" w:hAnsi="Book Antiqua"/>
          <w:color w:val="000000" w:themeColor="text1"/>
        </w:rPr>
        <w:t>.</w:t>
      </w:r>
      <w:r w:rsidR="00E6325E"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Secondly, it reduces the risk of potential hepato-toxicity observed with sunitinib and pazopanib combined with nivolumab, an immune checkpoint </w:t>
      </w:r>
      <w:proofErr w:type="gramStart"/>
      <w:r w:rsidR="00AE6521" w:rsidRPr="000C4B7C">
        <w:rPr>
          <w:rFonts w:ascii="Book Antiqua" w:hAnsi="Book Antiqua"/>
          <w:color w:val="000000" w:themeColor="text1"/>
        </w:rPr>
        <w:t>inhibitor</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58]</w:t>
      </w:r>
      <w:r w:rsidR="001B2506" w:rsidRPr="000C4B7C">
        <w:rPr>
          <w:rFonts w:ascii="Book Antiqua" w:hAnsi="Book Antiqua"/>
          <w:color w:val="000000" w:themeColor="text1"/>
        </w:rPr>
        <w:t>.</w:t>
      </w:r>
    </w:p>
    <w:p w:rsidR="0013406E"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Active surveillance may be</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considered an initial option in patients with slowly progressive, asymptomatic disease given the toxicity and non-curative nature of systemic therapy. </w:t>
      </w:r>
      <w:r w:rsidR="004A549E" w:rsidRPr="000C4B7C">
        <w:rPr>
          <w:rFonts w:ascii="Book Antiqua" w:eastAsia="Times New Roman" w:hAnsi="Book Antiqua"/>
          <w:color w:val="000000" w:themeColor="text1"/>
        </w:rPr>
        <w:t xml:space="preserve">In a prospective phase 2 trial, 52 patients with treatment-naive, asymptomatic, mRCC were enrolled and observed </w:t>
      </w:r>
      <w:r w:rsidR="00C32BB7" w:rsidRPr="000C4B7C">
        <w:rPr>
          <w:rFonts w:ascii="Book Antiqua" w:eastAsia="Times New Roman" w:hAnsi="Book Antiqua"/>
          <w:color w:val="000000" w:themeColor="text1"/>
        </w:rPr>
        <w:t>until</w:t>
      </w:r>
      <w:r w:rsidR="004A549E" w:rsidRPr="000C4B7C">
        <w:rPr>
          <w:rFonts w:ascii="Book Antiqua" w:eastAsia="Times New Roman" w:hAnsi="Book Antiqua"/>
          <w:color w:val="000000" w:themeColor="text1"/>
        </w:rPr>
        <w:t xml:space="preserve"> start of systemic therapy,</w:t>
      </w:r>
      <w:r w:rsidR="00C32BB7" w:rsidRPr="000C4B7C">
        <w:rPr>
          <w:rFonts w:ascii="Book Antiqua" w:eastAsia="Times New Roman" w:hAnsi="Book Antiqua"/>
          <w:color w:val="000000" w:themeColor="text1"/>
        </w:rPr>
        <w:t xml:space="preserve"> with specific radiologic assessmen</w:t>
      </w:r>
      <w:r w:rsidR="00046251" w:rsidRPr="000C4B7C">
        <w:rPr>
          <w:rFonts w:ascii="Book Antiqua" w:eastAsia="Times New Roman" w:hAnsi="Book Antiqua"/>
          <w:color w:val="000000" w:themeColor="text1"/>
        </w:rPr>
        <w:t>ts timed per protocol.</w:t>
      </w:r>
      <w:r w:rsidR="00B819DD" w:rsidRPr="000C4B7C">
        <w:rPr>
          <w:rFonts w:ascii="Book Antiqua" w:eastAsia="Times New Roman" w:hAnsi="Book Antiqua"/>
          <w:color w:val="000000" w:themeColor="text1"/>
        </w:rPr>
        <w:t xml:space="preserve"> </w:t>
      </w:r>
      <w:r w:rsidR="00046251" w:rsidRPr="000C4B7C">
        <w:rPr>
          <w:rFonts w:ascii="Book Antiqua" w:eastAsia="Times New Roman" w:hAnsi="Book Antiqua"/>
          <w:color w:val="000000" w:themeColor="text1"/>
        </w:rPr>
        <w:t>Therapy</w:t>
      </w:r>
      <w:r w:rsidR="004A549E" w:rsidRPr="000C4B7C">
        <w:rPr>
          <w:rFonts w:ascii="Book Antiqua" w:hAnsi="Book Antiqua"/>
          <w:color w:val="000000" w:themeColor="text1"/>
        </w:rPr>
        <w:t xml:space="preserve"> was initiated at the discretion of the treating physician. Median time on surveillance until initia</w:t>
      </w:r>
      <w:r w:rsidR="00176E23" w:rsidRPr="000C4B7C">
        <w:rPr>
          <w:rFonts w:ascii="Book Antiqua" w:hAnsi="Book Antiqua"/>
          <w:color w:val="000000" w:themeColor="text1"/>
        </w:rPr>
        <w:t>tion of systemic therapy was 14</w:t>
      </w:r>
      <w:r w:rsidR="00176E23" w:rsidRPr="000C4B7C">
        <w:rPr>
          <w:rFonts w:ascii="Book Antiqua" w:hAnsi="Book Antiqua"/>
          <w:color w:val="000000" w:themeColor="text1"/>
          <w:lang w:eastAsia="zh-CN"/>
        </w:rPr>
        <w:t>.</w:t>
      </w:r>
      <w:r w:rsidR="004A549E" w:rsidRPr="000C4B7C">
        <w:rPr>
          <w:rFonts w:ascii="Book Antiqua" w:hAnsi="Book Antiqua"/>
          <w:color w:val="000000" w:themeColor="text1"/>
        </w:rPr>
        <w:t xml:space="preserve">9 </w:t>
      </w:r>
      <w:proofErr w:type="gramStart"/>
      <w:r w:rsidR="007167C0" w:rsidRPr="000C4B7C">
        <w:rPr>
          <w:rFonts w:ascii="Book Antiqua" w:hAnsi="Book Antiqua"/>
          <w:color w:val="000000" w:themeColor="text1"/>
        </w:rPr>
        <w:t>mo</w:t>
      </w:r>
      <w:proofErr w:type="gramEnd"/>
      <w:r w:rsidR="009C7B7C" w:rsidRPr="000C4B7C">
        <w:rPr>
          <w:rFonts w:ascii="Book Antiqua" w:hAnsi="Book Antiqua"/>
          <w:color w:val="000000" w:themeColor="text1"/>
        </w:rPr>
        <w:t xml:space="preserve"> in the 48 patients </w:t>
      </w:r>
      <w:r w:rsidR="00A441C0" w:rsidRPr="000C4B7C">
        <w:rPr>
          <w:rFonts w:ascii="Book Antiqua" w:hAnsi="Book Antiqua"/>
          <w:color w:val="000000" w:themeColor="text1"/>
        </w:rPr>
        <w:t>analyzed</w:t>
      </w:r>
      <w:r w:rsidR="004A549E" w:rsidRPr="000C4B7C">
        <w:rPr>
          <w:rFonts w:ascii="Book Antiqua" w:hAnsi="Book Antiqua"/>
          <w:color w:val="000000" w:themeColor="text1"/>
        </w:rPr>
        <w:t>.</w:t>
      </w:r>
      <w:r w:rsidR="00711188" w:rsidRPr="000C4B7C">
        <w:rPr>
          <w:rFonts w:ascii="Book Antiqua" w:hAnsi="Book Antiqua"/>
          <w:color w:val="000000" w:themeColor="text1"/>
        </w:rPr>
        <w:t xml:space="preserve"> </w:t>
      </w:r>
      <w:r w:rsidR="009C7B7C" w:rsidRPr="000C4B7C">
        <w:rPr>
          <w:rFonts w:ascii="Book Antiqua" w:hAnsi="Book Antiqua"/>
          <w:color w:val="000000" w:themeColor="text1"/>
        </w:rPr>
        <w:t>H</w:t>
      </w:r>
      <w:r w:rsidR="004A549E" w:rsidRPr="000C4B7C">
        <w:rPr>
          <w:rFonts w:ascii="Book Antiqua" w:hAnsi="Book Antiqua"/>
          <w:color w:val="000000" w:themeColor="text1"/>
        </w:rPr>
        <w:t>igher numbers of IMDC</w:t>
      </w:r>
      <w:r w:rsidR="009C7B7C" w:rsidRPr="000C4B7C">
        <w:rPr>
          <w:rFonts w:ascii="Book Antiqua" w:hAnsi="Book Antiqua"/>
          <w:color w:val="000000" w:themeColor="text1"/>
        </w:rPr>
        <w:t xml:space="preserve"> adverse risk factors and</w:t>
      </w:r>
      <w:r w:rsidR="004A549E" w:rsidRPr="000C4B7C">
        <w:rPr>
          <w:rFonts w:ascii="Book Antiqua" w:hAnsi="Book Antiqua"/>
          <w:color w:val="000000" w:themeColor="text1"/>
        </w:rPr>
        <w:t xml:space="preserve"> met</w:t>
      </w:r>
      <w:r w:rsidR="009C7B7C" w:rsidRPr="000C4B7C">
        <w:rPr>
          <w:rFonts w:ascii="Book Antiqua" w:hAnsi="Book Antiqua"/>
          <w:color w:val="000000" w:themeColor="text1"/>
        </w:rPr>
        <w:t>astatic disease sites</w:t>
      </w:r>
      <w:r w:rsidR="004A549E" w:rsidRPr="000C4B7C">
        <w:rPr>
          <w:rFonts w:ascii="Book Antiqua" w:hAnsi="Book Antiqua"/>
          <w:color w:val="000000" w:themeColor="text1"/>
        </w:rPr>
        <w:t xml:space="preserve"> were associated with a shorter surveillance period</w:t>
      </w:r>
      <w:r w:rsidR="009C7B7C" w:rsidRPr="000C4B7C">
        <w:rPr>
          <w:rFonts w:ascii="Book Antiqua" w:hAnsi="Book Antiqua"/>
          <w:color w:val="000000" w:themeColor="text1"/>
        </w:rPr>
        <w:t>, as per multivariate analysis. Twenty-two</w:t>
      </w:r>
      <w:r w:rsidR="004A549E" w:rsidRPr="000C4B7C">
        <w:rPr>
          <w:rFonts w:ascii="Book Antiqua" w:hAnsi="Book Antiqua"/>
          <w:color w:val="000000" w:themeColor="text1"/>
        </w:rPr>
        <w:t xml:space="preserve"> (46%) patients died </w:t>
      </w:r>
      <w:r w:rsidR="004A549E" w:rsidRPr="000C4B7C">
        <w:rPr>
          <w:rFonts w:ascii="Book Antiqua" w:hAnsi="Book Antiqua"/>
          <w:color w:val="000000" w:themeColor="text1"/>
        </w:rPr>
        <w:lastRenderedPageBreak/>
        <w:t>during the study period, all from mRCC.</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However, selection criteria, risk/benefit, and end-point criteria have not been </w:t>
      </w:r>
      <w:proofErr w:type="gramStart"/>
      <w:r w:rsidRPr="000C4B7C">
        <w:rPr>
          <w:rFonts w:ascii="Book Antiqua" w:hAnsi="Book Antiqua"/>
          <w:color w:val="000000" w:themeColor="text1"/>
        </w:rPr>
        <w:t>validated</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59]</w:t>
      </w:r>
      <w:r w:rsidR="00A441C0" w:rsidRPr="000C4B7C">
        <w:rPr>
          <w:rFonts w:ascii="Book Antiqua" w:hAnsi="Book Antiqua"/>
          <w:color w:val="000000" w:themeColor="text1"/>
        </w:rPr>
        <w:t>.</w:t>
      </w:r>
    </w:p>
    <w:p w:rsidR="0045532D" w:rsidRPr="000C4B7C" w:rsidRDefault="002F68B7"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lang w:eastAsia="zh-CN"/>
        </w:rPr>
        <w:t xml:space="preserve">And </w:t>
      </w:r>
      <w:r w:rsidR="0013406E" w:rsidRPr="000C4B7C">
        <w:rPr>
          <w:rFonts w:ascii="Book Antiqua" w:hAnsi="Book Antiqua"/>
          <w:color w:val="000000" w:themeColor="text1"/>
          <w:lang w:eastAsia="zh-CN"/>
        </w:rPr>
        <w:t xml:space="preserve">(2) </w:t>
      </w:r>
      <w:r w:rsidR="00AE6521" w:rsidRPr="000C4B7C">
        <w:rPr>
          <w:rFonts w:ascii="Book Antiqua" w:hAnsi="Book Antiqua"/>
          <w:color w:val="000000" w:themeColor="text1"/>
        </w:rPr>
        <w:t xml:space="preserve">Intermediate-or </w:t>
      </w:r>
      <w:r w:rsidR="0013406E" w:rsidRPr="000C4B7C">
        <w:rPr>
          <w:rFonts w:ascii="Book Antiqua" w:hAnsi="Book Antiqua"/>
          <w:color w:val="000000" w:themeColor="text1"/>
        </w:rPr>
        <w:t>poor-risk patients</w:t>
      </w:r>
      <w:r w:rsidR="0013406E" w:rsidRPr="000C4B7C">
        <w:rPr>
          <w:rFonts w:ascii="Book Antiqua" w:hAnsi="Book Antiqua"/>
          <w:color w:val="000000" w:themeColor="text1"/>
          <w:lang w:eastAsia="zh-CN"/>
        </w:rPr>
        <w:t xml:space="preserve">: </w:t>
      </w:r>
      <w:r w:rsidR="005823B6" w:rsidRPr="000C4B7C">
        <w:rPr>
          <w:rFonts w:ascii="Book Antiqua" w:hAnsi="Book Antiqua"/>
          <w:color w:val="000000" w:themeColor="text1"/>
        </w:rPr>
        <w:t xml:space="preserve">Nivolumab plus </w:t>
      </w:r>
      <w:r w:rsidR="003B25FD" w:rsidRPr="000C4B7C">
        <w:rPr>
          <w:rFonts w:ascii="Book Antiqua" w:hAnsi="Book Antiqua"/>
          <w:color w:val="000000" w:themeColor="text1"/>
        </w:rPr>
        <w:t>i</w:t>
      </w:r>
      <w:r w:rsidR="00AE6521" w:rsidRPr="000C4B7C">
        <w:rPr>
          <w:rFonts w:ascii="Book Antiqua" w:hAnsi="Book Antiqua"/>
          <w:color w:val="000000" w:themeColor="text1"/>
        </w:rPr>
        <w:t xml:space="preserve">pilimumab is </w:t>
      </w:r>
      <w:r w:rsidR="00EF0F52" w:rsidRPr="000C4B7C">
        <w:rPr>
          <w:rFonts w:ascii="Book Antiqua" w:hAnsi="Book Antiqua"/>
          <w:color w:val="000000" w:themeColor="text1"/>
        </w:rPr>
        <w:t>a</w:t>
      </w:r>
      <w:r w:rsidR="00AE6521" w:rsidRPr="000C4B7C">
        <w:rPr>
          <w:rFonts w:ascii="Book Antiqua" w:hAnsi="Book Antiqua"/>
          <w:color w:val="000000" w:themeColor="text1"/>
        </w:rPr>
        <w:t xml:space="preserve"> preferred category 1 option for patients with intermediate or poor-risk disease, particularly given </w:t>
      </w:r>
      <w:r w:rsidR="00477015" w:rsidRPr="000C4B7C">
        <w:rPr>
          <w:rFonts w:ascii="Book Antiqua" w:hAnsi="Book Antiqua"/>
          <w:color w:val="000000" w:themeColor="text1"/>
        </w:rPr>
        <w:t>its</w:t>
      </w:r>
      <w:r w:rsidR="00AE6521" w:rsidRPr="000C4B7C">
        <w:rPr>
          <w:rFonts w:ascii="Book Antiqua" w:hAnsi="Book Antiqua"/>
          <w:color w:val="000000" w:themeColor="text1"/>
        </w:rPr>
        <w:t xml:space="preserve"> significant complete response</w:t>
      </w:r>
      <w:r w:rsidR="00EF0F52" w:rsidRPr="000C4B7C">
        <w:rPr>
          <w:rFonts w:ascii="Book Antiqua" w:hAnsi="Book Antiqua"/>
          <w:color w:val="000000" w:themeColor="text1"/>
        </w:rPr>
        <w:t xml:space="preserve"> rate</w:t>
      </w:r>
      <w:r w:rsidR="00027335" w:rsidRPr="000C4B7C">
        <w:rPr>
          <w:rFonts w:ascii="Book Antiqua" w:hAnsi="Book Antiqua"/>
          <w:noProof/>
          <w:color w:val="000000" w:themeColor="text1"/>
          <w:vertAlign w:val="superscript"/>
        </w:rPr>
        <w:t>[60]</w:t>
      </w:r>
      <w:r w:rsidR="003B25FD" w:rsidRPr="000C4B7C">
        <w:rPr>
          <w:rFonts w:ascii="Book Antiqua" w:hAnsi="Book Antiqua"/>
          <w:color w:val="000000" w:themeColor="text1"/>
        </w:rPr>
        <w:t xml:space="preserve">. </w:t>
      </w:r>
      <w:r w:rsidR="00910E48" w:rsidRPr="000C4B7C">
        <w:rPr>
          <w:rFonts w:ascii="Book Antiqua" w:hAnsi="Book Antiqua"/>
          <w:color w:val="000000" w:themeColor="text1"/>
        </w:rPr>
        <w:t>At</w:t>
      </w:r>
      <w:r w:rsidR="003B25FD" w:rsidRPr="000C4B7C">
        <w:rPr>
          <w:rFonts w:ascii="Book Antiqua" w:hAnsi="Book Antiqua"/>
          <w:color w:val="000000" w:themeColor="text1"/>
        </w:rPr>
        <w:t xml:space="preserve"> 30 </w:t>
      </w:r>
      <w:r w:rsidR="007167C0" w:rsidRPr="000C4B7C">
        <w:rPr>
          <w:rFonts w:ascii="Book Antiqua" w:hAnsi="Book Antiqua"/>
          <w:color w:val="000000" w:themeColor="text1"/>
        </w:rPr>
        <w:t>mo</w:t>
      </w:r>
      <w:r w:rsidR="00910E48" w:rsidRPr="000C4B7C">
        <w:rPr>
          <w:rFonts w:ascii="Book Antiqua" w:hAnsi="Book Antiqua"/>
          <w:color w:val="000000" w:themeColor="text1"/>
        </w:rPr>
        <w:t xml:space="preserve"> of</w:t>
      </w:r>
      <w:r w:rsidR="00AE6521" w:rsidRPr="000C4B7C">
        <w:rPr>
          <w:rFonts w:ascii="Book Antiqua" w:hAnsi="Book Antiqua"/>
          <w:color w:val="000000" w:themeColor="text1"/>
        </w:rPr>
        <w:t xml:space="preserve"> follow up of intermediate and poor-risk previously untreated ccRCC patients </w:t>
      </w:r>
      <w:r w:rsidR="00910E48" w:rsidRPr="000C4B7C">
        <w:rPr>
          <w:rFonts w:ascii="Book Antiqua" w:hAnsi="Book Antiqua"/>
          <w:color w:val="000000" w:themeColor="text1"/>
        </w:rPr>
        <w:t>from</w:t>
      </w:r>
      <w:r w:rsidR="00AB31BD" w:rsidRPr="000C4B7C">
        <w:rPr>
          <w:rFonts w:ascii="Book Antiqua" w:hAnsi="Book Antiqua"/>
          <w:color w:val="000000" w:themeColor="text1"/>
        </w:rPr>
        <w:t xml:space="preserve"> the CheckMate</w:t>
      </w:r>
      <w:r w:rsidR="00AE6521" w:rsidRPr="000C4B7C">
        <w:rPr>
          <w:rFonts w:ascii="Book Antiqua" w:hAnsi="Book Antiqua"/>
          <w:color w:val="000000" w:themeColor="text1"/>
        </w:rPr>
        <w:t xml:space="preserve"> 214 trial, OS</w:t>
      </w:r>
      <w:r w:rsidR="00711188" w:rsidRPr="000C4B7C">
        <w:rPr>
          <w:rFonts w:ascii="Book Antiqua" w:hAnsi="Book Antiqua"/>
          <w:color w:val="000000" w:themeColor="text1"/>
        </w:rPr>
        <w:t xml:space="preserve"> </w:t>
      </w:r>
      <w:r w:rsidR="00A441C0" w:rsidRPr="000C4B7C">
        <w:rPr>
          <w:rFonts w:ascii="Book Antiqua" w:hAnsi="Book Antiqua"/>
          <w:color w:val="000000" w:themeColor="text1"/>
        </w:rPr>
        <w:t xml:space="preserve">was 60% </w:t>
      </w:r>
      <w:r w:rsidR="00FF43B4" w:rsidRPr="000C4B7C">
        <w:rPr>
          <w:rFonts w:ascii="Book Antiqua" w:hAnsi="Book Antiqua"/>
          <w:i/>
          <w:color w:val="000000" w:themeColor="text1"/>
        </w:rPr>
        <w:t>vs</w:t>
      </w:r>
      <w:r w:rsidR="00A441C0" w:rsidRPr="000C4B7C">
        <w:rPr>
          <w:rFonts w:ascii="Book Antiqua" w:hAnsi="Book Antiqua"/>
          <w:color w:val="000000" w:themeColor="text1"/>
        </w:rPr>
        <w:t xml:space="preserve"> 47%, ORR were 42% </w:t>
      </w:r>
      <w:r w:rsidR="00AF368F" w:rsidRPr="000C4B7C">
        <w:rPr>
          <w:rFonts w:ascii="Book Antiqua" w:hAnsi="Book Antiqua"/>
          <w:i/>
          <w:color w:val="000000" w:themeColor="text1"/>
          <w:lang w:eastAsia="zh-CN"/>
        </w:rPr>
        <w:t>vs</w:t>
      </w:r>
      <w:r w:rsidR="00AE6521" w:rsidRPr="000C4B7C">
        <w:rPr>
          <w:rFonts w:ascii="Book Antiqua" w:hAnsi="Book Antiqua"/>
          <w:color w:val="000000" w:themeColor="text1"/>
        </w:rPr>
        <w:t xml:space="preserve"> 29%,</w:t>
      </w:r>
      <w:r w:rsidR="00AF368F" w:rsidRPr="000C4B7C">
        <w:rPr>
          <w:rFonts w:ascii="Book Antiqua" w:hAnsi="Book Antiqua"/>
          <w:color w:val="000000" w:themeColor="text1"/>
          <w:lang w:eastAsia="zh-CN"/>
        </w:rPr>
        <w:t xml:space="preserve"> </w:t>
      </w:r>
      <w:r w:rsidR="00A441C0" w:rsidRPr="000C4B7C">
        <w:rPr>
          <w:rFonts w:ascii="Book Antiqua" w:hAnsi="Book Antiqua"/>
          <w:color w:val="000000" w:themeColor="text1"/>
        </w:rPr>
        <w:t xml:space="preserve">CRR was 11% </w:t>
      </w:r>
      <w:r w:rsidR="00FF43B4" w:rsidRPr="000C4B7C">
        <w:rPr>
          <w:rFonts w:ascii="Book Antiqua" w:hAnsi="Book Antiqua"/>
          <w:i/>
          <w:color w:val="000000" w:themeColor="text1"/>
        </w:rPr>
        <w:t>vs</w:t>
      </w:r>
      <w:r w:rsidR="00AE6521" w:rsidRPr="000C4B7C">
        <w:rPr>
          <w:rFonts w:ascii="Book Antiqua" w:hAnsi="Book Antiqua"/>
          <w:color w:val="000000" w:themeColor="text1"/>
        </w:rPr>
        <w:t xml:space="preserve"> 1%, respectively</w:t>
      </w:r>
      <w:r w:rsidR="00910E48" w:rsidRPr="000C4B7C">
        <w:rPr>
          <w:rFonts w:ascii="Book Antiqua" w:hAnsi="Book Antiqua"/>
          <w:color w:val="000000" w:themeColor="text1"/>
        </w:rPr>
        <w:t>,</w:t>
      </w:r>
      <w:r w:rsidR="00AE6521" w:rsidRPr="000C4B7C">
        <w:rPr>
          <w:rFonts w:ascii="Book Antiqua" w:hAnsi="Book Antiqua"/>
          <w:color w:val="000000" w:themeColor="text1"/>
        </w:rPr>
        <w:t xml:space="preserve"> between</w:t>
      </w:r>
      <w:r w:rsidR="00A441C0" w:rsidRPr="000C4B7C">
        <w:rPr>
          <w:rFonts w:ascii="Book Antiqua" w:hAnsi="Book Antiqua"/>
          <w:color w:val="000000" w:themeColor="text1"/>
        </w:rPr>
        <w:t xml:space="preserve"> immunotherapy combination</w:t>
      </w:r>
      <w:r w:rsidR="00AE6521" w:rsidRPr="000C4B7C">
        <w:rPr>
          <w:rFonts w:ascii="Book Antiqua" w:hAnsi="Book Antiqua"/>
          <w:color w:val="000000" w:themeColor="text1"/>
        </w:rPr>
        <w:t xml:space="preserve"> and sunitin</w:t>
      </w:r>
      <w:r w:rsidR="00A441C0" w:rsidRPr="000C4B7C">
        <w:rPr>
          <w:rFonts w:ascii="Book Antiqua" w:hAnsi="Book Antiqua"/>
          <w:color w:val="000000" w:themeColor="text1"/>
        </w:rPr>
        <w:t>i</w:t>
      </w:r>
      <w:r w:rsidR="00AE6521" w:rsidRPr="000C4B7C">
        <w:rPr>
          <w:rFonts w:ascii="Book Antiqua" w:hAnsi="Book Antiqua"/>
          <w:color w:val="000000" w:themeColor="text1"/>
        </w:rPr>
        <w:t>b group</w:t>
      </w:r>
      <w:r w:rsidR="00A441C0" w:rsidRPr="000C4B7C">
        <w:rPr>
          <w:rFonts w:ascii="Book Antiqua" w:hAnsi="Book Antiqua"/>
          <w:color w:val="000000" w:themeColor="text1"/>
        </w:rPr>
        <w:t>s</w:t>
      </w:r>
      <w:r w:rsidR="00AE6521" w:rsidRPr="000C4B7C">
        <w:rPr>
          <w:rFonts w:ascii="Book Antiqua" w:hAnsi="Book Antiqua"/>
          <w:color w:val="000000" w:themeColor="text1"/>
        </w:rPr>
        <w:t xml:space="preserve">. </w:t>
      </w:r>
      <w:r w:rsidR="00AE6521" w:rsidRPr="000C4B7C">
        <w:rPr>
          <w:rFonts w:ascii="Book Antiqua" w:eastAsia="Times New Roman" w:hAnsi="Book Antiqua"/>
          <w:color w:val="000000" w:themeColor="text1"/>
        </w:rPr>
        <w:t>The number of deaths were least in younger age group (&lt;</w:t>
      </w:r>
      <w:r w:rsidR="00F04A15" w:rsidRPr="000C4B7C">
        <w:rPr>
          <w:rFonts w:ascii="Book Antiqua" w:hAnsi="Book Antiqua"/>
          <w:color w:val="000000" w:themeColor="text1"/>
          <w:lang w:eastAsia="zh-CN"/>
        </w:rPr>
        <w:t xml:space="preserve"> </w:t>
      </w:r>
      <w:r w:rsidR="00AE6521" w:rsidRPr="000C4B7C">
        <w:rPr>
          <w:rFonts w:ascii="Book Antiqua" w:eastAsia="Times New Roman" w:hAnsi="Book Antiqua"/>
          <w:color w:val="000000" w:themeColor="text1"/>
        </w:rPr>
        <w:t>65 year) compared with elderly (75</w:t>
      </w:r>
      <w:r w:rsidR="00F04A15" w:rsidRPr="000C4B7C">
        <w:rPr>
          <w:rFonts w:ascii="Book Antiqua" w:hAnsi="Book Antiqua"/>
          <w:color w:val="000000" w:themeColor="text1"/>
          <w:lang w:eastAsia="zh-CN"/>
        </w:rPr>
        <w:t xml:space="preserve"> </w:t>
      </w:r>
      <w:r w:rsidR="00AE6521" w:rsidRPr="000C4B7C">
        <w:rPr>
          <w:rFonts w:ascii="Book Antiqua" w:eastAsia="Times New Roman" w:hAnsi="Book Antiqua"/>
          <w:color w:val="000000" w:themeColor="text1"/>
        </w:rPr>
        <w:t>years), but this was also noted in sunitin</w:t>
      </w:r>
      <w:r w:rsidR="00A441C0" w:rsidRPr="000C4B7C">
        <w:rPr>
          <w:rFonts w:ascii="Book Antiqua" w:eastAsia="Times New Roman" w:hAnsi="Book Antiqua"/>
          <w:color w:val="000000" w:themeColor="text1"/>
        </w:rPr>
        <w:t>i</w:t>
      </w:r>
      <w:r w:rsidR="00AE6521" w:rsidRPr="000C4B7C">
        <w:rPr>
          <w:rFonts w:ascii="Book Antiqua" w:eastAsia="Times New Roman" w:hAnsi="Book Antiqua"/>
          <w:color w:val="000000" w:themeColor="text1"/>
        </w:rPr>
        <w:t>b group. The overall safety profile was similar</w:t>
      </w:r>
      <w:r w:rsidR="005823B6" w:rsidRPr="000C4B7C">
        <w:rPr>
          <w:rFonts w:ascii="Book Antiqua" w:eastAsia="Times New Roman" w:hAnsi="Book Antiqua"/>
          <w:color w:val="000000" w:themeColor="text1"/>
        </w:rPr>
        <w:t xml:space="preserve"> to prior trials of nivolumab plus </w:t>
      </w:r>
      <w:r w:rsidR="00AE6521" w:rsidRPr="000C4B7C">
        <w:rPr>
          <w:rFonts w:ascii="Book Antiqua" w:eastAsia="Times New Roman" w:hAnsi="Book Antiqua"/>
          <w:color w:val="000000" w:themeColor="text1"/>
        </w:rPr>
        <w:t>ipilimumab. The relatively higher discontinuation rate of treatment due to AEs (22% in nivolumab</w:t>
      </w:r>
      <w:r w:rsidR="005823B6" w:rsidRPr="000C4B7C">
        <w:rPr>
          <w:rFonts w:ascii="Book Antiqua" w:eastAsia="Times New Roman" w:hAnsi="Book Antiqua"/>
          <w:color w:val="000000" w:themeColor="text1"/>
        </w:rPr>
        <w:t xml:space="preserve"> plus </w:t>
      </w:r>
      <w:r w:rsidR="00D65569" w:rsidRPr="000C4B7C">
        <w:rPr>
          <w:rFonts w:ascii="Book Antiqua" w:eastAsia="Times New Roman" w:hAnsi="Book Antiqua"/>
          <w:color w:val="000000" w:themeColor="text1"/>
        </w:rPr>
        <w:t xml:space="preserve">ipilimumab </w:t>
      </w:r>
      <w:r w:rsidR="00FF43B4" w:rsidRPr="000C4B7C">
        <w:rPr>
          <w:rFonts w:ascii="Book Antiqua" w:eastAsia="Times New Roman" w:hAnsi="Book Antiqua"/>
          <w:i/>
          <w:color w:val="000000" w:themeColor="text1"/>
        </w:rPr>
        <w:t>vs</w:t>
      </w:r>
      <w:r w:rsidR="00AE6521" w:rsidRPr="000C4B7C">
        <w:rPr>
          <w:rFonts w:ascii="Book Antiqua" w:eastAsia="Times New Roman" w:hAnsi="Book Antiqua"/>
          <w:color w:val="000000" w:themeColor="text1"/>
        </w:rPr>
        <w:t xml:space="preserve"> 12% in the sunitinib group</w:t>
      </w:r>
      <w:r w:rsidR="00D65569" w:rsidRPr="000C4B7C">
        <w:rPr>
          <w:rFonts w:ascii="Book Antiqua" w:eastAsia="Times New Roman" w:hAnsi="Book Antiqua"/>
          <w:color w:val="000000" w:themeColor="text1"/>
        </w:rPr>
        <w:t>s</w:t>
      </w:r>
      <w:r w:rsidR="00AE6521" w:rsidRPr="000C4B7C">
        <w:rPr>
          <w:rFonts w:ascii="Book Antiqua" w:eastAsia="Times New Roman" w:hAnsi="Book Antiqua"/>
          <w:color w:val="000000" w:themeColor="text1"/>
        </w:rPr>
        <w:t xml:space="preserve">) may be due to </w:t>
      </w:r>
      <w:r w:rsidR="00AE6521" w:rsidRPr="000C4B7C">
        <w:rPr>
          <w:rFonts w:ascii="Book Antiqua" w:hAnsi="Book Antiqua"/>
          <w:color w:val="000000" w:themeColor="text1"/>
          <w:shd w:val="clear" w:color="auto" w:fill="FFFFFF"/>
        </w:rPr>
        <w:t xml:space="preserve">inability for dose </w:t>
      </w:r>
      <w:r w:rsidR="00D65569" w:rsidRPr="000C4B7C">
        <w:rPr>
          <w:rFonts w:ascii="Book Antiqua" w:hAnsi="Book Antiqua"/>
          <w:color w:val="000000" w:themeColor="text1"/>
          <w:shd w:val="clear" w:color="auto" w:fill="FFFFFF"/>
        </w:rPr>
        <w:t xml:space="preserve">reduction of the combination </w:t>
      </w:r>
      <w:r w:rsidR="00FF43B4" w:rsidRPr="000C4B7C">
        <w:rPr>
          <w:rFonts w:ascii="Book Antiqua" w:hAnsi="Book Antiqua"/>
          <w:i/>
          <w:color w:val="000000" w:themeColor="text1"/>
          <w:shd w:val="clear" w:color="auto" w:fill="FFFFFF"/>
        </w:rPr>
        <w:t>vs</w:t>
      </w:r>
      <w:r w:rsidR="00711188" w:rsidRPr="000C4B7C">
        <w:rPr>
          <w:rFonts w:ascii="Book Antiqua" w:hAnsi="Book Antiqua"/>
          <w:color w:val="000000" w:themeColor="text1"/>
          <w:shd w:val="clear" w:color="auto" w:fill="FFFFFF"/>
        </w:rPr>
        <w:t xml:space="preserve"> </w:t>
      </w:r>
      <w:r w:rsidR="00AE6521" w:rsidRPr="000C4B7C">
        <w:rPr>
          <w:rFonts w:ascii="Book Antiqua" w:hAnsi="Book Antiqua"/>
          <w:color w:val="000000" w:themeColor="text1"/>
          <w:shd w:val="clear" w:color="auto" w:fill="FFFFFF"/>
        </w:rPr>
        <w:t>sunitin</w:t>
      </w:r>
      <w:r w:rsidR="00D65569" w:rsidRPr="000C4B7C">
        <w:rPr>
          <w:rFonts w:ascii="Book Antiqua" w:hAnsi="Book Antiqua"/>
          <w:color w:val="000000" w:themeColor="text1"/>
          <w:shd w:val="clear" w:color="auto" w:fill="FFFFFF"/>
        </w:rPr>
        <w:t>i</w:t>
      </w:r>
      <w:r w:rsidR="00AE6521" w:rsidRPr="000C4B7C">
        <w:rPr>
          <w:rFonts w:ascii="Book Antiqua" w:hAnsi="Book Antiqua"/>
          <w:color w:val="000000" w:themeColor="text1"/>
          <w:shd w:val="clear" w:color="auto" w:fill="FFFFFF"/>
        </w:rPr>
        <w:t>b.</w:t>
      </w:r>
      <w:r w:rsidR="00711188" w:rsidRPr="000C4B7C">
        <w:rPr>
          <w:rFonts w:ascii="Book Antiqua" w:hAnsi="Book Antiqua"/>
          <w:color w:val="000000" w:themeColor="text1"/>
          <w:shd w:val="clear" w:color="auto" w:fill="FFFFFF"/>
        </w:rPr>
        <w:t xml:space="preserve"> </w:t>
      </w:r>
      <w:r w:rsidR="00AE6521" w:rsidRPr="000C4B7C">
        <w:rPr>
          <w:rFonts w:ascii="Book Antiqua" w:eastAsia="Times New Roman" w:hAnsi="Book Antiqua"/>
          <w:color w:val="000000" w:themeColor="text1"/>
        </w:rPr>
        <w:t>The most common grade 3/4 AEs in the combination group were fatigue (4%) and diarrhea (4%). In the sunitinib arm, the most common grade 3/4 AEs were hypertension (16%), fatigue (9%), and palmar-plantar erythrodysesthesia syndrome (9%). The combination is however, contraindicated in patients with autoimmune or neuromuscular disorders, or receiving immunosuppressive therapies.</w:t>
      </w:r>
    </w:p>
    <w:p w:rsidR="0045532D" w:rsidRPr="000C4B7C" w:rsidRDefault="00477015"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The c</w:t>
      </w:r>
      <w:r w:rsidR="00AE6521" w:rsidRPr="000C4B7C">
        <w:rPr>
          <w:rFonts w:ascii="Book Antiqua" w:hAnsi="Book Antiqua"/>
          <w:color w:val="000000" w:themeColor="text1"/>
        </w:rPr>
        <w:t xml:space="preserve">ombination of </w:t>
      </w:r>
      <w:r w:rsidR="005823B6" w:rsidRPr="000C4B7C">
        <w:rPr>
          <w:rFonts w:ascii="Book Antiqua" w:hAnsi="Book Antiqua"/>
          <w:color w:val="000000" w:themeColor="text1"/>
        </w:rPr>
        <w:t xml:space="preserve">pembrolizumab plus </w:t>
      </w:r>
      <w:r w:rsidR="003B25FD" w:rsidRPr="000C4B7C">
        <w:rPr>
          <w:rFonts w:ascii="Book Antiqua" w:hAnsi="Book Antiqua"/>
          <w:color w:val="000000" w:themeColor="text1"/>
        </w:rPr>
        <w:t>a</w:t>
      </w:r>
      <w:r w:rsidR="00AE6521" w:rsidRPr="000C4B7C">
        <w:rPr>
          <w:rFonts w:ascii="Book Antiqua" w:hAnsi="Book Antiqua"/>
          <w:color w:val="000000" w:themeColor="text1"/>
        </w:rPr>
        <w:t>xitinib</w:t>
      </w:r>
      <w:r w:rsidR="00711188" w:rsidRPr="000C4B7C">
        <w:rPr>
          <w:rFonts w:ascii="Book Antiqua" w:hAnsi="Book Antiqua"/>
          <w:color w:val="000000" w:themeColor="text1"/>
        </w:rPr>
        <w:t xml:space="preserve"> </w:t>
      </w:r>
      <w:r w:rsidRPr="000C4B7C">
        <w:rPr>
          <w:rFonts w:ascii="Book Antiqua" w:hAnsi="Book Antiqua"/>
          <w:color w:val="000000" w:themeColor="text1"/>
        </w:rPr>
        <w:t>was</w:t>
      </w:r>
      <w:r w:rsidR="00AE6521" w:rsidRPr="000C4B7C">
        <w:rPr>
          <w:rFonts w:ascii="Book Antiqua" w:hAnsi="Book Antiqua"/>
          <w:color w:val="000000" w:themeColor="text1"/>
        </w:rPr>
        <w:t xml:space="preserve"> recently </w:t>
      </w:r>
      <w:r w:rsidRPr="000C4B7C">
        <w:rPr>
          <w:rFonts w:ascii="Book Antiqua" w:hAnsi="Book Antiqua"/>
          <w:color w:val="000000" w:themeColor="text1"/>
        </w:rPr>
        <w:t xml:space="preserve">approved </w:t>
      </w:r>
      <w:r w:rsidR="00AE6521" w:rsidRPr="000C4B7C">
        <w:rPr>
          <w:rFonts w:ascii="Book Antiqua" w:hAnsi="Book Antiqua"/>
          <w:color w:val="000000" w:themeColor="text1"/>
        </w:rPr>
        <w:t>(</w:t>
      </w:r>
      <w:r w:rsidR="00D8241B" w:rsidRPr="000C4B7C">
        <w:rPr>
          <w:rFonts w:ascii="Book Antiqua" w:hAnsi="Book Antiqua"/>
          <w:color w:val="000000" w:themeColor="text1"/>
        </w:rPr>
        <w:t xml:space="preserve">April </w:t>
      </w:r>
      <w:r w:rsidR="00AE6521" w:rsidRPr="000C4B7C">
        <w:rPr>
          <w:rFonts w:ascii="Book Antiqua" w:hAnsi="Book Antiqua"/>
          <w:color w:val="000000" w:themeColor="text1"/>
        </w:rPr>
        <w:t xml:space="preserve">2019) as </w:t>
      </w:r>
      <w:r w:rsidRPr="000C4B7C">
        <w:rPr>
          <w:rFonts w:ascii="Book Antiqua" w:hAnsi="Book Antiqua"/>
          <w:color w:val="000000" w:themeColor="text1"/>
        </w:rPr>
        <w:t xml:space="preserve">a </w:t>
      </w:r>
      <w:r w:rsidR="00AE6521" w:rsidRPr="000C4B7C">
        <w:rPr>
          <w:rFonts w:ascii="Book Antiqua" w:hAnsi="Book Antiqua"/>
          <w:color w:val="000000" w:themeColor="text1"/>
        </w:rPr>
        <w:t xml:space="preserve">preferred category 1 option </w:t>
      </w:r>
      <w:r w:rsidR="00C32BB7" w:rsidRPr="000C4B7C">
        <w:rPr>
          <w:rFonts w:ascii="Book Antiqua" w:hAnsi="Book Antiqua"/>
          <w:color w:val="000000" w:themeColor="text1"/>
        </w:rPr>
        <w:t xml:space="preserve">as well, though indicated </w:t>
      </w:r>
      <w:r w:rsidR="00AE6521" w:rsidRPr="000C4B7C">
        <w:rPr>
          <w:rFonts w:ascii="Book Antiqua" w:hAnsi="Book Antiqua"/>
          <w:color w:val="000000" w:themeColor="text1"/>
        </w:rPr>
        <w:t>across all risk groups.</w:t>
      </w:r>
    </w:p>
    <w:p w:rsidR="008E30F8"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Cabozantinib</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is a recommended category 2A preferred first-line treatment for intermediate to poor risk patients based on the CABOSUN study. </w:t>
      </w:r>
      <w:r w:rsidR="00C32BB7" w:rsidRPr="000C4B7C">
        <w:rPr>
          <w:rFonts w:ascii="Book Antiqua" w:hAnsi="Book Antiqua"/>
          <w:color w:val="000000" w:themeColor="text1"/>
        </w:rPr>
        <w:t>This study</w:t>
      </w:r>
      <w:r w:rsidRPr="000C4B7C">
        <w:rPr>
          <w:rFonts w:ascii="Book Antiqua" w:hAnsi="Book Antiqua"/>
          <w:color w:val="000000" w:themeColor="text1"/>
        </w:rPr>
        <w:t xml:space="preserve"> demonstrated a significantly improved inv</w:t>
      </w:r>
      <w:r w:rsidR="000C1731" w:rsidRPr="000C4B7C">
        <w:rPr>
          <w:rFonts w:ascii="Book Antiqua" w:hAnsi="Book Antiqua"/>
          <w:color w:val="000000" w:themeColor="text1"/>
        </w:rPr>
        <w:t>estigator assessed median PFS (</w:t>
      </w:r>
      <w:r w:rsidR="00D65569" w:rsidRPr="000C4B7C">
        <w:rPr>
          <w:rFonts w:ascii="Book Antiqua" w:hAnsi="Book Antiqua"/>
          <w:color w:val="000000" w:themeColor="text1"/>
        </w:rPr>
        <w:t>8.2</w:t>
      </w:r>
      <w:r w:rsidR="005108E9" w:rsidRPr="000C4B7C">
        <w:rPr>
          <w:rFonts w:ascii="Book Antiqua" w:hAnsi="Book Antiqua"/>
          <w:color w:val="000000" w:themeColor="text1"/>
        </w:rPr>
        <w:t xml:space="preserve"> mo</w:t>
      </w:r>
      <w:r w:rsidR="00D65569"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w:t>
      </w:r>
      <w:r w:rsidRPr="000C4B7C">
        <w:rPr>
          <w:rFonts w:ascii="Book Antiqua" w:hAnsi="Book Antiqua"/>
          <w:color w:val="000000" w:themeColor="text1"/>
        </w:rPr>
        <w:t>5.6</w:t>
      </w:r>
      <w:r w:rsidR="003B25FD" w:rsidRPr="000C4B7C">
        <w:rPr>
          <w:rFonts w:ascii="Book Antiqua" w:hAnsi="Book Antiqua"/>
          <w:color w:val="000000" w:themeColor="text1"/>
        </w:rPr>
        <w:t xml:space="preserve"> </w:t>
      </w:r>
      <w:r w:rsidR="007167C0" w:rsidRPr="000C4B7C">
        <w:rPr>
          <w:rFonts w:ascii="Book Antiqua" w:hAnsi="Book Antiqua"/>
          <w:color w:val="000000" w:themeColor="text1"/>
        </w:rPr>
        <w:t>mo</w:t>
      </w:r>
      <w:r w:rsidRPr="000C4B7C">
        <w:rPr>
          <w:rFonts w:ascii="Book Antiqua" w:hAnsi="Book Antiqua"/>
          <w:color w:val="000000" w:themeColor="text1"/>
        </w:rPr>
        <w:t>), which was consistent with an ind</w:t>
      </w:r>
      <w:r w:rsidR="000C1731" w:rsidRPr="000C4B7C">
        <w:rPr>
          <w:rFonts w:ascii="Book Antiqua" w:hAnsi="Book Antiqua"/>
          <w:color w:val="000000" w:themeColor="text1"/>
        </w:rPr>
        <w:t>ependent post-hoc retrospective</w:t>
      </w:r>
      <w:r w:rsidRPr="000C4B7C">
        <w:rPr>
          <w:rFonts w:ascii="Book Antiqua" w:hAnsi="Book Antiqua"/>
          <w:color w:val="000000" w:themeColor="text1"/>
        </w:rPr>
        <w:t xml:space="preserve"> radiology review committee (IRC)</w:t>
      </w:r>
      <w:r w:rsidR="00711188" w:rsidRPr="000C4B7C">
        <w:rPr>
          <w:rFonts w:ascii="Book Antiqua" w:hAnsi="Book Antiqua"/>
          <w:color w:val="000000" w:themeColor="text1"/>
        </w:rPr>
        <w:t xml:space="preserve"> </w:t>
      </w:r>
      <w:r w:rsidRPr="000C4B7C">
        <w:rPr>
          <w:rFonts w:ascii="Book Antiqua" w:hAnsi="Book Antiqua"/>
          <w:color w:val="000000" w:themeColor="text1"/>
        </w:rPr>
        <w:t xml:space="preserve">assessment. The ORR per IRC was 20% </w:t>
      </w:r>
      <w:r w:rsidR="00D65569" w:rsidRPr="000C4B7C">
        <w:rPr>
          <w:rFonts w:ascii="Book Antiqua" w:hAnsi="Book Antiqua"/>
          <w:color w:val="000000" w:themeColor="text1"/>
        </w:rPr>
        <w:t xml:space="preserve">for </w:t>
      </w:r>
      <w:r w:rsidRPr="000C4B7C">
        <w:rPr>
          <w:rFonts w:ascii="Book Antiqua" w:hAnsi="Book Antiqua"/>
          <w:color w:val="000000" w:themeColor="text1"/>
        </w:rPr>
        <w:t xml:space="preserve">cabozantinib </w:t>
      </w:r>
      <w:r w:rsidR="00FF43B4" w:rsidRPr="000C4B7C">
        <w:rPr>
          <w:rFonts w:ascii="Book Antiqua" w:hAnsi="Book Antiqua"/>
          <w:i/>
          <w:color w:val="000000" w:themeColor="text1"/>
        </w:rPr>
        <w:t>vs</w:t>
      </w:r>
      <w:r w:rsidRPr="000C4B7C">
        <w:rPr>
          <w:rFonts w:ascii="Book Antiqua" w:hAnsi="Book Antiqua"/>
          <w:color w:val="000000" w:themeColor="text1"/>
        </w:rPr>
        <w:t xml:space="preserve"> 9% for sunitinib. All responses were part</w:t>
      </w:r>
      <w:r w:rsidR="003B25FD" w:rsidRPr="000C4B7C">
        <w:rPr>
          <w:rFonts w:ascii="Book Antiqua" w:hAnsi="Book Antiqua"/>
          <w:color w:val="000000" w:themeColor="text1"/>
        </w:rPr>
        <w:t>ial. The disease control rate (</w:t>
      </w:r>
      <w:r w:rsidRPr="000C4B7C">
        <w:rPr>
          <w:rFonts w:ascii="Book Antiqua" w:hAnsi="Book Antiqua"/>
          <w:color w:val="000000" w:themeColor="text1"/>
        </w:rPr>
        <w:t xml:space="preserve">complete responses + partial responses +stable disease) was 75% with cabozantinib and 47% with sunitinib. These results are further significant given the disease burden and poor prognostic features in addition to 81% classified as intermediate risk and 19% as poor risk as per </w:t>
      </w:r>
      <w:r w:rsidRPr="000C4B7C">
        <w:rPr>
          <w:rFonts w:ascii="Book Antiqua" w:hAnsi="Book Antiqua"/>
          <w:color w:val="000000" w:themeColor="text1"/>
        </w:rPr>
        <w:lastRenderedPageBreak/>
        <w:t>the IMDC criteria. Notably, 25% had no prior nephrecto</w:t>
      </w:r>
      <w:r w:rsidR="000C1731" w:rsidRPr="000C4B7C">
        <w:rPr>
          <w:rFonts w:ascii="Book Antiqua" w:hAnsi="Book Antiqua"/>
          <w:color w:val="000000" w:themeColor="text1"/>
        </w:rPr>
        <w:t xml:space="preserve">my and 36% had bone </w:t>
      </w:r>
      <w:proofErr w:type="gramStart"/>
      <w:r w:rsidR="000C1731" w:rsidRPr="000C4B7C">
        <w:rPr>
          <w:rFonts w:ascii="Book Antiqua" w:hAnsi="Book Antiqua"/>
          <w:color w:val="000000" w:themeColor="text1"/>
        </w:rPr>
        <w:t>metastases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61]</w:t>
      </w:r>
      <w:r w:rsidR="000C1731" w:rsidRPr="000C4B7C">
        <w:rPr>
          <w:rFonts w:ascii="Book Antiqua" w:hAnsi="Book Antiqua"/>
          <w:color w:val="000000" w:themeColor="text1"/>
        </w:rPr>
        <w:t>.</w:t>
      </w:r>
    </w:p>
    <w:p w:rsidR="00FA4F38"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Further, </w:t>
      </w:r>
      <w:r w:rsidR="000C1731" w:rsidRPr="000C4B7C">
        <w:rPr>
          <w:rFonts w:ascii="Book Antiqua" w:hAnsi="Book Antiqua"/>
          <w:color w:val="000000" w:themeColor="text1"/>
        </w:rPr>
        <w:t>s</w:t>
      </w:r>
      <w:r w:rsidRPr="000C4B7C">
        <w:rPr>
          <w:rFonts w:ascii="Book Antiqua" w:hAnsi="Book Antiqua"/>
          <w:color w:val="000000" w:themeColor="text1"/>
        </w:rPr>
        <w:t>ubgroup analysis of PFS per IRC assessment based on stratification factors and MET expression level were consistent with overall results. The observed improvement in PFS with cabozatinib</w:t>
      </w:r>
      <w:r w:rsidR="00711188" w:rsidRPr="000C4B7C">
        <w:rPr>
          <w:rFonts w:ascii="Book Antiqua" w:hAnsi="Book Antiqua"/>
          <w:color w:val="000000" w:themeColor="text1"/>
        </w:rPr>
        <w:t xml:space="preserve"> </w:t>
      </w:r>
      <w:r w:rsidR="002339AD" w:rsidRPr="000C4B7C">
        <w:rPr>
          <w:rFonts w:ascii="Book Antiqua" w:hAnsi="Book Antiqua"/>
          <w:color w:val="000000" w:themeColor="text1"/>
        </w:rPr>
        <w:t>compared</w:t>
      </w:r>
      <w:r w:rsidRPr="000C4B7C">
        <w:rPr>
          <w:rFonts w:ascii="Book Antiqua" w:hAnsi="Book Antiqua"/>
          <w:color w:val="000000" w:themeColor="text1"/>
        </w:rPr>
        <w:t xml:space="preserve"> with sunitinib may be due, in part, to inhibition of MET and AXL by cabozantinib in addition to VEGF receptors. Subgroup analyses of PFS based on MET expression level f</w:t>
      </w:r>
      <w:r w:rsidR="002339AD" w:rsidRPr="000C4B7C">
        <w:rPr>
          <w:rFonts w:ascii="Book Antiqua" w:hAnsi="Book Antiqua"/>
          <w:color w:val="000000" w:themeColor="text1"/>
        </w:rPr>
        <w:t>avo</w:t>
      </w:r>
      <w:r w:rsidRPr="000C4B7C">
        <w:rPr>
          <w:rFonts w:ascii="Book Antiqua" w:hAnsi="Book Antiqua"/>
          <w:color w:val="000000" w:themeColor="text1"/>
        </w:rPr>
        <w:t xml:space="preserve">red </w:t>
      </w:r>
      <w:r w:rsidR="000C1731" w:rsidRPr="000C4B7C">
        <w:rPr>
          <w:rFonts w:ascii="Book Antiqua" w:hAnsi="Book Antiqua"/>
          <w:color w:val="000000" w:themeColor="text1"/>
        </w:rPr>
        <w:t>cabozantinib over sunitinib (HR</w:t>
      </w:r>
      <w:r w:rsidR="00FA4F38" w:rsidRPr="000C4B7C">
        <w:rPr>
          <w:rFonts w:ascii="Book Antiqua" w:hAnsi="Book Antiqua"/>
          <w:color w:val="000000" w:themeColor="text1"/>
          <w:lang w:eastAsia="zh-CN"/>
        </w:rPr>
        <w:t xml:space="preserve"> </w:t>
      </w:r>
      <w:r w:rsidR="000C1731" w:rsidRPr="000C4B7C">
        <w:rPr>
          <w:rFonts w:ascii="Book Antiqua" w:hAnsi="Book Antiqua"/>
          <w:color w:val="000000" w:themeColor="text1"/>
        </w:rPr>
        <w:t>&lt;</w:t>
      </w:r>
      <w:r w:rsidR="00FA4F38" w:rsidRPr="000C4B7C">
        <w:rPr>
          <w:rFonts w:ascii="Book Antiqua" w:hAnsi="Book Antiqua"/>
          <w:color w:val="000000" w:themeColor="text1"/>
          <w:lang w:eastAsia="zh-CN"/>
        </w:rPr>
        <w:t xml:space="preserve"> </w:t>
      </w:r>
      <w:r w:rsidRPr="000C4B7C">
        <w:rPr>
          <w:rFonts w:ascii="Book Antiqua" w:hAnsi="Book Antiqua"/>
          <w:color w:val="000000" w:themeColor="text1"/>
        </w:rPr>
        <w:t>1) regardless of MET status. Alt</w:t>
      </w:r>
      <w:r w:rsidR="002339AD" w:rsidRPr="000C4B7C">
        <w:rPr>
          <w:rFonts w:ascii="Book Antiqua" w:hAnsi="Book Antiqua"/>
          <w:color w:val="000000" w:themeColor="text1"/>
        </w:rPr>
        <w:t>hough the HR more strongly favo</w:t>
      </w:r>
      <w:r w:rsidRPr="000C4B7C">
        <w:rPr>
          <w:rFonts w:ascii="Book Antiqua" w:hAnsi="Book Antiqua"/>
          <w:color w:val="000000" w:themeColor="text1"/>
        </w:rPr>
        <w:t xml:space="preserve">red cabozantinib for MET-positive </w:t>
      </w:r>
      <w:r w:rsidR="00FF43B4" w:rsidRPr="000C4B7C">
        <w:rPr>
          <w:rFonts w:ascii="Book Antiqua" w:hAnsi="Book Antiqua"/>
          <w:i/>
          <w:color w:val="000000" w:themeColor="text1"/>
        </w:rPr>
        <w:t>vs</w:t>
      </w:r>
      <w:r w:rsidRPr="000C4B7C">
        <w:rPr>
          <w:rFonts w:ascii="Book Antiqua" w:hAnsi="Book Antiqua"/>
          <w:color w:val="000000" w:themeColor="text1"/>
        </w:rPr>
        <w:t xml:space="preserve"> MET-negative </w:t>
      </w:r>
      <w:r w:rsidR="001529CA" w:rsidRPr="000C4B7C">
        <w:rPr>
          <w:rFonts w:ascii="Book Antiqua" w:hAnsi="Book Antiqua"/>
          <w:color w:val="000000" w:themeColor="text1"/>
        </w:rPr>
        <w:t>tumors</w:t>
      </w:r>
      <w:r w:rsidRPr="000C4B7C">
        <w:rPr>
          <w:rFonts w:ascii="Book Antiqua" w:hAnsi="Book Antiqua"/>
          <w:color w:val="000000" w:themeColor="text1"/>
        </w:rPr>
        <w:t>, subgroup sizes were small. Grade 3 or 4AEs occurred for 68% cabozantinib-treated patients and 65% sunitinib-treated patients. The most common grade 3 or 4 adv</w:t>
      </w:r>
      <w:r w:rsidR="002339AD" w:rsidRPr="000C4B7C">
        <w:rPr>
          <w:rFonts w:ascii="Book Antiqua" w:hAnsi="Book Antiqua"/>
          <w:color w:val="000000" w:themeColor="text1"/>
        </w:rPr>
        <w:t>erse events in the cabozantinib</w:t>
      </w:r>
      <w:r w:rsidRPr="000C4B7C">
        <w:rPr>
          <w:rFonts w:ascii="Book Antiqua" w:hAnsi="Book Antiqua"/>
          <w:color w:val="000000" w:themeColor="text1"/>
        </w:rPr>
        <w:t xml:space="preserve"> and sunitinib treatment g</w:t>
      </w:r>
      <w:r w:rsidR="00D65569" w:rsidRPr="000C4B7C">
        <w:rPr>
          <w:rFonts w:ascii="Book Antiqua" w:hAnsi="Book Antiqua"/>
          <w:color w:val="000000" w:themeColor="text1"/>
        </w:rPr>
        <w:t xml:space="preserve">roups were hypertension (28%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21%), diarrhea (10% </w:t>
      </w:r>
      <w:r w:rsidR="00FF43B4" w:rsidRPr="000C4B7C">
        <w:rPr>
          <w:rFonts w:ascii="Book Antiqua" w:hAnsi="Book Antiqua"/>
          <w:i/>
          <w:color w:val="000000" w:themeColor="text1"/>
        </w:rPr>
        <w:t>vs</w:t>
      </w:r>
      <w:r w:rsidR="00D65569" w:rsidRPr="000C4B7C">
        <w:rPr>
          <w:rFonts w:ascii="Book Antiqua" w:hAnsi="Book Antiqua"/>
          <w:color w:val="000000" w:themeColor="text1"/>
        </w:rPr>
        <w:t xml:space="preserve"> 11%), fatigue (6% </w:t>
      </w:r>
      <w:r w:rsidR="00FF43B4" w:rsidRPr="000C4B7C">
        <w:rPr>
          <w:rFonts w:ascii="Book Antiqua" w:hAnsi="Book Antiqua"/>
          <w:i/>
          <w:color w:val="000000" w:themeColor="text1"/>
        </w:rPr>
        <w:t>vs</w:t>
      </w:r>
      <w:r w:rsidRPr="000C4B7C">
        <w:rPr>
          <w:rFonts w:ascii="Book Antiqua" w:hAnsi="Book Antiqua"/>
          <w:color w:val="000000" w:themeColor="text1"/>
        </w:rPr>
        <w:t xml:space="preserve"> 17%), palmar-plantar erythrodysesthesia (8%</w:t>
      </w:r>
      <w:r w:rsidR="00D65569"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003B25FD" w:rsidRPr="000C4B7C">
        <w:rPr>
          <w:rFonts w:ascii="Book Antiqua" w:hAnsi="Book Antiqua"/>
          <w:color w:val="000000" w:themeColor="text1"/>
        </w:rPr>
        <w:t xml:space="preserve"> 4%), and thrombocytopenia (</w:t>
      </w:r>
      <w:r w:rsidR="00D65569" w:rsidRPr="000C4B7C">
        <w:rPr>
          <w:rFonts w:ascii="Book Antiqua" w:hAnsi="Book Antiqua"/>
          <w:color w:val="000000" w:themeColor="text1"/>
        </w:rPr>
        <w:t xml:space="preserve">1% </w:t>
      </w:r>
      <w:r w:rsidR="00FF43B4" w:rsidRPr="000C4B7C">
        <w:rPr>
          <w:rFonts w:ascii="Book Antiqua" w:hAnsi="Book Antiqua"/>
          <w:i/>
          <w:color w:val="000000" w:themeColor="text1"/>
        </w:rPr>
        <w:t>vs</w:t>
      </w:r>
      <w:r w:rsidRPr="000C4B7C">
        <w:rPr>
          <w:rFonts w:ascii="Book Antiqua" w:hAnsi="Book Antiqua"/>
          <w:color w:val="000000" w:themeColor="text1"/>
        </w:rPr>
        <w:t xml:space="preserve"> 11%)</w:t>
      </w:r>
      <w:r w:rsidR="00027335" w:rsidRPr="000C4B7C">
        <w:rPr>
          <w:rFonts w:ascii="Book Antiqua" w:hAnsi="Book Antiqua"/>
          <w:noProof/>
          <w:color w:val="000000" w:themeColor="text1"/>
          <w:vertAlign w:val="superscript"/>
        </w:rPr>
        <w:t>[62]</w:t>
      </w:r>
      <w:r w:rsidR="000C1731" w:rsidRPr="000C4B7C">
        <w:rPr>
          <w:rFonts w:ascii="Book Antiqua" w:hAnsi="Book Antiqua"/>
          <w:color w:val="000000" w:themeColor="text1"/>
        </w:rPr>
        <w:t>.</w:t>
      </w:r>
    </w:p>
    <w:p w:rsidR="004E7F6F"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Additionally, pazop</w:t>
      </w:r>
      <w:r w:rsidR="00D65569" w:rsidRPr="000C4B7C">
        <w:rPr>
          <w:rFonts w:ascii="Book Antiqua" w:hAnsi="Book Antiqua"/>
          <w:color w:val="000000" w:themeColor="text1"/>
        </w:rPr>
        <w:t xml:space="preserve">anib, sunitinib, and avelumab plus </w:t>
      </w:r>
      <w:r w:rsidRPr="000C4B7C">
        <w:rPr>
          <w:rFonts w:ascii="Book Antiqua" w:hAnsi="Book Antiqua"/>
          <w:color w:val="000000" w:themeColor="text1"/>
        </w:rPr>
        <w:t>axitinib are listed as other recommended option for the first-line treatment of patients with intermediate –poor-risk features.</w:t>
      </w:r>
    </w:p>
    <w:p w:rsidR="00AE6521" w:rsidRPr="000C4B7C" w:rsidRDefault="00F36844"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High dose IL-2 (</w:t>
      </w:r>
      <w:r w:rsidR="00D65569" w:rsidRPr="000C4B7C">
        <w:rPr>
          <w:rFonts w:ascii="Book Antiqua" w:hAnsi="Book Antiqua"/>
          <w:color w:val="000000" w:themeColor="text1"/>
        </w:rPr>
        <w:t>category 2A)</w:t>
      </w:r>
      <w:r w:rsidR="00096A0C" w:rsidRPr="000C4B7C">
        <w:rPr>
          <w:rFonts w:ascii="Book Antiqua" w:hAnsi="Book Antiqua"/>
          <w:color w:val="000000" w:themeColor="text1"/>
        </w:rPr>
        <w:t xml:space="preserve">, given its significant toxicity profile, is </w:t>
      </w:r>
      <w:r w:rsidRPr="000C4B7C">
        <w:rPr>
          <w:rFonts w:ascii="Book Antiqua" w:hAnsi="Book Antiqua"/>
          <w:color w:val="000000" w:themeColor="text1"/>
        </w:rPr>
        <w:t>approved</w:t>
      </w:r>
      <w:r w:rsidR="00096A0C" w:rsidRPr="000C4B7C">
        <w:rPr>
          <w:rFonts w:ascii="Book Antiqua" w:hAnsi="Book Antiqua"/>
          <w:color w:val="000000" w:themeColor="text1"/>
        </w:rPr>
        <w:t xml:space="preserve"> as first-line treatment only in a highly selected subgroup of patients for all risk groups. The selection is based largely on </w:t>
      </w:r>
      <w:r w:rsidR="00557329" w:rsidRPr="000C4B7C">
        <w:rPr>
          <w:rFonts w:ascii="Book Antiqua" w:hAnsi="Book Antiqua"/>
          <w:color w:val="000000" w:themeColor="text1"/>
        </w:rPr>
        <w:t xml:space="preserve">assessment of safety </w:t>
      </w:r>
      <w:r w:rsidR="00557329" w:rsidRPr="000C4B7C">
        <w:rPr>
          <w:rFonts w:ascii="Book Antiqua" w:hAnsi="Book Antiqua"/>
          <w:i/>
          <w:color w:val="000000" w:themeColor="text1"/>
        </w:rPr>
        <w:t>vs</w:t>
      </w:r>
      <w:r w:rsidR="00557329" w:rsidRPr="000C4B7C">
        <w:rPr>
          <w:rFonts w:ascii="Book Antiqua" w:hAnsi="Book Antiqua"/>
          <w:color w:val="000000" w:themeColor="text1"/>
        </w:rPr>
        <w:t xml:space="preserve"> </w:t>
      </w:r>
      <w:r w:rsidR="00096A0C" w:rsidRPr="000C4B7C">
        <w:rPr>
          <w:rFonts w:ascii="Book Antiqua" w:hAnsi="Book Antiqua"/>
          <w:color w:val="000000" w:themeColor="text1"/>
        </w:rPr>
        <w:t xml:space="preserve">risk factors. </w:t>
      </w:r>
      <w:r w:rsidR="00557329" w:rsidRPr="000C4B7C">
        <w:rPr>
          <w:rFonts w:ascii="Book Antiqua" w:hAnsi="Book Antiqua"/>
          <w:color w:val="000000" w:themeColor="text1"/>
        </w:rPr>
        <w:t>A</w:t>
      </w:r>
      <w:r w:rsidR="00096A0C" w:rsidRPr="000C4B7C">
        <w:rPr>
          <w:rFonts w:ascii="Book Antiqua" w:hAnsi="Book Antiqua"/>
          <w:color w:val="000000" w:themeColor="text1"/>
        </w:rPr>
        <w:t>xitinib (category 2B) is used as single agent generally only as a highly advanced line of therap</w:t>
      </w:r>
      <w:r w:rsidR="00D65569" w:rsidRPr="000C4B7C">
        <w:rPr>
          <w:rFonts w:ascii="Book Antiqua" w:hAnsi="Book Antiqua"/>
          <w:color w:val="000000" w:themeColor="text1"/>
        </w:rPr>
        <w:t xml:space="preserve">y across all risk groups. </w:t>
      </w:r>
      <w:r w:rsidR="00AE6521" w:rsidRPr="000C4B7C">
        <w:rPr>
          <w:rFonts w:ascii="Book Antiqua" w:hAnsi="Book Antiqua"/>
          <w:color w:val="000000" w:themeColor="text1"/>
        </w:rPr>
        <w:t xml:space="preserve">Temsirolimus is still included as category 1 first line treatment option in poor-risk patients but must be used only if TKIs </w:t>
      </w:r>
      <w:r w:rsidR="00C32BB7" w:rsidRPr="000C4B7C">
        <w:rPr>
          <w:rFonts w:ascii="Book Antiqua" w:hAnsi="Book Antiqua"/>
          <w:color w:val="000000" w:themeColor="text1"/>
        </w:rPr>
        <w:t>and</w:t>
      </w:r>
      <w:r w:rsidR="00AE6521" w:rsidRPr="000C4B7C">
        <w:rPr>
          <w:rFonts w:ascii="Book Antiqua" w:hAnsi="Book Antiqua"/>
          <w:color w:val="000000" w:themeColor="text1"/>
        </w:rPr>
        <w:t xml:space="preserve"> immunotherapy are contraindicated. </w:t>
      </w:r>
      <w:r w:rsidR="00D65569" w:rsidRPr="000C4B7C">
        <w:rPr>
          <w:rFonts w:ascii="Book Antiqua" w:hAnsi="Book Antiqua"/>
          <w:color w:val="000000" w:themeColor="text1"/>
        </w:rPr>
        <w:t>S</w:t>
      </w:r>
      <w:r w:rsidR="00AE6521" w:rsidRPr="000C4B7C">
        <w:rPr>
          <w:rFonts w:ascii="Book Antiqua" w:hAnsi="Book Antiqua"/>
          <w:color w:val="000000" w:themeColor="text1"/>
        </w:rPr>
        <w:t>orafenib is excluded given better treatment options.</w:t>
      </w:r>
    </w:p>
    <w:p w:rsidR="00AE6521" w:rsidRPr="000C4B7C" w:rsidRDefault="00AE6521" w:rsidP="000C4B7C">
      <w:pPr>
        <w:autoSpaceDE w:val="0"/>
        <w:autoSpaceDN w:val="0"/>
        <w:adjustRightInd w:val="0"/>
        <w:snapToGrid w:val="0"/>
        <w:spacing w:line="360" w:lineRule="auto"/>
        <w:jc w:val="both"/>
        <w:rPr>
          <w:rFonts w:ascii="Book Antiqua" w:hAnsi="Book Antiqua"/>
          <w:color w:val="000000" w:themeColor="text1"/>
        </w:rPr>
      </w:pPr>
    </w:p>
    <w:p w:rsidR="00D54A26" w:rsidRPr="000C4B7C" w:rsidRDefault="00AE6521" w:rsidP="000C4B7C">
      <w:pPr>
        <w:autoSpaceDE w:val="0"/>
        <w:autoSpaceDN w:val="0"/>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themeColor="text1"/>
        </w:rPr>
        <w:t>Subsequent</w:t>
      </w:r>
      <w:r w:rsidR="00FA1BAA" w:rsidRPr="000C4B7C">
        <w:rPr>
          <w:rFonts w:ascii="Book Antiqua" w:hAnsi="Book Antiqua"/>
          <w:b/>
          <w:color w:val="000000" w:themeColor="text1"/>
        </w:rPr>
        <w:t>-</w:t>
      </w:r>
      <w:r w:rsidR="002F68B7" w:rsidRPr="000C4B7C">
        <w:rPr>
          <w:rFonts w:ascii="Book Antiqua" w:hAnsi="Book Antiqua"/>
          <w:b/>
          <w:color w:val="000000" w:themeColor="text1"/>
        </w:rPr>
        <w:t>line therapies</w:t>
      </w:r>
      <w:r w:rsidR="002F68B7" w:rsidRPr="000C4B7C">
        <w:rPr>
          <w:rFonts w:ascii="Book Antiqua" w:hAnsi="Book Antiqua"/>
          <w:b/>
          <w:color w:val="000000" w:themeColor="text1"/>
          <w:lang w:eastAsia="zh-CN"/>
        </w:rPr>
        <w:t xml:space="preserve">: </w:t>
      </w:r>
      <w:r w:rsidR="003C16A4" w:rsidRPr="000C4B7C">
        <w:rPr>
          <w:rFonts w:ascii="Book Antiqua" w:hAnsi="Book Antiqua"/>
          <w:color w:val="000000" w:themeColor="text1"/>
        </w:rPr>
        <w:t xml:space="preserve">The need for subsequent therapy is currently based on intolerable AEs or progression of disease on first-line therapy. </w:t>
      </w:r>
      <w:r w:rsidR="001A7666" w:rsidRPr="000C4B7C">
        <w:rPr>
          <w:rFonts w:ascii="Book Antiqua" w:hAnsi="Book Antiqua"/>
          <w:color w:val="000000" w:themeColor="text1"/>
        </w:rPr>
        <w:t>T</w:t>
      </w:r>
      <w:r w:rsidR="003C16A4" w:rsidRPr="000C4B7C">
        <w:rPr>
          <w:rFonts w:ascii="Book Antiqua" w:hAnsi="Book Antiqua"/>
          <w:color w:val="000000" w:themeColor="text1"/>
        </w:rPr>
        <w:t>here is uncertainty yet</w:t>
      </w:r>
      <w:r w:rsidR="001A7666" w:rsidRPr="000C4B7C">
        <w:rPr>
          <w:rFonts w:ascii="Book Antiqua" w:hAnsi="Book Antiqua"/>
          <w:color w:val="000000" w:themeColor="text1"/>
        </w:rPr>
        <w:t>,</w:t>
      </w:r>
      <w:r w:rsidR="003C16A4" w:rsidRPr="000C4B7C">
        <w:rPr>
          <w:rFonts w:ascii="Book Antiqua" w:hAnsi="Book Antiqua"/>
          <w:color w:val="000000" w:themeColor="text1"/>
        </w:rPr>
        <w:t xml:space="preserve"> regarding the optimal duration of first-line therapy for patients who respond to treatment</w:t>
      </w:r>
      <w:r w:rsidR="001A7666" w:rsidRPr="000C4B7C">
        <w:rPr>
          <w:rFonts w:ascii="Book Antiqua" w:hAnsi="Book Antiqua"/>
          <w:color w:val="000000" w:themeColor="text1"/>
        </w:rPr>
        <w:t>, particularly IOs</w:t>
      </w:r>
      <w:r w:rsidR="004D150F" w:rsidRPr="000C4B7C">
        <w:rPr>
          <w:rFonts w:ascii="Book Antiqua" w:hAnsi="Book Antiqua"/>
          <w:color w:val="000000" w:themeColor="text1"/>
        </w:rPr>
        <w:t>,</w:t>
      </w:r>
      <w:r w:rsidR="00F228E8" w:rsidRPr="000C4B7C">
        <w:rPr>
          <w:rFonts w:ascii="Book Antiqua" w:hAnsi="Book Antiqua"/>
          <w:color w:val="000000" w:themeColor="text1"/>
          <w:lang w:eastAsia="zh-CN"/>
        </w:rPr>
        <w:t xml:space="preserve"> </w:t>
      </w:r>
      <w:r w:rsidR="00C32BB7" w:rsidRPr="000C4B7C">
        <w:rPr>
          <w:rFonts w:ascii="Book Antiqua" w:hAnsi="Book Antiqua"/>
          <w:color w:val="000000" w:themeColor="text1"/>
        </w:rPr>
        <w:t>and</w:t>
      </w:r>
      <w:r w:rsidR="003C16A4" w:rsidRPr="000C4B7C">
        <w:rPr>
          <w:rFonts w:ascii="Book Antiqua" w:hAnsi="Book Antiqua"/>
          <w:color w:val="000000" w:themeColor="text1"/>
        </w:rPr>
        <w:t xml:space="preserve"> do not experience </w:t>
      </w:r>
      <w:r w:rsidR="004D150F" w:rsidRPr="000C4B7C">
        <w:rPr>
          <w:rFonts w:ascii="Book Antiqua" w:hAnsi="Book Antiqua"/>
          <w:color w:val="000000" w:themeColor="text1"/>
        </w:rPr>
        <w:t xml:space="preserve">significant </w:t>
      </w:r>
      <w:r w:rsidR="003C16A4" w:rsidRPr="000C4B7C">
        <w:rPr>
          <w:rFonts w:ascii="Book Antiqua" w:hAnsi="Book Antiqua"/>
          <w:color w:val="000000" w:themeColor="text1"/>
        </w:rPr>
        <w:t>adverse events</w:t>
      </w:r>
      <w:r w:rsidR="001A7666" w:rsidRPr="000C4B7C">
        <w:rPr>
          <w:rFonts w:ascii="Book Antiqua" w:hAnsi="Book Antiqua"/>
          <w:color w:val="000000" w:themeColor="text1"/>
        </w:rPr>
        <w:t xml:space="preserve">. Induction </w:t>
      </w:r>
      <w:r w:rsidR="001A7666" w:rsidRPr="000C4B7C">
        <w:rPr>
          <w:rFonts w:ascii="Book Antiqua" w:hAnsi="Book Antiqua"/>
          <w:color w:val="000000" w:themeColor="text1"/>
        </w:rPr>
        <w:lastRenderedPageBreak/>
        <w:t>of resistance remains a concern and indices for optimizing therapy duration will need to be ascertained as more prospective data becomes available.</w:t>
      </w:r>
    </w:p>
    <w:p w:rsidR="00211F85"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In patients with progression after previous TKI or immunotherapy</w:t>
      </w:r>
      <w:r w:rsidR="003E4074" w:rsidRPr="000C4B7C">
        <w:rPr>
          <w:rFonts w:ascii="Book Antiqua" w:hAnsi="Book Antiqua"/>
          <w:color w:val="000000" w:themeColor="text1"/>
        </w:rPr>
        <w:t>,</w:t>
      </w:r>
      <w:r w:rsidR="00F01A80" w:rsidRPr="000C4B7C">
        <w:rPr>
          <w:rFonts w:ascii="Book Antiqua" w:hAnsi="Book Antiqua"/>
          <w:color w:val="000000" w:themeColor="text1"/>
        </w:rPr>
        <w:t xml:space="preserve"> </w:t>
      </w:r>
      <w:r w:rsidR="00360759" w:rsidRPr="000C4B7C">
        <w:rPr>
          <w:rFonts w:ascii="Book Antiqua" w:hAnsi="Book Antiqua"/>
          <w:color w:val="000000" w:themeColor="text1"/>
        </w:rPr>
        <w:t>c</w:t>
      </w:r>
      <w:r w:rsidRPr="000C4B7C">
        <w:rPr>
          <w:rFonts w:ascii="Book Antiqua" w:hAnsi="Book Antiqua"/>
          <w:color w:val="000000" w:themeColor="text1"/>
        </w:rPr>
        <w:t xml:space="preserve">abozanitinb is the current preferred </w:t>
      </w:r>
      <w:r w:rsidR="00856FB1" w:rsidRPr="000C4B7C">
        <w:rPr>
          <w:rFonts w:ascii="Book Antiqua" w:hAnsi="Book Antiqua"/>
          <w:color w:val="000000" w:themeColor="text1"/>
        </w:rPr>
        <w:t xml:space="preserve">NCCN </w:t>
      </w:r>
      <w:r w:rsidRPr="000C4B7C">
        <w:rPr>
          <w:rFonts w:ascii="Book Antiqua" w:hAnsi="Book Antiqua"/>
          <w:color w:val="000000" w:themeColor="text1"/>
        </w:rPr>
        <w:t xml:space="preserve">category 1 </w:t>
      </w:r>
      <w:proofErr w:type="gramStart"/>
      <w:r w:rsidRPr="000C4B7C">
        <w:rPr>
          <w:rFonts w:ascii="Book Antiqua" w:hAnsi="Book Antiqua"/>
          <w:color w:val="000000" w:themeColor="text1"/>
        </w:rPr>
        <w:t>choice</w:t>
      </w:r>
      <w:r w:rsidR="00FC635D" w:rsidRPr="000C4B7C">
        <w:rPr>
          <w:rFonts w:ascii="Book Antiqua" w:hAnsi="Book Antiqua"/>
          <w:noProof/>
          <w:color w:val="000000" w:themeColor="text1"/>
          <w:vertAlign w:val="superscript"/>
        </w:rPr>
        <w:t>[</w:t>
      </w:r>
      <w:proofErr w:type="gramEnd"/>
      <w:r w:rsidR="00FC635D" w:rsidRPr="000C4B7C">
        <w:rPr>
          <w:rFonts w:ascii="Book Antiqua" w:hAnsi="Book Antiqua"/>
          <w:noProof/>
          <w:color w:val="000000" w:themeColor="text1"/>
          <w:vertAlign w:val="superscript"/>
        </w:rPr>
        <w:t>51,63,</w:t>
      </w:r>
      <w:r w:rsidR="00027335" w:rsidRPr="000C4B7C">
        <w:rPr>
          <w:rFonts w:ascii="Book Antiqua" w:hAnsi="Book Antiqua"/>
          <w:noProof/>
          <w:color w:val="000000" w:themeColor="text1"/>
          <w:vertAlign w:val="superscript"/>
        </w:rPr>
        <w:t>64]</w:t>
      </w:r>
      <w:r w:rsidR="001B2506" w:rsidRPr="000C4B7C">
        <w:rPr>
          <w:rFonts w:ascii="Book Antiqua" w:hAnsi="Book Antiqua"/>
          <w:color w:val="000000" w:themeColor="text1"/>
        </w:rPr>
        <w:t>.</w:t>
      </w:r>
      <w:r w:rsidR="00FC635D"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As demonstrated in the METEOR trial, </w:t>
      </w:r>
      <w:r w:rsidR="000C1731" w:rsidRPr="000C4B7C">
        <w:rPr>
          <w:rFonts w:ascii="Book Antiqua" w:hAnsi="Book Antiqua"/>
          <w:color w:val="000000" w:themeColor="text1"/>
        </w:rPr>
        <w:t>c</w:t>
      </w:r>
      <w:r w:rsidRPr="000C4B7C">
        <w:rPr>
          <w:rFonts w:ascii="Book Antiqua" w:hAnsi="Book Antiqua"/>
          <w:color w:val="000000" w:themeColor="text1"/>
        </w:rPr>
        <w:t xml:space="preserve">abozanitib was found superior to </w:t>
      </w:r>
      <w:r w:rsidR="000C1731" w:rsidRPr="000C4B7C">
        <w:rPr>
          <w:rFonts w:ascii="Book Antiqua" w:hAnsi="Book Antiqua"/>
          <w:color w:val="000000" w:themeColor="text1"/>
        </w:rPr>
        <w:t>e</w:t>
      </w:r>
      <w:r w:rsidRPr="000C4B7C">
        <w:rPr>
          <w:rFonts w:ascii="Book Antiqua" w:hAnsi="Book Antiqua"/>
          <w:color w:val="000000" w:themeColor="text1"/>
        </w:rPr>
        <w:t>ver</w:t>
      </w:r>
      <w:r w:rsidR="00360759" w:rsidRPr="000C4B7C">
        <w:rPr>
          <w:rFonts w:ascii="Book Antiqua" w:hAnsi="Book Antiqua"/>
          <w:color w:val="000000" w:themeColor="text1"/>
        </w:rPr>
        <w:t>o</w:t>
      </w:r>
      <w:r w:rsidRPr="000C4B7C">
        <w:rPr>
          <w:rFonts w:ascii="Book Antiqua" w:hAnsi="Book Antiqua"/>
          <w:color w:val="000000" w:themeColor="text1"/>
        </w:rPr>
        <w:t>l</w:t>
      </w:r>
      <w:r w:rsidR="003E4074" w:rsidRPr="000C4B7C">
        <w:rPr>
          <w:rFonts w:ascii="Book Antiqua" w:hAnsi="Book Antiqua"/>
          <w:color w:val="000000" w:themeColor="text1"/>
        </w:rPr>
        <w:t>i</w:t>
      </w:r>
      <w:r w:rsidRPr="000C4B7C">
        <w:rPr>
          <w:rFonts w:ascii="Book Antiqua" w:hAnsi="Book Antiqua"/>
          <w:color w:val="000000" w:themeColor="text1"/>
        </w:rPr>
        <w:t>mus in patients who progressed on anti VEGFR therapy, with a significantly improv</w:t>
      </w:r>
      <w:r w:rsidR="00360759" w:rsidRPr="000C4B7C">
        <w:rPr>
          <w:rFonts w:ascii="Book Antiqua" w:hAnsi="Book Antiqua"/>
          <w:color w:val="000000" w:themeColor="text1"/>
        </w:rPr>
        <w:t xml:space="preserve">ed median OS (21.4 </w:t>
      </w:r>
      <w:r w:rsidR="00CD3EF5" w:rsidRPr="000C4B7C">
        <w:rPr>
          <w:rFonts w:ascii="Book Antiqua" w:hAnsi="Book Antiqua"/>
          <w:color w:val="000000" w:themeColor="text1"/>
        </w:rPr>
        <w:t>mo</w:t>
      </w:r>
      <w:r w:rsidR="00CD3EF5"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DF0062" w:rsidRPr="000C4B7C">
        <w:rPr>
          <w:rFonts w:ascii="Book Antiqua" w:hAnsi="Book Antiqua"/>
          <w:color w:val="000000" w:themeColor="text1"/>
        </w:rPr>
        <w:t xml:space="preserve"> 16.5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and ORR (17% </w:t>
      </w:r>
      <w:r w:rsidR="00FF43B4" w:rsidRPr="000C4B7C">
        <w:rPr>
          <w:rFonts w:ascii="Book Antiqua" w:hAnsi="Book Antiqua"/>
          <w:i/>
          <w:color w:val="000000" w:themeColor="text1"/>
        </w:rPr>
        <w:t>vs</w:t>
      </w:r>
      <w:r w:rsidRPr="000C4B7C">
        <w:rPr>
          <w:rFonts w:ascii="Book Antiqua" w:hAnsi="Book Antiqua"/>
          <w:color w:val="000000" w:themeColor="text1"/>
        </w:rPr>
        <w:t xml:space="preserve"> 3%). The most common treatment-related grade 3 or 4 AEs with cabozantinib were hypertension, diarrhea, and fatigue and those with everolimus were anemia, fatigue, and hyperglycemia. The rate of treatment discontinuation due to AE</w:t>
      </w:r>
      <w:r w:rsidR="00360759" w:rsidRPr="000C4B7C">
        <w:rPr>
          <w:rFonts w:ascii="Book Antiqua" w:hAnsi="Book Antiqua"/>
          <w:color w:val="000000" w:themeColor="text1"/>
        </w:rPr>
        <w:t>s</w:t>
      </w:r>
      <w:r w:rsidRPr="000C4B7C">
        <w:rPr>
          <w:rFonts w:ascii="Book Antiqua" w:hAnsi="Book Antiqua"/>
          <w:color w:val="000000" w:themeColor="text1"/>
        </w:rPr>
        <w:t xml:space="preserve"> was similar in both arms. Cabozantinib is particularly recommended in patients with bone metastasis. In a subgroup of patients with bone metastas</w:t>
      </w:r>
      <w:r w:rsidR="00C32BB7" w:rsidRPr="000C4B7C">
        <w:rPr>
          <w:rFonts w:ascii="Book Antiqua" w:hAnsi="Book Antiqua"/>
          <w:color w:val="000000" w:themeColor="text1"/>
        </w:rPr>
        <w:t>e</w:t>
      </w:r>
      <w:r w:rsidRPr="000C4B7C">
        <w:rPr>
          <w:rFonts w:ascii="Book Antiqua" w:hAnsi="Book Antiqua"/>
          <w:color w:val="000000" w:themeColor="text1"/>
        </w:rPr>
        <w:t>s in the ME</w:t>
      </w:r>
      <w:r w:rsidR="00360759" w:rsidRPr="000C4B7C">
        <w:rPr>
          <w:rFonts w:ascii="Book Antiqua" w:hAnsi="Book Antiqua"/>
          <w:color w:val="000000" w:themeColor="text1"/>
        </w:rPr>
        <w:t xml:space="preserve">TEOR trial, median PFS (7.4 </w:t>
      </w:r>
      <w:r w:rsidR="00FF45E7" w:rsidRPr="000C4B7C">
        <w:rPr>
          <w:rFonts w:ascii="Book Antiqua" w:hAnsi="Book Antiqua"/>
          <w:color w:val="000000" w:themeColor="text1"/>
        </w:rPr>
        <w:t>mo</w:t>
      </w:r>
      <w:r w:rsidR="00FF45E7"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360759" w:rsidRPr="000C4B7C">
        <w:rPr>
          <w:rFonts w:ascii="Book Antiqua" w:hAnsi="Book Antiqua"/>
          <w:color w:val="000000" w:themeColor="text1"/>
        </w:rPr>
        <w:t xml:space="preserve"> 2.7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OS (20.1 </w:t>
      </w:r>
      <w:r w:rsidR="00FF45E7" w:rsidRPr="000C4B7C">
        <w:rPr>
          <w:rFonts w:ascii="Book Antiqua" w:hAnsi="Book Antiqua"/>
          <w:color w:val="000000" w:themeColor="text1"/>
        </w:rPr>
        <w:t>mo</w:t>
      </w:r>
      <w:r w:rsidR="00FF45E7"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DF0062" w:rsidRPr="000C4B7C">
        <w:rPr>
          <w:rFonts w:ascii="Book Antiqua" w:hAnsi="Book Antiqua"/>
          <w:color w:val="000000" w:themeColor="text1"/>
        </w:rPr>
        <w:t xml:space="preserve"> 12.1 </w:t>
      </w:r>
      <w:r w:rsidR="007167C0" w:rsidRPr="000C4B7C">
        <w:rPr>
          <w:rFonts w:ascii="Book Antiqua" w:hAnsi="Book Antiqua"/>
          <w:color w:val="000000" w:themeColor="text1"/>
        </w:rPr>
        <w:t>mo</w:t>
      </w:r>
      <w:r w:rsidR="00360759" w:rsidRPr="000C4B7C">
        <w:rPr>
          <w:rFonts w:ascii="Book Antiqua" w:hAnsi="Book Antiqua"/>
          <w:color w:val="000000" w:themeColor="text1"/>
        </w:rPr>
        <w:t xml:space="preserve">), and ORR (17% </w:t>
      </w:r>
      <w:r w:rsidR="00FF43B4" w:rsidRPr="000C4B7C">
        <w:rPr>
          <w:rFonts w:ascii="Book Antiqua" w:hAnsi="Book Antiqua"/>
          <w:i/>
          <w:color w:val="000000" w:themeColor="text1"/>
        </w:rPr>
        <w:t>vs</w:t>
      </w:r>
      <w:r w:rsidRPr="000C4B7C">
        <w:rPr>
          <w:rFonts w:ascii="Book Antiqua" w:hAnsi="Book Antiqua"/>
          <w:color w:val="000000" w:themeColor="text1"/>
        </w:rPr>
        <w:t xml:space="preserve"> 0%) were all improved for patients treated with cabozantinib </w:t>
      </w:r>
      <w:r w:rsidR="00FF43B4" w:rsidRPr="000C4B7C">
        <w:rPr>
          <w:rFonts w:ascii="Book Antiqua" w:hAnsi="Book Antiqua"/>
          <w:i/>
          <w:color w:val="000000" w:themeColor="text1"/>
        </w:rPr>
        <w:t>vs</w:t>
      </w:r>
      <w:r w:rsidRPr="000C4B7C">
        <w:rPr>
          <w:rFonts w:ascii="Book Antiqua" w:hAnsi="Book Antiqua"/>
          <w:color w:val="000000" w:themeColor="text1"/>
        </w:rPr>
        <w:t xml:space="preserve"> </w:t>
      </w:r>
      <w:proofErr w:type="gramStart"/>
      <w:r w:rsidRPr="000C4B7C">
        <w:rPr>
          <w:rFonts w:ascii="Book Antiqua" w:hAnsi="Book Antiqua"/>
          <w:color w:val="000000" w:themeColor="text1"/>
        </w:rPr>
        <w:t>eve</w:t>
      </w:r>
      <w:r w:rsidR="003E4074" w:rsidRPr="000C4B7C">
        <w:rPr>
          <w:rFonts w:ascii="Book Antiqua" w:hAnsi="Book Antiqua"/>
          <w:color w:val="000000" w:themeColor="text1"/>
        </w:rPr>
        <w:t>r</w:t>
      </w:r>
      <w:r w:rsidRPr="000C4B7C">
        <w:rPr>
          <w:rFonts w:ascii="Book Antiqua" w:hAnsi="Book Antiqua"/>
          <w:color w:val="000000" w:themeColor="text1"/>
        </w:rPr>
        <w:t>olimus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61]</w:t>
      </w:r>
      <w:r w:rsidR="000C1731" w:rsidRPr="000C4B7C">
        <w:rPr>
          <w:rFonts w:ascii="Book Antiqua" w:hAnsi="Book Antiqua"/>
          <w:color w:val="000000" w:themeColor="text1"/>
        </w:rPr>
        <w:t>.</w:t>
      </w:r>
      <w:r w:rsidRPr="000C4B7C">
        <w:rPr>
          <w:rFonts w:ascii="Book Antiqua" w:hAnsi="Book Antiqua"/>
          <w:color w:val="000000" w:themeColor="text1"/>
        </w:rPr>
        <w:t xml:space="preserve"> In a meta-analysis comparing </w:t>
      </w:r>
      <w:r w:rsidR="00360759" w:rsidRPr="000C4B7C">
        <w:rPr>
          <w:rFonts w:ascii="Book Antiqua" w:hAnsi="Book Antiqua"/>
          <w:color w:val="000000" w:themeColor="text1"/>
        </w:rPr>
        <w:t>c</w:t>
      </w:r>
      <w:r w:rsidRPr="000C4B7C">
        <w:rPr>
          <w:rFonts w:ascii="Book Antiqua" w:hAnsi="Book Antiqua"/>
          <w:color w:val="000000" w:themeColor="text1"/>
        </w:rPr>
        <w:t xml:space="preserve">abozanitinb with everolimus, nivolumab, axitinib, sorafenib, </w:t>
      </w:r>
      <w:r w:rsidR="00C32BB7" w:rsidRPr="000C4B7C">
        <w:rPr>
          <w:rFonts w:ascii="Book Antiqua" w:hAnsi="Book Antiqua"/>
          <w:color w:val="000000" w:themeColor="text1"/>
        </w:rPr>
        <w:t>or</w:t>
      </w:r>
      <w:r w:rsidRPr="000C4B7C">
        <w:rPr>
          <w:rFonts w:ascii="Book Antiqua" w:hAnsi="Book Antiqua"/>
          <w:color w:val="000000" w:themeColor="text1"/>
        </w:rPr>
        <w:t xml:space="preserve"> best supportive care, </w:t>
      </w:r>
      <w:r w:rsidR="004F7C99" w:rsidRPr="000C4B7C">
        <w:rPr>
          <w:rFonts w:ascii="Book Antiqua" w:hAnsi="Book Antiqua"/>
          <w:color w:val="000000" w:themeColor="text1"/>
        </w:rPr>
        <w:t>c</w:t>
      </w:r>
      <w:r w:rsidRPr="000C4B7C">
        <w:rPr>
          <w:rFonts w:ascii="Book Antiqua" w:hAnsi="Book Antiqua"/>
          <w:color w:val="000000" w:themeColor="text1"/>
        </w:rPr>
        <w:t xml:space="preserve">abozanitinb </w:t>
      </w:r>
      <w:r w:rsidR="00C32BB7" w:rsidRPr="000C4B7C">
        <w:rPr>
          <w:rFonts w:ascii="Book Antiqua" w:hAnsi="Book Antiqua"/>
          <w:color w:val="000000" w:themeColor="text1"/>
        </w:rPr>
        <w:t>appeared to show a</w:t>
      </w:r>
      <w:r w:rsidRPr="000C4B7C">
        <w:rPr>
          <w:rFonts w:ascii="Book Antiqua" w:hAnsi="Book Antiqua"/>
          <w:color w:val="000000" w:themeColor="text1"/>
        </w:rPr>
        <w:t xml:space="preserve"> longer PFS as a second li</w:t>
      </w:r>
      <w:r w:rsidR="00360759" w:rsidRPr="000C4B7C">
        <w:rPr>
          <w:rFonts w:ascii="Book Antiqua" w:hAnsi="Book Antiqua"/>
          <w:color w:val="000000" w:themeColor="text1"/>
        </w:rPr>
        <w:t xml:space="preserve">ne treatment </w:t>
      </w:r>
      <w:proofErr w:type="gramStart"/>
      <w:r w:rsidR="00360759" w:rsidRPr="000C4B7C">
        <w:rPr>
          <w:rFonts w:ascii="Book Antiqua" w:hAnsi="Book Antiqua"/>
          <w:color w:val="000000" w:themeColor="text1"/>
        </w:rPr>
        <w:t>choice</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65]</w:t>
      </w:r>
      <w:r w:rsidR="00360759" w:rsidRPr="000C4B7C">
        <w:rPr>
          <w:rFonts w:ascii="Book Antiqua" w:hAnsi="Book Antiqua"/>
          <w:color w:val="000000" w:themeColor="text1"/>
        </w:rPr>
        <w:t>.</w:t>
      </w:r>
    </w:p>
    <w:p w:rsidR="00F02F37" w:rsidRPr="000C4B7C" w:rsidRDefault="00AE6521"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Nivolumab is another preferred category 1 option. It was found </w:t>
      </w:r>
      <w:r w:rsidR="003E4074" w:rsidRPr="000C4B7C">
        <w:rPr>
          <w:rFonts w:ascii="Book Antiqua" w:hAnsi="Book Antiqua"/>
          <w:color w:val="000000" w:themeColor="text1"/>
        </w:rPr>
        <w:t xml:space="preserve">to be </w:t>
      </w:r>
      <w:r w:rsidRPr="000C4B7C">
        <w:rPr>
          <w:rFonts w:ascii="Book Antiqua" w:hAnsi="Book Antiqua"/>
          <w:color w:val="000000" w:themeColor="text1"/>
        </w:rPr>
        <w:t>superior to everolimus in patients who progressed on</w:t>
      </w:r>
      <w:r w:rsidR="000C1731" w:rsidRPr="000C4B7C">
        <w:rPr>
          <w:rFonts w:ascii="Book Antiqua" w:hAnsi="Book Antiqua"/>
          <w:color w:val="000000" w:themeColor="text1"/>
        </w:rPr>
        <w:t xml:space="preserve"> prior antiangiogenic therapy (</w:t>
      </w:r>
      <w:r w:rsidRPr="000C4B7C">
        <w:rPr>
          <w:rFonts w:ascii="Book Antiqua" w:hAnsi="Book Antiqua"/>
          <w:color w:val="000000" w:themeColor="text1"/>
        </w:rPr>
        <w:t>excluding mTOR) in</w:t>
      </w:r>
      <w:r w:rsidR="000C1731" w:rsidRPr="000C4B7C">
        <w:rPr>
          <w:rFonts w:ascii="Book Antiqua" w:hAnsi="Book Antiqua"/>
          <w:noProof/>
          <w:color w:val="000000" w:themeColor="text1"/>
        </w:rPr>
        <w:t xml:space="preserve"> a phase III trial (</w:t>
      </w:r>
      <w:r w:rsidRPr="000C4B7C">
        <w:rPr>
          <w:rFonts w:ascii="Book Antiqua" w:hAnsi="Book Antiqua"/>
          <w:noProof/>
          <w:color w:val="000000" w:themeColor="text1"/>
        </w:rPr>
        <w:t xml:space="preserve">CheckMate 025) with a median OS 5.4 </w:t>
      </w:r>
      <w:r w:rsidR="007167C0" w:rsidRPr="000C4B7C">
        <w:rPr>
          <w:rFonts w:ascii="Book Antiqua" w:hAnsi="Book Antiqua"/>
          <w:noProof/>
          <w:color w:val="000000" w:themeColor="text1"/>
        </w:rPr>
        <w:t>mo</w:t>
      </w:r>
      <w:r w:rsidRPr="000C4B7C">
        <w:rPr>
          <w:rFonts w:ascii="Book Antiqua" w:hAnsi="Book Antiqua"/>
          <w:noProof/>
          <w:color w:val="000000" w:themeColor="text1"/>
        </w:rPr>
        <w:t xml:space="preserve"> longer in comparison.The ORR was also 5 times greater with nivolumab com</w:t>
      </w:r>
      <w:r w:rsidR="006A290A" w:rsidRPr="000C4B7C">
        <w:rPr>
          <w:rFonts w:ascii="Book Antiqua" w:hAnsi="Book Antiqua"/>
          <w:noProof/>
          <w:color w:val="000000" w:themeColor="text1"/>
        </w:rPr>
        <w:t>p</w:t>
      </w:r>
      <w:r w:rsidR="003E4074" w:rsidRPr="000C4B7C">
        <w:rPr>
          <w:rFonts w:ascii="Book Antiqua" w:hAnsi="Book Antiqua"/>
          <w:noProof/>
          <w:color w:val="000000" w:themeColor="text1"/>
        </w:rPr>
        <w:t>a</w:t>
      </w:r>
      <w:r w:rsidRPr="000C4B7C">
        <w:rPr>
          <w:rFonts w:ascii="Book Antiqua" w:hAnsi="Book Antiqua"/>
          <w:noProof/>
          <w:color w:val="000000" w:themeColor="text1"/>
        </w:rPr>
        <w:t>red to everolimus. Treatment related AEs of any grade were reported in 79% with nivolumab, in 88% with everolimus and grade 3-4 AEs were noted in 19% and 37% respectively. Treatment discontinuation from toxicities was seen in 8% with no treatment-related deaths in nivol</w:t>
      </w:r>
      <w:r w:rsidR="00C32BB7" w:rsidRPr="000C4B7C">
        <w:rPr>
          <w:rFonts w:ascii="Book Antiqua" w:hAnsi="Book Antiqua"/>
          <w:noProof/>
          <w:color w:val="000000" w:themeColor="text1"/>
        </w:rPr>
        <w:t>u</w:t>
      </w:r>
      <w:r w:rsidRPr="000C4B7C">
        <w:rPr>
          <w:rFonts w:ascii="Book Antiqua" w:hAnsi="Book Antiqua"/>
          <w:noProof/>
          <w:color w:val="000000" w:themeColor="text1"/>
        </w:rPr>
        <w:t>mab patients. Corrresponding numbers were 13% and 2 deaths respectively in everolimus patients</w:t>
      </w:r>
      <w:r w:rsidR="00FE3940" w:rsidRPr="000C4B7C">
        <w:rPr>
          <w:rFonts w:ascii="Book Antiqua" w:hAnsi="Book Antiqua"/>
          <w:noProof/>
          <w:color w:val="000000" w:themeColor="text1"/>
          <w:vertAlign w:val="superscript"/>
        </w:rPr>
        <w:t>[66,</w:t>
      </w:r>
      <w:r w:rsidR="00027335" w:rsidRPr="000C4B7C">
        <w:rPr>
          <w:rFonts w:ascii="Book Antiqua" w:hAnsi="Book Antiqua"/>
          <w:noProof/>
          <w:color w:val="000000" w:themeColor="text1"/>
          <w:vertAlign w:val="superscript"/>
        </w:rPr>
        <w:t>67]</w:t>
      </w:r>
      <w:r w:rsidR="00F000D0" w:rsidRPr="000C4B7C">
        <w:rPr>
          <w:rFonts w:ascii="Book Antiqua" w:hAnsi="Book Antiqua"/>
          <w:noProof/>
          <w:color w:val="000000" w:themeColor="text1"/>
        </w:rPr>
        <w:t>.</w:t>
      </w:r>
      <w:r w:rsidR="00FE3940" w:rsidRPr="000C4B7C">
        <w:rPr>
          <w:rFonts w:ascii="Book Antiqua" w:hAnsi="Book Antiqua"/>
          <w:noProof/>
          <w:color w:val="000000" w:themeColor="text1"/>
          <w:lang w:eastAsia="zh-CN"/>
        </w:rPr>
        <w:t xml:space="preserve"> </w:t>
      </w:r>
      <w:r w:rsidR="00D26F50" w:rsidRPr="000C4B7C">
        <w:rPr>
          <w:rFonts w:ascii="Book Antiqua" w:hAnsi="Book Antiqua"/>
          <w:noProof/>
          <w:color w:val="000000" w:themeColor="text1"/>
        </w:rPr>
        <w:t xml:space="preserve">The effect of nivolumab continuation was evaluated after first </w:t>
      </w:r>
      <w:r w:rsidR="00E1691A" w:rsidRPr="000C4B7C">
        <w:rPr>
          <w:rFonts w:ascii="Book Antiqua" w:hAnsi="Book Antiqua" w:cs="Arial"/>
          <w:color w:val="000000" w:themeColor="text1"/>
          <w:shd w:val="clear" w:color="auto" w:fill="FFFFFF"/>
        </w:rPr>
        <w:t xml:space="preserve">Response Evaluation Criteria </w:t>
      </w:r>
      <w:r w:rsidR="00FE3940" w:rsidRPr="000C4B7C">
        <w:rPr>
          <w:rFonts w:ascii="Book Antiqua" w:hAnsi="Book Antiqua" w:cs="Arial"/>
          <w:color w:val="000000" w:themeColor="text1"/>
          <w:shd w:val="clear" w:color="auto" w:fill="FFFFFF"/>
        </w:rPr>
        <w:t xml:space="preserve">in </w:t>
      </w:r>
      <w:r w:rsidR="00E1691A" w:rsidRPr="000C4B7C">
        <w:rPr>
          <w:rFonts w:ascii="Book Antiqua" w:hAnsi="Book Antiqua" w:cs="Arial"/>
          <w:color w:val="000000" w:themeColor="text1"/>
          <w:shd w:val="clear" w:color="auto" w:fill="FFFFFF"/>
        </w:rPr>
        <w:t>Solid Tumors (</w:t>
      </w:r>
      <w:r w:rsidR="00C32BB7" w:rsidRPr="000C4B7C">
        <w:rPr>
          <w:rFonts w:ascii="Book Antiqua" w:hAnsi="Book Antiqua"/>
          <w:noProof/>
          <w:color w:val="000000" w:themeColor="text1"/>
        </w:rPr>
        <w:t>RECIST</w:t>
      </w:r>
      <w:r w:rsidR="00E1691A" w:rsidRPr="000C4B7C">
        <w:rPr>
          <w:rFonts w:ascii="Book Antiqua" w:hAnsi="Book Antiqua"/>
          <w:noProof/>
          <w:color w:val="000000" w:themeColor="text1"/>
        </w:rPr>
        <w:t>)</w:t>
      </w:r>
      <w:r w:rsidR="00F01A80" w:rsidRPr="000C4B7C">
        <w:rPr>
          <w:rFonts w:ascii="Book Antiqua" w:hAnsi="Book Antiqua"/>
          <w:noProof/>
          <w:color w:val="000000" w:themeColor="text1"/>
        </w:rPr>
        <w:t xml:space="preserve"> </w:t>
      </w:r>
      <w:r w:rsidR="00D26F50" w:rsidRPr="000C4B7C">
        <w:rPr>
          <w:rFonts w:ascii="Book Antiqua" w:hAnsi="Book Antiqua"/>
          <w:noProof/>
          <w:color w:val="000000" w:themeColor="text1"/>
        </w:rPr>
        <w:t>disease progression in</w:t>
      </w:r>
      <w:r w:rsidR="006A290A" w:rsidRPr="000C4B7C">
        <w:rPr>
          <w:rFonts w:ascii="Book Antiqua" w:hAnsi="Book Antiqua"/>
          <w:noProof/>
          <w:color w:val="000000" w:themeColor="text1"/>
        </w:rPr>
        <w:t xml:space="preserve"> CheckMate 025 trial</w:t>
      </w:r>
      <w:r w:rsidR="00D26F50" w:rsidRPr="000C4B7C">
        <w:rPr>
          <w:rFonts w:ascii="Book Antiqua" w:hAnsi="Book Antiqua"/>
          <w:noProof/>
          <w:color w:val="000000" w:themeColor="text1"/>
        </w:rPr>
        <w:t xml:space="preserve"> patientswho showed clinical benefit and tolerated the therapy.</w:t>
      </w:r>
      <w:r w:rsidRPr="000C4B7C">
        <w:rPr>
          <w:rFonts w:ascii="Book Antiqua" w:hAnsi="Book Antiqua"/>
          <w:noProof/>
          <w:color w:val="000000" w:themeColor="text1"/>
        </w:rPr>
        <w:t xml:space="preserve"> A reduction in tumor burden was seen in</w:t>
      </w:r>
      <w:r w:rsidR="00F534BC" w:rsidRPr="000C4B7C">
        <w:rPr>
          <w:rFonts w:ascii="Book Antiqua" w:hAnsi="Book Antiqua"/>
          <w:noProof/>
          <w:color w:val="000000" w:themeColor="text1"/>
        </w:rPr>
        <w:t xml:space="preserve"> approximately</w:t>
      </w:r>
      <w:r w:rsidRPr="000C4B7C">
        <w:rPr>
          <w:rFonts w:ascii="Book Antiqua" w:hAnsi="Book Antiqua"/>
          <w:noProof/>
          <w:color w:val="000000" w:themeColor="text1"/>
        </w:rPr>
        <w:t xml:space="preserve">50% patients of which 13% </w:t>
      </w:r>
      <w:r w:rsidR="00E1691A" w:rsidRPr="000C4B7C">
        <w:rPr>
          <w:rFonts w:ascii="Book Antiqua" w:hAnsi="Book Antiqua"/>
          <w:noProof/>
          <w:color w:val="000000" w:themeColor="text1"/>
        </w:rPr>
        <w:t xml:space="preserve">of </w:t>
      </w:r>
      <w:r w:rsidR="00E1691A" w:rsidRPr="000C4B7C">
        <w:rPr>
          <w:rFonts w:ascii="Book Antiqua" w:hAnsi="Book Antiqua"/>
          <w:noProof/>
          <w:color w:val="000000" w:themeColor="text1"/>
        </w:rPr>
        <w:lastRenderedPageBreak/>
        <w:t xml:space="preserve">patients </w:t>
      </w:r>
      <w:r w:rsidRPr="000C4B7C">
        <w:rPr>
          <w:rFonts w:ascii="Book Antiqua" w:hAnsi="Book Antiqua"/>
          <w:noProof/>
          <w:color w:val="000000" w:themeColor="text1"/>
        </w:rPr>
        <w:t xml:space="preserve">had a </w:t>
      </w:r>
      <w:r w:rsidR="00C253E9" w:rsidRPr="000C4B7C">
        <w:rPr>
          <w:rFonts w:ascii="Book Antiqua" w:hAnsi="Book Antiqua"/>
          <w:noProof/>
          <w:color w:val="000000" w:themeColor="text1"/>
          <w:lang w:eastAsia="zh-CN"/>
        </w:rPr>
        <w:t xml:space="preserve">≥ </w:t>
      </w:r>
      <w:r w:rsidRPr="000C4B7C">
        <w:rPr>
          <w:rFonts w:ascii="Book Antiqua" w:hAnsi="Book Antiqua"/>
          <w:noProof/>
          <w:color w:val="000000" w:themeColor="text1"/>
        </w:rPr>
        <w:t>30% tumor burden reduction</w:t>
      </w:r>
      <w:r w:rsidR="00027335" w:rsidRPr="000C4B7C">
        <w:rPr>
          <w:rFonts w:ascii="Book Antiqua" w:hAnsi="Book Antiqua"/>
          <w:noProof/>
          <w:color w:val="000000" w:themeColor="text1"/>
          <w:vertAlign w:val="superscript"/>
        </w:rPr>
        <w:t>[51]</w:t>
      </w:r>
      <w:r w:rsidRPr="000C4B7C">
        <w:rPr>
          <w:rFonts w:ascii="Book Antiqua" w:hAnsi="Book Antiqua"/>
          <w:noProof/>
          <w:color w:val="000000" w:themeColor="text1"/>
        </w:rPr>
        <w:t>. AEs of any grade were reported less frequently after progression (59%) than before progression (71%)</w:t>
      </w:r>
      <w:r w:rsidR="00027335" w:rsidRPr="000C4B7C">
        <w:rPr>
          <w:rFonts w:ascii="Book Antiqua" w:hAnsi="Book Antiqua"/>
          <w:noProof/>
          <w:color w:val="000000" w:themeColor="text1"/>
          <w:vertAlign w:val="superscript"/>
        </w:rPr>
        <w:t>[68]</w:t>
      </w:r>
      <w:r w:rsidR="00F000D0" w:rsidRPr="000C4B7C">
        <w:rPr>
          <w:rFonts w:ascii="Book Antiqua" w:hAnsi="Book Antiqua"/>
          <w:color w:val="000000" w:themeColor="text1"/>
        </w:rPr>
        <w:t>.</w:t>
      </w:r>
    </w:p>
    <w:p w:rsidR="00DC307D" w:rsidRPr="000C4B7C" w:rsidRDefault="00813362" w:rsidP="000C4B7C">
      <w:pPr>
        <w:autoSpaceDE w:val="0"/>
        <w:autoSpaceDN w:val="0"/>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Lenvatinib, a multi-targeted TKI plus everolimus, an mTOR inhibitor, is another category 1 combination approved for subsequent therapy.</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In a phase II trial, patients with advanced RCC, previously treated with antiangiogenic therapy were randomized to receive the combination of lenvatinib plus everolimus </w:t>
      </w:r>
      <w:r w:rsidR="00FF43B4" w:rsidRPr="000C4B7C">
        <w:rPr>
          <w:rFonts w:ascii="Book Antiqua" w:hAnsi="Book Antiqua"/>
          <w:i/>
          <w:color w:val="000000" w:themeColor="text1"/>
        </w:rPr>
        <w:t>vs</w:t>
      </w:r>
      <w:r w:rsidRPr="000C4B7C">
        <w:rPr>
          <w:rFonts w:ascii="Book Antiqua" w:hAnsi="Book Antiqua"/>
          <w:color w:val="000000" w:themeColor="text1"/>
        </w:rPr>
        <w:t xml:space="preserve"> everolimus alone </w:t>
      </w:r>
      <w:r w:rsidR="00FF43B4" w:rsidRPr="000C4B7C">
        <w:rPr>
          <w:rFonts w:ascii="Book Antiqua" w:hAnsi="Book Antiqua"/>
          <w:i/>
          <w:color w:val="000000" w:themeColor="text1"/>
        </w:rPr>
        <w:t>vs</w:t>
      </w:r>
      <w:r w:rsidRPr="000C4B7C">
        <w:rPr>
          <w:rFonts w:ascii="Book Antiqua" w:hAnsi="Book Antiqua"/>
          <w:color w:val="000000" w:themeColor="text1"/>
        </w:rPr>
        <w:t xml:space="preserve"> lenvatinib alone. The median PFS (14.6</w:t>
      </w:r>
      <w:r w:rsidR="00647F44" w:rsidRPr="000C4B7C">
        <w:rPr>
          <w:rFonts w:ascii="Book Antiqua" w:hAnsi="Book Antiqua"/>
          <w:color w:val="000000" w:themeColor="text1"/>
        </w:rPr>
        <w:t xml:space="preserve"> mo</w:t>
      </w:r>
      <w:r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Pr="000C4B7C">
        <w:rPr>
          <w:rFonts w:ascii="Book Antiqua" w:hAnsi="Book Antiqua"/>
          <w:color w:val="000000" w:themeColor="text1"/>
        </w:rPr>
        <w:t xml:space="preserve"> 5.5 </w:t>
      </w:r>
      <w:r w:rsidR="007167C0" w:rsidRPr="000C4B7C">
        <w:rPr>
          <w:rFonts w:ascii="Book Antiqua" w:hAnsi="Book Antiqua"/>
          <w:color w:val="000000" w:themeColor="text1"/>
        </w:rPr>
        <w:t>mo</w:t>
      </w:r>
      <w:r w:rsidRPr="000C4B7C">
        <w:rPr>
          <w:rFonts w:ascii="Book Antiqua" w:hAnsi="Book Antiqua"/>
          <w:color w:val="000000" w:themeColor="text1"/>
        </w:rPr>
        <w:t>;</w:t>
      </w:r>
      <w:r w:rsidR="00F01A80" w:rsidRPr="000C4B7C">
        <w:rPr>
          <w:rFonts w:ascii="Book Antiqua" w:hAnsi="Book Antiqua"/>
          <w:color w:val="000000" w:themeColor="text1"/>
        </w:rPr>
        <w:t xml:space="preserve"> </w:t>
      </w:r>
      <w:r w:rsidR="00647F44" w:rsidRPr="000C4B7C">
        <w:rPr>
          <w:rFonts w:ascii="Book Antiqua" w:hAnsi="Book Antiqua"/>
          <w:color w:val="000000" w:themeColor="text1"/>
        </w:rPr>
        <w:t>HR 0.40; 95%CI</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0.24-0.68) and OS (25.5</w:t>
      </w:r>
      <w:r w:rsidR="00647F44" w:rsidRPr="000C4B7C">
        <w:rPr>
          <w:rFonts w:ascii="Book Antiqua" w:hAnsi="Book Antiqua"/>
          <w:color w:val="000000" w:themeColor="text1"/>
        </w:rPr>
        <w:t xml:space="preserve"> mo</w:t>
      </w:r>
      <w:r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Pr="000C4B7C">
        <w:rPr>
          <w:rFonts w:ascii="Book Antiqua" w:hAnsi="Book Antiqua"/>
          <w:color w:val="000000" w:themeColor="text1"/>
        </w:rPr>
        <w:t xml:space="preserve"> 15.4 </w:t>
      </w:r>
      <w:r w:rsidR="007167C0" w:rsidRPr="000C4B7C">
        <w:rPr>
          <w:rFonts w:ascii="Book Antiqua" w:hAnsi="Book Antiqua"/>
          <w:color w:val="000000" w:themeColor="text1"/>
        </w:rPr>
        <w:t>mo</w:t>
      </w:r>
      <w:r w:rsidRPr="000C4B7C">
        <w:rPr>
          <w:rFonts w:ascii="Book Antiqua" w:hAnsi="Book Antiqua"/>
          <w:color w:val="000000" w:themeColor="text1"/>
        </w:rPr>
        <w:t>; HR</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0.67;</w:t>
      </w:r>
      <w:r w:rsidR="00647F44" w:rsidRPr="000C4B7C">
        <w:rPr>
          <w:rFonts w:ascii="Book Antiqua" w:hAnsi="Book Antiqua"/>
          <w:color w:val="000000" w:themeColor="text1"/>
          <w:lang w:eastAsia="zh-CN"/>
        </w:rPr>
        <w:t xml:space="preserve"> </w:t>
      </w:r>
      <w:r w:rsidR="00647F44" w:rsidRPr="000C4B7C">
        <w:rPr>
          <w:rFonts w:ascii="Book Antiqua" w:hAnsi="Book Antiqua"/>
          <w:color w:val="000000" w:themeColor="text1"/>
        </w:rPr>
        <w:t>95%CI</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0.42-1.08)</w:t>
      </w:r>
      <w:r w:rsidR="00647F44"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were significantly improved for the combination compared to everolimus </w:t>
      </w:r>
      <w:proofErr w:type="gramStart"/>
      <w:r w:rsidRPr="000C4B7C">
        <w:rPr>
          <w:rFonts w:ascii="Book Antiqua" w:hAnsi="Book Antiqua"/>
          <w:color w:val="000000" w:themeColor="text1"/>
        </w:rPr>
        <w:t>alone</w:t>
      </w:r>
      <w:r w:rsidR="00647F44" w:rsidRPr="000C4B7C">
        <w:rPr>
          <w:rFonts w:ascii="Book Antiqua" w:hAnsi="Book Antiqua"/>
          <w:noProof/>
          <w:color w:val="000000" w:themeColor="text1"/>
          <w:vertAlign w:val="superscript"/>
        </w:rPr>
        <w:t>[</w:t>
      </w:r>
      <w:proofErr w:type="gramEnd"/>
      <w:r w:rsidR="00647F44" w:rsidRPr="000C4B7C">
        <w:rPr>
          <w:rFonts w:ascii="Book Antiqua" w:hAnsi="Book Antiqua"/>
          <w:noProof/>
          <w:color w:val="000000" w:themeColor="text1"/>
          <w:vertAlign w:val="superscript"/>
        </w:rPr>
        <w:t>41,</w:t>
      </w:r>
      <w:r w:rsidR="00027335" w:rsidRPr="000C4B7C">
        <w:rPr>
          <w:rFonts w:ascii="Book Antiqua" w:hAnsi="Book Antiqua"/>
          <w:noProof/>
          <w:color w:val="000000" w:themeColor="text1"/>
          <w:vertAlign w:val="superscript"/>
        </w:rPr>
        <w:t>69]</w:t>
      </w:r>
      <w:r w:rsidRPr="000C4B7C">
        <w:rPr>
          <w:rFonts w:ascii="Book Antiqua" w:hAnsi="Book Antiqua"/>
          <w:color w:val="000000" w:themeColor="text1"/>
        </w:rPr>
        <w:t>.</w:t>
      </w:r>
    </w:p>
    <w:p w:rsidR="00AE6521" w:rsidRPr="000C4B7C" w:rsidRDefault="00F36844" w:rsidP="000C4B7C">
      <w:pPr>
        <w:autoSpaceDE w:val="0"/>
        <w:autoSpaceDN w:val="0"/>
        <w:adjustRightInd w:val="0"/>
        <w:snapToGrid w:val="0"/>
        <w:spacing w:line="360" w:lineRule="auto"/>
        <w:ind w:firstLineChars="100" w:firstLine="240"/>
        <w:jc w:val="both"/>
        <w:rPr>
          <w:rFonts w:ascii="Book Antiqua" w:hAnsi="Book Antiqua"/>
          <w:color w:val="000000" w:themeColor="text1"/>
        </w:rPr>
      </w:pPr>
      <w:r w:rsidRPr="000C4B7C">
        <w:rPr>
          <w:rFonts w:ascii="Book Antiqua" w:hAnsi="Book Antiqua"/>
          <w:color w:val="000000" w:themeColor="text1"/>
        </w:rPr>
        <w:t xml:space="preserve">Nivolumab plus </w:t>
      </w:r>
      <w:r w:rsidR="00416063" w:rsidRPr="000C4B7C">
        <w:rPr>
          <w:rFonts w:ascii="Book Antiqua" w:hAnsi="Book Antiqua"/>
          <w:color w:val="000000" w:themeColor="text1"/>
        </w:rPr>
        <w:t>i</w:t>
      </w:r>
      <w:r w:rsidR="00AE6521" w:rsidRPr="000C4B7C">
        <w:rPr>
          <w:rFonts w:ascii="Book Antiqua" w:hAnsi="Book Antiqua"/>
          <w:color w:val="000000" w:themeColor="text1"/>
        </w:rPr>
        <w:t>pilimumab</w:t>
      </w:r>
      <w:r w:rsidR="00D7497B" w:rsidRPr="000C4B7C">
        <w:rPr>
          <w:rFonts w:ascii="Book Antiqua" w:hAnsi="Book Antiqua"/>
          <w:color w:val="000000" w:themeColor="text1"/>
        </w:rPr>
        <w:t xml:space="preserve"> is preferred as category 2</w:t>
      </w:r>
      <w:r w:rsidR="00AE6521" w:rsidRPr="000C4B7C">
        <w:rPr>
          <w:rFonts w:ascii="Book Antiqua" w:hAnsi="Book Antiqua"/>
          <w:color w:val="000000" w:themeColor="text1"/>
        </w:rPr>
        <w:t>A in patients who have progressed on one prior systemic therapy. Several other regimes may be recommended in appropriate settings as indic</w:t>
      </w:r>
      <w:r w:rsidR="003E4074" w:rsidRPr="000C4B7C">
        <w:rPr>
          <w:rFonts w:ascii="Book Antiqua" w:hAnsi="Book Antiqua"/>
          <w:color w:val="000000" w:themeColor="text1"/>
        </w:rPr>
        <w:t>a</w:t>
      </w:r>
      <w:r w:rsidR="00AE6521" w:rsidRPr="000C4B7C">
        <w:rPr>
          <w:rFonts w:ascii="Book Antiqua" w:hAnsi="Book Antiqua"/>
          <w:color w:val="000000" w:themeColor="text1"/>
        </w:rPr>
        <w:t>ted</w:t>
      </w:r>
      <w:r w:rsidR="00D7497B" w:rsidRPr="000C4B7C">
        <w:rPr>
          <w:rFonts w:ascii="Book Antiqua" w:hAnsi="Book Antiqua"/>
          <w:color w:val="000000" w:themeColor="text1"/>
        </w:rPr>
        <w:t xml:space="preserve"> in NCCN </w:t>
      </w:r>
      <w:proofErr w:type="gramStart"/>
      <w:r w:rsidR="002F54FA" w:rsidRPr="000C4B7C">
        <w:rPr>
          <w:rFonts w:ascii="Book Antiqua" w:hAnsi="Book Antiqua"/>
          <w:color w:val="000000" w:themeColor="text1"/>
        </w:rPr>
        <w:t>guidelines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51]</w:t>
      </w:r>
      <w:r w:rsidR="00AE6521" w:rsidRPr="000C4B7C">
        <w:rPr>
          <w:rFonts w:ascii="Book Antiqua" w:hAnsi="Book Antiqua"/>
          <w:color w:val="000000" w:themeColor="text1"/>
        </w:rPr>
        <w:t>. Although, single agent everolimus is not used as first or second line therapy, it may be worth considering it in patients with mutation in mTOR pathway</w:t>
      </w:r>
      <w:r w:rsidR="00F01A80" w:rsidRPr="000C4B7C">
        <w:rPr>
          <w:rFonts w:ascii="Book Antiqua" w:hAnsi="Book Antiqua"/>
          <w:color w:val="000000" w:themeColor="text1"/>
        </w:rPr>
        <w:t xml:space="preserve"> </w:t>
      </w:r>
      <w:r w:rsidR="00F534BC" w:rsidRPr="000C4B7C">
        <w:rPr>
          <w:rFonts w:ascii="Book Antiqua" w:hAnsi="Book Antiqua"/>
          <w:color w:val="000000" w:themeColor="text1"/>
        </w:rPr>
        <w:t>but</w:t>
      </w:r>
      <w:r w:rsidR="00AE6521" w:rsidRPr="000C4B7C">
        <w:rPr>
          <w:rFonts w:ascii="Book Antiqua" w:hAnsi="Book Antiqua"/>
          <w:color w:val="000000" w:themeColor="text1"/>
        </w:rPr>
        <w:t xml:space="preserve"> future studies directed at this </w:t>
      </w:r>
      <w:r w:rsidR="003E4074" w:rsidRPr="000C4B7C">
        <w:rPr>
          <w:rFonts w:ascii="Book Antiqua" w:hAnsi="Book Antiqua"/>
          <w:color w:val="000000" w:themeColor="text1"/>
        </w:rPr>
        <w:t xml:space="preserve">strategy </w:t>
      </w:r>
      <w:r w:rsidR="00AE6521" w:rsidRPr="000C4B7C">
        <w:rPr>
          <w:rFonts w:ascii="Book Antiqua" w:hAnsi="Book Antiqua"/>
          <w:color w:val="000000" w:themeColor="text1"/>
        </w:rPr>
        <w:t>are required</w:t>
      </w:r>
      <w:r w:rsidR="00717529" w:rsidRPr="000C4B7C">
        <w:rPr>
          <w:rFonts w:ascii="Book Antiqua" w:hAnsi="Book Antiqua"/>
          <w:noProof/>
          <w:color w:val="000000" w:themeColor="text1"/>
          <w:vertAlign w:val="superscript"/>
        </w:rPr>
        <w:t>[70,</w:t>
      </w:r>
      <w:r w:rsidR="00027335" w:rsidRPr="000C4B7C">
        <w:rPr>
          <w:rFonts w:ascii="Book Antiqua" w:hAnsi="Book Antiqua"/>
          <w:noProof/>
          <w:color w:val="000000" w:themeColor="text1"/>
          <w:vertAlign w:val="superscript"/>
        </w:rPr>
        <w:t>71]</w:t>
      </w:r>
      <w:r w:rsidR="00D7497B" w:rsidRPr="000C4B7C">
        <w:rPr>
          <w:rFonts w:ascii="Book Antiqua" w:hAnsi="Book Antiqua"/>
          <w:color w:val="000000" w:themeColor="text1"/>
        </w:rPr>
        <w:t xml:space="preserve">. </w:t>
      </w:r>
      <w:r w:rsidR="00F534BC" w:rsidRPr="000C4B7C">
        <w:rPr>
          <w:rFonts w:ascii="Book Antiqua" w:hAnsi="Book Antiqua"/>
          <w:color w:val="000000" w:themeColor="text1"/>
        </w:rPr>
        <w:t>However, determining the ideal combination of therapies and the sequence in which they can be used</w:t>
      </w:r>
      <w:r w:rsidR="00F01A80" w:rsidRPr="000C4B7C">
        <w:rPr>
          <w:rFonts w:ascii="Book Antiqua" w:hAnsi="Book Antiqua"/>
          <w:color w:val="000000" w:themeColor="text1"/>
        </w:rPr>
        <w:t xml:space="preserve"> </w:t>
      </w:r>
      <w:r w:rsidR="00F534BC" w:rsidRPr="000C4B7C">
        <w:rPr>
          <w:rFonts w:ascii="Book Antiqua" w:hAnsi="Book Antiqua"/>
          <w:color w:val="000000" w:themeColor="text1"/>
        </w:rPr>
        <w:t>remains an area for exploration.</w:t>
      </w:r>
    </w:p>
    <w:p w:rsidR="004D150F" w:rsidRPr="000C4B7C" w:rsidRDefault="004D150F" w:rsidP="000C4B7C">
      <w:pPr>
        <w:autoSpaceDE w:val="0"/>
        <w:autoSpaceDN w:val="0"/>
        <w:adjustRightInd w:val="0"/>
        <w:snapToGrid w:val="0"/>
        <w:spacing w:line="360" w:lineRule="auto"/>
        <w:jc w:val="both"/>
        <w:rPr>
          <w:rFonts w:ascii="Book Antiqua" w:hAnsi="Book Antiqua"/>
          <w:color w:val="000000" w:themeColor="text1"/>
        </w:rPr>
      </w:pPr>
    </w:p>
    <w:p w:rsidR="00AE6521" w:rsidRPr="000C4B7C" w:rsidRDefault="00AE6521" w:rsidP="000C4B7C">
      <w:pPr>
        <w:adjustRightInd w:val="0"/>
        <w:snapToGrid w:val="0"/>
        <w:spacing w:line="360" w:lineRule="auto"/>
        <w:jc w:val="both"/>
        <w:rPr>
          <w:rFonts w:ascii="Book Antiqua" w:hAnsi="Book Antiqua"/>
          <w:b/>
          <w:i/>
          <w:color w:val="000000" w:themeColor="text1"/>
        </w:rPr>
      </w:pPr>
      <w:r w:rsidRPr="000C4B7C">
        <w:rPr>
          <w:rFonts w:ascii="Book Antiqua" w:hAnsi="Book Antiqua"/>
          <w:b/>
          <w:i/>
          <w:color w:val="000000" w:themeColor="text1"/>
        </w:rPr>
        <w:t>Biomarkers</w:t>
      </w:r>
    </w:p>
    <w:p w:rsidR="00080CC9" w:rsidRPr="000C4B7C" w:rsidRDefault="3BC9D2CA"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Development of a</w:t>
      </w:r>
      <w:r w:rsidR="00287756" w:rsidRPr="000C4B7C">
        <w:rPr>
          <w:rFonts w:ascii="Book Antiqua" w:hAnsi="Book Antiqua"/>
          <w:color w:val="000000" w:themeColor="text1"/>
        </w:rPr>
        <w:t xml:space="preserve"> sensitive biomarker </w:t>
      </w:r>
      <w:r w:rsidR="00CA4ABA" w:rsidRPr="000C4B7C">
        <w:rPr>
          <w:rFonts w:ascii="Book Antiqua" w:hAnsi="Book Antiqua"/>
          <w:color w:val="000000" w:themeColor="text1"/>
        </w:rPr>
        <w:t xml:space="preserve">would </w:t>
      </w:r>
      <w:r w:rsidR="00287756" w:rsidRPr="000C4B7C">
        <w:rPr>
          <w:rFonts w:ascii="Book Antiqua" w:hAnsi="Book Antiqua"/>
          <w:color w:val="000000" w:themeColor="text1"/>
        </w:rPr>
        <w:t>help to formulate an</w:t>
      </w:r>
      <w:r w:rsidRPr="000C4B7C">
        <w:rPr>
          <w:rFonts w:ascii="Book Antiqua" w:hAnsi="Book Antiqua"/>
          <w:color w:val="000000" w:themeColor="text1"/>
        </w:rPr>
        <w:t xml:space="preserve"> efficacious therapeutic course, and to prognosticate </w:t>
      </w:r>
      <w:proofErr w:type="gramStart"/>
      <w:r w:rsidRPr="000C4B7C">
        <w:rPr>
          <w:rFonts w:ascii="Book Antiqua" w:hAnsi="Book Antiqua"/>
          <w:color w:val="000000" w:themeColor="text1"/>
        </w:rPr>
        <w:t>outcomes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72]</w:t>
      </w:r>
      <w:r w:rsidRPr="000C4B7C">
        <w:rPr>
          <w:rFonts w:ascii="Book Antiqua" w:hAnsi="Book Antiqua"/>
          <w:color w:val="000000" w:themeColor="text1"/>
        </w:rPr>
        <w:t>. While prognostic biomarkers play a role in forecasting patient outcomes, predictive biomarkers identify the best treatment options with the fewest adverse effects and toxicities. Given that</w:t>
      </w:r>
      <w:r w:rsidR="00F01A80" w:rsidRPr="000C4B7C">
        <w:rPr>
          <w:rFonts w:ascii="Book Antiqua" w:hAnsi="Book Antiqua"/>
          <w:color w:val="000000" w:themeColor="text1"/>
        </w:rPr>
        <w:t xml:space="preserve"> </w:t>
      </w:r>
      <w:r w:rsidRPr="000C4B7C">
        <w:rPr>
          <w:rFonts w:ascii="Book Antiqua" w:hAnsi="Book Antiqua"/>
          <w:color w:val="000000" w:themeColor="text1"/>
        </w:rPr>
        <w:t>many</w:t>
      </w:r>
      <w:r w:rsidR="00F01A80" w:rsidRPr="000C4B7C">
        <w:rPr>
          <w:rFonts w:ascii="Book Antiqua" w:hAnsi="Book Antiqua"/>
          <w:color w:val="000000" w:themeColor="text1"/>
        </w:rPr>
        <w:t xml:space="preserve"> </w:t>
      </w:r>
      <w:r w:rsidRPr="000C4B7C">
        <w:rPr>
          <w:rFonts w:ascii="Book Antiqua" w:hAnsi="Book Antiqua"/>
          <w:color w:val="000000" w:themeColor="text1"/>
        </w:rPr>
        <w:t>ccRCC cases are diagnosed in the advanced or metastatic stage, development of validated and reliable biomarkers is a crucial goal. To date, perhaps, the IMDC model remains the single</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most validated clinical prognostic model in mRCC. It is used for patient counseling, risk stratification in clinical trials, and treatment selection. Although several biomarkers have been the focus of recent research, no single other biomarker has been validated for use in </w:t>
      </w:r>
      <w:proofErr w:type="gramStart"/>
      <w:r w:rsidRPr="000C4B7C">
        <w:rPr>
          <w:rFonts w:ascii="Book Antiqua" w:hAnsi="Book Antiqua"/>
          <w:color w:val="000000" w:themeColor="text1"/>
        </w:rPr>
        <w:t>ccRCC</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73]</w:t>
      </w:r>
      <w:r w:rsidRPr="000C4B7C">
        <w:rPr>
          <w:rFonts w:ascii="Book Antiqua" w:hAnsi="Book Antiqua"/>
          <w:color w:val="000000" w:themeColor="text1"/>
        </w:rPr>
        <w:t>. Therefore, several biomarkers are used in combination to generate</w:t>
      </w:r>
      <w:r w:rsidR="00F01A80" w:rsidRPr="000C4B7C">
        <w:rPr>
          <w:rFonts w:ascii="Book Antiqua" w:hAnsi="Book Antiqua"/>
          <w:color w:val="000000" w:themeColor="text1"/>
        </w:rPr>
        <w:t xml:space="preserve"> </w:t>
      </w:r>
      <w:r w:rsidRPr="000C4B7C">
        <w:rPr>
          <w:rFonts w:ascii="Book Antiqua" w:hAnsi="Book Antiqua"/>
          <w:color w:val="000000" w:themeColor="text1"/>
        </w:rPr>
        <w:t xml:space="preserve">a patient tailored approach. </w:t>
      </w:r>
    </w:p>
    <w:p w:rsidR="00D11272" w:rsidRPr="000C4B7C" w:rsidRDefault="0045386C"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lastRenderedPageBreak/>
        <w:t>PD-L1 expression</w:t>
      </w:r>
      <w:r w:rsidR="00AE6521" w:rsidRPr="000C4B7C">
        <w:rPr>
          <w:rFonts w:ascii="Book Antiqua" w:hAnsi="Book Antiqua"/>
          <w:color w:val="000000" w:themeColor="text1"/>
        </w:rPr>
        <w:t xml:space="preserve"> continues to be </w:t>
      </w:r>
      <w:r w:rsidR="00F37CFF" w:rsidRPr="000C4B7C">
        <w:rPr>
          <w:rFonts w:ascii="Book Antiqua" w:hAnsi="Book Antiqua"/>
          <w:color w:val="000000" w:themeColor="text1"/>
        </w:rPr>
        <w:t xml:space="preserve">a </w:t>
      </w:r>
      <w:r w:rsidR="00AE6521" w:rsidRPr="000C4B7C">
        <w:rPr>
          <w:rFonts w:ascii="Book Antiqua" w:hAnsi="Book Antiqua"/>
          <w:color w:val="000000" w:themeColor="text1"/>
        </w:rPr>
        <w:t xml:space="preserve">potential biomarker of clinical </w:t>
      </w:r>
      <w:proofErr w:type="gramStart"/>
      <w:r w:rsidR="00AE6521" w:rsidRPr="000C4B7C">
        <w:rPr>
          <w:rFonts w:ascii="Book Antiqua" w:hAnsi="Book Antiqua"/>
          <w:color w:val="000000" w:themeColor="text1"/>
        </w:rPr>
        <w:t>interest</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74]</w:t>
      </w:r>
      <w:r w:rsidR="00D7497B" w:rsidRPr="000C4B7C">
        <w:rPr>
          <w:rFonts w:ascii="Book Antiqua" w:hAnsi="Book Antiqua"/>
          <w:color w:val="000000" w:themeColor="text1"/>
        </w:rPr>
        <w:t>.</w:t>
      </w:r>
      <w:r w:rsidR="002C78DA" w:rsidRPr="000C4B7C">
        <w:rPr>
          <w:rFonts w:ascii="Book Antiqua" w:hAnsi="Book Antiqua"/>
          <w:color w:val="000000" w:themeColor="text1"/>
          <w:lang w:eastAsia="zh-CN"/>
        </w:rPr>
        <w:t xml:space="preserve"> </w:t>
      </w:r>
      <w:r w:rsidR="00F37CFF" w:rsidRPr="000C4B7C">
        <w:rPr>
          <w:rFonts w:ascii="Book Antiqua" w:hAnsi="Book Antiqua"/>
          <w:color w:val="000000" w:themeColor="text1"/>
        </w:rPr>
        <w:t xml:space="preserve">However, </w:t>
      </w:r>
      <w:r w:rsidR="00AE6521" w:rsidRPr="000C4B7C">
        <w:rPr>
          <w:rFonts w:ascii="Book Antiqua" w:hAnsi="Book Antiqua"/>
          <w:color w:val="000000" w:themeColor="text1"/>
        </w:rPr>
        <w:t>in the Check</w:t>
      </w:r>
      <w:r w:rsidR="00AB31BD" w:rsidRPr="000C4B7C">
        <w:rPr>
          <w:rFonts w:ascii="Book Antiqua" w:hAnsi="Book Antiqua"/>
          <w:color w:val="000000" w:themeColor="text1"/>
        </w:rPr>
        <w:t>M</w:t>
      </w:r>
      <w:r w:rsidR="00AE6521" w:rsidRPr="000C4B7C">
        <w:rPr>
          <w:rFonts w:ascii="Book Antiqua" w:hAnsi="Book Antiqua"/>
          <w:color w:val="000000" w:themeColor="text1"/>
        </w:rPr>
        <w:t xml:space="preserve">ate 025, a phase II trial, a positive response was observed with </w:t>
      </w:r>
      <w:r w:rsidR="00D7497B" w:rsidRPr="000C4B7C">
        <w:rPr>
          <w:rFonts w:ascii="Book Antiqua" w:hAnsi="Book Antiqua"/>
          <w:color w:val="000000" w:themeColor="text1"/>
        </w:rPr>
        <w:t>n</w:t>
      </w:r>
      <w:r w:rsidR="00AE6521" w:rsidRPr="000C4B7C">
        <w:rPr>
          <w:rFonts w:ascii="Book Antiqua" w:hAnsi="Book Antiqua"/>
          <w:color w:val="000000" w:themeColor="text1"/>
        </w:rPr>
        <w:t>ivolumab irrespective of PD-L1 expression. This was postulated to be related to vari</w:t>
      </w:r>
      <w:r w:rsidR="00D7497B" w:rsidRPr="000C4B7C">
        <w:rPr>
          <w:rFonts w:ascii="Book Antiqua" w:hAnsi="Book Antiqua"/>
          <w:color w:val="000000" w:themeColor="text1"/>
        </w:rPr>
        <w:t>ation in histologic subclasses.</w:t>
      </w:r>
      <w:r w:rsidR="00AE6521" w:rsidRPr="000C4B7C">
        <w:rPr>
          <w:rFonts w:ascii="Book Antiqua" w:hAnsi="Book Antiqua"/>
          <w:color w:val="000000" w:themeColor="text1"/>
        </w:rPr>
        <w:t xml:space="preserve"> In Che</w:t>
      </w:r>
      <w:r w:rsidR="00D7497B" w:rsidRPr="000C4B7C">
        <w:rPr>
          <w:rFonts w:ascii="Book Antiqua" w:hAnsi="Book Antiqua"/>
          <w:color w:val="000000" w:themeColor="text1"/>
        </w:rPr>
        <w:t>ck</w:t>
      </w:r>
      <w:r w:rsidR="00AB31BD" w:rsidRPr="000C4B7C">
        <w:rPr>
          <w:rFonts w:ascii="Book Antiqua" w:hAnsi="Book Antiqua"/>
          <w:color w:val="000000" w:themeColor="text1"/>
        </w:rPr>
        <w:t>M</w:t>
      </w:r>
      <w:r w:rsidR="00D7497B" w:rsidRPr="000C4B7C">
        <w:rPr>
          <w:rFonts w:ascii="Book Antiqua" w:hAnsi="Book Antiqua"/>
          <w:color w:val="000000" w:themeColor="text1"/>
        </w:rPr>
        <w:t>ate 214</w:t>
      </w:r>
      <w:r w:rsidR="00AE6521" w:rsidRPr="000C4B7C">
        <w:rPr>
          <w:rFonts w:ascii="Book Antiqua" w:hAnsi="Book Antiqua"/>
          <w:color w:val="000000" w:themeColor="text1"/>
        </w:rPr>
        <w:t xml:space="preserve">, phase II study of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2F54FA" w:rsidRPr="000C4B7C">
        <w:rPr>
          <w:rFonts w:ascii="Book Antiqua" w:hAnsi="Book Antiqua"/>
          <w:color w:val="000000" w:themeColor="text1"/>
        </w:rPr>
        <w:t xml:space="preserve">pilimumab </w:t>
      </w:r>
      <w:r w:rsidR="00FF43B4" w:rsidRPr="000C4B7C">
        <w:rPr>
          <w:rFonts w:ascii="Book Antiqua" w:hAnsi="Book Antiqua"/>
          <w:i/>
          <w:color w:val="000000" w:themeColor="text1"/>
        </w:rPr>
        <w:t>vs</w:t>
      </w:r>
      <w:r w:rsidR="00FF43B4" w:rsidRPr="000C4B7C">
        <w:rPr>
          <w:rFonts w:ascii="Book Antiqua" w:hAnsi="Book Antiqua"/>
          <w:i/>
          <w:color w:val="000000" w:themeColor="text1"/>
          <w:lang w:eastAsia="zh-CN"/>
        </w:rPr>
        <w:t xml:space="preserve"> </w:t>
      </w:r>
      <w:r w:rsidR="00D7497B" w:rsidRPr="000C4B7C">
        <w:rPr>
          <w:rFonts w:ascii="Book Antiqua" w:hAnsi="Book Antiqua"/>
          <w:color w:val="000000" w:themeColor="text1"/>
        </w:rPr>
        <w:t>s</w:t>
      </w:r>
      <w:r w:rsidR="00AE6521" w:rsidRPr="000C4B7C">
        <w:rPr>
          <w:rFonts w:ascii="Book Antiqua" w:hAnsi="Book Antiqua"/>
          <w:color w:val="000000" w:themeColor="text1"/>
        </w:rPr>
        <w:t xml:space="preserve">unitinib, a longer median PFS was observed in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AE6521" w:rsidRPr="000C4B7C">
        <w:rPr>
          <w:rFonts w:ascii="Book Antiqua" w:hAnsi="Book Antiqua"/>
          <w:color w:val="000000" w:themeColor="text1"/>
        </w:rPr>
        <w:t>pilimumab treated subjects with 1</w:t>
      </w:r>
      <w:r w:rsidR="00D7497B" w:rsidRPr="000C4B7C">
        <w:rPr>
          <w:rFonts w:ascii="Book Antiqua" w:hAnsi="Book Antiqua"/>
          <w:color w:val="000000" w:themeColor="text1"/>
        </w:rPr>
        <w:t>% or greater PD-L1 expression (</w:t>
      </w:r>
      <w:r w:rsidR="002F54FA" w:rsidRPr="000C4B7C">
        <w:rPr>
          <w:rFonts w:ascii="Book Antiqua" w:hAnsi="Book Antiqua"/>
          <w:color w:val="000000" w:themeColor="text1"/>
        </w:rPr>
        <w:t xml:space="preserve">22.8 </w:t>
      </w:r>
      <w:r w:rsidR="00DF0CBD" w:rsidRPr="000C4B7C">
        <w:rPr>
          <w:rFonts w:ascii="Book Antiqua" w:hAnsi="Book Antiqua"/>
          <w:color w:val="000000" w:themeColor="text1"/>
        </w:rPr>
        <w:t>mo</w:t>
      </w:r>
      <w:r w:rsidR="00DF0CBD"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2F54FA" w:rsidRPr="000C4B7C">
        <w:rPr>
          <w:rFonts w:ascii="Book Antiqua" w:hAnsi="Book Antiqua"/>
          <w:color w:val="000000" w:themeColor="text1"/>
        </w:rPr>
        <w:t xml:space="preserve"> 5.9 </w:t>
      </w:r>
      <w:r w:rsidR="007167C0" w:rsidRPr="000C4B7C">
        <w:rPr>
          <w:rFonts w:ascii="Book Antiqua" w:hAnsi="Book Antiqua"/>
          <w:color w:val="000000" w:themeColor="text1"/>
        </w:rPr>
        <w:t>mo</w:t>
      </w:r>
      <w:r w:rsidR="00AE6521" w:rsidRPr="000C4B7C">
        <w:rPr>
          <w:rFonts w:ascii="Book Antiqua" w:hAnsi="Book Antiqua"/>
          <w:color w:val="000000" w:themeColor="text1"/>
        </w:rPr>
        <w:t>) but not in those with less than 1% PD-L1 expressi</w:t>
      </w:r>
      <w:r w:rsidR="002F54FA" w:rsidRPr="000C4B7C">
        <w:rPr>
          <w:rFonts w:ascii="Book Antiqua" w:hAnsi="Book Antiqua"/>
          <w:color w:val="000000" w:themeColor="text1"/>
        </w:rPr>
        <w:t xml:space="preserve">on (11 </w:t>
      </w:r>
      <w:r w:rsidR="00DF0CBD" w:rsidRPr="000C4B7C">
        <w:rPr>
          <w:rFonts w:ascii="Book Antiqua" w:hAnsi="Book Antiqua"/>
          <w:color w:val="000000" w:themeColor="text1"/>
        </w:rPr>
        <w:t>mo</w:t>
      </w:r>
      <w:r w:rsidR="00DF0CBD" w:rsidRPr="000C4B7C">
        <w:rPr>
          <w:rFonts w:ascii="Book Antiqua" w:hAnsi="Book Antiqua"/>
          <w:i/>
          <w:color w:val="000000" w:themeColor="text1"/>
        </w:rPr>
        <w:t xml:space="preserve"> </w:t>
      </w:r>
      <w:r w:rsidR="00FF43B4" w:rsidRPr="000C4B7C">
        <w:rPr>
          <w:rFonts w:ascii="Book Antiqua" w:hAnsi="Book Antiqua"/>
          <w:i/>
          <w:color w:val="000000" w:themeColor="text1"/>
        </w:rPr>
        <w:t>vs</w:t>
      </w:r>
      <w:r w:rsidR="002F54FA" w:rsidRPr="000C4B7C">
        <w:rPr>
          <w:rFonts w:ascii="Book Antiqua" w:hAnsi="Book Antiqua"/>
          <w:color w:val="000000" w:themeColor="text1"/>
        </w:rPr>
        <w:t xml:space="preserve"> 10.4 </w:t>
      </w:r>
      <w:r w:rsidR="007167C0" w:rsidRPr="000C4B7C">
        <w:rPr>
          <w:rFonts w:ascii="Book Antiqua" w:hAnsi="Book Antiqua"/>
          <w:color w:val="000000" w:themeColor="text1"/>
        </w:rPr>
        <w:t>mo</w:t>
      </w:r>
      <w:r w:rsidR="00AE6521" w:rsidRPr="000C4B7C">
        <w:rPr>
          <w:rFonts w:ascii="Book Antiqua" w:hAnsi="Book Antiqua"/>
          <w:color w:val="000000" w:themeColor="text1"/>
        </w:rPr>
        <w:t xml:space="preserve">). Similar result was observed among patients with </w:t>
      </w:r>
      <w:r w:rsidR="00DF0CBD"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5% or &lt; 5% PD-L1 expression. </w:t>
      </w:r>
      <w:r w:rsidR="003E4074" w:rsidRPr="000C4B7C">
        <w:rPr>
          <w:rFonts w:ascii="Book Antiqua" w:hAnsi="Book Antiqua"/>
          <w:color w:val="000000" w:themeColor="text1"/>
        </w:rPr>
        <w:t>A</w:t>
      </w:r>
      <w:r w:rsidR="00AE6521" w:rsidRPr="000C4B7C">
        <w:rPr>
          <w:rFonts w:ascii="Book Antiqua" w:hAnsi="Book Antiqua"/>
          <w:color w:val="000000" w:themeColor="text1"/>
        </w:rPr>
        <w:t xml:space="preserve"> higher ORR was observed with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AE6521" w:rsidRPr="000C4B7C">
        <w:rPr>
          <w:rFonts w:ascii="Book Antiqua" w:hAnsi="Book Antiqua"/>
          <w:color w:val="000000" w:themeColor="text1"/>
        </w:rPr>
        <w:t>pilimum</w:t>
      </w:r>
      <w:r w:rsidR="002F54FA" w:rsidRPr="000C4B7C">
        <w:rPr>
          <w:rFonts w:ascii="Book Antiqua" w:hAnsi="Book Antiqua"/>
          <w:color w:val="000000" w:themeColor="text1"/>
        </w:rPr>
        <w:t xml:space="preserve">ab across all patient groups </w:t>
      </w:r>
      <w:r w:rsidR="00FF43B4" w:rsidRPr="000C4B7C">
        <w:rPr>
          <w:rFonts w:ascii="Book Antiqua" w:hAnsi="Book Antiqua"/>
          <w:i/>
          <w:color w:val="000000" w:themeColor="text1"/>
        </w:rPr>
        <w:t>vs</w:t>
      </w:r>
      <w:r w:rsidR="00D1422A" w:rsidRPr="000C4B7C">
        <w:rPr>
          <w:rFonts w:ascii="Book Antiqua" w:hAnsi="Book Antiqua"/>
          <w:i/>
          <w:color w:val="000000" w:themeColor="text1"/>
          <w:lang w:eastAsia="zh-CN"/>
        </w:rPr>
        <w:t xml:space="preserve"> </w:t>
      </w:r>
      <w:r w:rsidR="00D7497B" w:rsidRPr="000C4B7C">
        <w:rPr>
          <w:rFonts w:ascii="Book Antiqua" w:hAnsi="Book Antiqua"/>
          <w:color w:val="000000" w:themeColor="text1"/>
        </w:rPr>
        <w:t>s</w:t>
      </w:r>
      <w:r w:rsidR="00AE6521" w:rsidRPr="000C4B7C">
        <w:rPr>
          <w:rFonts w:ascii="Book Antiqua" w:hAnsi="Book Antiqua"/>
          <w:color w:val="000000" w:themeColor="text1"/>
        </w:rPr>
        <w:t>unitinib but the response was more robust in patients with</w:t>
      </w:r>
      <w:r w:rsidR="00D1422A" w:rsidRPr="000C4B7C">
        <w:rPr>
          <w:rFonts w:ascii="Book Antiqua" w:hAnsi="Book Antiqua"/>
          <w:color w:val="000000" w:themeColor="text1"/>
        </w:rPr>
        <w:t xml:space="preserve"> 1% or greater PD-L1 expression</w:t>
      </w:r>
      <w:r w:rsidR="00AE6521" w:rsidRPr="000C4B7C">
        <w:rPr>
          <w:rFonts w:ascii="Book Antiqua" w:hAnsi="Book Antiqua"/>
          <w:color w:val="000000" w:themeColor="text1"/>
        </w:rPr>
        <w:t xml:space="preserve"> (58% with </w:t>
      </w:r>
      <w:r w:rsidR="00F36844" w:rsidRPr="000C4B7C">
        <w:rPr>
          <w:rFonts w:ascii="Book Antiqua" w:hAnsi="Book Antiqua"/>
          <w:color w:val="000000" w:themeColor="text1"/>
        </w:rPr>
        <w:t xml:space="preserve">nivolumab plus </w:t>
      </w:r>
      <w:r w:rsidR="00D7497B" w:rsidRPr="000C4B7C">
        <w:rPr>
          <w:rFonts w:ascii="Book Antiqua" w:hAnsi="Book Antiqua"/>
          <w:color w:val="000000" w:themeColor="text1"/>
        </w:rPr>
        <w:t>i</w:t>
      </w:r>
      <w:r w:rsidR="002F54FA" w:rsidRPr="000C4B7C">
        <w:rPr>
          <w:rFonts w:ascii="Book Antiqua" w:hAnsi="Book Antiqua"/>
          <w:color w:val="000000" w:themeColor="text1"/>
        </w:rPr>
        <w:t xml:space="preserve">pilimumab </w:t>
      </w:r>
      <w:r w:rsidR="00FF43B4" w:rsidRPr="000C4B7C">
        <w:rPr>
          <w:rFonts w:ascii="Book Antiqua" w:hAnsi="Book Antiqua"/>
          <w:i/>
          <w:color w:val="000000" w:themeColor="text1"/>
        </w:rPr>
        <w:t>vs</w:t>
      </w:r>
      <w:r w:rsidR="00AE6521" w:rsidRPr="000C4B7C">
        <w:rPr>
          <w:rFonts w:ascii="Book Antiqua" w:hAnsi="Book Antiqua"/>
          <w:color w:val="000000" w:themeColor="text1"/>
        </w:rPr>
        <w:t xml:space="preserve"> 22% with </w:t>
      </w:r>
      <w:r w:rsidR="00D7497B" w:rsidRPr="000C4B7C">
        <w:rPr>
          <w:rFonts w:ascii="Book Antiqua" w:hAnsi="Book Antiqua"/>
          <w:color w:val="000000" w:themeColor="text1"/>
        </w:rPr>
        <w:t>s</w:t>
      </w:r>
      <w:r w:rsidR="00AE6521" w:rsidRPr="000C4B7C">
        <w:rPr>
          <w:rFonts w:ascii="Book Antiqua" w:hAnsi="Book Antiqua"/>
          <w:color w:val="000000" w:themeColor="text1"/>
        </w:rPr>
        <w:t>unitinib) compared with those with less than 1%</w:t>
      </w:r>
      <w:r w:rsidR="002F54FA" w:rsidRPr="000C4B7C">
        <w:rPr>
          <w:rFonts w:ascii="Book Antiqua" w:hAnsi="Book Antiqua"/>
          <w:color w:val="000000" w:themeColor="text1"/>
        </w:rPr>
        <w:t xml:space="preserve"> PD-L1 expression (37% </w:t>
      </w:r>
      <w:r w:rsidR="00FF43B4" w:rsidRPr="000C4B7C">
        <w:rPr>
          <w:rFonts w:ascii="Book Antiqua" w:hAnsi="Book Antiqua"/>
          <w:i/>
          <w:color w:val="000000" w:themeColor="text1"/>
        </w:rPr>
        <w:t>vs</w:t>
      </w:r>
      <w:r w:rsidR="00D7497B" w:rsidRPr="000C4B7C">
        <w:rPr>
          <w:rFonts w:ascii="Book Antiqua" w:hAnsi="Book Antiqua"/>
          <w:color w:val="000000" w:themeColor="text1"/>
        </w:rPr>
        <w:t xml:space="preserve"> 28%)</w:t>
      </w:r>
      <w:r w:rsidR="00CA18F1" w:rsidRPr="000C4B7C">
        <w:rPr>
          <w:rFonts w:ascii="Book Antiqua" w:hAnsi="Book Antiqua"/>
          <w:noProof/>
          <w:color w:val="000000" w:themeColor="text1"/>
          <w:vertAlign w:val="superscript"/>
        </w:rPr>
        <w:t>[66,</w:t>
      </w:r>
      <w:r w:rsidR="00027335" w:rsidRPr="000C4B7C">
        <w:rPr>
          <w:rFonts w:ascii="Book Antiqua" w:hAnsi="Book Antiqua"/>
          <w:noProof/>
          <w:color w:val="000000" w:themeColor="text1"/>
          <w:vertAlign w:val="superscript"/>
        </w:rPr>
        <w:t>74]</w:t>
      </w:r>
      <w:r w:rsidR="00D7497B" w:rsidRPr="000C4B7C">
        <w:rPr>
          <w:rFonts w:ascii="Book Antiqua" w:hAnsi="Book Antiqua"/>
          <w:color w:val="000000" w:themeColor="text1"/>
        </w:rPr>
        <w:t>.</w:t>
      </w:r>
      <w:r w:rsidR="006344E9"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In IMmotion 151, phase III study, with </w:t>
      </w:r>
      <w:r w:rsidR="001C2D89" w:rsidRPr="000C4B7C">
        <w:rPr>
          <w:rFonts w:ascii="Book Antiqua" w:hAnsi="Book Antiqua"/>
          <w:color w:val="000000" w:themeColor="text1"/>
          <w:shd w:val="clear" w:color="auto" w:fill="FFFFFF"/>
        </w:rPr>
        <w:t>a</w:t>
      </w:r>
      <w:r w:rsidR="00AE6521" w:rsidRPr="000C4B7C">
        <w:rPr>
          <w:rFonts w:ascii="Book Antiqua" w:hAnsi="Book Antiqua"/>
          <w:color w:val="000000" w:themeColor="text1"/>
          <w:shd w:val="clear" w:color="auto" w:fill="FFFFFF"/>
        </w:rPr>
        <w:t>tezolizumab (PD-L1 inhibitor)</w:t>
      </w:r>
      <w:r w:rsidR="00F36844" w:rsidRPr="000C4B7C">
        <w:rPr>
          <w:rFonts w:ascii="Book Antiqua" w:hAnsi="Book Antiqua"/>
          <w:color w:val="000000" w:themeColor="text1"/>
          <w:shd w:val="clear" w:color="auto" w:fill="FFFFFF"/>
        </w:rPr>
        <w:t xml:space="preserve"> plus </w:t>
      </w:r>
      <w:r w:rsidR="001C2D89" w:rsidRPr="000C4B7C">
        <w:rPr>
          <w:rFonts w:ascii="Book Antiqua" w:hAnsi="Book Antiqua"/>
          <w:color w:val="000000" w:themeColor="text1"/>
        </w:rPr>
        <w:t>b</w:t>
      </w:r>
      <w:r w:rsidR="00535E5C" w:rsidRPr="000C4B7C">
        <w:rPr>
          <w:rFonts w:ascii="Book Antiqua" w:hAnsi="Book Antiqua"/>
          <w:color w:val="000000" w:themeColor="text1"/>
        </w:rPr>
        <w:t xml:space="preserve">evacizumab (VEGF inhibitor) </w:t>
      </w:r>
      <w:r w:rsidR="00FF43B4" w:rsidRPr="000C4B7C">
        <w:rPr>
          <w:rFonts w:ascii="Book Antiqua" w:hAnsi="Book Antiqua"/>
          <w:i/>
          <w:color w:val="000000" w:themeColor="text1"/>
        </w:rPr>
        <w:t>vs</w:t>
      </w:r>
      <w:r w:rsidR="00D1422A" w:rsidRPr="000C4B7C">
        <w:rPr>
          <w:rFonts w:ascii="Book Antiqua" w:hAnsi="Book Antiqua"/>
          <w:i/>
          <w:color w:val="000000" w:themeColor="text1"/>
          <w:lang w:eastAsia="zh-CN"/>
        </w:rPr>
        <w:t xml:space="preserve"> </w:t>
      </w:r>
      <w:r w:rsidR="001C2D89" w:rsidRPr="000C4B7C">
        <w:rPr>
          <w:rFonts w:ascii="Book Antiqua" w:hAnsi="Book Antiqua"/>
          <w:color w:val="000000" w:themeColor="text1"/>
        </w:rPr>
        <w:t>s</w:t>
      </w:r>
      <w:r w:rsidR="00AE6521" w:rsidRPr="000C4B7C">
        <w:rPr>
          <w:rFonts w:ascii="Book Antiqua" w:hAnsi="Book Antiqua"/>
          <w:color w:val="000000" w:themeColor="text1"/>
        </w:rPr>
        <w:t>unitinib, patients were stratifie</w:t>
      </w:r>
      <w:r w:rsidR="003E4074" w:rsidRPr="000C4B7C">
        <w:rPr>
          <w:rFonts w:ascii="Book Antiqua" w:hAnsi="Book Antiqua"/>
          <w:color w:val="000000" w:themeColor="text1"/>
        </w:rPr>
        <w:t>d</w:t>
      </w:r>
      <w:r w:rsidR="00AE6521" w:rsidRPr="000C4B7C">
        <w:rPr>
          <w:rFonts w:ascii="Book Antiqua" w:hAnsi="Book Antiqua"/>
          <w:color w:val="000000" w:themeColor="text1"/>
        </w:rPr>
        <w:t xml:space="preserve"> by their PD-L1 expression (&lt; than 1% </w:t>
      </w:r>
      <w:r w:rsidR="00AE6521" w:rsidRPr="000C4B7C">
        <w:rPr>
          <w:rFonts w:ascii="Book Antiqua" w:hAnsi="Book Antiqua"/>
          <w:i/>
          <w:color w:val="000000" w:themeColor="text1"/>
        </w:rPr>
        <w:t>vs</w:t>
      </w:r>
      <w:r w:rsidR="00CA18F1" w:rsidRPr="000C4B7C">
        <w:rPr>
          <w:rFonts w:ascii="Book Antiqua" w:hAnsi="Book Antiqua"/>
          <w:i/>
          <w:color w:val="000000" w:themeColor="text1"/>
          <w:lang w:eastAsia="zh-CN"/>
        </w:rPr>
        <w:t xml:space="preserve"> </w:t>
      </w:r>
      <w:r w:rsidR="00CA18F1"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1% expression). Patients with clear cell as well as sarcomatoid histology were included. The two treatment arms were PD-L1 </w:t>
      </w:r>
      <w:r w:rsidR="002E3F3A" w:rsidRPr="000C4B7C">
        <w:rPr>
          <w:rFonts w:ascii="Book Antiqua" w:hAnsi="Book Antiqua"/>
          <w:color w:val="000000" w:themeColor="text1"/>
          <w:lang w:eastAsia="zh-CN"/>
        </w:rPr>
        <w:t xml:space="preserve">≥ </w:t>
      </w:r>
      <w:r w:rsidR="00AE6521" w:rsidRPr="000C4B7C">
        <w:rPr>
          <w:rFonts w:ascii="Book Antiqua" w:hAnsi="Book Antiqua"/>
          <w:color w:val="000000" w:themeColor="text1"/>
        </w:rPr>
        <w:t xml:space="preserve">1% and the entire ITT population. A higher PFS was noted in both groups compared with </w:t>
      </w:r>
      <w:r w:rsidR="001C2D89" w:rsidRPr="000C4B7C">
        <w:rPr>
          <w:rFonts w:ascii="Book Antiqua" w:hAnsi="Book Antiqua"/>
          <w:color w:val="000000" w:themeColor="text1"/>
        </w:rPr>
        <w:t>s</w:t>
      </w:r>
      <w:r w:rsidR="00AE6521" w:rsidRPr="000C4B7C">
        <w:rPr>
          <w:rFonts w:ascii="Book Antiqua" w:hAnsi="Book Antiqua"/>
          <w:color w:val="000000" w:themeColor="text1"/>
        </w:rPr>
        <w:t>unitin</w:t>
      </w:r>
      <w:r w:rsidR="00535E5C" w:rsidRPr="000C4B7C">
        <w:rPr>
          <w:rFonts w:ascii="Book Antiqua" w:hAnsi="Book Antiqua"/>
          <w:color w:val="000000" w:themeColor="text1"/>
        </w:rPr>
        <w:t>i</w:t>
      </w:r>
      <w:r w:rsidR="00AE6521" w:rsidRPr="000C4B7C">
        <w:rPr>
          <w:rFonts w:ascii="Book Antiqua" w:hAnsi="Book Antiqua"/>
          <w:color w:val="000000" w:themeColor="text1"/>
        </w:rPr>
        <w:t>b. The response was higher in PD-L1 positive patients (but the difference was small). Higher PFS was observed in patie</w:t>
      </w:r>
      <w:r w:rsidR="00535E5C" w:rsidRPr="000C4B7C">
        <w:rPr>
          <w:rFonts w:ascii="Book Antiqua" w:hAnsi="Book Antiqua"/>
          <w:color w:val="000000" w:themeColor="text1"/>
        </w:rPr>
        <w:t>nts with sarcomatoid</w:t>
      </w:r>
      <w:r w:rsidR="00F01A80" w:rsidRPr="000C4B7C">
        <w:rPr>
          <w:rFonts w:ascii="Book Antiqua" w:hAnsi="Book Antiqua"/>
          <w:color w:val="000000" w:themeColor="text1"/>
        </w:rPr>
        <w:t xml:space="preserve"> </w:t>
      </w:r>
      <w:r w:rsidR="00535E5C" w:rsidRPr="000C4B7C">
        <w:rPr>
          <w:rFonts w:ascii="Book Antiqua" w:hAnsi="Book Antiqua"/>
          <w:color w:val="000000" w:themeColor="text1"/>
        </w:rPr>
        <w:t>histology.</w:t>
      </w:r>
      <w:r w:rsidR="00F01A80" w:rsidRPr="000C4B7C">
        <w:rPr>
          <w:rFonts w:ascii="Book Antiqua" w:hAnsi="Book Antiqua"/>
          <w:color w:val="000000" w:themeColor="text1"/>
        </w:rPr>
        <w:t xml:space="preserve"> </w:t>
      </w:r>
      <w:r w:rsidR="00D63285" w:rsidRPr="000C4B7C">
        <w:rPr>
          <w:rFonts w:ascii="Book Antiqua" w:hAnsi="Book Antiqua"/>
          <w:color w:val="000000" w:themeColor="text1"/>
        </w:rPr>
        <w:t>The</w:t>
      </w:r>
      <w:r w:rsidR="000F4B0B" w:rsidRPr="000C4B7C">
        <w:rPr>
          <w:rFonts w:ascii="Book Antiqua" w:hAnsi="Book Antiqua"/>
          <w:color w:val="000000" w:themeColor="text1"/>
        </w:rPr>
        <w:t xml:space="preserve"> role of</w:t>
      </w:r>
      <w:r w:rsidR="00F91AA1" w:rsidRPr="000C4B7C">
        <w:rPr>
          <w:rFonts w:ascii="Book Antiqua" w:hAnsi="Book Antiqua"/>
          <w:color w:val="000000" w:themeColor="text1"/>
        </w:rPr>
        <w:t xml:space="preserve"> PD-L1 expression, although </w:t>
      </w:r>
      <w:r w:rsidR="000F4B0B" w:rsidRPr="000C4B7C">
        <w:rPr>
          <w:rFonts w:ascii="Book Antiqua" w:hAnsi="Book Antiqua"/>
          <w:color w:val="000000" w:themeColor="text1"/>
        </w:rPr>
        <w:t xml:space="preserve">limited as a prognostic biomarker, continues to be explored as a predictive </w:t>
      </w:r>
      <w:proofErr w:type="gramStart"/>
      <w:r w:rsidR="000F4B0B" w:rsidRPr="000C4B7C">
        <w:rPr>
          <w:rFonts w:ascii="Book Antiqua" w:hAnsi="Book Antiqua"/>
          <w:color w:val="000000" w:themeColor="text1"/>
        </w:rPr>
        <w:t>biomarker</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75,76]</w:t>
      </w:r>
      <w:r w:rsidR="00F91AA1" w:rsidRPr="000C4B7C">
        <w:rPr>
          <w:rFonts w:ascii="Book Antiqua" w:hAnsi="Book Antiqua"/>
          <w:color w:val="000000" w:themeColor="text1"/>
        </w:rPr>
        <w:t>.</w:t>
      </w:r>
    </w:p>
    <w:p w:rsidR="008F46F3"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In addition to the varying levels of PD-L1 expression </w:t>
      </w:r>
      <w:r w:rsidR="00FE21EC" w:rsidRPr="000C4B7C">
        <w:rPr>
          <w:rFonts w:ascii="Book Antiqua" w:hAnsi="Book Antiqua"/>
          <w:color w:val="000000" w:themeColor="text1"/>
        </w:rPr>
        <w:t>in tumor cells, recent advances</w:t>
      </w:r>
      <w:r w:rsidR="00FE21EC" w:rsidRPr="000C4B7C">
        <w:rPr>
          <w:rFonts w:ascii="Book Antiqua" w:hAnsi="Book Antiqua"/>
          <w:color w:val="000000" w:themeColor="text1"/>
          <w:lang w:eastAsia="zh-CN"/>
        </w:rPr>
        <w:t xml:space="preserve"> </w:t>
      </w:r>
      <w:r w:rsidRPr="000C4B7C">
        <w:rPr>
          <w:rFonts w:ascii="Book Antiqua" w:hAnsi="Book Antiqua"/>
          <w:color w:val="000000" w:themeColor="text1"/>
        </w:rPr>
        <w:t>in genetic and genomic studies have shown significant inter</w:t>
      </w:r>
      <w:r w:rsidR="004C482F" w:rsidRPr="000C4B7C">
        <w:rPr>
          <w:rFonts w:ascii="Book Antiqua" w:hAnsi="Book Antiqua"/>
          <w:color w:val="000000" w:themeColor="text1"/>
        </w:rPr>
        <w:t>-</w:t>
      </w:r>
      <w:r w:rsidRPr="000C4B7C">
        <w:rPr>
          <w:rFonts w:ascii="Book Antiqua" w:hAnsi="Book Antiqua"/>
          <w:color w:val="000000" w:themeColor="text1"/>
        </w:rPr>
        <w:t>tumor and intra</w:t>
      </w:r>
      <w:r w:rsidR="004C482F" w:rsidRPr="000C4B7C">
        <w:rPr>
          <w:rFonts w:ascii="Book Antiqua" w:hAnsi="Book Antiqua"/>
          <w:color w:val="000000" w:themeColor="text1"/>
        </w:rPr>
        <w:t>-</w:t>
      </w:r>
      <w:r w:rsidRPr="000C4B7C">
        <w:rPr>
          <w:rFonts w:ascii="Book Antiqua" w:hAnsi="Book Antiqua"/>
          <w:color w:val="000000" w:themeColor="text1"/>
        </w:rPr>
        <w:t xml:space="preserve">tumor genomic heterogeneity of ccRCC. Of these, mutation in the </w:t>
      </w:r>
      <w:r w:rsidRPr="000C4B7C">
        <w:rPr>
          <w:rFonts w:ascii="Book Antiqua" w:hAnsi="Book Antiqua"/>
          <w:i/>
          <w:color w:val="000000" w:themeColor="text1"/>
        </w:rPr>
        <w:t>VHL</w:t>
      </w:r>
      <w:r w:rsidRPr="000C4B7C">
        <w:rPr>
          <w:rFonts w:ascii="Book Antiqua" w:hAnsi="Book Antiqua"/>
          <w:color w:val="000000" w:themeColor="text1"/>
        </w:rPr>
        <w:t xml:space="preserve"> gene, located on 3p25, is the fundamental event and most researched but it is not the single driver gene. Several other tumor suppressor genes are now </w:t>
      </w:r>
      <w:r w:rsidR="001C2D89" w:rsidRPr="000C4B7C">
        <w:rPr>
          <w:rFonts w:ascii="Book Antiqua" w:hAnsi="Book Antiqua"/>
          <w:color w:val="000000" w:themeColor="text1"/>
        </w:rPr>
        <w:t xml:space="preserve">identified, importantly </w:t>
      </w:r>
      <w:r w:rsidR="001C2D89" w:rsidRPr="000C4B7C">
        <w:rPr>
          <w:rFonts w:ascii="Book Antiqua" w:hAnsi="Book Antiqua"/>
          <w:i/>
          <w:color w:val="000000" w:themeColor="text1"/>
        </w:rPr>
        <w:t>PBRM1</w:t>
      </w:r>
      <w:r w:rsidR="001C2D89" w:rsidRPr="000C4B7C">
        <w:rPr>
          <w:rFonts w:ascii="Book Antiqua" w:hAnsi="Book Antiqua"/>
          <w:color w:val="000000" w:themeColor="text1"/>
        </w:rPr>
        <w:t xml:space="preserve"> (</w:t>
      </w:r>
      <w:r w:rsidRPr="000C4B7C">
        <w:rPr>
          <w:rFonts w:ascii="Book Antiqua" w:hAnsi="Book Antiqua"/>
          <w:color w:val="000000" w:themeColor="text1"/>
        </w:rPr>
        <w:t xml:space="preserve">40%), </w:t>
      </w:r>
      <w:r w:rsidRPr="000C4B7C">
        <w:rPr>
          <w:rFonts w:ascii="Book Antiqua" w:hAnsi="Book Antiqua"/>
          <w:i/>
          <w:color w:val="000000" w:themeColor="text1"/>
        </w:rPr>
        <w:t>S</w:t>
      </w:r>
      <w:r w:rsidR="001C2D89" w:rsidRPr="000C4B7C">
        <w:rPr>
          <w:rFonts w:ascii="Book Antiqua" w:hAnsi="Book Antiqua"/>
          <w:i/>
          <w:color w:val="000000" w:themeColor="text1"/>
        </w:rPr>
        <w:t>ETD2</w:t>
      </w:r>
      <w:r w:rsidR="001C2D89" w:rsidRPr="000C4B7C">
        <w:rPr>
          <w:rFonts w:ascii="Book Antiqua" w:hAnsi="Book Antiqua"/>
          <w:color w:val="000000" w:themeColor="text1"/>
        </w:rPr>
        <w:t xml:space="preserve"> (15%), and </w:t>
      </w:r>
      <w:r w:rsidR="001C2D89" w:rsidRPr="000C4B7C">
        <w:rPr>
          <w:rFonts w:ascii="Book Antiqua" w:hAnsi="Book Antiqua"/>
          <w:i/>
          <w:color w:val="000000" w:themeColor="text1"/>
        </w:rPr>
        <w:t>BAP1</w:t>
      </w:r>
      <w:r w:rsidR="001C2D89" w:rsidRPr="000C4B7C">
        <w:rPr>
          <w:rFonts w:ascii="Book Antiqua" w:hAnsi="Book Antiqua"/>
          <w:color w:val="000000" w:themeColor="text1"/>
        </w:rPr>
        <w:t xml:space="preserve"> (10%</w:t>
      </w:r>
      <w:r w:rsidRPr="000C4B7C">
        <w:rPr>
          <w:rFonts w:ascii="Book Antiqua" w:hAnsi="Book Antiqua"/>
          <w:color w:val="000000" w:themeColor="text1"/>
        </w:rPr>
        <w:t xml:space="preserve">) </w:t>
      </w:r>
      <w:r w:rsidRPr="000C4B7C">
        <w:rPr>
          <w:rFonts w:ascii="Book Antiqua" w:hAnsi="Book Antiqua"/>
          <w:i/>
          <w:color w:val="000000" w:themeColor="text1"/>
        </w:rPr>
        <w:t>KDM5C</w:t>
      </w:r>
      <w:r w:rsidRPr="000C4B7C">
        <w:rPr>
          <w:rFonts w:ascii="Book Antiqua" w:hAnsi="Book Antiqua"/>
          <w:color w:val="000000" w:themeColor="text1"/>
        </w:rPr>
        <w:t xml:space="preserve"> (7%), and </w:t>
      </w:r>
      <w:r w:rsidRPr="000C4B7C">
        <w:rPr>
          <w:rFonts w:ascii="Book Antiqua" w:hAnsi="Book Antiqua"/>
          <w:i/>
          <w:color w:val="000000" w:themeColor="text1"/>
        </w:rPr>
        <w:t>TP53</w:t>
      </w:r>
      <w:r w:rsidRPr="000C4B7C">
        <w:rPr>
          <w:rFonts w:ascii="Book Antiqua" w:hAnsi="Book Antiqua"/>
          <w:color w:val="000000" w:themeColor="text1"/>
        </w:rPr>
        <w:t xml:space="preserve"> (5</w:t>
      </w:r>
      <w:r w:rsidR="001C2D89" w:rsidRPr="000C4B7C">
        <w:rPr>
          <w:rFonts w:ascii="Book Antiqua" w:hAnsi="Book Antiqua"/>
          <w:color w:val="000000" w:themeColor="text1"/>
        </w:rPr>
        <w:t xml:space="preserve">%) and the oncogene </w:t>
      </w:r>
      <w:r w:rsidR="001C2D89" w:rsidRPr="000C4B7C">
        <w:rPr>
          <w:rFonts w:ascii="Book Antiqua" w:hAnsi="Book Antiqua"/>
          <w:i/>
          <w:color w:val="000000" w:themeColor="text1"/>
        </w:rPr>
        <w:t>MTOR</w:t>
      </w:r>
      <w:r w:rsidR="001C2D89" w:rsidRPr="000C4B7C">
        <w:rPr>
          <w:rFonts w:ascii="Book Antiqua" w:hAnsi="Book Antiqua"/>
          <w:color w:val="000000" w:themeColor="text1"/>
        </w:rPr>
        <w:t xml:space="preserve"> (5</w:t>
      </w:r>
      <w:r w:rsidR="008A13E9" w:rsidRPr="000C4B7C">
        <w:rPr>
          <w:rFonts w:ascii="Book Antiqua" w:hAnsi="Book Antiqua"/>
          <w:color w:val="000000" w:themeColor="text1"/>
          <w:lang w:eastAsia="zh-CN"/>
        </w:rPr>
        <w:t>%</w:t>
      </w:r>
      <w:r w:rsidR="001C2D89" w:rsidRPr="000C4B7C">
        <w:rPr>
          <w:rFonts w:ascii="Book Antiqua" w:hAnsi="Book Antiqua"/>
          <w:color w:val="000000" w:themeColor="text1"/>
        </w:rPr>
        <w:t>-6%</w:t>
      </w:r>
      <w:proofErr w:type="gramStart"/>
      <w:r w:rsidR="001C2D89" w:rsidRPr="000C4B7C">
        <w:rPr>
          <w:rFonts w:ascii="Book Antiqua" w:hAnsi="Book Antiqua"/>
          <w:color w:val="000000" w:themeColor="text1"/>
        </w:rPr>
        <w:t>)</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77]</w:t>
      </w:r>
      <w:r w:rsidR="001C2D89" w:rsidRPr="000C4B7C">
        <w:rPr>
          <w:rFonts w:ascii="Book Antiqua" w:hAnsi="Book Antiqua"/>
          <w:color w:val="000000" w:themeColor="text1"/>
        </w:rPr>
        <w:t>.</w:t>
      </w:r>
      <w:r w:rsidRPr="000C4B7C">
        <w:rPr>
          <w:rFonts w:ascii="Book Antiqua" w:hAnsi="Book Antiqua"/>
          <w:color w:val="000000" w:themeColor="text1"/>
        </w:rPr>
        <w:t xml:space="preserve"> </w:t>
      </w:r>
      <w:r w:rsidRPr="000C4B7C">
        <w:rPr>
          <w:rFonts w:ascii="Book Antiqua" w:hAnsi="Book Antiqua"/>
          <w:i/>
          <w:color w:val="000000" w:themeColor="text1"/>
        </w:rPr>
        <w:t>PBRM1</w:t>
      </w:r>
      <w:r w:rsidRPr="000C4B7C">
        <w:rPr>
          <w:rFonts w:ascii="Book Antiqua" w:hAnsi="Book Antiqua"/>
          <w:color w:val="000000" w:themeColor="text1"/>
        </w:rPr>
        <w:t xml:space="preserve">, </w:t>
      </w:r>
      <w:r w:rsidRPr="000C4B7C">
        <w:rPr>
          <w:rFonts w:ascii="Book Antiqua" w:hAnsi="Book Antiqua"/>
          <w:i/>
          <w:color w:val="000000" w:themeColor="text1"/>
        </w:rPr>
        <w:t>SETD2</w:t>
      </w:r>
      <w:r w:rsidRPr="000C4B7C">
        <w:rPr>
          <w:rFonts w:ascii="Book Antiqua" w:hAnsi="Book Antiqua"/>
          <w:color w:val="000000" w:themeColor="text1"/>
        </w:rPr>
        <w:t xml:space="preserve">, and </w:t>
      </w:r>
      <w:r w:rsidRPr="000C4B7C">
        <w:rPr>
          <w:rFonts w:ascii="Book Antiqua" w:hAnsi="Book Antiqua"/>
          <w:i/>
          <w:color w:val="000000" w:themeColor="text1"/>
        </w:rPr>
        <w:t>BAP1</w:t>
      </w:r>
      <w:r w:rsidRPr="000C4B7C">
        <w:rPr>
          <w:rFonts w:ascii="Book Antiqua" w:hAnsi="Book Antiqua"/>
          <w:color w:val="000000" w:themeColor="text1"/>
        </w:rPr>
        <w:t xml:space="preserve"> are all located on 3p21</w:t>
      </w:r>
      <w:r w:rsidR="00E23FB0"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and encode for tumor suppressor chromatin-and histone-modifying proteins and their mutations are associated with </w:t>
      </w:r>
      <w:r w:rsidRPr="000C4B7C">
        <w:rPr>
          <w:rStyle w:val="A00"/>
          <w:rFonts w:ascii="Book Antiqua" w:hAnsi="Book Antiqua"/>
          <w:color w:val="000000" w:themeColor="text1"/>
          <w:sz w:val="24"/>
          <w:szCs w:val="24"/>
        </w:rPr>
        <w:t>more aggressive clinic</w:t>
      </w:r>
      <w:r w:rsidR="00D4530D" w:rsidRPr="000C4B7C">
        <w:rPr>
          <w:rStyle w:val="A00"/>
          <w:rFonts w:ascii="Book Antiqua" w:hAnsi="Book Antiqua"/>
          <w:color w:val="000000" w:themeColor="text1"/>
          <w:sz w:val="24"/>
          <w:szCs w:val="24"/>
        </w:rPr>
        <w:t xml:space="preserve">al features for all stages of </w:t>
      </w:r>
      <w:proofErr w:type="gramStart"/>
      <w:r w:rsidR="00D4530D" w:rsidRPr="000C4B7C">
        <w:rPr>
          <w:rStyle w:val="A00"/>
          <w:rFonts w:ascii="Book Antiqua" w:hAnsi="Book Antiqua"/>
          <w:color w:val="000000" w:themeColor="text1"/>
          <w:sz w:val="24"/>
          <w:szCs w:val="24"/>
        </w:rPr>
        <w:t>cc</w:t>
      </w:r>
      <w:r w:rsidRPr="000C4B7C">
        <w:rPr>
          <w:rStyle w:val="A00"/>
          <w:rFonts w:ascii="Book Antiqua" w:hAnsi="Book Antiqua"/>
          <w:color w:val="000000" w:themeColor="text1"/>
          <w:sz w:val="24"/>
          <w:szCs w:val="24"/>
        </w:rPr>
        <w:t>RCC</w:t>
      </w:r>
      <w:r w:rsidR="00E23FB0" w:rsidRPr="000C4B7C">
        <w:rPr>
          <w:rStyle w:val="A00"/>
          <w:rFonts w:ascii="Book Antiqua" w:hAnsi="Book Antiqua"/>
          <w:noProof/>
          <w:color w:val="000000" w:themeColor="text1"/>
          <w:sz w:val="24"/>
          <w:szCs w:val="24"/>
          <w:vertAlign w:val="superscript"/>
        </w:rPr>
        <w:t>[</w:t>
      </w:r>
      <w:proofErr w:type="gramEnd"/>
      <w:r w:rsidR="00E23FB0" w:rsidRPr="000C4B7C">
        <w:rPr>
          <w:rStyle w:val="A00"/>
          <w:rFonts w:ascii="Book Antiqua" w:hAnsi="Book Antiqua"/>
          <w:noProof/>
          <w:color w:val="000000" w:themeColor="text1"/>
          <w:sz w:val="24"/>
          <w:szCs w:val="24"/>
          <w:vertAlign w:val="superscript"/>
        </w:rPr>
        <w:t>78,</w:t>
      </w:r>
      <w:r w:rsidR="00027335" w:rsidRPr="000C4B7C">
        <w:rPr>
          <w:rStyle w:val="A00"/>
          <w:rFonts w:ascii="Book Antiqua" w:hAnsi="Book Antiqua"/>
          <w:noProof/>
          <w:color w:val="000000" w:themeColor="text1"/>
          <w:sz w:val="24"/>
          <w:szCs w:val="24"/>
          <w:vertAlign w:val="superscript"/>
        </w:rPr>
        <w:t>79]</w:t>
      </w:r>
      <w:r w:rsidR="00A3290D" w:rsidRPr="000C4B7C">
        <w:rPr>
          <w:rStyle w:val="A00"/>
          <w:rFonts w:ascii="Book Antiqua" w:hAnsi="Book Antiqua"/>
          <w:color w:val="000000" w:themeColor="text1"/>
          <w:sz w:val="24"/>
          <w:szCs w:val="24"/>
        </w:rPr>
        <w:t>.</w:t>
      </w:r>
    </w:p>
    <w:p w:rsidR="008F46F3" w:rsidRPr="000C4B7C" w:rsidRDefault="00AE6521" w:rsidP="000C4B7C">
      <w:pPr>
        <w:adjustRightInd w:val="0"/>
        <w:snapToGrid w:val="0"/>
        <w:spacing w:line="360" w:lineRule="auto"/>
        <w:ind w:firstLineChars="100" w:firstLine="240"/>
        <w:jc w:val="both"/>
        <w:rPr>
          <w:rStyle w:val="A80"/>
          <w:rFonts w:ascii="Book Antiqua" w:hAnsi="Book Antiqua" w:cs="Times New Roman"/>
          <w:color w:val="000000" w:themeColor="text1"/>
          <w:sz w:val="24"/>
          <w:szCs w:val="24"/>
          <w:lang w:eastAsia="zh-CN"/>
        </w:rPr>
      </w:pPr>
      <w:r w:rsidRPr="000C4B7C">
        <w:rPr>
          <w:rStyle w:val="A80"/>
          <w:rFonts w:ascii="Book Antiqua" w:hAnsi="Book Antiqua" w:cs="Times New Roman"/>
          <w:i/>
          <w:iCs/>
          <w:color w:val="000000" w:themeColor="text1"/>
          <w:sz w:val="24"/>
          <w:szCs w:val="24"/>
        </w:rPr>
        <w:lastRenderedPageBreak/>
        <w:t>SETD2</w:t>
      </w:r>
      <w:r w:rsidRPr="000C4B7C">
        <w:rPr>
          <w:rStyle w:val="A80"/>
          <w:rFonts w:ascii="Book Antiqua" w:hAnsi="Book Antiqua" w:cs="Times New Roman"/>
          <w:iCs/>
          <w:color w:val="000000" w:themeColor="text1"/>
          <w:sz w:val="24"/>
          <w:szCs w:val="24"/>
        </w:rPr>
        <w:t xml:space="preserve"> mutations are associated with advanced stage, grade and worse cancer specific survival. An overall metastatic rate of 36% is reported in </w:t>
      </w:r>
      <w:r w:rsidRPr="000C4B7C">
        <w:rPr>
          <w:rStyle w:val="A80"/>
          <w:rFonts w:ascii="Book Antiqua" w:hAnsi="Book Antiqua" w:cs="Times New Roman"/>
          <w:i/>
          <w:iCs/>
          <w:color w:val="000000" w:themeColor="text1"/>
          <w:sz w:val="24"/>
          <w:szCs w:val="24"/>
        </w:rPr>
        <w:t>SETD2</w:t>
      </w:r>
      <w:r w:rsidRPr="000C4B7C">
        <w:rPr>
          <w:rStyle w:val="A80"/>
          <w:rFonts w:ascii="Book Antiqua" w:hAnsi="Book Antiqua" w:cs="Times New Roman"/>
          <w:iCs/>
          <w:color w:val="000000" w:themeColor="text1"/>
          <w:sz w:val="24"/>
          <w:szCs w:val="24"/>
        </w:rPr>
        <w:t xml:space="preserve"> mutated ccRCC tumors, suggesting a link between </w:t>
      </w:r>
      <w:r w:rsidRPr="000C4B7C">
        <w:rPr>
          <w:rStyle w:val="A80"/>
          <w:rFonts w:ascii="Book Antiqua" w:hAnsi="Book Antiqua" w:cs="Times New Roman"/>
          <w:i/>
          <w:iCs/>
          <w:color w:val="000000" w:themeColor="text1"/>
          <w:sz w:val="24"/>
          <w:szCs w:val="24"/>
        </w:rPr>
        <w:t>SETD2</w:t>
      </w:r>
      <w:r w:rsidRPr="000C4B7C">
        <w:rPr>
          <w:rStyle w:val="A80"/>
          <w:rFonts w:ascii="Book Antiqua" w:hAnsi="Book Antiqua" w:cs="Times New Roman"/>
          <w:iCs/>
          <w:color w:val="000000" w:themeColor="text1"/>
          <w:sz w:val="24"/>
          <w:szCs w:val="24"/>
        </w:rPr>
        <w:t xml:space="preserve"> and cancer </w:t>
      </w:r>
      <w:proofErr w:type="gramStart"/>
      <w:r w:rsidR="00B71E5E" w:rsidRPr="000C4B7C">
        <w:rPr>
          <w:rStyle w:val="A80"/>
          <w:rFonts w:ascii="Book Antiqua" w:hAnsi="Book Antiqua" w:cs="Times New Roman"/>
          <w:iCs/>
          <w:color w:val="000000" w:themeColor="text1"/>
          <w:sz w:val="24"/>
          <w:szCs w:val="24"/>
        </w:rPr>
        <w:t>metastasis</w:t>
      </w:r>
      <w:r w:rsidR="008F46F3" w:rsidRPr="000C4B7C">
        <w:rPr>
          <w:rStyle w:val="A80"/>
          <w:rFonts w:ascii="Book Antiqua" w:hAnsi="Book Antiqua" w:cs="Times New Roman"/>
          <w:iCs/>
          <w:noProof/>
          <w:color w:val="000000" w:themeColor="text1"/>
          <w:sz w:val="24"/>
          <w:szCs w:val="24"/>
          <w:vertAlign w:val="superscript"/>
        </w:rPr>
        <w:t>[</w:t>
      </w:r>
      <w:proofErr w:type="gramEnd"/>
      <w:r w:rsidR="008F46F3" w:rsidRPr="000C4B7C">
        <w:rPr>
          <w:rStyle w:val="A80"/>
          <w:rFonts w:ascii="Book Antiqua" w:hAnsi="Book Antiqua" w:cs="Times New Roman"/>
          <w:iCs/>
          <w:noProof/>
          <w:color w:val="000000" w:themeColor="text1"/>
          <w:sz w:val="24"/>
          <w:szCs w:val="24"/>
          <w:vertAlign w:val="superscript"/>
        </w:rPr>
        <w:t>80,</w:t>
      </w:r>
      <w:r w:rsidR="00027335" w:rsidRPr="000C4B7C">
        <w:rPr>
          <w:rStyle w:val="A80"/>
          <w:rFonts w:ascii="Book Antiqua" w:hAnsi="Book Antiqua" w:cs="Times New Roman"/>
          <w:iCs/>
          <w:noProof/>
          <w:color w:val="000000" w:themeColor="text1"/>
          <w:sz w:val="24"/>
          <w:szCs w:val="24"/>
          <w:vertAlign w:val="superscript"/>
        </w:rPr>
        <w:t>81]</w:t>
      </w:r>
      <w:r w:rsidR="00F77CB7" w:rsidRPr="000C4B7C">
        <w:rPr>
          <w:rStyle w:val="A00"/>
          <w:rFonts w:ascii="Book Antiqua" w:hAnsi="Book Antiqua"/>
          <w:color w:val="000000" w:themeColor="text1"/>
          <w:sz w:val="24"/>
          <w:szCs w:val="24"/>
        </w:rPr>
        <w:t>.</w:t>
      </w:r>
      <w:r w:rsidRPr="000C4B7C">
        <w:rPr>
          <w:rStyle w:val="A00"/>
          <w:rFonts w:ascii="Book Antiqua" w:hAnsi="Book Antiqua"/>
          <w:color w:val="000000" w:themeColor="text1"/>
          <w:sz w:val="24"/>
          <w:szCs w:val="24"/>
        </w:rPr>
        <w:t xml:space="preserve"> However, </w:t>
      </w:r>
      <w:r w:rsidRPr="000C4B7C">
        <w:rPr>
          <w:rFonts w:ascii="Book Antiqua" w:hAnsi="Book Antiqua"/>
          <w:i/>
          <w:color w:val="000000" w:themeColor="text1"/>
        </w:rPr>
        <w:t>SETD2</w:t>
      </w:r>
      <w:r w:rsidRPr="000C4B7C">
        <w:rPr>
          <w:rFonts w:ascii="Book Antiqua" w:hAnsi="Book Antiqua"/>
          <w:color w:val="000000" w:themeColor="text1"/>
        </w:rPr>
        <w:t xml:space="preserve"> loss is not</w:t>
      </w:r>
      <w:r w:rsidR="00F01A80" w:rsidRPr="000C4B7C">
        <w:rPr>
          <w:rFonts w:ascii="Book Antiqua" w:hAnsi="Book Antiqua"/>
          <w:color w:val="000000" w:themeColor="text1"/>
        </w:rPr>
        <w:t xml:space="preserve"> </w:t>
      </w:r>
      <w:r w:rsidR="00DC27C3" w:rsidRPr="000C4B7C">
        <w:rPr>
          <w:rFonts w:ascii="Book Antiqua" w:hAnsi="Book Antiqua"/>
          <w:color w:val="000000" w:themeColor="text1"/>
        </w:rPr>
        <w:t xml:space="preserve">yet </w:t>
      </w:r>
      <w:r w:rsidRPr="000C4B7C">
        <w:rPr>
          <w:rFonts w:ascii="Book Antiqua" w:hAnsi="Book Antiqua"/>
          <w:color w:val="000000" w:themeColor="text1"/>
        </w:rPr>
        <w:t xml:space="preserve">correlated with poor targeted treatment </w:t>
      </w:r>
      <w:proofErr w:type="gramStart"/>
      <w:r w:rsidRPr="000C4B7C">
        <w:rPr>
          <w:rFonts w:ascii="Book Antiqua" w:hAnsi="Book Antiqua"/>
          <w:color w:val="000000" w:themeColor="text1"/>
        </w:rPr>
        <w:t>outcomes</w:t>
      </w:r>
      <w:r w:rsidR="008F46F3" w:rsidRPr="000C4B7C">
        <w:rPr>
          <w:rFonts w:ascii="Book Antiqua" w:hAnsi="Book Antiqua"/>
          <w:noProof/>
          <w:color w:val="000000" w:themeColor="text1"/>
          <w:vertAlign w:val="superscript"/>
        </w:rPr>
        <w:t>[</w:t>
      </w:r>
      <w:proofErr w:type="gramEnd"/>
      <w:r w:rsidR="008F46F3" w:rsidRPr="000C4B7C">
        <w:rPr>
          <w:rFonts w:ascii="Book Antiqua" w:hAnsi="Book Antiqua"/>
          <w:noProof/>
          <w:color w:val="000000" w:themeColor="text1"/>
          <w:vertAlign w:val="superscript"/>
        </w:rPr>
        <w:t>82,</w:t>
      </w:r>
      <w:r w:rsidR="00027335" w:rsidRPr="000C4B7C">
        <w:rPr>
          <w:rFonts w:ascii="Book Antiqua" w:hAnsi="Book Antiqua"/>
          <w:noProof/>
          <w:color w:val="000000" w:themeColor="text1"/>
          <w:vertAlign w:val="superscript"/>
        </w:rPr>
        <w:t>83]</w:t>
      </w:r>
      <w:r w:rsidR="001B2506" w:rsidRPr="000C4B7C">
        <w:rPr>
          <w:rFonts w:ascii="Book Antiqua" w:hAnsi="Book Antiqua"/>
          <w:color w:val="000000" w:themeColor="text1"/>
        </w:rPr>
        <w:t>.</w:t>
      </w:r>
      <w:r w:rsidR="008F46F3" w:rsidRPr="000C4B7C">
        <w:rPr>
          <w:rFonts w:ascii="Book Antiqua" w:hAnsi="Book Antiqua"/>
          <w:color w:val="000000" w:themeColor="text1"/>
          <w:lang w:eastAsia="zh-CN"/>
        </w:rPr>
        <w:t xml:space="preserve"> </w:t>
      </w:r>
      <w:r w:rsidR="00DC27C3" w:rsidRPr="000C4B7C">
        <w:rPr>
          <w:rFonts w:ascii="Book Antiqua" w:hAnsi="Book Antiqua"/>
          <w:color w:val="000000" w:themeColor="text1"/>
        </w:rPr>
        <w:t>This needs further validation and additional studies evaluating response of targeted therapies.</w:t>
      </w:r>
    </w:p>
    <w:p w:rsidR="006644E0"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Style w:val="A80"/>
          <w:rFonts w:ascii="Book Antiqua" w:hAnsi="Book Antiqua" w:cs="Times New Roman"/>
          <w:i/>
          <w:iCs/>
          <w:color w:val="000000" w:themeColor="text1"/>
          <w:sz w:val="24"/>
          <w:szCs w:val="24"/>
        </w:rPr>
        <w:t>BAP1</w:t>
      </w:r>
      <w:r w:rsidRPr="000C4B7C">
        <w:rPr>
          <w:rStyle w:val="A80"/>
          <w:rFonts w:ascii="Book Antiqua" w:hAnsi="Book Antiqua" w:cs="Times New Roman"/>
          <w:iCs/>
          <w:color w:val="000000" w:themeColor="text1"/>
          <w:sz w:val="24"/>
          <w:szCs w:val="24"/>
        </w:rPr>
        <w:t xml:space="preserve"> </w:t>
      </w:r>
      <w:r w:rsidRPr="000C4B7C">
        <w:rPr>
          <w:rStyle w:val="A80"/>
          <w:rFonts w:ascii="Book Antiqua" w:hAnsi="Book Antiqua" w:cs="Times New Roman"/>
          <w:color w:val="000000" w:themeColor="text1"/>
          <w:sz w:val="24"/>
          <w:szCs w:val="24"/>
        </w:rPr>
        <w:t xml:space="preserve">mutations are prevalent in about 10% of human ccRCC cases, and loss of </w:t>
      </w:r>
      <w:r w:rsidRPr="000C4B7C">
        <w:rPr>
          <w:rStyle w:val="A80"/>
          <w:rFonts w:ascii="Book Antiqua" w:hAnsi="Book Antiqua" w:cs="Times New Roman"/>
          <w:i/>
          <w:color w:val="000000" w:themeColor="text1"/>
          <w:sz w:val="24"/>
          <w:szCs w:val="24"/>
        </w:rPr>
        <w:t>BAP1</w:t>
      </w:r>
      <w:r w:rsidRPr="000C4B7C">
        <w:rPr>
          <w:rStyle w:val="A80"/>
          <w:rFonts w:ascii="Book Antiqua" w:hAnsi="Book Antiqua" w:cs="Times New Roman"/>
          <w:color w:val="000000" w:themeColor="text1"/>
          <w:sz w:val="24"/>
          <w:szCs w:val="24"/>
        </w:rPr>
        <w:t xml:space="preserve"> function is associated with tumors of high grade,</w:t>
      </w:r>
      <w:r w:rsidR="008F46F3" w:rsidRPr="000C4B7C">
        <w:rPr>
          <w:rStyle w:val="A80"/>
          <w:rFonts w:ascii="Book Antiqua" w:hAnsi="Book Antiqua" w:cs="Times New Roman"/>
          <w:color w:val="000000" w:themeColor="text1"/>
          <w:sz w:val="24"/>
          <w:szCs w:val="24"/>
        </w:rPr>
        <w:t xml:space="preserve"> worse cancer specific survival</w:t>
      </w:r>
      <w:r w:rsidR="00027335" w:rsidRPr="000C4B7C">
        <w:rPr>
          <w:rStyle w:val="A80"/>
          <w:rFonts w:ascii="Book Antiqua" w:hAnsi="Book Antiqua" w:cs="Times New Roman"/>
          <w:noProof/>
          <w:color w:val="000000" w:themeColor="text1"/>
          <w:sz w:val="24"/>
          <w:szCs w:val="24"/>
          <w:vertAlign w:val="superscript"/>
        </w:rPr>
        <w:t>[80]</w:t>
      </w:r>
      <w:r w:rsidRPr="000C4B7C">
        <w:rPr>
          <w:rStyle w:val="A80"/>
          <w:rFonts w:ascii="Book Antiqua" w:hAnsi="Book Antiqua" w:cs="Times New Roman"/>
          <w:color w:val="000000" w:themeColor="text1"/>
          <w:sz w:val="24"/>
          <w:szCs w:val="24"/>
        </w:rPr>
        <w:t xml:space="preserve"> as well as overall poor clinical response despite targeted therapy</w:t>
      </w:r>
      <w:r w:rsidR="008F46F3" w:rsidRPr="000C4B7C">
        <w:rPr>
          <w:rStyle w:val="A90"/>
          <w:rFonts w:ascii="Book Antiqua" w:hAnsi="Book Antiqua" w:cs="Times New Roman"/>
          <w:b w:val="0"/>
          <w:noProof/>
          <w:color w:val="000000" w:themeColor="text1"/>
          <w:sz w:val="24"/>
          <w:szCs w:val="24"/>
          <w:vertAlign w:val="superscript"/>
        </w:rPr>
        <w:t>[83,84]</w:t>
      </w:r>
      <w:r w:rsidR="00CA4ABA" w:rsidRPr="000C4B7C">
        <w:rPr>
          <w:rStyle w:val="A80"/>
          <w:rFonts w:ascii="Book Antiqua" w:hAnsi="Book Antiqua" w:cs="Times New Roman"/>
          <w:color w:val="000000" w:themeColor="text1"/>
          <w:sz w:val="24"/>
          <w:szCs w:val="24"/>
        </w:rPr>
        <w:t>.</w:t>
      </w:r>
      <w:r w:rsidR="008F46F3" w:rsidRPr="000C4B7C">
        <w:rPr>
          <w:rStyle w:val="A80"/>
          <w:rFonts w:ascii="Book Antiqua" w:hAnsi="Book Antiqua" w:cs="Times New Roman"/>
          <w:color w:val="000000" w:themeColor="text1"/>
          <w:sz w:val="24"/>
          <w:szCs w:val="24"/>
        </w:rPr>
        <w:t xml:space="preserve"> </w:t>
      </w:r>
      <w:r w:rsidR="00920459" w:rsidRPr="000C4B7C">
        <w:rPr>
          <w:rStyle w:val="A80"/>
          <w:rFonts w:ascii="Book Antiqua" w:hAnsi="Book Antiqua" w:cs="Times New Roman"/>
          <w:color w:val="000000" w:themeColor="text1"/>
          <w:sz w:val="24"/>
          <w:szCs w:val="24"/>
        </w:rPr>
        <w:t>As such,</w:t>
      </w:r>
      <w:r w:rsidRPr="000C4B7C">
        <w:rPr>
          <w:rStyle w:val="A80"/>
          <w:rFonts w:ascii="Book Antiqua" w:hAnsi="Book Antiqua" w:cs="Times New Roman"/>
          <w:color w:val="000000" w:themeColor="text1"/>
          <w:sz w:val="24"/>
          <w:szCs w:val="24"/>
        </w:rPr>
        <w:t xml:space="preserve"> </w:t>
      </w:r>
      <w:r w:rsidRPr="000C4B7C">
        <w:rPr>
          <w:rStyle w:val="A80"/>
          <w:rFonts w:ascii="Book Antiqua" w:hAnsi="Book Antiqua" w:cs="Times New Roman"/>
          <w:i/>
          <w:color w:val="000000" w:themeColor="text1"/>
          <w:sz w:val="24"/>
          <w:szCs w:val="24"/>
        </w:rPr>
        <w:t>BAP1</w:t>
      </w:r>
      <w:r w:rsidRPr="000C4B7C">
        <w:rPr>
          <w:rStyle w:val="A80"/>
          <w:rFonts w:ascii="Book Antiqua" w:hAnsi="Book Antiqua" w:cs="Times New Roman"/>
          <w:color w:val="000000" w:themeColor="text1"/>
          <w:sz w:val="24"/>
          <w:szCs w:val="24"/>
        </w:rPr>
        <w:t xml:space="preserve"> regulated pathways </w:t>
      </w:r>
      <w:r w:rsidR="00CA4ABA" w:rsidRPr="000C4B7C">
        <w:rPr>
          <w:rStyle w:val="A80"/>
          <w:rFonts w:ascii="Book Antiqua" w:hAnsi="Book Antiqua" w:cs="Times New Roman"/>
          <w:color w:val="000000" w:themeColor="text1"/>
          <w:sz w:val="24"/>
          <w:szCs w:val="24"/>
        </w:rPr>
        <w:t xml:space="preserve">are </w:t>
      </w:r>
      <w:r w:rsidRPr="000C4B7C">
        <w:rPr>
          <w:rStyle w:val="A80"/>
          <w:rFonts w:ascii="Book Antiqua" w:hAnsi="Book Antiqua" w:cs="Times New Roman"/>
          <w:color w:val="000000" w:themeColor="text1"/>
          <w:sz w:val="24"/>
          <w:szCs w:val="24"/>
        </w:rPr>
        <w:t xml:space="preserve">an appropriate future therapeutic target. The relatively inferior OS noted with </w:t>
      </w:r>
      <w:r w:rsidRPr="000C4B7C">
        <w:rPr>
          <w:rStyle w:val="A80"/>
          <w:rFonts w:ascii="Book Antiqua" w:hAnsi="Book Antiqua" w:cs="Times New Roman"/>
          <w:i/>
          <w:color w:val="000000" w:themeColor="text1"/>
          <w:sz w:val="24"/>
          <w:szCs w:val="24"/>
        </w:rPr>
        <w:t>BAP1</w:t>
      </w:r>
      <w:r w:rsidRPr="000C4B7C">
        <w:rPr>
          <w:rStyle w:val="A80"/>
          <w:rFonts w:ascii="Book Antiqua" w:hAnsi="Book Antiqua" w:cs="Times New Roman"/>
          <w:color w:val="000000" w:themeColor="text1"/>
          <w:sz w:val="24"/>
          <w:szCs w:val="24"/>
        </w:rPr>
        <w:t xml:space="preserve"> mutations in comparisons with </w:t>
      </w:r>
      <w:r w:rsidRPr="000C4B7C">
        <w:rPr>
          <w:rStyle w:val="A80"/>
          <w:rFonts w:ascii="Book Antiqua" w:hAnsi="Book Antiqua" w:cs="Times New Roman"/>
          <w:i/>
          <w:color w:val="000000" w:themeColor="text1"/>
          <w:sz w:val="24"/>
          <w:szCs w:val="24"/>
        </w:rPr>
        <w:t>SETD2</w:t>
      </w:r>
      <w:r w:rsidRPr="000C4B7C">
        <w:rPr>
          <w:rStyle w:val="A80"/>
          <w:rFonts w:ascii="Book Antiqua" w:hAnsi="Book Antiqua" w:cs="Times New Roman"/>
          <w:color w:val="000000" w:themeColor="text1"/>
          <w:sz w:val="24"/>
          <w:szCs w:val="24"/>
        </w:rPr>
        <w:t xml:space="preserve"> and </w:t>
      </w:r>
      <w:r w:rsidRPr="000C4B7C">
        <w:rPr>
          <w:rStyle w:val="A80"/>
          <w:rFonts w:ascii="Book Antiqua" w:hAnsi="Book Antiqua" w:cs="Times New Roman"/>
          <w:i/>
          <w:color w:val="000000" w:themeColor="text1"/>
          <w:sz w:val="24"/>
          <w:szCs w:val="24"/>
        </w:rPr>
        <w:t>KDM5C</w:t>
      </w:r>
      <w:r w:rsidRPr="000C4B7C">
        <w:rPr>
          <w:rStyle w:val="A80"/>
          <w:rFonts w:ascii="Book Antiqua" w:hAnsi="Book Antiqua" w:cs="Times New Roman"/>
          <w:color w:val="000000" w:themeColor="text1"/>
          <w:sz w:val="24"/>
          <w:szCs w:val="24"/>
        </w:rPr>
        <w:t xml:space="preserve"> mutations by </w:t>
      </w:r>
      <w:r w:rsidR="006644E0" w:rsidRPr="000C4B7C">
        <w:rPr>
          <w:rFonts w:ascii="Book Antiqua" w:hAnsi="Book Antiqua"/>
          <w:noProof/>
          <w:color w:val="000000" w:themeColor="text1"/>
        </w:rPr>
        <w:t>Tennenbaum</w:t>
      </w:r>
      <w:r w:rsidR="006644E0" w:rsidRPr="000C4B7C">
        <w:rPr>
          <w:rStyle w:val="A80"/>
          <w:rFonts w:ascii="Book Antiqua" w:hAnsi="Book Antiqua" w:cs="Times New Roman"/>
          <w:color w:val="000000" w:themeColor="text1"/>
          <w:sz w:val="24"/>
          <w:szCs w:val="24"/>
        </w:rPr>
        <w:t xml:space="preserve"> </w:t>
      </w:r>
      <w:r w:rsidR="006644E0" w:rsidRPr="000C4B7C">
        <w:rPr>
          <w:rStyle w:val="A80"/>
          <w:rFonts w:ascii="Book Antiqua" w:hAnsi="Book Antiqua" w:cs="Times New Roman"/>
          <w:i/>
          <w:color w:val="000000" w:themeColor="text1"/>
          <w:sz w:val="24"/>
          <w:szCs w:val="24"/>
          <w:lang w:eastAsia="zh-CN"/>
        </w:rPr>
        <w:t xml:space="preserve">et </w:t>
      </w:r>
      <w:proofErr w:type="gramStart"/>
      <w:r w:rsidR="006644E0" w:rsidRPr="000C4B7C">
        <w:rPr>
          <w:rStyle w:val="A80"/>
          <w:rFonts w:ascii="Book Antiqua" w:hAnsi="Book Antiqua" w:cs="Times New Roman"/>
          <w:i/>
          <w:color w:val="000000" w:themeColor="text1"/>
          <w:sz w:val="24"/>
          <w:szCs w:val="24"/>
          <w:lang w:eastAsia="zh-CN"/>
        </w:rPr>
        <w:t>al</w:t>
      </w:r>
      <w:r w:rsidR="006644E0" w:rsidRPr="000C4B7C">
        <w:rPr>
          <w:rStyle w:val="A80"/>
          <w:rFonts w:ascii="Book Antiqua" w:hAnsi="Book Antiqua" w:cs="Times New Roman"/>
          <w:color w:val="000000" w:themeColor="text1"/>
          <w:sz w:val="24"/>
          <w:szCs w:val="24"/>
          <w:vertAlign w:val="superscript"/>
          <w:lang w:eastAsia="zh-CN"/>
        </w:rPr>
        <w:t>[</w:t>
      </w:r>
      <w:proofErr w:type="gramEnd"/>
      <w:r w:rsidR="006644E0" w:rsidRPr="000C4B7C">
        <w:rPr>
          <w:rStyle w:val="A80"/>
          <w:rFonts w:ascii="Book Antiqua" w:hAnsi="Book Antiqua" w:cs="Times New Roman"/>
          <w:color w:val="000000" w:themeColor="text1"/>
          <w:sz w:val="24"/>
          <w:szCs w:val="24"/>
          <w:vertAlign w:val="superscript"/>
          <w:lang w:eastAsia="zh-CN"/>
        </w:rPr>
        <w:t>83]</w:t>
      </w:r>
      <w:r w:rsidRPr="000C4B7C">
        <w:rPr>
          <w:rStyle w:val="A80"/>
          <w:rFonts w:ascii="Book Antiqua" w:hAnsi="Book Antiqua" w:cs="Times New Roman"/>
          <w:color w:val="000000" w:themeColor="text1"/>
          <w:sz w:val="24"/>
          <w:szCs w:val="24"/>
        </w:rPr>
        <w:t xml:space="preserve"> needs further research and confirmation. </w:t>
      </w:r>
      <w:r w:rsidRPr="000C4B7C">
        <w:rPr>
          <w:rFonts w:ascii="Book Antiqua" w:hAnsi="Book Antiqua"/>
          <w:i/>
          <w:color w:val="000000" w:themeColor="text1"/>
        </w:rPr>
        <w:t>BAP1</w:t>
      </w:r>
      <w:r w:rsidRPr="000C4B7C">
        <w:rPr>
          <w:rFonts w:ascii="Book Antiqua" w:hAnsi="Book Antiqua"/>
          <w:color w:val="000000" w:themeColor="text1"/>
        </w:rPr>
        <w:t xml:space="preserve"> </w:t>
      </w:r>
      <w:r w:rsidR="00D4530D" w:rsidRPr="000C4B7C">
        <w:rPr>
          <w:rFonts w:ascii="Book Antiqua" w:hAnsi="Book Antiqua"/>
          <w:color w:val="000000" w:themeColor="text1"/>
        </w:rPr>
        <w:t>a</w:t>
      </w:r>
      <w:r w:rsidRPr="000C4B7C">
        <w:rPr>
          <w:rFonts w:ascii="Book Antiqua" w:hAnsi="Book Antiqua"/>
          <w:color w:val="000000" w:themeColor="text1"/>
        </w:rPr>
        <w:t xml:space="preserve">nd </w:t>
      </w:r>
      <w:r w:rsidRPr="000C4B7C">
        <w:rPr>
          <w:rFonts w:ascii="Book Antiqua" w:hAnsi="Book Antiqua"/>
          <w:i/>
          <w:color w:val="000000" w:themeColor="text1"/>
        </w:rPr>
        <w:t>PBRM1</w:t>
      </w:r>
      <w:r w:rsidRPr="000C4B7C">
        <w:rPr>
          <w:rFonts w:ascii="Book Antiqua" w:hAnsi="Book Antiqua"/>
          <w:color w:val="000000" w:themeColor="text1"/>
        </w:rPr>
        <w:t xml:space="preserve"> mutations are usually mutually exclusive. Their simultaneous occurrence</w:t>
      </w:r>
      <w:r w:rsidR="00CA4ABA" w:rsidRPr="000C4B7C">
        <w:rPr>
          <w:rFonts w:ascii="Book Antiqua" w:hAnsi="Book Antiqua"/>
          <w:color w:val="000000" w:themeColor="text1"/>
        </w:rPr>
        <w:t xml:space="preserve">, which </w:t>
      </w:r>
      <w:r w:rsidR="00920459" w:rsidRPr="000C4B7C">
        <w:rPr>
          <w:rFonts w:ascii="Book Antiqua" w:hAnsi="Book Antiqua"/>
          <w:color w:val="000000" w:themeColor="text1"/>
        </w:rPr>
        <w:t>is observed</w:t>
      </w:r>
      <w:r w:rsidR="00F01A80" w:rsidRPr="000C4B7C">
        <w:rPr>
          <w:rFonts w:ascii="Book Antiqua" w:hAnsi="Book Antiqua"/>
          <w:color w:val="000000" w:themeColor="text1"/>
        </w:rPr>
        <w:t xml:space="preserve"> </w:t>
      </w:r>
      <w:r w:rsidR="00CA4ABA" w:rsidRPr="000C4B7C">
        <w:rPr>
          <w:rFonts w:ascii="Book Antiqua" w:hAnsi="Book Antiqua"/>
          <w:color w:val="000000" w:themeColor="text1"/>
        </w:rPr>
        <w:t>rarely</w:t>
      </w:r>
      <w:r w:rsidR="006644E0" w:rsidRPr="000C4B7C">
        <w:rPr>
          <w:rFonts w:ascii="Book Antiqua" w:hAnsi="Book Antiqua"/>
          <w:color w:val="000000" w:themeColor="text1"/>
          <w:lang w:eastAsia="zh-CN"/>
        </w:rPr>
        <w:t xml:space="preserve"> </w:t>
      </w:r>
      <w:r w:rsidR="00920459" w:rsidRPr="000C4B7C">
        <w:rPr>
          <w:rFonts w:ascii="Book Antiqua" w:hAnsi="Book Antiqua"/>
          <w:color w:val="000000" w:themeColor="text1"/>
        </w:rPr>
        <w:t>are</w:t>
      </w:r>
      <w:r w:rsidR="00CA4ABA" w:rsidRPr="000C4B7C">
        <w:rPr>
          <w:rFonts w:ascii="Book Antiqua" w:hAnsi="Book Antiqua"/>
          <w:color w:val="000000" w:themeColor="text1"/>
        </w:rPr>
        <w:t xml:space="preserve"> associated with more aggressive</w:t>
      </w:r>
      <w:r w:rsidR="00F01A80" w:rsidRPr="000C4B7C">
        <w:rPr>
          <w:rFonts w:ascii="Book Antiqua" w:hAnsi="Book Antiqua"/>
          <w:color w:val="000000" w:themeColor="text1"/>
        </w:rPr>
        <w:t xml:space="preserve"> </w:t>
      </w:r>
      <w:r w:rsidRPr="000C4B7C">
        <w:rPr>
          <w:rFonts w:ascii="Book Antiqua" w:hAnsi="Book Antiqua"/>
          <w:color w:val="000000" w:themeColor="text1"/>
        </w:rPr>
        <w:t>disease.</w:t>
      </w:r>
    </w:p>
    <w:p w:rsidR="008B12D0" w:rsidRPr="000C4B7C" w:rsidRDefault="00AE652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Two distinct subtypes and prognostic features (ccA/ccB) are defined by molecular stratification of ccRCC using consensus </w:t>
      </w:r>
      <w:proofErr w:type="gramStart"/>
      <w:r w:rsidRPr="000C4B7C">
        <w:rPr>
          <w:rFonts w:ascii="Book Antiqua" w:hAnsi="Book Antiqua"/>
          <w:color w:val="000000" w:themeColor="text1"/>
        </w:rPr>
        <w:t>clustering</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85]</w:t>
      </w:r>
      <w:r w:rsidR="001C2D89" w:rsidRPr="000C4B7C">
        <w:rPr>
          <w:rFonts w:ascii="Book Antiqua" w:hAnsi="Book Antiqua"/>
          <w:color w:val="000000" w:themeColor="text1"/>
        </w:rPr>
        <w:t>.</w:t>
      </w:r>
      <w:r w:rsidRPr="000C4B7C">
        <w:rPr>
          <w:rFonts w:ascii="Book Antiqua" w:hAnsi="Book Antiqua"/>
          <w:color w:val="000000" w:themeColor="text1"/>
        </w:rPr>
        <w:t xml:space="preserve"> The ccB classified tumors demonstrated increased tumor size, grade and rate of metastasis as well as decreased recurrence free survival and </w:t>
      </w:r>
      <w:proofErr w:type="gramStart"/>
      <w:r w:rsidR="00F23EA7" w:rsidRPr="000C4B7C">
        <w:rPr>
          <w:rFonts w:ascii="Book Antiqua" w:hAnsi="Book Antiqua"/>
          <w:color w:val="000000" w:themeColor="text1"/>
          <w:lang w:eastAsia="zh-CN"/>
        </w:rPr>
        <w:t>OS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86]</w:t>
      </w:r>
      <w:r w:rsidRPr="000C4B7C">
        <w:rPr>
          <w:rFonts w:ascii="Book Antiqua" w:hAnsi="Book Antiqua"/>
          <w:color w:val="000000" w:themeColor="text1"/>
        </w:rPr>
        <w:t xml:space="preserve">. ClearCode 34 is a genetic signature developed from this classification to predict </w:t>
      </w:r>
      <w:proofErr w:type="gramStart"/>
      <w:r w:rsidRPr="000C4B7C">
        <w:rPr>
          <w:rFonts w:ascii="Book Antiqua" w:hAnsi="Book Antiqua"/>
          <w:color w:val="000000" w:themeColor="text1"/>
        </w:rPr>
        <w:t>recurrence</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87]</w:t>
      </w:r>
      <w:r w:rsidR="001C2D89" w:rsidRPr="000C4B7C">
        <w:rPr>
          <w:rFonts w:ascii="Book Antiqua" w:hAnsi="Book Antiqua"/>
          <w:color w:val="000000" w:themeColor="text1"/>
        </w:rPr>
        <w:t>.</w:t>
      </w:r>
      <w:r w:rsidRPr="000C4B7C">
        <w:rPr>
          <w:rFonts w:ascii="Book Antiqua" w:hAnsi="Book Antiqua"/>
          <w:color w:val="000000" w:themeColor="text1"/>
        </w:rPr>
        <w:t xml:space="preserve"> This tool is validated despite limitation from tumor heterogeneity, making it a potentially valuable prognostic biomarker.</w:t>
      </w:r>
    </w:p>
    <w:p w:rsidR="002F1C58" w:rsidRPr="000C4B7C" w:rsidRDefault="00836F29"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Another prognostic multigene signature has been proposed using a 16-gene assay to predict recurrence after nephrectomy in localized </w:t>
      </w:r>
      <w:proofErr w:type="gramStart"/>
      <w:r w:rsidRPr="000C4B7C">
        <w:rPr>
          <w:rFonts w:ascii="Book Antiqua" w:hAnsi="Book Antiqua"/>
          <w:color w:val="000000" w:themeColor="text1"/>
        </w:rPr>
        <w:t>RCC</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88]</w:t>
      </w:r>
      <w:r w:rsidRPr="000C4B7C">
        <w:rPr>
          <w:rFonts w:ascii="Book Antiqua" w:hAnsi="Book Antiqua"/>
          <w:color w:val="000000" w:themeColor="text1"/>
        </w:rPr>
        <w:t xml:space="preserve">. The recurrence score was validated as a predictor of outcome in patients with stage </w:t>
      </w:r>
      <w:r w:rsidR="008D562E" w:rsidRPr="000C4B7C">
        <w:rPr>
          <w:rFonts w:ascii="Book Antiqua" w:hAnsi="Book Antiqua"/>
          <w:color w:val="000000" w:themeColor="text1"/>
        </w:rPr>
        <w:t>I-III</w:t>
      </w:r>
      <w:r w:rsidR="00F01A80" w:rsidRPr="000C4B7C">
        <w:rPr>
          <w:rFonts w:ascii="Book Antiqua" w:hAnsi="Book Antiqua"/>
          <w:color w:val="000000" w:themeColor="text1"/>
        </w:rPr>
        <w:t xml:space="preserve"> </w:t>
      </w:r>
      <w:r w:rsidRPr="000C4B7C">
        <w:rPr>
          <w:rFonts w:ascii="Book Antiqua" w:hAnsi="Book Antiqua"/>
          <w:color w:val="000000" w:themeColor="text1"/>
        </w:rPr>
        <w:t>ccRCC.</w:t>
      </w:r>
      <w:r w:rsidR="00F01A80" w:rsidRPr="000C4B7C">
        <w:rPr>
          <w:rFonts w:ascii="Book Antiqua" w:hAnsi="Book Antiqua"/>
          <w:color w:val="000000" w:themeColor="text1"/>
        </w:rPr>
        <w:t xml:space="preserve"> </w:t>
      </w:r>
      <w:r w:rsidR="0071788F" w:rsidRPr="000C4B7C">
        <w:rPr>
          <w:rFonts w:ascii="Book Antiqua" w:hAnsi="Book Antiqua"/>
          <w:color w:val="000000" w:themeColor="text1"/>
        </w:rPr>
        <w:t>A</w:t>
      </w:r>
      <w:r w:rsidR="00795B92" w:rsidRPr="000C4B7C">
        <w:rPr>
          <w:rFonts w:ascii="Book Antiqua" w:hAnsi="Book Antiqua"/>
          <w:color w:val="000000" w:themeColor="text1"/>
        </w:rPr>
        <w:t xml:space="preserve"> signature of four specific genomic aberrations </w:t>
      </w:r>
      <w:r w:rsidR="00E61985" w:rsidRPr="000C4B7C">
        <w:rPr>
          <w:rFonts w:ascii="Book Antiqua" w:hAnsi="Book Antiqua"/>
          <w:color w:val="000000" w:themeColor="text1"/>
        </w:rPr>
        <w:t>using</w:t>
      </w:r>
      <w:r w:rsidR="00F01A80" w:rsidRPr="000C4B7C">
        <w:rPr>
          <w:rFonts w:ascii="Book Antiqua" w:hAnsi="Book Antiqua"/>
          <w:color w:val="000000" w:themeColor="text1"/>
        </w:rPr>
        <w:t xml:space="preserve"> </w:t>
      </w:r>
      <w:r w:rsidR="00581789" w:rsidRPr="000C4B7C">
        <w:rPr>
          <w:rFonts w:ascii="Book Antiqua" w:hAnsi="Book Antiqua"/>
          <w:vanish/>
          <w:color w:val="000000" w:themeColor="text1"/>
        </w:rPr>
        <w:t xml:space="preserve">Fluorescence </w:t>
      </w:r>
      <w:r w:rsidR="00E61985" w:rsidRPr="000C4B7C">
        <w:rPr>
          <w:rFonts w:ascii="Book Antiqua" w:hAnsi="Book Antiqua"/>
          <w:i/>
          <w:iCs/>
          <w:vanish/>
          <w:color w:val="000000" w:themeColor="text1"/>
        </w:rPr>
        <w:t>in situ</w:t>
      </w:r>
      <w:r w:rsidR="00F01A80" w:rsidRPr="000C4B7C">
        <w:rPr>
          <w:rFonts w:ascii="Book Antiqua" w:hAnsi="Book Antiqua"/>
          <w:i/>
          <w:iCs/>
          <w:vanish/>
          <w:color w:val="000000" w:themeColor="text1"/>
        </w:rPr>
        <w:t xml:space="preserve"> </w:t>
      </w:r>
      <w:r w:rsidR="00581789" w:rsidRPr="000C4B7C">
        <w:rPr>
          <w:rFonts w:ascii="Book Antiqua" w:hAnsi="Book Antiqua"/>
          <w:vanish/>
          <w:color w:val="000000" w:themeColor="text1"/>
        </w:rPr>
        <w:t>hybridization</w:t>
      </w:r>
      <w:r w:rsidR="00E61985" w:rsidRPr="000C4B7C">
        <w:rPr>
          <w:rFonts w:ascii="Book Antiqua" w:hAnsi="Book Antiqua"/>
          <w:vanish/>
          <w:color w:val="000000" w:themeColor="text1"/>
        </w:rPr>
        <w:t xml:space="preserve"> (</w:t>
      </w:r>
      <w:r w:rsidR="00795B92" w:rsidRPr="000C4B7C">
        <w:rPr>
          <w:rFonts w:ascii="Book Antiqua" w:hAnsi="Book Antiqua"/>
          <w:color w:val="000000" w:themeColor="text1"/>
        </w:rPr>
        <w:t>FISH</w:t>
      </w:r>
      <w:r w:rsidR="00E61985" w:rsidRPr="000C4B7C">
        <w:rPr>
          <w:rFonts w:ascii="Book Antiqua" w:hAnsi="Book Antiqua"/>
          <w:color w:val="000000" w:themeColor="text1"/>
        </w:rPr>
        <w:t>)</w:t>
      </w:r>
      <w:r w:rsidR="007650BC" w:rsidRPr="000C4B7C">
        <w:rPr>
          <w:rFonts w:ascii="Book Antiqua" w:hAnsi="Book Antiqua"/>
          <w:color w:val="000000" w:themeColor="text1"/>
          <w:lang w:eastAsia="zh-CN"/>
        </w:rPr>
        <w:t xml:space="preserve"> </w:t>
      </w:r>
      <w:r w:rsidR="0071788F" w:rsidRPr="000C4B7C">
        <w:rPr>
          <w:rFonts w:ascii="Book Antiqua" w:hAnsi="Book Antiqua"/>
          <w:color w:val="000000" w:themeColor="text1"/>
        </w:rPr>
        <w:t xml:space="preserve">was developed </w:t>
      </w:r>
      <w:r w:rsidR="00795B92" w:rsidRPr="000C4B7C">
        <w:rPr>
          <w:rFonts w:ascii="Book Antiqua" w:hAnsi="Book Antiqua"/>
          <w:color w:val="000000" w:themeColor="text1"/>
        </w:rPr>
        <w:t>which can identify tumors with a high metastatic potential</w:t>
      </w:r>
      <w:r w:rsidR="00A65CCC" w:rsidRPr="000C4B7C">
        <w:rPr>
          <w:rFonts w:ascii="Book Antiqua" w:hAnsi="Book Antiqua"/>
          <w:color w:val="000000" w:themeColor="text1"/>
          <w:lang w:eastAsia="zh-CN"/>
        </w:rPr>
        <w:t>,</w:t>
      </w:r>
      <w:r w:rsidR="00F01A80" w:rsidRPr="000C4B7C">
        <w:rPr>
          <w:rFonts w:ascii="Book Antiqua" w:hAnsi="Book Antiqua"/>
          <w:color w:val="000000" w:themeColor="text1"/>
        </w:rPr>
        <w:t xml:space="preserve"> </w:t>
      </w:r>
      <w:r w:rsidR="00787D50" w:rsidRPr="000C4B7C">
        <w:rPr>
          <w:rFonts w:ascii="Book Antiqua" w:hAnsi="Book Antiqua"/>
          <w:vanish/>
          <w:color w:val="000000" w:themeColor="text1"/>
        </w:rPr>
        <w:t xml:space="preserve">The total number of specific aberrations (TNSA) was calculated for each tumor and it </w:t>
      </w:r>
      <w:r w:rsidR="00813362" w:rsidRPr="000C4B7C">
        <w:rPr>
          <w:rFonts w:ascii="Book Antiqua" w:hAnsi="Book Antiqua"/>
          <w:color w:val="000000" w:themeColor="text1"/>
        </w:rPr>
        <w:t>and may be a better</w:t>
      </w:r>
      <w:r w:rsidR="00795B92" w:rsidRPr="000C4B7C">
        <w:rPr>
          <w:rFonts w:ascii="Book Antiqua" w:hAnsi="Book Antiqua"/>
          <w:color w:val="000000" w:themeColor="text1"/>
        </w:rPr>
        <w:t xml:space="preserve"> predictor </w:t>
      </w:r>
      <w:r w:rsidR="0071788F" w:rsidRPr="000C4B7C">
        <w:rPr>
          <w:rFonts w:ascii="Book Antiqua" w:hAnsi="Book Antiqua"/>
          <w:color w:val="000000" w:themeColor="text1"/>
        </w:rPr>
        <w:t xml:space="preserve">of </w:t>
      </w:r>
      <w:r w:rsidR="00795B92" w:rsidRPr="000C4B7C">
        <w:rPr>
          <w:rFonts w:ascii="Book Antiqua" w:hAnsi="Book Antiqua"/>
          <w:color w:val="000000" w:themeColor="text1"/>
        </w:rPr>
        <w:t>OS, CSS CSM and PFS</w:t>
      </w:r>
      <w:r w:rsidR="0071788F" w:rsidRPr="000C4B7C">
        <w:rPr>
          <w:rFonts w:ascii="Book Antiqua" w:hAnsi="Book Antiqua"/>
          <w:color w:val="000000" w:themeColor="text1"/>
        </w:rPr>
        <w:t>,</w:t>
      </w:r>
      <w:r w:rsidR="00795B92" w:rsidRPr="000C4B7C">
        <w:rPr>
          <w:rFonts w:ascii="Book Antiqua" w:hAnsi="Book Antiqua"/>
          <w:color w:val="000000" w:themeColor="text1"/>
        </w:rPr>
        <w:t xml:space="preserve"> compared with clinico-pathologic </w:t>
      </w:r>
      <w:proofErr w:type="gramStart"/>
      <w:r w:rsidR="00795B92" w:rsidRPr="000C4B7C">
        <w:rPr>
          <w:rFonts w:ascii="Book Antiqua" w:hAnsi="Book Antiqua"/>
          <w:color w:val="000000" w:themeColor="text1"/>
        </w:rPr>
        <w:t>variables</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89]</w:t>
      </w:r>
      <w:r w:rsidR="0015299C" w:rsidRPr="000C4B7C">
        <w:rPr>
          <w:rFonts w:ascii="Book Antiqua" w:hAnsi="Book Antiqua"/>
          <w:color w:val="000000" w:themeColor="text1"/>
        </w:rPr>
        <w:t>.</w:t>
      </w:r>
    </w:p>
    <w:p w:rsidR="00B60DBE" w:rsidRPr="000C4B7C" w:rsidRDefault="00F30E30"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Although c-Met </w:t>
      </w:r>
      <w:r w:rsidRPr="000C4B7C">
        <w:rPr>
          <w:rFonts w:ascii="Book Antiqua" w:hAnsi="Book Antiqua"/>
          <w:bCs/>
          <w:color w:val="000000" w:themeColor="text1"/>
        </w:rPr>
        <w:t>overexpression has been observed</w:t>
      </w:r>
      <w:r w:rsidR="00F01A80" w:rsidRPr="000C4B7C">
        <w:rPr>
          <w:rFonts w:ascii="Book Antiqua" w:hAnsi="Book Antiqua"/>
          <w:bCs/>
          <w:color w:val="000000" w:themeColor="text1"/>
        </w:rPr>
        <w:t xml:space="preserve"> </w:t>
      </w:r>
      <w:r w:rsidRPr="000C4B7C">
        <w:rPr>
          <w:rFonts w:ascii="Book Antiqua" w:hAnsi="Book Antiqua"/>
          <w:bCs/>
          <w:color w:val="000000" w:themeColor="text1"/>
        </w:rPr>
        <w:t>and correlated with significantly worse pathological features</w:t>
      </w:r>
      <w:r w:rsidR="00F01A80" w:rsidRPr="000C4B7C">
        <w:rPr>
          <w:rFonts w:ascii="Book Antiqua" w:hAnsi="Book Antiqua"/>
          <w:bCs/>
          <w:color w:val="000000" w:themeColor="text1"/>
        </w:rPr>
        <w:t xml:space="preserve"> </w:t>
      </w:r>
      <w:r w:rsidRPr="000C4B7C">
        <w:rPr>
          <w:rFonts w:ascii="Book Antiqua" w:hAnsi="Book Antiqua"/>
          <w:bCs/>
          <w:color w:val="000000" w:themeColor="text1"/>
        </w:rPr>
        <w:t xml:space="preserve">in RCC, its clinicopathological impacts remain </w:t>
      </w:r>
      <w:proofErr w:type="gramStart"/>
      <w:r w:rsidRPr="000C4B7C">
        <w:rPr>
          <w:rFonts w:ascii="Book Antiqua" w:hAnsi="Book Antiqua"/>
          <w:bCs/>
          <w:color w:val="000000" w:themeColor="text1"/>
        </w:rPr>
        <w:t>uncertain</w:t>
      </w:r>
      <w:r w:rsidR="00027335" w:rsidRPr="000C4B7C">
        <w:rPr>
          <w:rFonts w:ascii="Book Antiqua" w:hAnsi="Book Antiqua"/>
          <w:bCs/>
          <w:noProof/>
          <w:color w:val="000000" w:themeColor="text1"/>
          <w:vertAlign w:val="superscript"/>
        </w:rPr>
        <w:t>[</w:t>
      </w:r>
      <w:proofErr w:type="gramEnd"/>
      <w:r w:rsidR="00027335" w:rsidRPr="000C4B7C">
        <w:rPr>
          <w:rFonts w:ascii="Book Antiqua" w:hAnsi="Book Antiqua"/>
          <w:bCs/>
          <w:noProof/>
          <w:color w:val="000000" w:themeColor="text1"/>
          <w:vertAlign w:val="superscript"/>
        </w:rPr>
        <w:t>90]</w:t>
      </w:r>
      <w:r w:rsidRPr="000C4B7C">
        <w:rPr>
          <w:rFonts w:ascii="Book Antiqua" w:hAnsi="Book Antiqua"/>
          <w:bCs/>
          <w:color w:val="000000" w:themeColor="text1"/>
        </w:rPr>
        <w:t>.</w:t>
      </w:r>
      <w:r w:rsidR="00FA7B9A" w:rsidRPr="000C4B7C">
        <w:rPr>
          <w:rFonts w:ascii="Book Antiqua" w:hAnsi="Book Antiqua"/>
          <w:color w:val="000000" w:themeColor="text1"/>
          <w:lang w:eastAsia="zh-CN"/>
        </w:rPr>
        <w:t xml:space="preserve"> </w:t>
      </w:r>
      <w:r w:rsidR="000D21E0" w:rsidRPr="000C4B7C">
        <w:rPr>
          <w:rFonts w:ascii="Book Antiqua" w:hAnsi="Book Antiqua"/>
          <w:color w:val="000000" w:themeColor="text1"/>
        </w:rPr>
        <w:t xml:space="preserve">OS, PFS, and ORR were improved with cabozantinib </w:t>
      </w:r>
      <w:r w:rsidR="00FF43B4" w:rsidRPr="000C4B7C">
        <w:rPr>
          <w:rFonts w:ascii="Book Antiqua" w:hAnsi="Book Antiqua"/>
          <w:i/>
          <w:color w:val="000000" w:themeColor="text1"/>
        </w:rPr>
        <w:t>vs</w:t>
      </w:r>
      <w:r w:rsidR="000D21E0" w:rsidRPr="000C4B7C">
        <w:rPr>
          <w:rFonts w:ascii="Book Antiqua" w:hAnsi="Book Antiqua"/>
          <w:color w:val="000000" w:themeColor="text1"/>
        </w:rPr>
        <w:t xml:space="preserve"> sunitinib in patients with </w:t>
      </w:r>
      <w:r w:rsidR="000D21E0" w:rsidRPr="000C4B7C">
        <w:rPr>
          <w:rFonts w:ascii="Book Antiqua" w:hAnsi="Book Antiqua"/>
          <w:color w:val="000000" w:themeColor="text1"/>
        </w:rPr>
        <w:lastRenderedPageBreak/>
        <w:t>advanced RCC</w:t>
      </w:r>
      <w:r w:rsidR="00027335" w:rsidRPr="000C4B7C">
        <w:rPr>
          <w:rFonts w:ascii="Book Antiqua" w:hAnsi="Book Antiqua"/>
          <w:noProof/>
          <w:color w:val="000000" w:themeColor="text1"/>
          <w:vertAlign w:val="superscript"/>
        </w:rPr>
        <w:t>[62]</w:t>
      </w:r>
      <w:r w:rsidR="00337D0D" w:rsidRPr="000C4B7C">
        <w:rPr>
          <w:rFonts w:ascii="Book Antiqua" w:hAnsi="Book Antiqua"/>
          <w:color w:val="000000" w:themeColor="text1"/>
          <w:lang w:eastAsia="zh-CN"/>
        </w:rPr>
        <w:t>,</w:t>
      </w:r>
      <w:r w:rsidR="00D5671D" w:rsidRPr="000C4B7C">
        <w:rPr>
          <w:rFonts w:ascii="Book Antiqua" w:hAnsi="Book Antiqua"/>
          <w:color w:val="000000" w:themeColor="text1"/>
          <w:lang w:eastAsia="zh-CN"/>
        </w:rPr>
        <w:t xml:space="preserve"> </w:t>
      </w:r>
      <w:r w:rsidR="00F37CFF" w:rsidRPr="000C4B7C">
        <w:rPr>
          <w:rFonts w:ascii="Book Antiqua" w:hAnsi="Book Antiqua"/>
          <w:color w:val="000000" w:themeColor="text1"/>
        </w:rPr>
        <w:t xml:space="preserve">but </w:t>
      </w:r>
      <w:r w:rsidR="000D21E0" w:rsidRPr="000C4B7C">
        <w:rPr>
          <w:rFonts w:ascii="Book Antiqua" w:hAnsi="Book Antiqua"/>
          <w:color w:val="000000" w:themeColor="text1"/>
        </w:rPr>
        <w:t>the benefit was noted regardless of tumor expression levels of MET in the METEOR study</w:t>
      </w:r>
      <w:r w:rsidR="00027335" w:rsidRPr="000C4B7C">
        <w:rPr>
          <w:rFonts w:ascii="Book Antiqua" w:hAnsi="Book Antiqua"/>
          <w:noProof/>
          <w:color w:val="000000" w:themeColor="text1"/>
          <w:vertAlign w:val="superscript"/>
        </w:rPr>
        <w:t>[63]</w:t>
      </w:r>
      <w:r w:rsidR="000D21E0" w:rsidRPr="000C4B7C">
        <w:rPr>
          <w:rFonts w:ascii="Book Antiqua" w:hAnsi="Book Antiqua"/>
          <w:color w:val="000000" w:themeColor="text1"/>
        </w:rPr>
        <w:t>.</w:t>
      </w:r>
      <w:r w:rsidR="00D5671D" w:rsidRPr="000C4B7C">
        <w:rPr>
          <w:rFonts w:ascii="Book Antiqua" w:hAnsi="Book Antiqua"/>
          <w:color w:val="000000" w:themeColor="text1"/>
          <w:lang w:eastAsia="zh-CN"/>
        </w:rPr>
        <w:t xml:space="preserve"> </w:t>
      </w:r>
      <w:r w:rsidR="000D21E0" w:rsidRPr="000C4B7C">
        <w:rPr>
          <w:rFonts w:ascii="Book Antiqua" w:hAnsi="Book Antiqua"/>
          <w:color w:val="000000" w:themeColor="text1"/>
        </w:rPr>
        <w:t xml:space="preserve">Thus its role as a </w:t>
      </w:r>
      <w:r w:rsidR="00F37CFF" w:rsidRPr="000C4B7C">
        <w:rPr>
          <w:rFonts w:ascii="Book Antiqua" w:hAnsi="Book Antiqua"/>
          <w:color w:val="000000" w:themeColor="text1"/>
        </w:rPr>
        <w:t>biomarker</w:t>
      </w:r>
      <w:r w:rsidR="000D21E0" w:rsidRPr="000C4B7C">
        <w:rPr>
          <w:rFonts w:ascii="Book Antiqua" w:hAnsi="Book Antiqua"/>
          <w:color w:val="000000" w:themeColor="text1"/>
        </w:rPr>
        <w:t xml:space="preserve"> appears to have limitations.</w:t>
      </w:r>
    </w:p>
    <w:p w:rsidR="00EA0B62" w:rsidRPr="000C4B7C" w:rsidRDefault="009175A1"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hAnsi="Book Antiqua"/>
          <w:color w:val="000000" w:themeColor="text1"/>
        </w:rPr>
        <w:t xml:space="preserve">The role of pathogenic variants in genes associated with DNA damage repair (DDR), frequently encountered in mRCC </w:t>
      </w:r>
      <w:proofErr w:type="gramStart"/>
      <w:r w:rsidRPr="000C4B7C">
        <w:rPr>
          <w:rFonts w:ascii="Book Antiqua" w:hAnsi="Book Antiqua"/>
          <w:color w:val="000000" w:themeColor="text1"/>
        </w:rPr>
        <w:t>patients,</w:t>
      </w:r>
      <w:proofErr w:type="gramEnd"/>
      <w:r w:rsidRPr="000C4B7C">
        <w:rPr>
          <w:rFonts w:ascii="Book Antiqua" w:hAnsi="Book Antiqua"/>
          <w:color w:val="000000" w:themeColor="text1"/>
        </w:rPr>
        <w:t xml:space="preserve"> was evaluated. Presence of a deleterious DDR gene alteration was associated with improved survival in patients treated with IO (HR 0.29, </w:t>
      </w:r>
      <w:r w:rsidR="00150D2F" w:rsidRPr="000C4B7C">
        <w:rPr>
          <w:rFonts w:ascii="Book Antiqua" w:hAnsi="Book Antiqua"/>
          <w:i/>
          <w:color w:val="000000" w:themeColor="text1"/>
        </w:rPr>
        <w:t>P</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0.04)</w:t>
      </w:r>
      <w:r w:rsidR="00150D2F" w:rsidRPr="000C4B7C">
        <w:rPr>
          <w:rFonts w:ascii="Book Antiqua" w:hAnsi="Book Antiqua"/>
          <w:color w:val="000000" w:themeColor="text1"/>
          <w:lang w:eastAsia="zh-CN"/>
        </w:rPr>
        <w:t xml:space="preserve"> </w:t>
      </w:r>
      <w:r w:rsidRPr="000C4B7C">
        <w:rPr>
          <w:rFonts w:ascii="Book Antiqua" w:hAnsi="Book Antiqua"/>
          <w:color w:val="000000" w:themeColor="text1"/>
        </w:rPr>
        <w:t>but not in those treated with TKI.</w:t>
      </w:r>
      <w:r w:rsidR="00F01A80" w:rsidRPr="000C4B7C">
        <w:rPr>
          <w:rFonts w:ascii="Book Antiqua" w:hAnsi="Book Antiqua"/>
          <w:color w:val="000000" w:themeColor="text1"/>
        </w:rPr>
        <w:t xml:space="preserve"> </w:t>
      </w:r>
      <w:r w:rsidRPr="000C4B7C">
        <w:rPr>
          <w:rFonts w:ascii="Book Antiqua" w:hAnsi="Book Antiqua"/>
          <w:color w:val="000000" w:themeColor="text1"/>
        </w:rPr>
        <w:t>However, DDR alterations were not associated with improved PFS in either group. Despite limitations of the study, it requires validation and can provide a</w:t>
      </w:r>
      <w:r w:rsidR="00421AF6" w:rsidRPr="000C4B7C">
        <w:rPr>
          <w:rFonts w:ascii="Book Antiqua" w:hAnsi="Book Antiqua"/>
          <w:color w:val="000000" w:themeColor="text1"/>
        </w:rPr>
        <w:t>nother</w:t>
      </w:r>
      <w:r w:rsidRPr="000C4B7C">
        <w:rPr>
          <w:rFonts w:ascii="Book Antiqua" w:hAnsi="Book Antiqua"/>
          <w:color w:val="000000" w:themeColor="text1"/>
        </w:rPr>
        <w:t xml:space="preserve"> path forward in treatment </w:t>
      </w:r>
      <w:proofErr w:type="gramStart"/>
      <w:r w:rsidRPr="000C4B7C">
        <w:rPr>
          <w:rFonts w:ascii="Book Antiqua" w:hAnsi="Book Antiqua"/>
          <w:color w:val="000000" w:themeColor="text1"/>
        </w:rPr>
        <w:t>selection</w:t>
      </w:r>
      <w:r w:rsidR="00027335" w:rsidRPr="000C4B7C">
        <w:rPr>
          <w:rFonts w:ascii="Book Antiqua" w:hAnsi="Book Antiqua"/>
          <w:noProof/>
          <w:color w:val="000000" w:themeColor="text1"/>
          <w:vertAlign w:val="superscript"/>
        </w:rPr>
        <w:t>[</w:t>
      </w:r>
      <w:proofErr w:type="gramEnd"/>
      <w:r w:rsidR="00027335" w:rsidRPr="000C4B7C">
        <w:rPr>
          <w:rFonts w:ascii="Book Antiqua" w:hAnsi="Book Antiqua"/>
          <w:noProof/>
          <w:color w:val="000000" w:themeColor="text1"/>
          <w:vertAlign w:val="superscript"/>
        </w:rPr>
        <w:t>91]</w:t>
      </w:r>
      <w:r w:rsidRPr="000C4B7C">
        <w:rPr>
          <w:rFonts w:ascii="Book Antiqua" w:hAnsi="Book Antiqua"/>
          <w:color w:val="000000" w:themeColor="text1"/>
        </w:rPr>
        <w:t>.</w:t>
      </w:r>
    </w:p>
    <w:p w:rsidR="00EA0B62" w:rsidRPr="000C4B7C" w:rsidRDefault="00EF443F" w:rsidP="000C4B7C">
      <w:pPr>
        <w:adjustRightInd w:val="0"/>
        <w:snapToGrid w:val="0"/>
        <w:spacing w:line="360" w:lineRule="auto"/>
        <w:ind w:firstLineChars="100" w:firstLine="240"/>
        <w:jc w:val="both"/>
        <w:rPr>
          <w:rFonts w:ascii="Book Antiqua" w:hAnsi="Book Antiqua"/>
          <w:color w:val="000000" w:themeColor="text1"/>
          <w:lang w:eastAsia="zh-CN"/>
        </w:rPr>
      </w:pPr>
      <w:r w:rsidRPr="000C4B7C">
        <w:rPr>
          <w:rFonts w:ascii="Book Antiqua" w:eastAsia="Times New Roman" w:hAnsi="Book Antiqua"/>
          <w:color w:val="000000" w:themeColor="text1"/>
        </w:rPr>
        <w:t>G</w:t>
      </w:r>
      <w:r w:rsidR="006C7305" w:rsidRPr="000C4B7C">
        <w:rPr>
          <w:rFonts w:ascii="Book Antiqua" w:eastAsia="Times New Roman" w:hAnsi="Book Antiqua"/>
          <w:color w:val="000000" w:themeColor="text1"/>
        </w:rPr>
        <w:t xml:space="preserve">iven the </w:t>
      </w:r>
      <w:r w:rsidRPr="000C4B7C">
        <w:rPr>
          <w:rFonts w:ascii="Book Antiqua" w:eastAsia="Times New Roman" w:hAnsi="Book Antiqua"/>
          <w:color w:val="000000" w:themeColor="text1"/>
        </w:rPr>
        <w:t xml:space="preserve">relation between hypercalcemia and </w:t>
      </w:r>
      <w:r w:rsidR="006C7305" w:rsidRPr="000C4B7C">
        <w:rPr>
          <w:rFonts w:ascii="Book Antiqua" w:eastAsia="Times New Roman" w:hAnsi="Book Antiqua"/>
          <w:color w:val="000000" w:themeColor="text1"/>
        </w:rPr>
        <w:t>poor prognosis</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in</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ccRCC</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patients (IMDC), investigators have recently studied the prognostic role of calcium-sensing genes on plasma membrane.</w:t>
      </w:r>
      <w:r w:rsidR="00F01A80"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In one study</w:t>
      </w:r>
      <w:r w:rsidR="00CA4ABA"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h</w:t>
      </w:r>
      <w:r w:rsidR="006C7305" w:rsidRPr="000C4B7C">
        <w:rPr>
          <w:rFonts w:ascii="Book Antiqua" w:eastAsia="Times New Roman" w:hAnsi="Book Antiqua"/>
          <w:color w:val="000000" w:themeColor="text1"/>
        </w:rPr>
        <w:t>igher levels of</w:t>
      </w:r>
      <w:r w:rsidR="00F01A80" w:rsidRPr="000C4B7C">
        <w:rPr>
          <w:rFonts w:ascii="Book Antiqua" w:eastAsia="Times New Roman" w:hAnsi="Book Antiqua"/>
          <w:color w:val="000000" w:themeColor="text1"/>
        </w:rPr>
        <w:t xml:space="preserve"> </w:t>
      </w:r>
      <w:r w:rsidR="006C7305" w:rsidRPr="000C4B7C">
        <w:rPr>
          <w:rFonts w:ascii="Book Antiqua" w:eastAsia="Times New Roman" w:hAnsi="Book Antiqua"/>
          <w:iCs/>
          <w:color w:val="000000" w:themeColor="text1"/>
        </w:rPr>
        <w:t>DYSF</w:t>
      </w:r>
      <w:r w:rsidR="00F01A80" w:rsidRPr="000C4B7C">
        <w:rPr>
          <w:rFonts w:ascii="Book Antiqua" w:eastAsia="Times New Roman" w:hAnsi="Book Antiqua"/>
          <w:iCs/>
          <w:color w:val="000000" w:themeColor="text1"/>
        </w:rPr>
        <w:t xml:space="preserve"> </w:t>
      </w:r>
      <w:r w:rsidR="00D63285" w:rsidRPr="000C4B7C">
        <w:rPr>
          <w:rFonts w:ascii="Book Antiqua" w:eastAsia="Times New Roman" w:hAnsi="Book Antiqua"/>
          <w:iCs/>
          <w:color w:val="000000" w:themeColor="text1"/>
        </w:rPr>
        <w:t xml:space="preserve">(Dysferlin) </w:t>
      </w:r>
      <w:r w:rsidRPr="000C4B7C">
        <w:rPr>
          <w:rFonts w:ascii="Book Antiqua" w:eastAsia="Times New Roman" w:hAnsi="Book Antiqua"/>
          <w:iCs/>
          <w:color w:val="000000" w:themeColor="text1"/>
        </w:rPr>
        <w:t xml:space="preserve">were </w:t>
      </w:r>
      <w:r w:rsidR="006C7305" w:rsidRPr="000C4B7C">
        <w:rPr>
          <w:rFonts w:ascii="Book Antiqua" w:eastAsia="Times New Roman" w:hAnsi="Book Antiqua"/>
          <w:color w:val="000000" w:themeColor="text1"/>
        </w:rPr>
        <w:t>found in ccRCC cells compared with normal kidney cells</w:t>
      </w:r>
      <w:r w:rsidR="00F01A80" w:rsidRPr="000C4B7C">
        <w:rPr>
          <w:rFonts w:ascii="Book Antiqua" w:eastAsia="Times New Roman" w:hAnsi="Book Antiqua"/>
          <w:color w:val="000000" w:themeColor="text1"/>
        </w:rPr>
        <w:t xml:space="preserve"> </w:t>
      </w:r>
      <w:r w:rsidR="0007478F" w:rsidRPr="000C4B7C">
        <w:rPr>
          <w:rFonts w:ascii="Book Antiqua" w:eastAsia="Times New Roman" w:hAnsi="Book Antiqua"/>
          <w:color w:val="000000" w:themeColor="text1"/>
        </w:rPr>
        <w:t>and</w:t>
      </w:r>
      <w:r w:rsidR="00F01A80" w:rsidRPr="000C4B7C">
        <w:rPr>
          <w:rFonts w:ascii="Book Antiqua" w:eastAsia="Times New Roman" w:hAnsi="Book Antiqua"/>
          <w:color w:val="000000" w:themeColor="text1"/>
        </w:rPr>
        <w:t xml:space="preserve"> </w:t>
      </w:r>
      <w:r w:rsidR="00827CA5" w:rsidRPr="000C4B7C">
        <w:rPr>
          <w:rFonts w:ascii="Book Antiqua" w:eastAsia="Times New Roman" w:hAnsi="Book Antiqua"/>
          <w:color w:val="000000" w:themeColor="text1"/>
        </w:rPr>
        <w:t>this,</w:t>
      </w:r>
      <w:r w:rsidR="0007478F" w:rsidRPr="000C4B7C">
        <w:rPr>
          <w:rFonts w:ascii="Book Antiqua" w:eastAsia="Times New Roman" w:hAnsi="Book Antiqua"/>
          <w:color w:val="000000" w:themeColor="text1"/>
        </w:rPr>
        <w:t xml:space="preserve"> within ccRCC patients, was a predictor of improved </w:t>
      </w:r>
      <w:proofErr w:type="gramStart"/>
      <w:r w:rsidR="0007478F" w:rsidRPr="000C4B7C">
        <w:rPr>
          <w:rFonts w:ascii="Book Antiqua" w:eastAsia="Times New Roman" w:hAnsi="Book Antiqua"/>
          <w:color w:val="000000" w:themeColor="text1"/>
        </w:rPr>
        <w:t>prognosis</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92]</w:t>
      </w:r>
      <w:r w:rsidR="0007478F"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It is postulated that DYSF may </w:t>
      </w:r>
      <w:r w:rsidR="0007478F" w:rsidRPr="000C4B7C">
        <w:rPr>
          <w:rFonts w:ascii="Book Antiqua" w:eastAsia="Times New Roman" w:hAnsi="Book Antiqua"/>
          <w:color w:val="000000" w:themeColor="text1"/>
        </w:rPr>
        <w:t>act as a metastasis suppressive gene and perhaps be a promising prognostic tool in ccRCC</w:t>
      </w:r>
      <w:r w:rsidR="00F01A80" w:rsidRPr="000C4B7C">
        <w:rPr>
          <w:rFonts w:ascii="Book Antiqua" w:eastAsia="Times New Roman" w:hAnsi="Book Antiqua"/>
          <w:color w:val="000000" w:themeColor="text1"/>
        </w:rPr>
        <w:t xml:space="preserve"> </w:t>
      </w:r>
      <w:r w:rsidR="00DD171D" w:rsidRPr="000C4B7C">
        <w:rPr>
          <w:rFonts w:ascii="Book Antiqua" w:eastAsia="Times New Roman" w:hAnsi="Book Antiqua"/>
          <w:color w:val="000000" w:themeColor="text1"/>
        </w:rPr>
        <w:t>patients,</w:t>
      </w:r>
      <w:r w:rsidR="00F01A80" w:rsidRPr="000C4B7C">
        <w:rPr>
          <w:rFonts w:ascii="Book Antiqua" w:eastAsia="Times New Roman" w:hAnsi="Book Antiqua"/>
          <w:color w:val="000000" w:themeColor="text1"/>
        </w:rPr>
        <w:t xml:space="preserve"> </w:t>
      </w:r>
      <w:r w:rsidR="0007478F" w:rsidRPr="000C4B7C">
        <w:rPr>
          <w:rFonts w:ascii="Book Antiqua" w:eastAsia="Times New Roman" w:hAnsi="Book Antiqua"/>
          <w:color w:val="000000" w:themeColor="text1"/>
        </w:rPr>
        <w:t>but replication of data is required by future studies.</w:t>
      </w:r>
    </w:p>
    <w:p w:rsidR="006C7305" w:rsidRPr="000C4B7C" w:rsidRDefault="00CA4ABA" w:rsidP="000C4B7C">
      <w:pPr>
        <w:adjustRightInd w:val="0"/>
        <w:snapToGrid w:val="0"/>
        <w:spacing w:line="360" w:lineRule="auto"/>
        <w:ind w:firstLineChars="100" w:firstLine="240"/>
        <w:jc w:val="both"/>
        <w:rPr>
          <w:rFonts w:ascii="Book Antiqua" w:hAnsi="Book Antiqua"/>
          <w:color w:val="000000" w:themeColor="text1"/>
        </w:rPr>
      </w:pPr>
      <w:r w:rsidRPr="000C4B7C">
        <w:rPr>
          <w:rFonts w:ascii="Book Antiqua" w:eastAsia="Times New Roman" w:hAnsi="Book Antiqua"/>
          <w:color w:val="000000" w:themeColor="text1"/>
        </w:rPr>
        <w:t>R</w:t>
      </w:r>
      <w:r w:rsidR="00DE5A73" w:rsidRPr="000C4B7C">
        <w:rPr>
          <w:rFonts w:ascii="Book Antiqua" w:eastAsia="Times New Roman" w:hAnsi="Book Antiqua"/>
          <w:color w:val="000000" w:themeColor="text1"/>
        </w:rPr>
        <w:t>ecently, use of plasma and urine nucleic acids as biomarkers in ccRCC</w:t>
      </w:r>
      <w:r w:rsidRPr="000C4B7C">
        <w:rPr>
          <w:rFonts w:ascii="Book Antiqua" w:eastAsia="Times New Roman" w:hAnsi="Book Antiqua"/>
          <w:color w:val="000000" w:themeColor="text1"/>
        </w:rPr>
        <w:t xml:space="preserve"> also</w:t>
      </w:r>
      <w:r w:rsidR="00DE5A73" w:rsidRPr="000C4B7C">
        <w:rPr>
          <w:rFonts w:ascii="Book Antiqua" w:eastAsia="Times New Roman" w:hAnsi="Book Antiqua"/>
          <w:color w:val="000000" w:themeColor="text1"/>
        </w:rPr>
        <w:t xml:space="preserve"> have been a focus of investigations and need reproduction and </w:t>
      </w:r>
      <w:proofErr w:type="gramStart"/>
      <w:r w:rsidR="00DE5A73" w:rsidRPr="000C4B7C">
        <w:rPr>
          <w:rFonts w:ascii="Book Antiqua" w:eastAsia="Times New Roman" w:hAnsi="Book Antiqua"/>
          <w:color w:val="000000" w:themeColor="text1"/>
        </w:rPr>
        <w:t>validation</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93]</w:t>
      </w:r>
      <w:r w:rsidR="00A669A5" w:rsidRPr="000C4B7C">
        <w:rPr>
          <w:rFonts w:ascii="Book Antiqua" w:eastAsia="Times New Roman" w:hAnsi="Book Antiqua"/>
          <w:color w:val="000000" w:themeColor="text1"/>
        </w:rPr>
        <w:t>.</w:t>
      </w:r>
    </w:p>
    <w:p w:rsidR="001D51C8" w:rsidRPr="000C4B7C" w:rsidRDefault="001D51C8" w:rsidP="000C4B7C">
      <w:pPr>
        <w:adjustRightInd w:val="0"/>
        <w:snapToGrid w:val="0"/>
        <w:spacing w:line="360" w:lineRule="auto"/>
        <w:jc w:val="both"/>
        <w:rPr>
          <w:rFonts w:ascii="Book Antiqua" w:eastAsia="Times New Roman" w:hAnsi="Book Antiqua"/>
          <w:color w:val="000000" w:themeColor="text1"/>
        </w:rPr>
      </w:pPr>
    </w:p>
    <w:p w:rsidR="00F9194F" w:rsidRPr="000C4B7C" w:rsidRDefault="001D51C8" w:rsidP="000C4B7C">
      <w:pPr>
        <w:adjustRightInd w:val="0"/>
        <w:snapToGrid w:val="0"/>
        <w:spacing w:line="360" w:lineRule="auto"/>
        <w:jc w:val="both"/>
        <w:rPr>
          <w:rFonts w:ascii="Book Antiqua" w:hAnsi="Book Antiqua"/>
          <w:b/>
          <w:color w:val="000000" w:themeColor="text1"/>
          <w:u w:val="single"/>
          <w:lang w:eastAsia="zh-CN"/>
        </w:rPr>
      </w:pPr>
      <w:r w:rsidRPr="000C4B7C">
        <w:rPr>
          <w:rFonts w:ascii="Book Antiqua" w:eastAsia="Times New Roman" w:hAnsi="Book Antiqua"/>
          <w:b/>
          <w:color w:val="000000" w:themeColor="text1"/>
          <w:u w:val="single"/>
        </w:rPr>
        <w:t>DISCUSSION</w:t>
      </w:r>
    </w:p>
    <w:p w:rsidR="00EA0B62" w:rsidRPr="000C4B7C" w:rsidRDefault="0045774B"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 xml:space="preserve">The landscape of first-line therapy for advanced RCC is evolving very rapidly with recent FDA approvals of ICI in combination with another ICI or with an anti-VEGFR </w:t>
      </w:r>
      <w:r w:rsidR="00ED5FDD" w:rsidRPr="000C4B7C">
        <w:rPr>
          <w:rFonts w:ascii="Book Antiqua" w:eastAsia="Times New Roman" w:hAnsi="Book Antiqua"/>
          <w:color w:val="000000" w:themeColor="text1"/>
        </w:rPr>
        <w:t>TKI</w:t>
      </w:r>
      <w:r w:rsidRPr="000C4B7C">
        <w:rPr>
          <w:rFonts w:ascii="Book Antiqua" w:eastAsia="Times New Roman" w:hAnsi="Book Antiqua"/>
          <w:color w:val="000000" w:themeColor="text1"/>
        </w:rPr>
        <w:t>.</w:t>
      </w:r>
      <w:r w:rsidR="00B819DD"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Combination therap</w:t>
      </w:r>
      <w:r w:rsidR="00EB58F7" w:rsidRPr="000C4B7C">
        <w:rPr>
          <w:rFonts w:ascii="Book Antiqua" w:eastAsia="Times New Roman" w:hAnsi="Book Antiqua"/>
          <w:color w:val="000000" w:themeColor="text1"/>
        </w:rPr>
        <w:t>ies</w:t>
      </w:r>
      <w:r w:rsidR="000550A7" w:rsidRPr="000C4B7C">
        <w:rPr>
          <w:rFonts w:ascii="Book Antiqua" w:eastAsia="Times New Roman" w:hAnsi="Book Antiqua"/>
          <w:color w:val="000000" w:themeColor="text1"/>
        </w:rPr>
        <w:t>,</w:t>
      </w:r>
      <w:r w:rsidR="00F01A80"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as outlined below</w:t>
      </w:r>
      <w:r w:rsidR="000550A7" w:rsidRPr="000C4B7C">
        <w:rPr>
          <w:rFonts w:ascii="Book Antiqua" w:eastAsia="Times New Roman" w:hAnsi="Book Antiqua"/>
          <w:color w:val="000000" w:themeColor="text1"/>
        </w:rPr>
        <w:t>,</w:t>
      </w:r>
      <w:r w:rsidR="00F01A80" w:rsidRPr="000C4B7C">
        <w:rPr>
          <w:rFonts w:ascii="Book Antiqua" w:eastAsia="Times New Roman" w:hAnsi="Book Antiqua"/>
          <w:color w:val="000000" w:themeColor="text1"/>
        </w:rPr>
        <w:t xml:space="preserve"> </w:t>
      </w:r>
      <w:r w:rsidR="00EB58F7" w:rsidRPr="000C4B7C">
        <w:rPr>
          <w:rFonts w:ascii="Book Antiqua" w:eastAsia="Times New Roman" w:hAnsi="Book Antiqua"/>
          <w:color w:val="000000" w:themeColor="text1"/>
        </w:rPr>
        <w:t>are</w:t>
      </w:r>
      <w:r w:rsidR="00456638" w:rsidRPr="000C4B7C">
        <w:rPr>
          <w:rFonts w:ascii="Book Antiqua" w:eastAsia="Times New Roman" w:hAnsi="Book Antiqua"/>
          <w:color w:val="000000" w:themeColor="text1"/>
        </w:rPr>
        <w:t xml:space="preserve"> the</w:t>
      </w:r>
      <w:r w:rsidR="00F01A80" w:rsidRPr="000C4B7C">
        <w:rPr>
          <w:rFonts w:ascii="Book Antiqua" w:eastAsia="Times New Roman" w:hAnsi="Book Antiqua"/>
          <w:color w:val="000000" w:themeColor="text1"/>
        </w:rPr>
        <w:t xml:space="preserve"> </w:t>
      </w:r>
      <w:r w:rsidR="00456638" w:rsidRPr="000C4B7C">
        <w:rPr>
          <w:rFonts w:ascii="Book Antiqua" w:eastAsia="Times New Roman" w:hAnsi="Book Antiqua"/>
          <w:color w:val="000000" w:themeColor="text1"/>
        </w:rPr>
        <w:t xml:space="preserve">current </w:t>
      </w:r>
      <w:r w:rsidR="00322E1D" w:rsidRPr="000C4B7C">
        <w:rPr>
          <w:rFonts w:ascii="Book Antiqua" w:eastAsia="Times New Roman" w:hAnsi="Book Antiqua"/>
          <w:color w:val="000000" w:themeColor="text1"/>
        </w:rPr>
        <w:t>standard of care in the management of RCC</w:t>
      </w:r>
      <w:r w:rsidR="00456638" w:rsidRPr="000C4B7C">
        <w:rPr>
          <w:rFonts w:ascii="Book Antiqua" w:eastAsia="Times New Roman" w:hAnsi="Book Antiqua"/>
          <w:color w:val="000000" w:themeColor="text1"/>
        </w:rPr>
        <w:t>.</w:t>
      </w:r>
    </w:p>
    <w:p w:rsidR="00A8480F"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For patients with favorable risk</w:t>
      </w:r>
      <w:r w:rsidR="00B04C8E" w:rsidRPr="000C4B7C">
        <w:rPr>
          <w:rFonts w:ascii="Book Antiqua" w:eastAsia="Times New Roman" w:hAnsi="Book Antiqua"/>
          <w:color w:val="000000" w:themeColor="text1"/>
        </w:rPr>
        <w:t xml:space="preserve"> disease,</w:t>
      </w:r>
      <w:r w:rsidRPr="000C4B7C">
        <w:rPr>
          <w:rFonts w:ascii="Book Antiqua" w:eastAsia="Times New Roman" w:hAnsi="Book Antiqua"/>
          <w:color w:val="000000" w:themeColor="text1"/>
        </w:rPr>
        <w:t xml:space="preserve"> the preferred current choice of treatment is combination of pembrolizumab</w:t>
      </w:r>
      <w:r w:rsidR="00B46982" w:rsidRPr="000C4B7C">
        <w:rPr>
          <w:rFonts w:ascii="Book Antiqua" w:eastAsia="Times New Roman" w:hAnsi="Book Antiqua"/>
          <w:color w:val="000000" w:themeColor="text1"/>
        </w:rPr>
        <w:t xml:space="preserve"> (ICI)</w:t>
      </w:r>
      <w:r w:rsidRPr="000C4B7C">
        <w:rPr>
          <w:rFonts w:ascii="Book Antiqua" w:eastAsia="Times New Roman" w:hAnsi="Book Antiqua"/>
          <w:color w:val="000000" w:themeColor="text1"/>
        </w:rPr>
        <w:t xml:space="preserve"> plus axitinib</w:t>
      </w:r>
      <w:r w:rsidR="00B46982" w:rsidRPr="000C4B7C">
        <w:rPr>
          <w:rFonts w:ascii="Book Antiqua" w:eastAsia="Times New Roman" w:hAnsi="Book Antiqua"/>
          <w:color w:val="000000" w:themeColor="text1"/>
        </w:rPr>
        <w:t xml:space="preserve"> (TKI)</w:t>
      </w:r>
      <w:r w:rsidR="00310A56"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KEYNOTE-426 </w:t>
      </w:r>
      <w:proofErr w:type="gramStart"/>
      <w:r w:rsidRPr="000C4B7C">
        <w:rPr>
          <w:rFonts w:ascii="Book Antiqua" w:eastAsia="Times New Roman" w:hAnsi="Book Antiqua"/>
          <w:color w:val="000000" w:themeColor="text1"/>
        </w:rPr>
        <w:t>trial</w:t>
      </w:r>
      <w:r w:rsidR="00010C0F" w:rsidRPr="000C4B7C">
        <w:rPr>
          <w:rFonts w:ascii="Book Antiqua" w:eastAsia="Times New Roman" w:hAnsi="Book Antiqua"/>
          <w:noProof/>
          <w:color w:val="000000" w:themeColor="text1"/>
          <w:vertAlign w:val="superscript"/>
        </w:rPr>
        <w:t>[</w:t>
      </w:r>
      <w:proofErr w:type="gramEnd"/>
      <w:r w:rsidR="00010C0F" w:rsidRPr="000C4B7C">
        <w:rPr>
          <w:rFonts w:ascii="Book Antiqua" w:eastAsia="Times New Roman" w:hAnsi="Book Antiqua"/>
          <w:noProof/>
          <w:color w:val="000000" w:themeColor="text1"/>
          <w:vertAlign w:val="superscript"/>
        </w:rPr>
        <w:t>45]</w:t>
      </w:r>
      <w:r w:rsidR="00B46982" w:rsidRPr="000C4B7C">
        <w:rPr>
          <w:rFonts w:ascii="Book Antiqua" w:eastAsia="Times New Roman" w:hAnsi="Book Antiqua"/>
          <w:color w:val="000000" w:themeColor="text1"/>
        </w:rPr>
        <w:t xml:space="preserve"> showed</w:t>
      </w:r>
      <w:r w:rsidRPr="000C4B7C">
        <w:rPr>
          <w:rFonts w:ascii="Book Antiqua" w:eastAsia="Times New Roman" w:hAnsi="Book Antiqua"/>
          <w:color w:val="000000" w:themeColor="text1"/>
        </w:rPr>
        <w:t xml:space="preserve"> improved OS, ORR and PFS with combination of pembrolizumab plus axitinib compared to sunitinib</w:t>
      </w:r>
      <w:r w:rsidR="00B46982" w:rsidRPr="000C4B7C">
        <w:rPr>
          <w:rFonts w:ascii="Book Antiqua" w:eastAsia="Times New Roman" w:hAnsi="Book Antiqua"/>
          <w:color w:val="000000" w:themeColor="text1"/>
        </w:rPr>
        <w:t xml:space="preserve"> (TKI)</w:t>
      </w:r>
      <w:r w:rsidRPr="000C4B7C">
        <w:rPr>
          <w:rFonts w:ascii="Book Antiqua" w:eastAsia="Times New Roman" w:hAnsi="Book Antiqua"/>
          <w:color w:val="000000" w:themeColor="text1"/>
        </w:rPr>
        <w:t>. Although this benefit was noted across all risk groups and independent of PD-L1 expression, the choice of therapy is less clear in the intermediate to poor risk patients, where another effective option is available.</w:t>
      </w:r>
    </w:p>
    <w:p w:rsidR="00662F2D"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lastRenderedPageBreak/>
        <w:t xml:space="preserve">For patients with intermediate to poor risk </w:t>
      </w:r>
      <w:r w:rsidR="00B04C8E" w:rsidRPr="000C4B7C">
        <w:rPr>
          <w:rFonts w:ascii="Book Antiqua" w:eastAsia="Times New Roman" w:hAnsi="Book Antiqua"/>
          <w:color w:val="000000" w:themeColor="text1"/>
        </w:rPr>
        <w:t xml:space="preserve">disease, </w:t>
      </w:r>
      <w:r w:rsidRPr="000C4B7C">
        <w:rPr>
          <w:rFonts w:ascii="Book Antiqua" w:eastAsia="Times New Roman" w:hAnsi="Book Antiqua"/>
          <w:color w:val="000000" w:themeColor="text1"/>
        </w:rPr>
        <w:t>the preferred current choice is n</w:t>
      </w:r>
      <w:r w:rsidRPr="000C4B7C">
        <w:rPr>
          <w:rFonts w:ascii="Book Antiqua" w:hAnsi="Book Antiqua"/>
          <w:color w:val="000000" w:themeColor="text1"/>
        </w:rPr>
        <w:t>ivolumab plus ipilimumab</w:t>
      </w:r>
      <w:r w:rsidR="003A2255" w:rsidRPr="000C4B7C">
        <w:rPr>
          <w:rFonts w:ascii="Book Antiqua" w:hAnsi="Book Antiqua"/>
          <w:color w:val="000000" w:themeColor="text1"/>
        </w:rPr>
        <w:t xml:space="preserve"> (ICI</w:t>
      </w:r>
      <w:r w:rsidR="00A8480F" w:rsidRPr="000C4B7C">
        <w:rPr>
          <w:rFonts w:ascii="Book Antiqua" w:hAnsi="Book Antiqua"/>
          <w:color w:val="000000" w:themeColor="text1"/>
          <w:lang w:eastAsia="zh-CN"/>
        </w:rPr>
        <w:t xml:space="preserve"> </w:t>
      </w:r>
      <w:r w:rsidR="003A2255" w:rsidRPr="000C4B7C">
        <w:rPr>
          <w:rFonts w:ascii="Book Antiqua" w:hAnsi="Book Antiqua"/>
          <w:color w:val="000000" w:themeColor="text1"/>
        </w:rPr>
        <w:t>+</w:t>
      </w:r>
      <w:r w:rsidR="00A8480F" w:rsidRPr="000C4B7C">
        <w:rPr>
          <w:rFonts w:ascii="Book Antiqua" w:hAnsi="Book Antiqua"/>
          <w:color w:val="000000" w:themeColor="text1"/>
          <w:lang w:eastAsia="zh-CN"/>
        </w:rPr>
        <w:t xml:space="preserve"> </w:t>
      </w:r>
      <w:r w:rsidR="003A2255" w:rsidRPr="000C4B7C">
        <w:rPr>
          <w:rFonts w:ascii="Book Antiqua" w:hAnsi="Book Antiqua"/>
          <w:color w:val="000000" w:themeColor="text1"/>
        </w:rPr>
        <w:t>ICI)</w:t>
      </w:r>
      <w:r w:rsidRPr="000C4B7C">
        <w:rPr>
          <w:rFonts w:ascii="Book Antiqua" w:hAnsi="Book Antiqua"/>
          <w:color w:val="000000" w:themeColor="text1"/>
        </w:rPr>
        <w:t xml:space="preserve">. In the CheckMate 214 </w:t>
      </w:r>
      <w:proofErr w:type="gramStart"/>
      <w:r w:rsidRPr="000C4B7C">
        <w:rPr>
          <w:rFonts w:ascii="Book Antiqua" w:hAnsi="Book Antiqua"/>
          <w:color w:val="000000" w:themeColor="text1"/>
        </w:rPr>
        <w:t>trial</w:t>
      </w:r>
      <w:r w:rsidR="00010C0F" w:rsidRPr="000C4B7C">
        <w:rPr>
          <w:rFonts w:ascii="Book Antiqua" w:hAnsi="Book Antiqua"/>
          <w:noProof/>
          <w:color w:val="000000" w:themeColor="text1"/>
          <w:vertAlign w:val="superscript"/>
        </w:rPr>
        <w:t>[</w:t>
      </w:r>
      <w:proofErr w:type="gramEnd"/>
      <w:r w:rsidR="00010C0F" w:rsidRPr="000C4B7C">
        <w:rPr>
          <w:rFonts w:ascii="Book Antiqua" w:hAnsi="Book Antiqua"/>
          <w:noProof/>
          <w:color w:val="000000" w:themeColor="text1"/>
          <w:vertAlign w:val="superscript"/>
        </w:rPr>
        <w:t>44]</w:t>
      </w:r>
      <w:r w:rsidRPr="000C4B7C">
        <w:rPr>
          <w:rFonts w:ascii="Book Antiqua" w:hAnsi="Book Antiqua"/>
          <w:color w:val="000000" w:themeColor="text1"/>
        </w:rPr>
        <w:t xml:space="preserve">, CRR was 9% with </w:t>
      </w:r>
      <w:r w:rsidRPr="000C4B7C">
        <w:rPr>
          <w:rFonts w:ascii="Book Antiqua" w:eastAsia="Times New Roman" w:hAnsi="Book Antiqua"/>
          <w:color w:val="000000" w:themeColor="text1"/>
        </w:rPr>
        <w:t>n</w:t>
      </w:r>
      <w:r w:rsidRPr="000C4B7C">
        <w:rPr>
          <w:rFonts w:ascii="Book Antiqua" w:hAnsi="Book Antiqua"/>
          <w:color w:val="000000" w:themeColor="text1"/>
        </w:rPr>
        <w:t xml:space="preserve">ivolumab plus ipilimumab, the best so far, compared to that of 1% in control arm with sunitinib. </w:t>
      </w:r>
      <w:r w:rsidR="00B806F7" w:rsidRPr="000C4B7C">
        <w:rPr>
          <w:rFonts w:ascii="Book Antiqua" w:eastAsia="Times New Roman" w:hAnsi="Book Antiqua"/>
          <w:color w:val="000000" w:themeColor="text1"/>
        </w:rPr>
        <w:t xml:space="preserve">The updated 30 </w:t>
      </w:r>
      <w:r w:rsidR="007167C0" w:rsidRPr="000C4B7C">
        <w:rPr>
          <w:rFonts w:ascii="Book Antiqua" w:eastAsia="Times New Roman" w:hAnsi="Book Antiqua"/>
          <w:color w:val="000000" w:themeColor="text1"/>
        </w:rPr>
        <w:t>mo</w:t>
      </w:r>
      <w:r w:rsidR="00B806F7" w:rsidRPr="000C4B7C">
        <w:rPr>
          <w:rFonts w:ascii="Book Antiqua" w:eastAsia="Times New Roman" w:hAnsi="Book Antiqua"/>
          <w:color w:val="000000" w:themeColor="text1"/>
        </w:rPr>
        <w:t xml:space="preserve"> follow-up analysis reported an even higher CR rate of 11%</w:t>
      </w:r>
      <w:r w:rsidR="00EC2F9F" w:rsidRPr="000C4B7C">
        <w:rPr>
          <w:rFonts w:ascii="Book Antiqua" w:eastAsia="Times New Roman" w:hAnsi="Book Antiqua"/>
          <w:color w:val="000000" w:themeColor="text1"/>
        </w:rPr>
        <w:t>.</w:t>
      </w:r>
      <w:r w:rsidR="00A8480F" w:rsidRPr="000C4B7C">
        <w:rPr>
          <w:rFonts w:ascii="Book Antiqua" w:hAnsi="Book Antiqua"/>
          <w:color w:val="000000" w:themeColor="text1"/>
          <w:lang w:eastAsia="zh-CN"/>
        </w:rPr>
        <w:t xml:space="preserve"> </w:t>
      </w:r>
      <w:r w:rsidRPr="000C4B7C">
        <w:rPr>
          <w:rFonts w:ascii="Book Antiqua" w:hAnsi="Book Antiqua"/>
          <w:color w:val="000000" w:themeColor="text1"/>
        </w:rPr>
        <w:t>The OS and ORR were also significantly be</w:t>
      </w:r>
      <w:r w:rsidR="003A2255" w:rsidRPr="000C4B7C">
        <w:rPr>
          <w:rFonts w:ascii="Book Antiqua" w:hAnsi="Book Antiqua"/>
          <w:color w:val="000000" w:themeColor="text1"/>
        </w:rPr>
        <w:t>tter in the combination arm.</w:t>
      </w:r>
      <w:r w:rsidR="00A8480F"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Comparing the combinations of </w:t>
      </w:r>
      <w:r w:rsidRPr="000C4B7C">
        <w:rPr>
          <w:rFonts w:ascii="Book Antiqua" w:eastAsia="Times New Roman" w:hAnsi="Book Antiqua"/>
          <w:color w:val="000000" w:themeColor="text1"/>
        </w:rPr>
        <w:t>pembrolizumab plus axitinib with that of n</w:t>
      </w:r>
      <w:r w:rsidRPr="000C4B7C">
        <w:rPr>
          <w:rFonts w:ascii="Book Antiqua" w:hAnsi="Book Antiqua"/>
          <w:color w:val="000000" w:themeColor="text1"/>
        </w:rPr>
        <w:t xml:space="preserve">ivolumab plus ipilimumab, both tested against sunitinib, although the ORR was higher (59% </w:t>
      </w:r>
      <w:r w:rsidR="00FF43B4" w:rsidRPr="000C4B7C">
        <w:rPr>
          <w:rFonts w:ascii="Book Antiqua" w:hAnsi="Book Antiqua"/>
          <w:i/>
          <w:color w:val="000000" w:themeColor="text1"/>
        </w:rPr>
        <w:t>vs</w:t>
      </w:r>
      <w:r w:rsidRPr="000C4B7C">
        <w:rPr>
          <w:rFonts w:ascii="Book Antiqua" w:hAnsi="Book Antiqua"/>
          <w:color w:val="000000" w:themeColor="text1"/>
        </w:rPr>
        <w:t xml:space="preserve"> 42%) in the former combination, it was the CRR of 9%</w:t>
      </w:r>
      <w:r w:rsidR="00B806F7" w:rsidRPr="000C4B7C">
        <w:rPr>
          <w:rFonts w:ascii="Book Antiqua" w:hAnsi="Book Antiqua"/>
          <w:color w:val="000000" w:themeColor="text1"/>
        </w:rPr>
        <w:t xml:space="preserve"> (and 11% on 30</w:t>
      </w:r>
      <w:r w:rsidR="00A8480F" w:rsidRPr="000C4B7C">
        <w:rPr>
          <w:rFonts w:ascii="Book Antiqua" w:hAnsi="Book Antiqua"/>
          <w:color w:val="000000" w:themeColor="text1"/>
          <w:lang w:eastAsia="zh-CN"/>
        </w:rPr>
        <w:t xml:space="preserve"> </w:t>
      </w:r>
      <w:r w:rsidR="007167C0" w:rsidRPr="000C4B7C">
        <w:rPr>
          <w:rFonts w:ascii="Book Antiqua" w:hAnsi="Book Antiqua"/>
          <w:color w:val="000000" w:themeColor="text1"/>
        </w:rPr>
        <w:t>mo</w:t>
      </w:r>
      <w:r w:rsidR="00B806F7" w:rsidRPr="000C4B7C">
        <w:rPr>
          <w:rFonts w:ascii="Book Antiqua" w:hAnsi="Book Antiqua"/>
          <w:color w:val="000000" w:themeColor="text1"/>
        </w:rPr>
        <w:t xml:space="preserve"> follow-up)</w:t>
      </w:r>
      <w:r w:rsidRPr="000C4B7C">
        <w:rPr>
          <w:rFonts w:ascii="Book Antiqua" w:hAnsi="Book Antiqua"/>
          <w:color w:val="000000" w:themeColor="text1"/>
        </w:rPr>
        <w:t xml:space="preserve"> in the </w:t>
      </w:r>
      <w:r w:rsidRPr="000C4B7C">
        <w:rPr>
          <w:rFonts w:ascii="Book Antiqua" w:eastAsia="Times New Roman" w:hAnsi="Book Antiqua"/>
          <w:color w:val="000000" w:themeColor="text1"/>
        </w:rPr>
        <w:t>n</w:t>
      </w:r>
      <w:r w:rsidRPr="000C4B7C">
        <w:rPr>
          <w:rFonts w:ascii="Book Antiqua" w:hAnsi="Book Antiqua"/>
          <w:color w:val="000000" w:themeColor="text1"/>
        </w:rPr>
        <w:t xml:space="preserve">ivolumab plus ipilimumab combination compared to 5.8% in </w:t>
      </w:r>
      <w:r w:rsidRPr="000C4B7C">
        <w:rPr>
          <w:rFonts w:ascii="Book Antiqua" w:eastAsia="Times New Roman" w:hAnsi="Book Antiqua"/>
          <w:color w:val="000000" w:themeColor="text1"/>
        </w:rPr>
        <w:t xml:space="preserve">pembrolizumab plus axitinib, that makes it </w:t>
      </w:r>
      <w:r w:rsidR="00EC2F9F" w:rsidRPr="000C4B7C">
        <w:rPr>
          <w:rFonts w:ascii="Book Antiqua" w:eastAsia="Times New Roman" w:hAnsi="Book Antiqua"/>
          <w:color w:val="000000" w:themeColor="text1"/>
        </w:rPr>
        <w:t xml:space="preserve">one of </w:t>
      </w:r>
      <w:r w:rsidRPr="000C4B7C">
        <w:rPr>
          <w:rFonts w:ascii="Book Antiqua" w:eastAsia="Times New Roman" w:hAnsi="Book Antiqua"/>
          <w:color w:val="000000" w:themeColor="text1"/>
        </w:rPr>
        <w:t>the preferred choice in patients with intermediate to poor risk</w:t>
      </w:r>
      <w:r w:rsidR="00656C38" w:rsidRPr="000C4B7C">
        <w:rPr>
          <w:rFonts w:ascii="Book Antiqua" w:eastAsia="Times New Roman" w:hAnsi="Book Antiqua"/>
          <w:color w:val="000000" w:themeColor="text1"/>
        </w:rPr>
        <w:t xml:space="preserve"> </w:t>
      </w:r>
      <w:r w:rsidR="00B04C8E" w:rsidRPr="000C4B7C">
        <w:rPr>
          <w:rFonts w:ascii="Book Antiqua" w:eastAsia="Times New Roman" w:hAnsi="Book Antiqua"/>
          <w:color w:val="000000" w:themeColor="text1"/>
        </w:rPr>
        <w:t>RCC</w:t>
      </w:r>
      <w:r w:rsidRPr="000C4B7C">
        <w:rPr>
          <w:rFonts w:ascii="Book Antiqua" w:eastAsia="Times New Roman" w:hAnsi="Book Antiqua"/>
          <w:color w:val="000000" w:themeColor="text1"/>
        </w:rPr>
        <w:t>. In terms of AE</w:t>
      </w:r>
      <w:r w:rsidR="0070643E" w:rsidRPr="000C4B7C">
        <w:rPr>
          <w:rFonts w:ascii="Book Antiqua" w:eastAsia="Times New Roman" w:hAnsi="Book Antiqua"/>
          <w:color w:val="000000" w:themeColor="text1"/>
        </w:rPr>
        <w:t>s</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also, n</w:t>
      </w:r>
      <w:r w:rsidRPr="000C4B7C">
        <w:rPr>
          <w:rFonts w:ascii="Book Antiqua" w:hAnsi="Book Antiqua"/>
          <w:color w:val="000000" w:themeColor="text1"/>
        </w:rPr>
        <w:t xml:space="preserve">ivolumab plus ipilimumab combination appeared to be tolerated better with </w:t>
      </w:r>
      <w:r w:rsidRPr="000C4B7C">
        <w:rPr>
          <w:rFonts w:ascii="Book Antiqua" w:eastAsia="Times New Roman" w:hAnsi="Book Antiqua"/>
          <w:color w:val="000000" w:themeColor="text1"/>
        </w:rPr>
        <w:t>Grade 3 or 4 AEs encountered in 46% of patients compared to grade 3 or higher AEs in 76% patients who received</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pembrolizumab plus axitinib. In contrast, </w:t>
      </w:r>
      <w:r w:rsidR="0070643E" w:rsidRPr="000C4B7C">
        <w:rPr>
          <w:rFonts w:ascii="Book Antiqua" w:eastAsia="Times New Roman" w:hAnsi="Book Antiqua"/>
          <w:color w:val="000000" w:themeColor="text1"/>
        </w:rPr>
        <w:t>combination</w:t>
      </w:r>
      <w:r w:rsidRPr="000C4B7C">
        <w:rPr>
          <w:rFonts w:ascii="Book Antiqua" w:eastAsia="Times New Roman" w:hAnsi="Book Antiqua"/>
          <w:color w:val="000000" w:themeColor="text1"/>
        </w:rPr>
        <w:t xml:space="preserve"> of n</w:t>
      </w:r>
      <w:r w:rsidRPr="000C4B7C">
        <w:rPr>
          <w:rFonts w:ascii="Book Antiqua" w:hAnsi="Book Antiqua"/>
          <w:color w:val="000000" w:themeColor="text1"/>
        </w:rPr>
        <w:t xml:space="preserve">ivolumab plus ipilimumab did not hold up in favorable risk patients, in whom ORR and PFS favored sunitinib over combination of </w:t>
      </w:r>
      <w:r w:rsidRPr="000C4B7C">
        <w:rPr>
          <w:rFonts w:ascii="Book Antiqua" w:eastAsia="Times New Roman" w:hAnsi="Book Antiqua"/>
          <w:color w:val="000000" w:themeColor="text1"/>
        </w:rPr>
        <w:t>n</w:t>
      </w:r>
      <w:r w:rsidRPr="000C4B7C">
        <w:rPr>
          <w:rFonts w:ascii="Book Antiqua" w:hAnsi="Book Antiqua"/>
          <w:color w:val="000000" w:themeColor="text1"/>
        </w:rPr>
        <w:t>ivolumab plus ipilimumab. However, OS data from long term follow up are still awaited.</w:t>
      </w:r>
    </w:p>
    <w:p w:rsidR="00983C3F"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Two VEGFR agents (pazopanib and sunitinib) are also recommended options as first-line therapy in favorable-risk patients with advanced RCC who cannot receive ICIs (pembrolizumab plus axitinib). Pazop</w:t>
      </w:r>
      <w:r w:rsidR="002437DF" w:rsidRPr="000C4B7C">
        <w:rPr>
          <w:rFonts w:ascii="Book Antiqua" w:eastAsia="Times New Roman" w:hAnsi="Book Antiqua"/>
          <w:color w:val="000000" w:themeColor="text1"/>
        </w:rPr>
        <w:t>a</w:t>
      </w:r>
      <w:r w:rsidRPr="000C4B7C">
        <w:rPr>
          <w:rFonts w:ascii="Book Antiqua" w:eastAsia="Times New Roman" w:hAnsi="Book Antiqua"/>
          <w:color w:val="000000" w:themeColor="text1"/>
        </w:rPr>
        <w:t xml:space="preserve">nib was non-inferior to sunitinib in the COMPARZ </w:t>
      </w:r>
      <w:proofErr w:type="gramStart"/>
      <w:r w:rsidRPr="000C4B7C">
        <w:rPr>
          <w:rFonts w:ascii="Book Antiqua" w:eastAsia="Times New Roman" w:hAnsi="Book Antiqua"/>
          <w:color w:val="000000" w:themeColor="text1"/>
        </w:rPr>
        <w:t>study</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53]</w:t>
      </w:r>
      <w:r w:rsidRPr="000C4B7C">
        <w:rPr>
          <w:rFonts w:ascii="Book Antiqua" w:eastAsia="Times New Roman" w:hAnsi="Book Antiqua"/>
          <w:color w:val="000000" w:themeColor="text1"/>
        </w:rPr>
        <w:t xml:space="preserve"> with several quality of life indicators and AEs profile favoring pazopanib.</w:t>
      </w:r>
      <w:r w:rsidR="00656C38"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The VEGFR alternative to ICI therapy in patients with intermediate to poor risk is cabozantinib. Cabozantinb (CABOSUN study</w:t>
      </w:r>
      <w:proofErr w:type="gramStart"/>
      <w:r w:rsidRPr="000C4B7C">
        <w:rPr>
          <w:rFonts w:ascii="Book Antiqua" w:eastAsia="Times New Roman" w:hAnsi="Book Antiqua"/>
          <w:color w:val="000000" w:themeColor="text1"/>
        </w:rPr>
        <w:t>)</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62]</w:t>
      </w:r>
      <w:r w:rsidRPr="000C4B7C">
        <w:rPr>
          <w:rFonts w:ascii="Book Antiqua" w:eastAsia="Times New Roman" w:hAnsi="Book Antiqua"/>
          <w:color w:val="000000" w:themeColor="text1"/>
        </w:rPr>
        <w:t xml:space="preserve"> had significantly improved ORR and PFS in comparison with sunitinib but all responses were partial. Grade 3 or 4 AEs occurred in a comparable percentage of patients in the two groups. Cabozantinib is particularly recommended in </w:t>
      </w:r>
      <w:r w:rsidR="006F0DCF" w:rsidRPr="000C4B7C">
        <w:rPr>
          <w:rFonts w:ascii="Book Antiqua" w:eastAsia="Times New Roman" w:hAnsi="Book Antiqua"/>
          <w:color w:val="000000" w:themeColor="text1"/>
        </w:rPr>
        <w:t xml:space="preserve">patients with bone metastasis. </w:t>
      </w:r>
      <w:r w:rsidRPr="000C4B7C">
        <w:rPr>
          <w:rFonts w:ascii="Book Antiqua" w:eastAsia="Times New Roman" w:hAnsi="Book Antiqua"/>
          <w:color w:val="000000" w:themeColor="text1"/>
        </w:rPr>
        <w:t>Of new interest is the combination of avelumab</w:t>
      </w:r>
      <w:r w:rsidR="006F0DCF" w:rsidRPr="000C4B7C">
        <w:rPr>
          <w:rFonts w:ascii="Book Antiqua" w:eastAsia="Times New Roman" w:hAnsi="Book Antiqua"/>
          <w:color w:val="000000" w:themeColor="text1"/>
        </w:rPr>
        <w:t xml:space="preserve"> (ICI)</w:t>
      </w:r>
      <w:r w:rsidRPr="000C4B7C">
        <w:rPr>
          <w:rFonts w:ascii="Book Antiqua" w:eastAsia="Times New Roman" w:hAnsi="Book Antiqua"/>
          <w:color w:val="000000" w:themeColor="text1"/>
        </w:rPr>
        <w:t xml:space="preserve"> plus axitinib</w:t>
      </w:r>
      <w:r w:rsidR="006F0DCF" w:rsidRPr="000C4B7C">
        <w:rPr>
          <w:rFonts w:ascii="Book Antiqua" w:eastAsia="Times New Roman" w:hAnsi="Book Antiqua"/>
          <w:color w:val="000000" w:themeColor="text1"/>
        </w:rPr>
        <w:t xml:space="preserve"> (TKI)</w:t>
      </w:r>
      <w:r w:rsidRPr="000C4B7C">
        <w:rPr>
          <w:rFonts w:ascii="Book Antiqua" w:eastAsia="Times New Roman" w:hAnsi="Book Antiqua"/>
          <w:color w:val="000000" w:themeColor="text1"/>
        </w:rPr>
        <w:t xml:space="preserve">, </w:t>
      </w:r>
      <w:r w:rsidR="006F0DCF" w:rsidRPr="000C4B7C">
        <w:rPr>
          <w:rFonts w:ascii="Book Antiqua" w:eastAsia="Times New Roman" w:hAnsi="Book Antiqua"/>
          <w:color w:val="000000" w:themeColor="text1"/>
        </w:rPr>
        <w:t xml:space="preserve">approved by </w:t>
      </w:r>
      <w:r w:rsidR="002437DF" w:rsidRPr="000C4B7C">
        <w:rPr>
          <w:rFonts w:ascii="Book Antiqua" w:eastAsia="Times New Roman" w:hAnsi="Book Antiqua"/>
          <w:color w:val="000000" w:themeColor="text1"/>
        </w:rPr>
        <w:t xml:space="preserve">the </w:t>
      </w:r>
      <w:r w:rsidR="006F0DCF" w:rsidRPr="000C4B7C">
        <w:rPr>
          <w:rFonts w:ascii="Book Antiqua" w:eastAsia="Times New Roman" w:hAnsi="Book Antiqua"/>
          <w:color w:val="000000" w:themeColor="text1"/>
        </w:rPr>
        <w:t>FDA in May 2019 (</w:t>
      </w:r>
      <w:r w:rsidRPr="000C4B7C">
        <w:rPr>
          <w:rFonts w:ascii="Book Antiqua" w:eastAsia="Times New Roman" w:hAnsi="Book Antiqua"/>
          <w:color w:val="000000" w:themeColor="text1"/>
        </w:rPr>
        <w:t xml:space="preserve">JAVELIN Renal 101 trial) for first-line treatment of patients in advanced RCC across all risk groups. </w:t>
      </w:r>
      <w:r w:rsidRPr="000C4B7C">
        <w:rPr>
          <w:rFonts w:ascii="Book Antiqua" w:hAnsi="Book Antiqua"/>
          <w:color w:val="000000" w:themeColor="text1"/>
          <w:shd w:val="clear" w:color="auto" w:fill="FFFFFF"/>
        </w:rPr>
        <w:t xml:space="preserve">PFS and OR benefit </w:t>
      </w:r>
      <w:r w:rsidR="007F07E6" w:rsidRPr="000C4B7C">
        <w:rPr>
          <w:rFonts w:ascii="Book Antiqua" w:hAnsi="Book Antiqua"/>
          <w:color w:val="000000" w:themeColor="text1"/>
          <w:shd w:val="clear" w:color="auto" w:fill="FFFFFF"/>
        </w:rPr>
        <w:t>were</w:t>
      </w:r>
      <w:r w:rsidRPr="000C4B7C">
        <w:rPr>
          <w:rFonts w:ascii="Book Antiqua" w:hAnsi="Book Antiqua"/>
          <w:color w:val="000000" w:themeColor="text1"/>
          <w:shd w:val="clear" w:color="auto" w:fill="FFFFFF"/>
        </w:rPr>
        <w:t xml:space="preserve"> observed irrespective of PD-L1 expression but results of OS are awaited.</w:t>
      </w:r>
    </w:p>
    <w:p w:rsidR="004D2906"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lastRenderedPageBreak/>
        <w:t>The consensus on second-line treatment is still controversial. The general understanding to date is that for patients who progress on immunotherapy, VEGFR targeted therapy is recommended. For patients who progress on initial VEGFR</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targeted therapy, either single </w:t>
      </w:r>
      <w:r w:rsidR="00B04C8E" w:rsidRPr="000C4B7C">
        <w:rPr>
          <w:rFonts w:ascii="Book Antiqua" w:eastAsia="Times New Roman" w:hAnsi="Book Antiqua"/>
          <w:color w:val="000000" w:themeColor="text1"/>
        </w:rPr>
        <w:t xml:space="preserve">agent </w:t>
      </w:r>
      <w:r w:rsidRPr="000C4B7C">
        <w:rPr>
          <w:rFonts w:ascii="Book Antiqua" w:eastAsia="Times New Roman" w:hAnsi="Book Antiqua"/>
          <w:color w:val="000000" w:themeColor="text1"/>
        </w:rPr>
        <w:t xml:space="preserve">nivolumab or </w:t>
      </w:r>
      <w:r w:rsidR="00B04C8E" w:rsidRPr="000C4B7C">
        <w:rPr>
          <w:rFonts w:ascii="Book Antiqua" w:eastAsia="Times New Roman" w:hAnsi="Book Antiqua"/>
          <w:color w:val="000000" w:themeColor="text1"/>
        </w:rPr>
        <w:t xml:space="preserve">the </w:t>
      </w:r>
      <w:r w:rsidRPr="000C4B7C">
        <w:rPr>
          <w:rFonts w:ascii="Book Antiqua" w:eastAsia="Times New Roman" w:hAnsi="Book Antiqua"/>
          <w:color w:val="000000" w:themeColor="text1"/>
        </w:rPr>
        <w:t>combination ICI</w:t>
      </w:r>
      <w:r w:rsidR="00B04C8E" w:rsidRPr="000C4B7C">
        <w:rPr>
          <w:rFonts w:ascii="Book Antiqua" w:eastAsia="Times New Roman" w:hAnsi="Book Antiqua"/>
          <w:color w:val="000000" w:themeColor="text1"/>
        </w:rPr>
        <w:t xml:space="preserve"> regimen </w:t>
      </w:r>
      <w:r w:rsidRPr="000C4B7C">
        <w:rPr>
          <w:rFonts w:ascii="Book Antiqua" w:hAnsi="Book Antiqua"/>
          <w:color w:val="000000" w:themeColor="text1"/>
        </w:rPr>
        <w:t xml:space="preserve">nivolumab plus ipilimumab is recommended. If ICI therapy is unavailable or not advisable, other VEGFR agents can be tried. For patients who progress on VEGFR-agent plus ICI, the choices are combination of nivolumab plus ipilimumab or a different VEGFR-agent. Large retrospective and prospective studies are mandated to further </w:t>
      </w:r>
      <w:r w:rsidR="006F0DCF" w:rsidRPr="000C4B7C">
        <w:rPr>
          <w:rFonts w:ascii="Book Antiqua" w:hAnsi="Book Antiqua"/>
          <w:color w:val="000000" w:themeColor="text1"/>
        </w:rPr>
        <w:t>analyze</w:t>
      </w:r>
      <w:r w:rsidRPr="000C4B7C">
        <w:rPr>
          <w:rFonts w:ascii="Book Antiqua" w:hAnsi="Book Antiqua"/>
          <w:color w:val="000000" w:themeColor="text1"/>
        </w:rPr>
        <w:t xml:space="preserve"> the differential benefit/risk ratios of th</w:t>
      </w:r>
      <w:r w:rsidR="006F0DCF" w:rsidRPr="000C4B7C">
        <w:rPr>
          <w:rFonts w:ascii="Book Antiqua" w:hAnsi="Book Antiqua"/>
          <w:color w:val="000000" w:themeColor="text1"/>
        </w:rPr>
        <w:t xml:space="preserve">e different available options. </w:t>
      </w:r>
      <w:r w:rsidRPr="000C4B7C">
        <w:rPr>
          <w:rFonts w:ascii="Book Antiqua" w:hAnsi="Book Antiqua"/>
          <w:color w:val="000000" w:themeColor="text1"/>
        </w:rPr>
        <w:t>Although the choice of a specific therapeutic ag</w:t>
      </w:r>
      <w:r w:rsidR="006F0DCF" w:rsidRPr="000C4B7C">
        <w:rPr>
          <w:rFonts w:ascii="Book Antiqua" w:hAnsi="Book Antiqua"/>
          <w:color w:val="000000" w:themeColor="text1"/>
        </w:rPr>
        <w:t>ent remains controversial, the current trend is discussed below.</w:t>
      </w:r>
    </w:p>
    <w:p w:rsidR="00247035"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hAnsi="Book Antiqua"/>
          <w:color w:val="000000" w:themeColor="text1"/>
          <w:shd w:val="clear" w:color="auto" w:fill="FFFFFF"/>
        </w:rPr>
        <w:t>For patients treated previously with IO, cabozantinib may be the preferr</w:t>
      </w:r>
      <w:r w:rsidR="006D7934" w:rsidRPr="000C4B7C">
        <w:rPr>
          <w:rFonts w:ascii="Book Antiqua" w:hAnsi="Book Antiqua"/>
          <w:color w:val="000000" w:themeColor="text1"/>
          <w:shd w:val="clear" w:color="auto" w:fill="FFFFFF"/>
        </w:rPr>
        <w:t>ed agent for subsequent therapy</w:t>
      </w:r>
      <w:r w:rsidRPr="000C4B7C">
        <w:rPr>
          <w:rFonts w:ascii="Book Antiqua" w:hAnsi="Book Antiqua"/>
          <w:color w:val="000000" w:themeColor="text1"/>
          <w:shd w:val="clear" w:color="auto" w:fill="FFFFFF"/>
        </w:rPr>
        <w:t xml:space="preserve">. Cabozantinib showed significantly improved PFS and OS compared to </w:t>
      </w:r>
      <w:r w:rsidR="006D7934" w:rsidRPr="000C4B7C">
        <w:rPr>
          <w:rFonts w:ascii="Book Antiqua" w:hAnsi="Book Antiqua"/>
          <w:color w:val="000000" w:themeColor="text1"/>
          <w:shd w:val="clear" w:color="auto" w:fill="FFFFFF"/>
        </w:rPr>
        <w:t>everolimus in the METEOR tr</w:t>
      </w:r>
      <w:r w:rsidR="002676A0" w:rsidRPr="000C4B7C">
        <w:rPr>
          <w:rFonts w:ascii="Book Antiqua" w:hAnsi="Book Antiqua"/>
          <w:color w:val="000000" w:themeColor="text1"/>
          <w:shd w:val="clear" w:color="auto" w:fill="FFFFFF"/>
        </w:rPr>
        <w:t>ia</w:t>
      </w:r>
      <w:r w:rsidR="006D7934" w:rsidRPr="000C4B7C">
        <w:rPr>
          <w:rFonts w:ascii="Book Antiqua" w:hAnsi="Book Antiqua"/>
          <w:color w:val="000000" w:themeColor="text1"/>
          <w:shd w:val="clear" w:color="auto" w:fill="FFFFFF"/>
        </w:rPr>
        <w:t>l.</w:t>
      </w:r>
      <w:r w:rsidRPr="000C4B7C">
        <w:rPr>
          <w:rFonts w:ascii="Book Antiqua" w:hAnsi="Book Antiqua"/>
          <w:color w:val="000000" w:themeColor="text1"/>
          <w:shd w:val="clear" w:color="auto" w:fill="FFFFFF"/>
        </w:rPr>
        <w:t xml:space="preserve"> It is particularly beneficial in patients with bone metastasis. In a retrospective analysis of 69 patients with progression</w:t>
      </w:r>
      <w:r w:rsidR="006D7934" w:rsidRPr="000C4B7C">
        <w:rPr>
          <w:rFonts w:ascii="Book Antiqua" w:hAnsi="Book Antiqua"/>
          <w:color w:val="000000" w:themeColor="text1"/>
          <w:shd w:val="clear" w:color="auto" w:fill="FFFFFF"/>
        </w:rPr>
        <w:t xml:space="preserve"> on IO alone, or in combination</w:t>
      </w:r>
      <w:r w:rsidRPr="000C4B7C">
        <w:rPr>
          <w:rFonts w:ascii="Book Antiqua" w:hAnsi="Book Antiqua"/>
          <w:color w:val="000000" w:themeColor="text1"/>
          <w:shd w:val="clear" w:color="auto" w:fill="FFFFFF"/>
        </w:rPr>
        <w:t xml:space="preserve"> with VEGFR agent or others, the </w:t>
      </w:r>
      <w:r w:rsidRPr="000C4B7C">
        <w:rPr>
          <w:rFonts w:ascii="Book Antiqua" w:eastAsia="Times New Roman" w:hAnsi="Book Antiqua"/>
          <w:color w:val="000000" w:themeColor="text1"/>
        </w:rPr>
        <w:t xml:space="preserve">one-year OS was 53% with cabozantinib as a subsequent </w:t>
      </w:r>
      <w:proofErr w:type="gramStart"/>
      <w:r w:rsidRPr="000C4B7C">
        <w:rPr>
          <w:rFonts w:ascii="Book Antiqua" w:eastAsia="Times New Roman" w:hAnsi="Book Antiqua"/>
          <w:color w:val="000000" w:themeColor="text1"/>
        </w:rPr>
        <w:t>agent</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94]</w:t>
      </w:r>
      <w:r w:rsidRPr="000C4B7C">
        <w:rPr>
          <w:rFonts w:ascii="Book Antiqua" w:eastAsia="Times New Roman" w:hAnsi="Book Antiqua"/>
          <w:color w:val="000000" w:themeColor="text1"/>
        </w:rPr>
        <w:t xml:space="preserve">. The appropriate drug holiday before starting a TKI after progression on ICI is undecided. Although an overlap may potentially improve efficacy, it must be remembered that ICIs have long half-lives and can contribute to both, continued response as well as AEs long after </w:t>
      </w:r>
      <w:proofErr w:type="gramStart"/>
      <w:r w:rsidRPr="000C4B7C">
        <w:rPr>
          <w:rFonts w:ascii="Book Antiqua" w:eastAsia="Times New Roman" w:hAnsi="Book Antiqua"/>
          <w:color w:val="000000" w:themeColor="text1"/>
        </w:rPr>
        <w:t>discontinuation</w:t>
      </w:r>
      <w:r w:rsidR="00247035" w:rsidRPr="000C4B7C">
        <w:rPr>
          <w:rFonts w:ascii="Book Antiqua" w:eastAsia="Times New Roman" w:hAnsi="Book Antiqua"/>
          <w:noProof/>
          <w:color w:val="000000" w:themeColor="text1"/>
          <w:vertAlign w:val="superscript"/>
        </w:rPr>
        <w:t>[</w:t>
      </w:r>
      <w:proofErr w:type="gramEnd"/>
      <w:r w:rsidR="00247035" w:rsidRPr="000C4B7C">
        <w:rPr>
          <w:rFonts w:ascii="Book Antiqua" w:eastAsia="Times New Roman" w:hAnsi="Book Antiqua"/>
          <w:noProof/>
          <w:color w:val="000000" w:themeColor="text1"/>
          <w:vertAlign w:val="superscript"/>
        </w:rPr>
        <w:t>68,</w:t>
      </w:r>
      <w:r w:rsidR="00027335" w:rsidRPr="000C4B7C">
        <w:rPr>
          <w:rFonts w:ascii="Book Antiqua" w:eastAsia="Times New Roman" w:hAnsi="Book Antiqua"/>
          <w:noProof/>
          <w:color w:val="000000" w:themeColor="text1"/>
          <w:vertAlign w:val="superscript"/>
        </w:rPr>
        <w:t>95]</w:t>
      </w:r>
      <w:r w:rsidR="00EE585C" w:rsidRPr="000C4B7C">
        <w:rPr>
          <w:rFonts w:ascii="Book Antiqua" w:eastAsia="Times New Roman" w:hAnsi="Book Antiqua"/>
          <w:color w:val="000000" w:themeColor="text1"/>
        </w:rPr>
        <w:t>.</w:t>
      </w:r>
      <w:r w:rsidR="0024703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 xml:space="preserve">There is also very limited data evaluating the safety and efficacy of VEGFR agents following progression on </w:t>
      </w:r>
      <w:proofErr w:type="gramStart"/>
      <w:r w:rsidRPr="000C4B7C">
        <w:rPr>
          <w:rFonts w:ascii="Book Antiqua" w:eastAsia="Times New Roman" w:hAnsi="Book Antiqua"/>
          <w:color w:val="000000" w:themeColor="text1"/>
        </w:rPr>
        <w:t>IOs</w:t>
      </w:r>
      <w:r w:rsidR="00247035" w:rsidRPr="000C4B7C">
        <w:rPr>
          <w:rFonts w:ascii="Book Antiqua" w:eastAsia="Times New Roman" w:hAnsi="Book Antiqua"/>
          <w:noProof/>
          <w:color w:val="000000" w:themeColor="text1"/>
          <w:vertAlign w:val="superscript"/>
        </w:rPr>
        <w:t>[</w:t>
      </w:r>
      <w:proofErr w:type="gramEnd"/>
      <w:r w:rsidR="00247035" w:rsidRPr="000C4B7C">
        <w:rPr>
          <w:rFonts w:ascii="Book Antiqua" w:eastAsia="Times New Roman" w:hAnsi="Book Antiqua"/>
          <w:noProof/>
          <w:color w:val="000000" w:themeColor="text1"/>
          <w:vertAlign w:val="superscript"/>
        </w:rPr>
        <w:t>96,</w:t>
      </w:r>
      <w:r w:rsidR="00027335" w:rsidRPr="000C4B7C">
        <w:rPr>
          <w:rFonts w:ascii="Book Antiqua" w:eastAsia="Times New Roman" w:hAnsi="Book Antiqua"/>
          <w:noProof/>
          <w:color w:val="000000" w:themeColor="text1"/>
          <w:vertAlign w:val="superscript"/>
        </w:rPr>
        <w:t>97]</w:t>
      </w:r>
      <w:r w:rsidR="00247035" w:rsidRPr="000C4B7C">
        <w:rPr>
          <w:rFonts w:ascii="Book Antiqua" w:hAnsi="Book Antiqua"/>
          <w:color w:val="000000" w:themeColor="text1"/>
          <w:lang w:eastAsia="zh-CN"/>
        </w:rPr>
        <w:t xml:space="preserve"> </w:t>
      </w:r>
      <w:r w:rsidRPr="000C4B7C">
        <w:rPr>
          <w:rFonts w:ascii="Book Antiqua" w:eastAsia="Times New Roman" w:hAnsi="Book Antiqua"/>
          <w:color w:val="000000" w:themeColor="text1"/>
        </w:rPr>
        <w:t>and larger future studies are awaited. It is imperative to note here that AEs from IO agents can be severe, can affect any organ s</w:t>
      </w:r>
      <w:r w:rsidR="006D7934" w:rsidRPr="000C4B7C">
        <w:rPr>
          <w:rFonts w:ascii="Book Antiqua" w:eastAsia="Times New Roman" w:hAnsi="Book Antiqua"/>
          <w:color w:val="000000" w:themeColor="text1"/>
        </w:rPr>
        <w:t>ystem,</w:t>
      </w:r>
      <w:r w:rsidRPr="000C4B7C">
        <w:rPr>
          <w:rFonts w:ascii="Book Antiqua" w:eastAsia="Times New Roman" w:hAnsi="Book Antiqua"/>
          <w:color w:val="000000" w:themeColor="text1"/>
        </w:rPr>
        <w:t xml:space="preserve"> and </w:t>
      </w:r>
      <w:r w:rsidR="006D7934" w:rsidRPr="000C4B7C">
        <w:rPr>
          <w:rFonts w:ascii="Book Antiqua" w:eastAsia="Times New Roman" w:hAnsi="Book Antiqua"/>
          <w:color w:val="000000" w:themeColor="text1"/>
        </w:rPr>
        <w:t xml:space="preserve">can be </w:t>
      </w:r>
      <w:r w:rsidRPr="000C4B7C">
        <w:rPr>
          <w:rFonts w:ascii="Book Antiqua" w:eastAsia="Times New Roman" w:hAnsi="Book Antiqua"/>
          <w:color w:val="000000" w:themeColor="text1"/>
        </w:rPr>
        <w:t>life-threatening. Grade 2 toxicities can be managed by treatment interruption and supportive care but grade 3 or higher toxicities may require high-dose</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glucocorticosteroids over </w:t>
      </w:r>
      <w:r w:rsidR="002437DF" w:rsidRPr="000C4B7C">
        <w:rPr>
          <w:rFonts w:ascii="Book Antiqua" w:eastAsia="Times New Roman" w:hAnsi="Book Antiqua"/>
          <w:color w:val="000000" w:themeColor="text1"/>
        </w:rPr>
        <w:t xml:space="preserve">a </w:t>
      </w:r>
      <w:r w:rsidRPr="000C4B7C">
        <w:rPr>
          <w:rFonts w:ascii="Book Antiqua" w:eastAsia="Times New Roman" w:hAnsi="Book Antiqua"/>
          <w:color w:val="000000" w:themeColor="text1"/>
        </w:rPr>
        <w:t>prolonged time period. Close monitoring is therefore required for all patients on IO agents.</w:t>
      </w:r>
    </w:p>
    <w:p w:rsidR="009D462A" w:rsidRPr="000C4B7C" w:rsidRDefault="0045774B" w:rsidP="000C4B7C">
      <w:pPr>
        <w:adjustRightInd w:val="0"/>
        <w:snapToGrid w:val="0"/>
        <w:spacing w:line="360" w:lineRule="auto"/>
        <w:ind w:firstLineChars="200" w:firstLine="480"/>
        <w:jc w:val="both"/>
        <w:rPr>
          <w:rFonts w:ascii="Book Antiqua" w:hAnsi="Book Antiqua"/>
          <w:color w:val="000000" w:themeColor="text1"/>
          <w:lang w:eastAsia="zh-CN"/>
        </w:rPr>
      </w:pPr>
      <w:r w:rsidRPr="000C4B7C">
        <w:rPr>
          <w:rFonts w:ascii="Book Antiqua" w:eastAsia="Times New Roman" w:hAnsi="Book Antiqua"/>
          <w:color w:val="000000" w:themeColor="text1"/>
        </w:rPr>
        <w:t>For patients who pr</w:t>
      </w:r>
      <w:r w:rsidR="0061026A" w:rsidRPr="000C4B7C">
        <w:rPr>
          <w:rFonts w:ascii="Book Antiqua" w:eastAsia="Times New Roman" w:hAnsi="Book Antiqua"/>
          <w:color w:val="000000" w:themeColor="text1"/>
        </w:rPr>
        <w:t>ogressed on prior VEGFR-agent (</w:t>
      </w:r>
      <w:r w:rsidRPr="000C4B7C">
        <w:rPr>
          <w:rFonts w:ascii="Book Antiqua" w:eastAsia="Times New Roman" w:hAnsi="Book Antiqua"/>
          <w:color w:val="000000" w:themeColor="text1"/>
        </w:rPr>
        <w:t>but not mTOR inhibitor), nivolumab was</w:t>
      </w:r>
      <w:r w:rsidR="0061026A" w:rsidRPr="000C4B7C">
        <w:rPr>
          <w:rFonts w:ascii="Book Antiqua" w:eastAsia="Times New Roman" w:hAnsi="Book Antiqua"/>
          <w:color w:val="000000" w:themeColor="text1"/>
        </w:rPr>
        <w:t xml:space="preserve"> found superior to everolimus (</w:t>
      </w:r>
      <w:r w:rsidRPr="000C4B7C">
        <w:rPr>
          <w:rFonts w:ascii="Book Antiqua" w:eastAsia="Times New Roman" w:hAnsi="Book Antiqua"/>
          <w:color w:val="000000" w:themeColor="text1"/>
        </w:rPr>
        <w:t xml:space="preserve">CheckMate 025 trial) in ORR and OS benefit. Additionally, nivolumab treatment continuation beyond first progression was </w:t>
      </w:r>
      <w:r w:rsidRPr="000C4B7C">
        <w:rPr>
          <w:rFonts w:ascii="Book Antiqua" w:eastAsia="Times New Roman" w:hAnsi="Book Antiqua"/>
          <w:color w:val="000000" w:themeColor="text1"/>
        </w:rPr>
        <w:lastRenderedPageBreak/>
        <w:t xml:space="preserve">noted to have benefit in a subset of </w:t>
      </w:r>
      <w:proofErr w:type="gramStart"/>
      <w:r w:rsidRPr="000C4B7C">
        <w:rPr>
          <w:rFonts w:ascii="Book Antiqua" w:eastAsia="Times New Roman" w:hAnsi="Book Antiqua"/>
          <w:color w:val="000000" w:themeColor="text1"/>
        </w:rPr>
        <w:t>patients</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68]</w:t>
      </w:r>
      <w:r w:rsidR="001624F1"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 xml:space="preserve"> Based on the initial success of ni</w:t>
      </w:r>
      <w:r w:rsidR="001624F1" w:rsidRPr="000C4B7C">
        <w:rPr>
          <w:rFonts w:ascii="Book Antiqua" w:eastAsia="Times New Roman" w:hAnsi="Book Antiqua"/>
          <w:color w:val="000000" w:themeColor="text1"/>
        </w:rPr>
        <w:t>volumab plus ipilimumab (CheckMa</w:t>
      </w:r>
      <w:r w:rsidRPr="000C4B7C">
        <w:rPr>
          <w:rFonts w:ascii="Book Antiqua" w:eastAsia="Times New Roman" w:hAnsi="Book Antiqua"/>
          <w:color w:val="000000" w:themeColor="text1"/>
        </w:rPr>
        <w:t xml:space="preserve">te 016 </w:t>
      </w:r>
      <w:r w:rsidR="009777A9" w:rsidRPr="000C4B7C">
        <w:rPr>
          <w:rFonts w:ascii="Book Antiqua" w:eastAsia="Times New Roman" w:hAnsi="Book Antiqua"/>
          <w:color w:val="000000" w:themeColor="text1"/>
        </w:rPr>
        <w:t>trial</w:t>
      </w:r>
      <w:proofErr w:type="gramStart"/>
      <w:r w:rsidRPr="000C4B7C">
        <w:rPr>
          <w:rFonts w:ascii="Book Antiqua" w:eastAsia="Times New Roman" w:hAnsi="Book Antiqua"/>
          <w:color w:val="000000" w:themeColor="text1"/>
        </w:rPr>
        <w:t>)</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98]</w:t>
      </w:r>
      <w:r w:rsidR="009D462A" w:rsidRPr="000C4B7C">
        <w:rPr>
          <w:rFonts w:ascii="Book Antiqua" w:hAnsi="Book Antiqua"/>
          <w:color w:val="000000" w:themeColor="text1"/>
          <w:lang w:eastAsia="zh-CN"/>
        </w:rPr>
        <w:t xml:space="preserve"> </w:t>
      </w:r>
      <w:r w:rsidR="002437DF" w:rsidRPr="000C4B7C">
        <w:rPr>
          <w:rFonts w:ascii="Book Antiqua" w:eastAsia="Times New Roman" w:hAnsi="Book Antiqua"/>
          <w:color w:val="000000" w:themeColor="text1"/>
        </w:rPr>
        <w:t xml:space="preserve">which was </w:t>
      </w:r>
      <w:r w:rsidRPr="000C4B7C">
        <w:rPr>
          <w:rFonts w:ascii="Book Antiqua" w:eastAsia="Times New Roman" w:hAnsi="Book Antiqua"/>
          <w:color w:val="000000" w:themeColor="text1"/>
        </w:rPr>
        <w:t xml:space="preserve">later confirmed </w:t>
      </w:r>
      <w:r w:rsidR="002437DF" w:rsidRPr="000C4B7C">
        <w:rPr>
          <w:rFonts w:ascii="Book Antiqua" w:eastAsia="Times New Roman" w:hAnsi="Book Antiqua"/>
          <w:color w:val="000000" w:themeColor="text1"/>
        </w:rPr>
        <w:t xml:space="preserve">in further study </w:t>
      </w:r>
      <w:r w:rsidRPr="000C4B7C">
        <w:rPr>
          <w:rFonts w:ascii="Book Antiqua" w:eastAsia="Times New Roman" w:hAnsi="Book Antiqua"/>
          <w:color w:val="000000" w:themeColor="text1"/>
        </w:rPr>
        <w:t>(CheckMate 214 trial), this is a leading alternative.</w:t>
      </w:r>
    </w:p>
    <w:p w:rsidR="0045774B" w:rsidRPr="000C4B7C" w:rsidRDefault="0045774B" w:rsidP="000C4B7C">
      <w:pPr>
        <w:adjustRightInd w:val="0"/>
        <w:snapToGrid w:val="0"/>
        <w:spacing w:line="360" w:lineRule="auto"/>
        <w:ind w:firstLineChars="200" w:firstLine="480"/>
        <w:jc w:val="both"/>
        <w:rPr>
          <w:rFonts w:ascii="Book Antiqua" w:eastAsia="Times New Roman" w:hAnsi="Book Antiqua"/>
          <w:color w:val="000000" w:themeColor="text1"/>
        </w:rPr>
      </w:pPr>
      <w:r w:rsidRPr="000C4B7C">
        <w:rPr>
          <w:rFonts w:ascii="Book Antiqua" w:eastAsia="Times New Roman" w:hAnsi="Book Antiqua"/>
          <w:color w:val="000000" w:themeColor="text1"/>
        </w:rPr>
        <w:t>Other recommended regime</w:t>
      </w:r>
      <w:r w:rsidR="002437DF" w:rsidRPr="000C4B7C">
        <w:rPr>
          <w:rFonts w:ascii="Book Antiqua" w:eastAsia="Times New Roman" w:hAnsi="Book Antiqua"/>
          <w:color w:val="000000" w:themeColor="text1"/>
        </w:rPr>
        <w:t>n</w:t>
      </w:r>
      <w:r w:rsidRPr="000C4B7C">
        <w:rPr>
          <w:rFonts w:ascii="Book Antiqua" w:eastAsia="Times New Roman" w:hAnsi="Book Antiqua"/>
          <w:color w:val="000000" w:themeColor="text1"/>
        </w:rPr>
        <w:t>s and potential drug choices under specific condition</w:t>
      </w:r>
      <w:r w:rsidR="0061026A" w:rsidRPr="000C4B7C">
        <w:rPr>
          <w:rFonts w:ascii="Book Antiqua" w:eastAsia="Times New Roman" w:hAnsi="Book Antiqua"/>
          <w:color w:val="000000" w:themeColor="text1"/>
        </w:rPr>
        <w:t xml:space="preserve">s are as listed in </w:t>
      </w:r>
      <w:r w:rsidR="00505778" w:rsidRPr="000C4B7C">
        <w:rPr>
          <w:rFonts w:ascii="Book Antiqua" w:eastAsia="Times New Roman" w:hAnsi="Book Antiqua"/>
          <w:color w:val="000000" w:themeColor="text1"/>
        </w:rPr>
        <w:t xml:space="preserve">the NCCN </w:t>
      </w:r>
      <w:proofErr w:type="gramStart"/>
      <w:r w:rsidR="00505778" w:rsidRPr="000C4B7C">
        <w:rPr>
          <w:rFonts w:ascii="Book Antiqua" w:eastAsia="Times New Roman" w:hAnsi="Book Antiqua"/>
          <w:color w:val="000000" w:themeColor="text1"/>
        </w:rPr>
        <w:t>guidelines</w:t>
      </w:r>
      <w:r w:rsidR="00027335" w:rsidRPr="000C4B7C">
        <w:rPr>
          <w:rFonts w:ascii="Book Antiqua" w:eastAsia="Times New Roman" w:hAnsi="Book Antiqua"/>
          <w:noProof/>
          <w:color w:val="000000" w:themeColor="text1"/>
          <w:vertAlign w:val="superscript"/>
        </w:rPr>
        <w:t>[</w:t>
      </w:r>
      <w:proofErr w:type="gramEnd"/>
      <w:r w:rsidR="00027335" w:rsidRPr="000C4B7C">
        <w:rPr>
          <w:rFonts w:ascii="Book Antiqua" w:eastAsia="Times New Roman" w:hAnsi="Book Antiqua"/>
          <w:noProof/>
          <w:color w:val="000000" w:themeColor="text1"/>
          <w:vertAlign w:val="superscript"/>
        </w:rPr>
        <w:t>51]</w:t>
      </w:r>
      <w:r w:rsidR="00505778"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Ultimately the choice of therapy is a multifactorial decision, depending not only on </w:t>
      </w:r>
      <w:r w:rsidR="002437DF" w:rsidRPr="000C4B7C">
        <w:rPr>
          <w:rFonts w:ascii="Book Antiqua" w:eastAsia="Times New Roman" w:hAnsi="Book Antiqua"/>
          <w:color w:val="000000" w:themeColor="text1"/>
        </w:rPr>
        <w:t xml:space="preserve">patient </w:t>
      </w:r>
      <w:r w:rsidRPr="000C4B7C">
        <w:rPr>
          <w:rFonts w:ascii="Book Antiqua" w:eastAsia="Times New Roman" w:hAnsi="Book Antiqua"/>
          <w:color w:val="000000" w:themeColor="text1"/>
        </w:rPr>
        <w:t>clinical factors but also on other external variables such as cost and availability, practice setting and treatment experience of health care provider. Many questions still remain challenging and unanswered.</w:t>
      </w:r>
      <w:r w:rsidR="000876E2" w:rsidRPr="000C4B7C">
        <w:rPr>
          <w:rFonts w:ascii="Book Antiqua" w:eastAsia="Times New Roman" w:hAnsi="Book Antiqua"/>
          <w:color w:val="000000" w:themeColor="text1"/>
        </w:rPr>
        <w:t xml:space="preserve"> </w:t>
      </w:r>
      <w:r w:rsidRPr="000C4B7C">
        <w:rPr>
          <w:rFonts w:ascii="Book Antiqua" w:eastAsia="Times New Roman" w:hAnsi="Book Antiqua"/>
          <w:color w:val="000000" w:themeColor="text1"/>
        </w:rPr>
        <w:t xml:space="preserve">Several promising drug trials are </w:t>
      </w:r>
      <w:r w:rsidR="00F23BDD" w:rsidRPr="000C4B7C">
        <w:rPr>
          <w:rFonts w:ascii="Book Antiqua" w:eastAsia="Times New Roman" w:hAnsi="Book Antiqua"/>
          <w:color w:val="000000" w:themeColor="text1"/>
        </w:rPr>
        <w:t>underway</w:t>
      </w:r>
      <w:r w:rsidRPr="000C4B7C">
        <w:rPr>
          <w:rFonts w:ascii="Book Antiqua" w:eastAsia="Times New Roman" w:hAnsi="Book Antiqua"/>
          <w:color w:val="000000" w:themeColor="text1"/>
        </w:rPr>
        <w:t xml:space="preserve"> and we expect slow but steady evolutions to treatment regimes. Ultimately, the discovery of sensitive predictive and prognosti</w:t>
      </w:r>
      <w:r w:rsidR="0061026A" w:rsidRPr="000C4B7C">
        <w:rPr>
          <w:rFonts w:ascii="Book Antiqua" w:eastAsia="Times New Roman" w:hAnsi="Book Antiqua"/>
          <w:color w:val="000000" w:themeColor="text1"/>
        </w:rPr>
        <w:t>c biomarker</w:t>
      </w:r>
      <w:r w:rsidR="005F3312" w:rsidRPr="000C4B7C">
        <w:rPr>
          <w:rFonts w:ascii="Book Antiqua" w:eastAsia="Times New Roman" w:hAnsi="Book Antiqua"/>
          <w:color w:val="000000" w:themeColor="text1"/>
        </w:rPr>
        <w:t>s</w:t>
      </w:r>
      <w:r w:rsidR="0061026A" w:rsidRPr="000C4B7C">
        <w:rPr>
          <w:rFonts w:ascii="Book Antiqua" w:eastAsia="Times New Roman" w:hAnsi="Book Antiqua"/>
          <w:color w:val="000000" w:themeColor="text1"/>
        </w:rPr>
        <w:t xml:space="preserve">, </w:t>
      </w:r>
      <w:r w:rsidR="005F3312" w:rsidRPr="000C4B7C">
        <w:rPr>
          <w:rFonts w:ascii="Book Antiqua" w:eastAsia="Times New Roman" w:hAnsi="Book Antiqua"/>
          <w:color w:val="000000" w:themeColor="text1"/>
        </w:rPr>
        <w:t xml:space="preserve">or more </w:t>
      </w:r>
      <w:r w:rsidR="0061026A" w:rsidRPr="000C4B7C">
        <w:rPr>
          <w:rFonts w:ascii="Book Antiqua" w:eastAsia="Times New Roman" w:hAnsi="Book Antiqua"/>
          <w:color w:val="000000" w:themeColor="text1"/>
        </w:rPr>
        <w:t>likely a combination of</w:t>
      </w:r>
      <w:r w:rsidRPr="000C4B7C">
        <w:rPr>
          <w:rFonts w:ascii="Book Antiqua" w:eastAsia="Times New Roman" w:hAnsi="Book Antiqua"/>
          <w:color w:val="000000" w:themeColor="text1"/>
        </w:rPr>
        <w:t xml:space="preserve"> biomarkers, will define the therapeutic success in treating patients with RCC. </w:t>
      </w:r>
    </w:p>
    <w:p w:rsidR="0045774B" w:rsidRPr="000C4B7C" w:rsidRDefault="0045774B" w:rsidP="000C4B7C">
      <w:pPr>
        <w:adjustRightInd w:val="0"/>
        <w:snapToGrid w:val="0"/>
        <w:spacing w:line="360" w:lineRule="auto"/>
        <w:jc w:val="both"/>
        <w:rPr>
          <w:rFonts w:ascii="Book Antiqua" w:eastAsia="Times New Roman" w:hAnsi="Book Antiqua"/>
          <w:color w:val="000000" w:themeColor="text1"/>
        </w:rPr>
      </w:pPr>
    </w:p>
    <w:p w:rsidR="001D51C8" w:rsidRPr="000C4B7C" w:rsidRDefault="00085A2D" w:rsidP="000C4B7C">
      <w:pPr>
        <w:adjustRightInd w:val="0"/>
        <w:snapToGrid w:val="0"/>
        <w:spacing w:line="360" w:lineRule="auto"/>
        <w:jc w:val="both"/>
        <w:rPr>
          <w:rFonts w:ascii="Book Antiqua" w:hAnsi="Book Antiqua"/>
          <w:b/>
          <w:color w:val="000000" w:themeColor="text1"/>
          <w:u w:val="single"/>
          <w:lang w:eastAsia="zh-CN"/>
        </w:rPr>
      </w:pPr>
      <w:r w:rsidRPr="000C4B7C">
        <w:rPr>
          <w:rFonts w:ascii="Book Antiqua" w:eastAsia="Times New Roman" w:hAnsi="Book Antiqua"/>
          <w:b/>
          <w:color w:val="000000" w:themeColor="text1"/>
          <w:u w:val="single"/>
        </w:rPr>
        <w:t>CONCLUSION</w:t>
      </w:r>
    </w:p>
    <w:p w:rsidR="007F6C8B" w:rsidRPr="000C4B7C" w:rsidRDefault="00F46B34" w:rsidP="000C4B7C">
      <w:pPr>
        <w:adjustRightInd w:val="0"/>
        <w:snapToGrid w:val="0"/>
        <w:spacing w:line="360" w:lineRule="auto"/>
        <w:jc w:val="both"/>
        <w:rPr>
          <w:rFonts w:ascii="Book Antiqua" w:hAnsi="Book Antiqua"/>
          <w:color w:val="000000" w:themeColor="text1"/>
          <w:lang w:eastAsia="zh-CN"/>
        </w:rPr>
      </w:pPr>
      <w:r w:rsidRPr="000C4B7C">
        <w:rPr>
          <w:rFonts w:ascii="Book Antiqua" w:eastAsia="Times New Roman" w:hAnsi="Book Antiqua"/>
          <w:color w:val="000000" w:themeColor="text1"/>
        </w:rPr>
        <w:t>The emergence of I</w:t>
      </w:r>
      <w:r w:rsidR="00966007" w:rsidRPr="000C4B7C">
        <w:rPr>
          <w:rFonts w:ascii="Book Antiqua" w:eastAsia="Times New Roman" w:hAnsi="Book Antiqua"/>
          <w:color w:val="000000" w:themeColor="text1"/>
        </w:rPr>
        <w:t>CIs and combination therapies ha</w:t>
      </w:r>
      <w:r w:rsidR="002437DF" w:rsidRPr="000C4B7C">
        <w:rPr>
          <w:rFonts w:ascii="Book Antiqua" w:eastAsia="Times New Roman" w:hAnsi="Book Antiqua"/>
          <w:color w:val="000000" w:themeColor="text1"/>
        </w:rPr>
        <w:t>s</w:t>
      </w:r>
      <w:r w:rsidR="00966007" w:rsidRPr="000C4B7C">
        <w:rPr>
          <w:rFonts w:ascii="Book Antiqua" w:eastAsia="Times New Roman" w:hAnsi="Book Antiqua"/>
          <w:color w:val="000000" w:themeColor="text1"/>
        </w:rPr>
        <w:t xml:space="preserve"> revolutionized the treatment of </w:t>
      </w:r>
      <w:r w:rsidR="007222F0" w:rsidRPr="000C4B7C">
        <w:rPr>
          <w:rFonts w:ascii="Book Antiqua" w:eastAsia="Times New Roman" w:hAnsi="Book Antiqua"/>
          <w:color w:val="000000" w:themeColor="text1"/>
        </w:rPr>
        <w:t>cc</w:t>
      </w:r>
      <w:r w:rsidR="00966007" w:rsidRPr="000C4B7C">
        <w:rPr>
          <w:rFonts w:ascii="Book Antiqua" w:eastAsia="Times New Roman" w:hAnsi="Book Antiqua"/>
          <w:color w:val="000000" w:themeColor="text1"/>
        </w:rPr>
        <w:t xml:space="preserve">RCC. Significant </w:t>
      </w:r>
      <w:proofErr w:type="gramStart"/>
      <w:r w:rsidR="00966007" w:rsidRPr="000C4B7C">
        <w:rPr>
          <w:rFonts w:ascii="Book Antiqua" w:eastAsia="Times New Roman" w:hAnsi="Book Antiqua"/>
          <w:color w:val="000000" w:themeColor="text1"/>
        </w:rPr>
        <w:t>improvement in efficacy profiles have</w:t>
      </w:r>
      <w:proofErr w:type="gramEnd"/>
      <w:r w:rsidR="00966007" w:rsidRPr="000C4B7C">
        <w:rPr>
          <w:rFonts w:ascii="Book Antiqua" w:eastAsia="Times New Roman" w:hAnsi="Book Antiqua"/>
          <w:color w:val="000000" w:themeColor="text1"/>
        </w:rPr>
        <w:t xml:space="preserve"> been appreciated. The best preferred combination regimen and sequencing of treatments will continue to evolve as newer therapeutic agents get FDA approved. These will have to be tried </w:t>
      </w:r>
      <w:r w:rsidR="0015192F" w:rsidRPr="000C4B7C">
        <w:rPr>
          <w:rFonts w:ascii="Book Antiqua" w:eastAsia="Times New Roman" w:hAnsi="Book Antiqua"/>
          <w:color w:val="000000" w:themeColor="text1"/>
        </w:rPr>
        <w:t>and judged in the balance of AE</w:t>
      </w:r>
      <w:r w:rsidR="000876E2" w:rsidRPr="000C4B7C">
        <w:rPr>
          <w:rFonts w:ascii="Book Antiqua" w:eastAsia="Times New Roman" w:hAnsi="Book Antiqua"/>
          <w:color w:val="000000" w:themeColor="text1"/>
        </w:rPr>
        <w:t xml:space="preserve"> </w:t>
      </w:r>
      <w:r w:rsidR="00966007" w:rsidRPr="000C4B7C">
        <w:rPr>
          <w:rFonts w:ascii="Book Antiqua" w:eastAsia="Times New Roman" w:hAnsi="Book Antiqua"/>
          <w:color w:val="000000" w:themeColor="text1"/>
        </w:rPr>
        <w:t>profile</w:t>
      </w:r>
      <w:r w:rsidR="0015192F" w:rsidRPr="000C4B7C">
        <w:rPr>
          <w:rFonts w:ascii="Book Antiqua" w:eastAsia="Times New Roman" w:hAnsi="Book Antiqua"/>
          <w:color w:val="000000" w:themeColor="text1"/>
        </w:rPr>
        <w:t>s</w:t>
      </w:r>
      <w:r w:rsidR="00966007" w:rsidRPr="000C4B7C">
        <w:rPr>
          <w:rFonts w:ascii="Book Antiqua" w:eastAsia="Times New Roman" w:hAnsi="Book Antiqua"/>
          <w:color w:val="000000" w:themeColor="text1"/>
        </w:rPr>
        <w:t>. Would there be place for a triple drug combination instead of dual drug combination treatment</w:t>
      </w:r>
      <w:r w:rsidR="0015192F" w:rsidRPr="000C4B7C">
        <w:rPr>
          <w:rFonts w:ascii="Book Antiqua" w:eastAsia="Times New Roman" w:hAnsi="Book Antiqua"/>
          <w:color w:val="000000" w:themeColor="text1"/>
        </w:rPr>
        <w:t xml:space="preserve"> without further adding to the burden of adverse events</w:t>
      </w:r>
      <w:r w:rsidR="00690A2F" w:rsidRPr="000C4B7C">
        <w:rPr>
          <w:rFonts w:ascii="Book Antiqua" w:eastAsia="Times New Roman" w:hAnsi="Book Antiqua"/>
          <w:color w:val="000000" w:themeColor="text1"/>
        </w:rPr>
        <w:t xml:space="preserve">? </w:t>
      </w:r>
      <w:r w:rsidR="007222F0" w:rsidRPr="000C4B7C">
        <w:rPr>
          <w:rFonts w:ascii="Book Antiqua" w:eastAsia="Times New Roman" w:hAnsi="Book Antiqua"/>
          <w:color w:val="000000" w:themeColor="text1"/>
        </w:rPr>
        <w:t>In the face of this changing horizon, need for a reliable and validated biomarker</w:t>
      </w:r>
      <w:r w:rsidR="002437DF" w:rsidRPr="000C4B7C">
        <w:rPr>
          <w:rFonts w:ascii="Book Antiqua" w:eastAsia="Times New Roman" w:hAnsi="Book Antiqua"/>
          <w:color w:val="000000" w:themeColor="text1"/>
        </w:rPr>
        <w:t>(s)</w:t>
      </w:r>
      <w:r w:rsidR="007222F0" w:rsidRPr="000C4B7C">
        <w:rPr>
          <w:rFonts w:ascii="Book Antiqua" w:eastAsia="Times New Roman" w:hAnsi="Book Antiqua"/>
          <w:color w:val="000000" w:themeColor="text1"/>
        </w:rPr>
        <w:t xml:space="preserve"> is both an increasingly pressing need and a challenge.</w:t>
      </w:r>
    </w:p>
    <w:p w:rsidR="00A16214" w:rsidRPr="000C4B7C" w:rsidRDefault="006A234E" w:rsidP="000C4B7C">
      <w:pPr>
        <w:adjustRightInd w:val="0"/>
        <w:snapToGrid w:val="0"/>
        <w:spacing w:line="360" w:lineRule="auto"/>
        <w:ind w:firstLineChars="200" w:firstLine="480"/>
        <w:jc w:val="both"/>
        <w:rPr>
          <w:rFonts w:ascii="Book Antiqua" w:eastAsia="Times New Roman" w:hAnsi="Book Antiqua"/>
          <w:color w:val="000000" w:themeColor="text1"/>
        </w:rPr>
      </w:pPr>
      <w:r w:rsidRPr="000C4B7C">
        <w:rPr>
          <w:rFonts w:ascii="Book Antiqua" w:eastAsia="Times New Roman" w:hAnsi="Book Antiqua"/>
          <w:color w:val="000000" w:themeColor="text1"/>
        </w:rPr>
        <w:t xml:space="preserve">Biomarkers can guide in initial treatment selection as well as </w:t>
      </w:r>
      <w:r w:rsidR="0057173F" w:rsidRPr="000C4B7C">
        <w:rPr>
          <w:rFonts w:ascii="Book Antiqua" w:eastAsia="Times New Roman" w:hAnsi="Book Antiqua"/>
          <w:color w:val="000000" w:themeColor="text1"/>
        </w:rPr>
        <w:t xml:space="preserve">in </w:t>
      </w:r>
      <w:r w:rsidRPr="000C4B7C">
        <w:rPr>
          <w:rFonts w:ascii="Book Antiqua" w:eastAsia="Times New Roman" w:hAnsi="Book Antiqua"/>
          <w:color w:val="000000" w:themeColor="text1"/>
        </w:rPr>
        <w:t>sequencing treatments</w:t>
      </w:r>
      <w:r w:rsidR="0057173F" w:rsidRPr="000C4B7C">
        <w:rPr>
          <w:rFonts w:ascii="Book Antiqua" w:eastAsia="Times New Roman" w:hAnsi="Book Antiqua"/>
          <w:color w:val="000000" w:themeColor="text1"/>
        </w:rPr>
        <w:t xml:space="preserve"> and follow-ups.</w:t>
      </w:r>
      <w:r w:rsidRPr="000C4B7C">
        <w:rPr>
          <w:rFonts w:ascii="Book Antiqua" w:eastAsia="Times New Roman" w:hAnsi="Book Antiqua"/>
          <w:color w:val="000000" w:themeColor="text1"/>
        </w:rPr>
        <w:t xml:space="preserve"> The IMDC risk model is currently the only validated biomarker based on clinical data and laboratory tests, which classifies </w:t>
      </w:r>
      <w:r w:rsidR="005F3635" w:rsidRPr="000C4B7C">
        <w:rPr>
          <w:rFonts w:ascii="Book Antiqua" w:eastAsia="Times New Roman" w:hAnsi="Book Antiqua"/>
          <w:color w:val="000000" w:themeColor="text1"/>
        </w:rPr>
        <w:t xml:space="preserve">metastatic </w:t>
      </w:r>
      <w:r w:rsidRPr="000C4B7C">
        <w:rPr>
          <w:rFonts w:ascii="Book Antiqua" w:eastAsia="Times New Roman" w:hAnsi="Book Antiqua"/>
          <w:color w:val="000000" w:themeColor="text1"/>
        </w:rPr>
        <w:t xml:space="preserve">ccRCC patients </w:t>
      </w:r>
      <w:r w:rsidR="00523B50" w:rsidRPr="000C4B7C">
        <w:rPr>
          <w:rFonts w:ascii="Book Antiqua" w:eastAsia="Times New Roman" w:hAnsi="Book Antiqua"/>
          <w:color w:val="000000" w:themeColor="text1"/>
        </w:rPr>
        <w:t>as having favorable, intermediate</w:t>
      </w:r>
      <w:r w:rsidR="00F11F3F" w:rsidRPr="000C4B7C">
        <w:rPr>
          <w:rFonts w:ascii="Book Antiqua" w:eastAsia="Times New Roman" w:hAnsi="Book Antiqua"/>
          <w:color w:val="000000" w:themeColor="text1"/>
        </w:rPr>
        <w:t>/</w:t>
      </w:r>
      <w:r w:rsidR="00523B50" w:rsidRPr="000C4B7C">
        <w:rPr>
          <w:rFonts w:ascii="Book Antiqua" w:eastAsia="Times New Roman" w:hAnsi="Book Antiqua"/>
          <w:color w:val="000000" w:themeColor="text1"/>
        </w:rPr>
        <w:t>poor prognostic status and accordingly defines their treatment options</w:t>
      </w:r>
      <w:r w:rsidR="000420DC" w:rsidRPr="000C4B7C">
        <w:rPr>
          <w:rFonts w:ascii="Book Antiqua" w:eastAsia="Times New Roman" w:hAnsi="Book Antiqua"/>
          <w:color w:val="000000" w:themeColor="text1"/>
        </w:rPr>
        <w:t xml:space="preserve"> as first</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second</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or third</w:t>
      </w:r>
      <w:r w:rsidR="00F11F3F" w:rsidRPr="000C4B7C">
        <w:rPr>
          <w:rFonts w:ascii="Book Antiqua" w:eastAsia="Times New Roman" w:hAnsi="Book Antiqua"/>
          <w:color w:val="000000" w:themeColor="text1"/>
        </w:rPr>
        <w:t>-</w:t>
      </w:r>
      <w:r w:rsidR="000420DC" w:rsidRPr="000C4B7C">
        <w:rPr>
          <w:rFonts w:ascii="Book Antiqua" w:eastAsia="Times New Roman" w:hAnsi="Book Antiqua"/>
          <w:color w:val="000000" w:themeColor="text1"/>
        </w:rPr>
        <w:t xml:space="preserve"> line </w:t>
      </w:r>
      <w:r w:rsidR="0057173F" w:rsidRPr="000C4B7C">
        <w:rPr>
          <w:rFonts w:ascii="Book Antiqua" w:eastAsia="Times New Roman" w:hAnsi="Book Antiqua"/>
          <w:color w:val="000000" w:themeColor="text1"/>
        </w:rPr>
        <w:t>therapies</w:t>
      </w:r>
      <w:r w:rsidR="00523B50" w:rsidRPr="000C4B7C">
        <w:rPr>
          <w:rFonts w:ascii="Book Antiqua" w:eastAsia="Times New Roman" w:hAnsi="Book Antiqua"/>
          <w:color w:val="000000" w:themeColor="text1"/>
        </w:rPr>
        <w:t>. However, r</w:t>
      </w:r>
      <w:r w:rsidR="0088149D" w:rsidRPr="000C4B7C">
        <w:rPr>
          <w:rFonts w:ascii="Book Antiqua" w:eastAsia="Times New Roman" w:hAnsi="Book Antiqua"/>
          <w:color w:val="000000" w:themeColor="text1"/>
        </w:rPr>
        <w:t xml:space="preserve">isk stratification based </w:t>
      </w:r>
      <w:r w:rsidR="00BB0C9D" w:rsidRPr="000C4B7C">
        <w:rPr>
          <w:rFonts w:ascii="Book Antiqua" w:eastAsia="Times New Roman" w:hAnsi="Book Antiqua"/>
          <w:color w:val="000000" w:themeColor="text1"/>
        </w:rPr>
        <w:t xml:space="preserve">initially </w:t>
      </w:r>
      <w:r w:rsidR="0088149D" w:rsidRPr="000C4B7C">
        <w:rPr>
          <w:rFonts w:ascii="Book Antiqua" w:eastAsia="Times New Roman" w:hAnsi="Book Antiqua"/>
          <w:color w:val="000000" w:themeColor="text1"/>
        </w:rPr>
        <w:t xml:space="preserve">on </w:t>
      </w:r>
      <w:r w:rsidR="00702CC4" w:rsidRPr="000C4B7C">
        <w:rPr>
          <w:rFonts w:ascii="Book Antiqua" w:hAnsi="Book Antiqua" w:cs="Arial"/>
          <w:color w:val="000000" w:themeColor="text1"/>
        </w:rPr>
        <w:t xml:space="preserve">the TNM staging </w:t>
      </w:r>
      <w:proofErr w:type="gramStart"/>
      <w:r w:rsidR="00702CC4" w:rsidRPr="000C4B7C">
        <w:rPr>
          <w:rFonts w:ascii="Book Antiqua" w:hAnsi="Book Antiqua" w:cs="Arial"/>
          <w:color w:val="000000" w:themeColor="text1"/>
        </w:rPr>
        <w:t>system</w:t>
      </w:r>
      <w:r w:rsidR="00A470C8" w:rsidRPr="000C4B7C">
        <w:rPr>
          <w:rFonts w:ascii="Book Antiqua" w:hAnsi="Book Antiqua" w:cs="Arial"/>
          <w:noProof/>
          <w:color w:val="000000" w:themeColor="text1"/>
          <w:vertAlign w:val="superscript"/>
        </w:rPr>
        <w:t>[</w:t>
      </w:r>
      <w:proofErr w:type="gramEnd"/>
      <w:r w:rsidR="00A470C8" w:rsidRPr="000C4B7C">
        <w:rPr>
          <w:rFonts w:ascii="Book Antiqua" w:hAnsi="Book Antiqua" w:cs="Arial"/>
          <w:noProof/>
          <w:color w:val="000000" w:themeColor="text1"/>
          <w:vertAlign w:val="superscript"/>
        </w:rPr>
        <w:t>5]</w:t>
      </w:r>
      <w:r w:rsidR="004F1D53" w:rsidRPr="000C4B7C">
        <w:rPr>
          <w:rFonts w:ascii="Book Antiqua" w:hAnsi="Book Antiqua" w:cs="Arial"/>
          <w:color w:val="000000" w:themeColor="text1"/>
          <w:lang w:eastAsia="zh-CN"/>
        </w:rPr>
        <w:t xml:space="preserve"> </w:t>
      </w:r>
      <w:r w:rsidR="00780084" w:rsidRPr="000C4B7C">
        <w:rPr>
          <w:rFonts w:ascii="Book Antiqua" w:eastAsia="Times New Roman" w:hAnsi="Book Antiqua"/>
          <w:color w:val="000000" w:themeColor="text1"/>
        </w:rPr>
        <w:t xml:space="preserve">and </w:t>
      </w:r>
      <w:r w:rsidR="00BB0C9D" w:rsidRPr="000C4B7C">
        <w:rPr>
          <w:rFonts w:ascii="Book Antiqua" w:eastAsia="Times New Roman" w:hAnsi="Book Antiqua"/>
          <w:color w:val="000000" w:themeColor="text1"/>
        </w:rPr>
        <w:t xml:space="preserve">later modified by </w:t>
      </w:r>
      <w:r w:rsidR="00780084" w:rsidRPr="000C4B7C">
        <w:rPr>
          <w:rFonts w:ascii="Book Antiqua" w:eastAsia="Times New Roman" w:hAnsi="Book Antiqua"/>
          <w:color w:val="000000" w:themeColor="text1"/>
        </w:rPr>
        <w:t xml:space="preserve">IMDC </w:t>
      </w:r>
      <w:r w:rsidR="0088149D" w:rsidRPr="000C4B7C">
        <w:rPr>
          <w:rFonts w:ascii="Book Antiqua" w:eastAsia="Times New Roman" w:hAnsi="Book Antiqua"/>
          <w:color w:val="000000" w:themeColor="text1"/>
        </w:rPr>
        <w:t>classification</w:t>
      </w:r>
      <w:r w:rsidR="00317666" w:rsidRPr="000C4B7C">
        <w:rPr>
          <w:rFonts w:ascii="Book Antiqua" w:eastAsia="Times New Roman" w:hAnsi="Book Antiqua"/>
          <w:noProof/>
          <w:color w:val="000000" w:themeColor="text1"/>
          <w:vertAlign w:val="superscript"/>
        </w:rPr>
        <w:t>[7]</w:t>
      </w:r>
      <w:r w:rsidR="004F1D53" w:rsidRPr="000C4B7C">
        <w:rPr>
          <w:rFonts w:ascii="Book Antiqua" w:hAnsi="Book Antiqua"/>
          <w:color w:val="000000" w:themeColor="text1"/>
          <w:lang w:eastAsia="zh-CN"/>
        </w:rPr>
        <w:t xml:space="preserve"> </w:t>
      </w:r>
      <w:r w:rsidR="001771AC" w:rsidRPr="000C4B7C">
        <w:rPr>
          <w:rFonts w:ascii="Book Antiqua" w:eastAsia="Times New Roman" w:hAnsi="Book Antiqua"/>
          <w:color w:val="000000" w:themeColor="text1"/>
        </w:rPr>
        <w:t>does</w:t>
      </w:r>
      <w:r w:rsidR="00780084" w:rsidRPr="000C4B7C">
        <w:rPr>
          <w:rFonts w:ascii="Book Antiqua" w:eastAsia="Times New Roman" w:hAnsi="Book Antiqua"/>
          <w:color w:val="000000" w:themeColor="text1"/>
        </w:rPr>
        <w:t xml:space="preserve"> not address </w:t>
      </w:r>
      <w:r w:rsidR="001771AC" w:rsidRPr="000C4B7C">
        <w:rPr>
          <w:rFonts w:ascii="Book Antiqua" w:eastAsia="Times New Roman" w:hAnsi="Book Antiqua"/>
          <w:color w:val="000000" w:themeColor="text1"/>
        </w:rPr>
        <w:t xml:space="preserve">the critical factor of </w:t>
      </w:r>
      <w:r w:rsidR="0057173F" w:rsidRPr="000C4B7C">
        <w:rPr>
          <w:rFonts w:ascii="Book Antiqua" w:eastAsia="Times New Roman" w:hAnsi="Book Antiqua"/>
          <w:color w:val="000000" w:themeColor="text1"/>
        </w:rPr>
        <w:t xml:space="preserve">genetic heterogeneity, </w:t>
      </w:r>
      <w:r w:rsidR="001771AC" w:rsidRPr="000C4B7C">
        <w:rPr>
          <w:rFonts w:ascii="Book Antiqua" w:eastAsia="Times New Roman" w:hAnsi="Book Antiqua"/>
          <w:color w:val="000000" w:themeColor="text1"/>
        </w:rPr>
        <w:t xml:space="preserve">differential </w:t>
      </w:r>
      <w:r w:rsidR="001771AC" w:rsidRPr="000C4B7C">
        <w:rPr>
          <w:rFonts w:ascii="Book Antiqua" w:eastAsia="Times New Roman" w:hAnsi="Book Antiqua"/>
          <w:color w:val="000000" w:themeColor="text1"/>
        </w:rPr>
        <w:lastRenderedPageBreak/>
        <w:t>metastatic potentials</w:t>
      </w:r>
      <w:r w:rsidR="0057173F" w:rsidRPr="000C4B7C">
        <w:rPr>
          <w:rFonts w:ascii="Book Antiqua" w:eastAsia="Times New Roman" w:hAnsi="Book Antiqua"/>
          <w:color w:val="000000" w:themeColor="text1"/>
        </w:rPr>
        <w:t>,</w:t>
      </w:r>
      <w:r w:rsidR="001771AC" w:rsidRPr="000C4B7C">
        <w:rPr>
          <w:rFonts w:ascii="Book Antiqua" w:eastAsia="Times New Roman" w:hAnsi="Book Antiqua"/>
          <w:color w:val="000000" w:themeColor="text1"/>
        </w:rPr>
        <w:t xml:space="preserve"> or aggressive subtypes.</w:t>
      </w:r>
      <w:r w:rsidR="000876E2" w:rsidRPr="000C4B7C">
        <w:rPr>
          <w:rFonts w:ascii="Book Antiqua" w:eastAsia="Times New Roman" w:hAnsi="Book Antiqua"/>
          <w:color w:val="000000" w:themeColor="text1"/>
        </w:rPr>
        <w:t xml:space="preserve"> </w:t>
      </w:r>
      <w:r w:rsidR="0057173F" w:rsidRPr="000C4B7C">
        <w:rPr>
          <w:rFonts w:ascii="Book Antiqua" w:eastAsia="Times New Roman" w:hAnsi="Book Antiqua"/>
          <w:color w:val="000000" w:themeColor="text1"/>
        </w:rPr>
        <w:t>In view of the</w:t>
      </w:r>
      <w:r w:rsidR="00DF752D" w:rsidRPr="000C4B7C">
        <w:rPr>
          <w:rFonts w:ascii="Book Antiqua" w:eastAsia="Times New Roman" w:hAnsi="Book Antiqua"/>
          <w:color w:val="000000" w:themeColor="text1"/>
        </w:rPr>
        <w:t xml:space="preserve"> high intertumor</w:t>
      </w:r>
      <w:r w:rsidR="00CF456A" w:rsidRPr="000C4B7C">
        <w:rPr>
          <w:rFonts w:ascii="Book Antiqua" w:eastAsia="Times New Roman" w:hAnsi="Book Antiqua"/>
          <w:color w:val="000000" w:themeColor="text1"/>
        </w:rPr>
        <w:t>al</w:t>
      </w:r>
      <w:r w:rsidR="001D6687" w:rsidRPr="000C4B7C">
        <w:rPr>
          <w:rFonts w:ascii="Book Antiqua" w:hAnsi="Book Antiqua"/>
          <w:color w:val="000000" w:themeColor="text1"/>
          <w:lang w:eastAsia="zh-CN"/>
        </w:rPr>
        <w:t xml:space="preserve"> </w:t>
      </w:r>
      <w:r w:rsidR="00DF752D" w:rsidRPr="000C4B7C">
        <w:rPr>
          <w:rFonts w:ascii="Book Antiqua" w:eastAsia="Times New Roman" w:hAnsi="Book Antiqua"/>
          <w:color w:val="000000" w:themeColor="text1"/>
        </w:rPr>
        <w:t>and intratumor</w:t>
      </w:r>
      <w:r w:rsidR="00CF456A" w:rsidRPr="000C4B7C">
        <w:rPr>
          <w:rFonts w:ascii="Book Antiqua" w:eastAsia="Times New Roman" w:hAnsi="Book Antiqua"/>
          <w:color w:val="000000" w:themeColor="text1"/>
        </w:rPr>
        <w:t>al</w:t>
      </w:r>
      <w:r w:rsidR="00DF752D" w:rsidRPr="000C4B7C">
        <w:rPr>
          <w:rFonts w:ascii="Book Antiqua" w:eastAsia="Times New Roman" w:hAnsi="Book Antiqua"/>
          <w:color w:val="000000" w:themeColor="text1"/>
        </w:rPr>
        <w:t xml:space="preserve"> heterogeneity, </w:t>
      </w:r>
      <w:r w:rsidR="0057173F" w:rsidRPr="000C4B7C">
        <w:rPr>
          <w:rFonts w:ascii="Book Antiqua" w:eastAsia="Times New Roman" w:hAnsi="Book Antiqua"/>
          <w:color w:val="000000" w:themeColor="text1"/>
        </w:rPr>
        <w:t xml:space="preserve">multiple </w:t>
      </w:r>
      <w:r w:rsidR="00DF752D" w:rsidRPr="000C4B7C">
        <w:rPr>
          <w:rFonts w:ascii="Book Antiqua" w:eastAsia="Times New Roman" w:hAnsi="Book Antiqua"/>
          <w:color w:val="000000" w:themeColor="text1"/>
        </w:rPr>
        <w:t xml:space="preserve">genetic and molecular biomarkers </w:t>
      </w:r>
      <w:r w:rsidR="0057173F" w:rsidRPr="000C4B7C">
        <w:rPr>
          <w:rFonts w:ascii="Book Antiqua" w:eastAsia="Times New Roman" w:hAnsi="Book Antiqua"/>
          <w:color w:val="000000" w:themeColor="text1"/>
        </w:rPr>
        <w:t>may be</w:t>
      </w:r>
      <w:r w:rsidR="00DF752D" w:rsidRPr="000C4B7C">
        <w:rPr>
          <w:rFonts w:ascii="Book Antiqua" w:eastAsia="Times New Roman" w:hAnsi="Book Antiqua"/>
          <w:color w:val="000000" w:themeColor="text1"/>
        </w:rPr>
        <w:t xml:space="preserve"> required</w:t>
      </w:r>
      <w:r w:rsidR="00BB7BC4" w:rsidRPr="000C4B7C">
        <w:rPr>
          <w:rFonts w:ascii="Book Antiqua" w:eastAsia="Times New Roman" w:hAnsi="Book Antiqua"/>
          <w:color w:val="000000" w:themeColor="text1"/>
        </w:rPr>
        <w:t xml:space="preserve"> to identify specific </w:t>
      </w:r>
      <w:r w:rsidR="00F11F3F" w:rsidRPr="000C4B7C">
        <w:rPr>
          <w:rFonts w:ascii="Book Antiqua" w:eastAsia="Times New Roman" w:hAnsi="Book Antiqua"/>
          <w:color w:val="000000" w:themeColor="text1"/>
        </w:rPr>
        <w:t xml:space="preserve">responsible </w:t>
      </w:r>
      <w:r w:rsidR="00BB7BC4" w:rsidRPr="000C4B7C">
        <w:rPr>
          <w:rFonts w:ascii="Book Antiqua" w:eastAsia="Times New Roman" w:hAnsi="Book Antiqua"/>
          <w:color w:val="000000" w:themeColor="text1"/>
        </w:rPr>
        <w:t xml:space="preserve">genes and the genetic/molecular pathways that are activated in aggressive </w:t>
      </w:r>
      <w:r w:rsidR="002437DF" w:rsidRPr="000C4B7C">
        <w:rPr>
          <w:rFonts w:ascii="Book Antiqua" w:eastAsia="Times New Roman" w:hAnsi="Book Antiqua"/>
          <w:color w:val="000000" w:themeColor="text1"/>
        </w:rPr>
        <w:t>tumors</w:t>
      </w:r>
      <w:r w:rsidR="00BB7BC4" w:rsidRPr="000C4B7C">
        <w:rPr>
          <w:rFonts w:ascii="Book Antiqua" w:eastAsia="Times New Roman" w:hAnsi="Book Antiqua"/>
          <w:color w:val="000000" w:themeColor="text1"/>
        </w:rPr>
        <w:t xml:space="preserve">. </w:t>
      </w:r>
      <w:r w:rsidR="00A16214" w:rsidRPr="000C4B7C">
        <w:rPr>
          <w:rFonts w:ascii="Book Antiqua" w:eastAsia="Times New Roman" w:hAnsi="Book Antiqua"/>
          <w:color w:val="000000" w:themeColor="text1"/>
        </w:rPr>
        <w:t xml:space="preserve">The future generation of preferred therapeutic options for ccRCC should molecularly target the most common and aggressive pathways affected by different mutations. Further, prospective clinical trials are required to evaluate the clinical utility of suggested genetic and molecular signatures. Ultimately, the biomarkers may </w:t>
      </w:r>
      <w:r w:rsidR="002437DF" w:rsidRPr="000C4B7C">
        <w:rPr>
          <w:rFonts w:ascii="Book Antiqua" w:eastAsia="Times New Roman" w:hAnsi="Book Antiqua"/>
          <w:color w:val="000000" w:themeColor="text1"/>
        </w:rPr>
        <w:t xml:space="preserve">allow treatment </w:t>
      </w:r>
      <w:r w:rsidR="00A16214" w:rsidRPr="000C4B7C">
        <w:rPr>
          <w:rFonts w:ascii="Book Antiqua" w:eastAsia="Times New Roman" w:hAnsi="Book Antiqua"/>
          <w:color w:val="000000" w:themeColor="text1"/>
        </w:rPr>
        <w:t>to be personally tailored to the needs of each patient</w:t>
      </w:r>
      <w:r w:rsidR="002437DF" w:rsidRPr="000C4B7C">
        <w:rPr>
          <w:rFonts w:ascii="Book Antiqua" w:eastAsia="Times New Roman" w:hAnsi="Book Antiqua"/>
          <w:color w:val="000000" w:themeColor="text1"/>
        </w:rPr>
        <w:t>, enabling patients to get maximal potential benefit while minimizing unnecessary</w:t>
      </w:r>
      <w:r w:rsidR="000876E2" w:rsidRPr="000C4B7C">
        <w:rPr>
          <w:rFonts w:ascii="Book Antiqua" w:eastAsia="Times New Roman" w:hAnsi="Book Antiqua"/>
          <w:color w:val="000000" w:themeColor="text1"/>
        </w:rPr>
        <w:t xml:space="preserve"> </w:t>
      </w:r>
      <w:r w:rsidR="002437DF" w:rsidRPr="000C4B7C">
        <w:rPr>
          <w:rFonts w:ascii="Book Antiqua" w:eastAsia="Times New Roman" w:hAnsi="Book Antiqua"/>
          <w:color w:val="000000" w:themeColor="text1"/>
        </w:rPr>
        <w:t>risks by avoiding regimens with limited efficacy</w:t>
      </w:r>
      <w:r w:rsidR="00A16214" w:rsidRPr="000C4B7C">
        <w:rPr>
          <w:rFonts w:ascii="Book Antiqua" w:eastAsia="Times New Roman" w:hAnsi="Book Antiqua"/>
          <w:color w:val="000000" w:themeColor="text1"/>
        </w:rPr>
        <w:t xml:space="preserve">. </w:t>
      </w:r>
    </w:p>
    <w:p w:rsidR="00C05CC0" w:rsidRPr="000C4B7C" w:rsidRDefault="00C05CC0" w:rsidP="000C4B7C">
      <w:pPr>
        <w:adjustRightInd w:val="0"/>
        <w:snapToGrid w:val="0"/>
        <w:spacing w:line="360" w:lineRule="auto"/>
        <w:jc w:val="both"/>
        <w:rPr>
          <w:rFonts w:ascii="Book Antiqua" w:hAnsi="Book Antiqua"/>
          <w:color w:val="000000" w:themeColor="text1"/>
          <w:lang w:eastAsia="zh-CN"/>
        </w:rPr>
      </w:pPr>
    </w:p>
    <w:p w:rsidR="00895F20" w:rsidRPr="000C4B7C" w:rsidRDefault="00895F20" w:rsidP="000C4B7C">
      <w:pPr>
        <w:adjustRightInd w:val="0"/>
        <w:snapToGrid w:val="0"/>
        <w:spacing w:line="360" w:lineRule="auto"/>
        <w:jc w:val="both"/>
        <w:rPr>
          <w:rFonts w:ascii="Book Antiqua" w:hAnsi="Book Antiqua"/>
          <w:b/>
          <w:color w:val="000000" w:themeColor="text1"/>
          <w:lang w:eastAsia="zh-CN"/>
        </w:rPr>
      </w:pPr>
      <w:r w:rsidRPr="000C4B7C">
        <w:rPr>
          <w:rFonts w:ascii="Book Antiqua" w:hAnsi="Book Antiqua"/>
          <w:b/>
          <w:color w:val="000000" w:themeColor="text1"/>
          <w:lang w:eastAsia="zh-CN"/>
        </w:rPr>
        <w:t>REFERENCES</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 </w:t>
      </w:r>
      <w:r w:rsidRPr="000C4B7C">
        <w:rPr>
          <w:rFonts w:ascii="Book Antiqua" w:hAnsi="Book Antiqua"/>
          <w:b/>
        </w:rPr>
        <w:t>Motzer RJ</w:t>
      </w:r>
      <w:r w:rsidRPr="000C4B7C">
        <w:rPr>
          <w:rFonts w:ascii="Book Antiqua" w:hAnsi="Book Antiqua"/>
        </w:rPr>
        <w:t xml:space="preserve">, Jonasch E, Agarwal N, Bhayani S, Bro WP, Chang SS, Choueiri TK, Costello BA, Derweesh IH, Fishman M, Gallagher TH, Gore JL, Hancock SL, Harrison MR, Kim W, Kyriakopoulos C, LaGrange C, Lam ET, Lau C, Michaelson MD, Olencki T, Pierorazio PM, Plimack ER, Redman BG, Shuch B, Somer B, Sonpavde G, Sosman J, Dwyer M, Kumar R. Kidney Cancer, Version 2.2017, NCCN Clinical Practice Guidelines in Oncology. </w:t>
      </w:r>
      <w:r w:rsidRPr="000C4B7C">
        <w:rPr>
          <w:rFonts w:ascii="Book Antiqua" w:hAnsi="Book Antiqua"/>
          <w:i/>
        </w:rPr>
        <w:t>J Natl Compr Canc Netw</w:t>
      </w:r>
      <w:r w:rsidRPr="000C4B7C">
        <w:rPr>
          <w:rFonts w:ascii="Book Antiqua" w:hAnsi="Book Antiqua"/>
        </w:rPr>
        <w:t xml:space="preserve"> 2017; </w:t>
      </w:r>
      <w:r w:rsidRPr="000C4B7C">
        <w:rPr>
          <w:rFonts w:ascii="Book Antiqua" w:hAnsi="Book Antiqua"/>
          <w:b/>
        </w:rPr>
        <w:t>15</w:t>
      </w:r>
      <w:r w:rsidRPr="000C4B7C">
        <w:rPr>
          <w:rFonts w:ascii="Book Antiqua" w:hAnsi="Book Antiqua"/>
        </w:rPr>
        <w:t>: 804-834 [PMID: 28596261 DOI: 10.6004/jnccn.2017.0100]</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2 </w:t>
      </w:r>
      <w:r w:rsidRPr="000C4B7C">
        <w:rPr>
          <w:rFonts w:ascii="Book Antiqua" w:hAnsi="Book Antiqua"/>
          <w:b/>
        </w:rPr>
        <w:t>Siegel RL</w:t>
      </w:r>
      <w:r w:rsidRPr="000C4B7C">
        <w:rPr>
          <w:rFonts w:ascii="Book Antiqua" w:hAnsi="Book Antiqua"/>
        </w:rPr>
        <w:t>, Miller KD, Jemal A. Cancer statistics, 2019.</w:t>
      </w:r>
      <w:proofErr w:type="gramEnd"/>
      <w:r w:rsidRPr="000C4B7C">
        <w:rPr>
          <w:rFonts w:ascii="Book Antiqua" w:hAnsi="Book Antiqua"/>
        </w:rPr>
        <w:t xml:space="preserve"> </w:t>
      </w:r>
      <w:r w:rsidRPr="000C4B7C">
        <w:rPr>
          <w:rFonts w:ascii="Book Antiqua" w:hAnsi="Book Antiqua"/>
          <w:i/>
        </w:rPr>
        <w:t>CA Cancer J Clin</w:t>
      </w:r>
      <w:r w:rsidRPr="000C4B7C">
        <w:rPr>
          <w:rFonts w:ascii="Book Antiqua" w:hAnsi="Book Antiqua"/>
        </w:rPr>
        <w:t xml:space="preserve"> 2019; </w:t>
      </w:r>
      <w:r w:rsidRPr="000C4B7C">
        <w:rPr>
          <w:rFonts w:ascii="Book Antiqua" w:hAnsi="Book Antiqua"/>
          <w:b/>
        </w:rPr>
        <w:t>69</w:t>
      </w:r>
      <w:r w:rsidRPr="000C4B7C">
        <w:rPr>
          <w:rFonts w:ascii="Book Antiqua" w:hAnsi="Book Antiqua"/>
        </w:rPr>
        <w:t>: 7-34 [PMID: 30620402 DOI: 10.3322/caac.21551]</w:t>
      </w:r>
    </w:p>
    <w:p w:rsidR="00D14A33" w:rsidRPr="000C4B7C" w:rsidRDefault="00656D23" w:rsidP="000C4B7C">
      <w:pPr>
        <w:adjustRightInd w:val="0"/>
        <w:snapToGrid w:val="0"/>
        <w:spacing w:line="360" w:lineRule="auto"/>
        <w:jc w:val="both"/>
        <w:rPr>
          <w:rFonts w:ascii="Book Antiqua" w:hAnsi="Book Antiqua"/>
          <w:lang w:eastAsia="zh-CN"/>
        </w:rPr>
      </w:pPr>
      <w:proofErr w:type="gramStart"/>
      <w:r w:rsidRPr="005C50E2">
        <w:rPr>
          <w:rFonts w:ascii="Book Antiqua" w:hAnsi="Book Antiqua"/>
        </w:rPr>
        <w:t xml:space="preserve">3 </w:t>
      </w:r>
      <w:r w:rsidR="00D14A33" w:rsidRPr="005C50E2">
        <w:rPr>
          <w:rFonts w:ascii="Book Antiqua" w:hAnsi="Book Antiqua"/>
          <w:b/>
        </w:rPr>
        <w:t>National Cancer Institute</w:t>
      </w:r>
      <w:r w:rsidR="00D14A33" w:rsidRPr="005C50E2">
        <w:rPr>
          <w:rFonts w:ascii="Book Antiqua" w:hAnsi="Book Antiqua"/>
          <w:b/>
          <w:lang w:eastAsia="zh-CN"/>
        </w:rPr>
        <w:t>.</w:t>
      </w:r>
      <w:proofErr w:type="gramEnd"/>
      <w:r w:rsidRPr="005C50E2">
        <w:rPr>
          <w:rFonts w:ascii="Book Antiqua" w:hAnsi="Book Antiqua"/>
          <w:b/>
        </w:rPr>
        <w:t xml:space="preserve"> </w:t>
      </w:r>
      <w:r w:rsidRPr="005C50E2">
        <w:rPr>
          <w:rFonts w:ascii="Book Antiqua" w:hAnsi="Book Antiqua"/>
        </w:rPr>
        <w:t xml:space="preserve">SEER Stat Fact Sheets: Kidney and Renal Pelvis. </w:t>
      </w:r>
      <w:r w:rsidRPr="005C50E2">
        <w:rPr>
          <w:rFonts w:ascii="Book Antiqua" w:hAnsi="Book Antiqua" w:cs="Arial"/>
          <w:bCs/>
        </w:rPr>
        <w:t xml:space="preserve">Available from: </w:t>
      </w:r>
      <w:r w:rsidR="00D14A33" w:rsidRPr="005C50E2">
        <w:rPr>
          <w:rFonts w:ascii="Book Antiqua" w:hAnsi="Book Antiqua"/>
        </w:rPr>
        <w:t>https://seer.cancer.gov/statfacts/html/kidrp.html</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 </w:t>
      </w:r>
      <w:r w:rsidRPr="000C4B7C">
        <w:rPr>
          <w:rFonts w:ascii="Book Antiqua" w:hAnsi="Book Antiqua"/>
          <w:b/>
        </w:rPr>
        <w:t>Muglia VF</w:t>
      </w:r>
      <w:r w:rsidRPr="000C4B7C">
        <w:rPr>
          <w:rFonts w:ascii="Book Antiqua" w:hAnsi="Book Antiqua"/>
        </w:rPr>
        <w:t xml:space="preserve">, Prando A. Renal cell carcinoma: histological classification and correlation with imaging findings. </w:t>
      </w:r>
      <w:r w:rsidRPr="000C4B7C">
        <w:rPr>
          <w:rFonts w:ascii="Book Antiqua" w:hAnsi="Book Antiqua"/>
          <w:i/>
        </w:rPr>
        <w:t>Radiol Bras</w:t>
      </w:r>
      <w:r w:rsidRPr="000C4B7C">
        <w:rPr>
          <w:rFonts w:ascii="Book Antiqua" w:hAnsi="Book Antiqua"/>
        </w:rPr>
        <w:t xml:space="preserve"> 2015; </w:t>
      </w:r>
      <w:r w:rsidRPr="000C4B7C">
        <w:rPr>
          <w:rFonts w:ascii="Book Antiqua" w:hAnsi="Book Antiqua"/>
          <w:b/>
        </w:rPr>
        <w:t>48</w:t>
      </w:r>
      <w:r w:rsidRPr="000C4B7C">
        <w:rPr>
          <w:rFonts w:ascii="Book Antiqua" w:hAnsi="Book Antiqua"/>
        </w:rPr>
        <w:t>: 166-174 [PMID: 26185343 DOI: 10.1590/0100-3984.2013.1927]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 </w:t>
      </w:r>
      <w:r w:rsidRPr="000C4B7C">
        <w:rPr>
          <w:rFonts w:ascii="Book Antiqua" w:hAnsi="Book Antiqua"/>
          <w:b/>
        </w:rPr>
        <w:t>Guinan P</w:t>
      </w:r>
      <w:r w:rsidRPr="000C4B7C">
        <w:rPr>
          <w:rFonts w:ascii="Book Antiqua" w:hAnsi="Book Antiqua"/>
        </w:rPr>
        <w:t xml:space="preserve">, Sobin LH, Algaba F, Badellino F, Kameyama S, MacLennan G, Novick A. TNM staging of renal cell carcinoma: Workgroup No. 3. </w:t>
      </w:r>
      <w:proofErr w:type="gramStart"/>
      <w:r w:rsidRPr="000C4B7C">
        <w:rPr>
          <w:rFonts w:ascii="Book Antiqua" w:hAnsi="Book Antiqua"/>
        </w:rPr>
        <w:t>Union International Contre le Cancer (UICC) and the American Joint Committee on Cancer (AJCC).</w:t>
      </w:r>
      <w:proofErr w:type="gramEnd"/>
      <w:r w:rsidRPr="000C4B7C">
        <w:rPr>
          <w:rFonts w:ascii="Book Antiqua" w:hAnsi="Book Antiqua"/>
        </w:rPr>
        <w:t xml:space="preserve"> </w:t>
      </w:r>
      <w:r w:rsidRPr="000C4B7C">
        <w:rPr>
          <w:rFonts w:ascii="Book Antiqua" w:hAnsi="Book Antiqua"/>
          <w:i/>
        </w:rPr>
        <w:t>Cancer</w:t>
      </w:r>
      <w:r w:rsidRPr="000C4B7C">
        <w:rPr>
          <w:rFonts w:ascii="Book Antiqua" w:hAnsi="Book Antiqua"/>
        </w:rPr>
        <w:t xml:space="preserve"> 1997; </w:t>
      </w:r>
      <w:r w:rsidRPr="000C4B7C">
        <w:rPr>
          <w:rFonts w:ascii="Book Antiqua" w:hAnsi="Book Antiqua"/>
          <w:b/>
        </w:rPr>
        <w:t>80</w:t>
      </w:r>
      <w:r w:rsidRPr="000C4B7C">
        <w:rPr>
          <w:rFonts w:ascii="Book Antiqua" w:hAnsi="Book Antiqua"/>
        </w:rPr>
        <w:t xml:space="preserve">: </w:t>
      </w:r>
      <w:r w:rsidRPr="000C4B7C">
        <w:rPr>
          <w:rFonts w:ascii="Book Antiqua" w:hAnsi="Book Antiqua"/>
        </w:rPr>
        <w:lastRenderedPageBreak/>
        <w:t>992-993 [PMID: 9307205 DOI: 10.1002</w:t>
      </w:r>
      <w:proofErr w:type="gramStart"/>
      <w:r w:rsidRPr="000C4B7C">
        <w:rPr>
          <w:rFonts w:ascii="Book Antiqua" w:hAnsi="Book Antiqua"/>
        </w:rPr>
        <w:t>/(</w:t>
      </w:r>
      <w:proofErr w:type="gramEnd"/>
      <w:r w:rsidRPr="000C4B7C">
        <w:rPr>
          <w:rFonts w:ascii="Book Antiqua" w:hAnsi="Book Antiqua"/>
        </w:rPr>
        <w:t>sici)1097-0142(19970901)80:5&lt;992::aid-cncr26&gt;3.0.co;2-q]</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 </w:t>
      </w:r>
      <w:r w:rsidRPr="000C4B7C">
        <w:rPr>
          <w:rFonts w:ascii="Book Antiqua" w:hAnsi="Book Antiqua"/>
          <w:b/>
        </w:rPr>
        <w:t>Motzer RJ</w:t>
      </w:r>
      <w:r w:rsidRPr="000C4B7C">
        <w:rPr>
          <w:rFonts w:ascii="Book Antiqua" w:hAnsi="Book Antiqua"/>
        </w:rPr>
        <w:t xml:space="preserve">, Bacik J, Murphy BA, Russo P, Mazumdar M. Interferon-alfa as a comparative treatment for clinical trials of new therapies against advanced renal cell carcinoma. </w:t>
      </w:r>
      <w:r w:rsidRPr="000C4B7C">
        <w:rPr>
          <w:rFonts w:ascii="Book Antiqua" w:hAnsi="Book Antiqua"/>
          <w:i/>
        </w:rPr>
        <w:t>J Clin Oncol</w:t>
      </w:r>
      <w:r w:rsidRPr="000C4B7C">
        <w:rPr>
          <w:rFonts w:ascii="Book Antiqua" w:hAnsi="Book Antiqua"/>
        </w:rPr>
        <w:t xml:space="preserve"> 2002; </w:t>
      </w:r>
      <w:r w:rsidRPr="000C4B7C">
        <w:rPr>
          <w:rFonts w:ascii="Book Antiqua" w:hAnsi="Book Antiqua"/>
          <w:b/>
        </w:rPr>
        <w:t>20</w:t>
      </w:r>
      <w:r w:rsidRPr="000C4B7C">
        <w:rPr>
          <w:rFonts w:ascii="Book Antiqua" w:hAnsi="Book Antiqua"/>
        </w:rPr>
        <w:t>: 289-296 [PMID: 11773181 DOI: 10.1200/JCO.2002.20.1.289]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 </w:t>
      </w:r>
      <w:r w:rsidRPr="000C4B7C">
        <w:rPr>
          <w:rFonts w:ascii="Book Antiqua" w:hAnsi="Book Antiqua"/>
          <w:b/>
        </w:rPr>
        <w:t>Heng DY</w:t>
      </w:r>
      <w:r w:rsidRPr="000C4B7C">
        <w:rPr>
          <w:rFonts w:ascii="Book Antiqua" w:hAnsi="Book Antiqua"/>
        </w:rPr>
        <w:t xml:space="preserve">, Xie W, Regan MM, Warren MA, Golshayan AR, Sahi C, Eigl BJ, Ruether JD, Cheng T, North S, Venner P, Knox JJ, Chi KN, Kollmannsberger C, McDermott DF, Oh WK, Atkins MB, Bukowski RM, Rini BI, Choueiri TK. Prognostic factors for overall survival in patients with metastatic renal cell carcinoma treated with vascular endothelial growth factor-targeted agents: results from a large, multicenter study.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5794-5799 [PMID: 19826129 DOI: 10.1200/JCO.2008.21.4809]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 </w:t>
      </w:r>
      <w:r w:rsidRPr="000C4B7C">
        <w:rPr>
          <w:rFonts w:ascii="Book Antiqua" w:hAnsi="Book Antiqua"/>
          <w:b/>
        </w:rPr>
        <w:t>Shinder BM</w:t>
      </w:r>
      <w:r w:rsidRPr="000C4B7C">
        <w:rPr>
          <w:rFonts w:ascii="Book Antiqua" w:hAnsi="Book Antiqua"/>
        </w:rPr>
        <w:t xml:space="preserve">, Rhee K, Farrell D, Farber NJ, Stein MN, Jang TL, Singer EA. Surgical Management of Advanced and Metastatic Renal Cell Carcinoma: A Multidisciplinary Approach. </w:t>
      </w:r>
      <w:r w:rsidRPr="000C4B7C">
        <w:rPr>
          <w:rFonts w:ascii="Book Antiqua" w:hAnsi="Book Antiqua"/>
          <w:i/>
        </w:rPr>
        <w:t>Front Oncol</w:t>
      </w:r>
      <w:r w:rsidRPr="000C4B7C">
        <w:rPr>
          <w:rFonts w:ascii="Book Antiqua" w:hAnsi="Book Antiqua"/>
        </w:rPr>
        <w:t xml:space="preserve"> 2017; </w:t>
      </w:r>
      <w:r w:rsidRPr="000C4B7C">
        <w:rPr>
          <w:rFonts w:ascii="Book Antiqua" w:hAnsi="Book Antiqua"/>
          <w:b/>
        </w:rPr>
        <w:t>7</w:t>
      </w:r>
      <w:r w:rsidRPr="000C4B7C">
        <w:rPr>
          <w:rFonts w:ascii="Book Antiqua" w:hAnsi="Book Antiqua"/>
        </w:rPr>
        <w:t>: 107 [PMID: 28620578 DOI: 10.3389/fonc.2017.00107]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 </w:t>
      </w:r>
      <w:r w:rsidRPr="000C4B7C">
        <w:rPr>
          <w:rFonts w:ascii="Book Antiqua" w:hAnsi="Book Antiqua"/>
          <w:b/>
        </w:rPr>
        <w:t>Méjean A</w:t>
      </w:r>
      <w:r w:rsidRPr="000C4B7C">
        <w:rPr>
          <w:rFonts w:ascii="Book Antiqua" w:hAnsi="Book Antiqua"/>
        </w:rPr>
        <w:t xml:space="preserve">, Ravaud A, Thezenas S, Colas S, Beauval JB, Bensalah K, Geoffrois L, Thiery-Vuillemin A, Cormier L, Lang H, Guy L, Gravis G, Rolland F, Linassier C, Lechevallier E, Beisland C, Aitchison M, Oudard S, Patard JJ, Theodore C, Chevreau C, Laguerre B, Hubert J, Gross-Goupil M, Bernhard JC, Albiges L, Timsit MO, Lebret T, Escudier B. Sunitinib Alone or after Nephrectomy in Metastatic Renal-Cell Carcinoma. </w:t>
      </w:r>
      <w:r w:rsidRPr="000C4B7C">
        <w:rPr>
          <w:rFonts w:ascii="Book Antiqua" w:hAnsi="Book Antiqua"/>
          <w:i/>
        </w:rPr>
        <w:t>N Engl J Med</w:t>
      </w:r>
      <w:r w:rsidRPr="000C4B7C">
        <w:rPr>
          <w:rFonts w:ascii="Book Antiqua" w:hAnsi="Book Antiqua"/>
        </w:rPr>
        <w:t xml:space="preserve"> 2018; </w:t>
      </w:r>
      <w:r w:rsidRPr="000C4B7C">
        <w:rPr>
          <w:rFonts w:ascii="Book Antiqua" w:hAnsi="Book Antiqua"/>
          <w:b/>
        </w:rPr>
        <w:t>379</w:t>
      </w:r>
      <w:r w:rsidRPr="000C4B7C">
        <w:rPr>
          <w:rFonts w:ascii="Book Antiqua" w:hAnsi="Book Antiqua"/>
        </w:rPr>
        <w:t>: 417-427 [PMID: 29860937 DOI: 10.1056/NEJMoa1803675]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 </w:t>
      </w:r>
      <w:r w:rsidRPr="000C4B7C">
        <w:rPr>
          <w:rFonts w:ascii="Book Antiqua" w:hAnsi="Book Antiqua"/>
          <w:b/>
        </w:rPr>
        <w:t>Motzer RJ</w:t>
      </w:r>
      <w:r w:rsidRPr="000C4B7C">
        <w:rPr>
          <w:rFonts w:ascii="Book Antiqua" w:hAnsi="Book Antiqua"/>
        </w:rPr>
        <w:t xml:space="preserve">, Russo P, Nanus DM, Berg WJ. </w:t>
      </w:r>
      <w:proofErr w:type="gramStart"/>
      <w:r w:rsidRPr="000C4B7C">
        <w:rPr>
          <w:rFonts w:ascii="Book Antiqua" w:hAnsi="Book Antiqua"/>
        </w:rPr>
        <w:t>Renal cell carcinoma.</w:t>
      </w:r>
      <w:proofErr w:type="gramEnd"/>
      <w:r w:rsidRPr="000C4B7C">
        <w:rPr>
          <w:rFonts w:ascii="Book Antiqua" w:hAnsi="Book Antiqua"/>
        </w:rPr>
        <w:t xml:space="preserve"> </w:t>
      </w:r>
      <w:r w:rsidRPr="000C4B7C">
        <w:rPr>
          <w:rFonts w:ascii="Book Antiqua" w:hAnsi="Book Antiqua"/>
          <w:i/>
        </w:rPr>
        <w:t>Curr Probl Cancer</w:t>
      </w:r>
      <w:r w:rsidRPr="000C4B7C">
        <w:rPr>
          <w:rFonts w:ascii="Book Antiqua" w:hAnsi="Book Antiqua"/>
        </w:rPr>
        <w:t xml:space="preserve"> 1997; </w:t>
      </w:r>
      <w:r w:rsidRPr="000C4B7C">
        <w:rPr>
          <w:rFonts w:ascii="Book Antiqua" w:hAnsi="Book Antiqua"/>
          <w:b/>
        </w:rPr>
        <w:t>21</w:t>
      </w:r>
      <w:r w:rsidRPr="000C4B7C">
        <w:rPr>
          <w:rFonts w:ascii="Book Antiqua" w:hAnsi="Book Antiqua"/>
        </w:rPr>
        <w:t>: 185-232 [PMID: 9285186</w:t>
      </w:r>
      <w:r w:rsidR="0089737E" w:rsidRPr="000C4B7C">
        <w:rPr>
          <w:rFonts w:ascii="Book Antiqua" w:hAnsi="Book Antiqua"/>
          <w:lang w:eastAsia="zh-CN"/>
        </w:rPr>
        <w:t xml:space="preserve"> DOI: 10.1016/S0147-0272(97)80007-4</w:t>
      </w:r>
      <w:r w:rsidRPr="000C4B7C">
        <w:rPr>
          <w:rFonts w:ascii="Book Antiqua" w:hAnsi="Book Antiqua"/>
        </w:rPr>
        <w:t>]</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 </w:t>
      </w:r>
      <w:r w:rsidRPr="000C4B7C">
        <w:rPr>
          <w:rFonts w:ascii="Book Antiqua" w:hAnsi="Book Antiqua"/>
          <w:b/>
        </w:rPr>
        <w:t>Allard CB</w:t>
      </w:r>
      <w:r w:rsidRPr="000C4B7C">
        <w:rPr>
          <w:rFonts w:ascii="Book Antiqua" w:hAnsi="Book Antiqua"/>
        </w:rPr>
        <w:t xml:space="preserve">, Gelpi-Hammerschmidt F, Harshman LC, Choueiri TK, Faiena I, Modi P, Chung BI, Tinay I, Singer EA, Chang SL. Contemporary trends in high-dose interleukin-2 use for metastatic renal cell carcinoma in the United States. </w:t>
      </w:r>
      <w:r w:rsidRPr="000C4B7C">
        <w:rPr>
          <w:rFonts w:ascii="Book Antiqua" w:hAnsi="Book Antiqua"/>
          <w:i/>
        </w:rPr>
        <w:t>Urol Oncol</w:t>
      </w:r>
      <w:r w:rsidRPr="000C4B7C">
        <w:rPr>
          <w:rFonts w:ascii="Book Antiqua" w:hAnsi="Book Antiqua"/>
        </w:rPr>
        <w:t xml:space="preserve"> 2015; </w:t>
      </w:r>
      <w:r w:rsidRPr="000C4B7C">
        <w:rPr>
          <w:rFonts w:ascii="Book Antiqua" w:hAnsi="Book Antiqua"/>
          <w:b/>
        </w:rPr>
        <w:t>33</w:t>
      </w:r>
      <w:r w:rsidRPr="000C4B7C">
        <w:rPr>
          <w:rFonts w:ascii="Book Antiqua" w:hAnsi="Book Antiqua"/>
        </w:rPr>
        <w:t>: 496.e11-496.e16 [PMID: 26210683 DOI: 10.1016/j.urolonc.2015.06.014]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12 </w:t>
      </w:r>
      <w:r w:rsidRPr="000C4B7C">
        <w:rPr>
          <w:rFonts w:ascii="Book Antiqua" w:hAnsi="Book Antiqua"/>
          <w:b/>
        </w:rPr>
        <w:t>Rini BI</w:t>
      </w:r>
      <w:r w:rsidRPr="000C4B7C">
        <w:rPr>
          <w:rFonts w:ascii="Book Antiqua" w:hAnsi="Book Antiqua"/>
        </w:rPr>
        <w:t xml:space="preserve">, McDermott DF, Hammers H, Bro W, Bukowski RM, Faba B, Faba J, Figlin RA, Hutson T, Jonasch E, Joseph RW, Leibovich BC, Olencki T, Pantuck AJ, Quinn DI, </w:t>
      </w:r>
      <w:r w:rsidRPr="000C4B7C">
        <w:rPr>
          <w:rFonts w:ascii="Book Antiqua" w:hAnsi="Book Antiqua"/>
        </w:rPr>
        <w:lastRenderedPageBreak/>
        <w:t xml:space="preserve">Seery V, Voss MH, Wood CG, Wood LS, Atkins MB. </w:t>
      </w:r>
      <w:proofErr w:type="gramStart"/>
      <w:r w:rsidRPr="000C4B7C">
        <w:rPr>
          <w:rFonts w:ascii="Book Antiqua" w:hAnsi="Book Antiqua"/>
        </w:rPr>
        <w:t>Society for Immunotherapy of Cancer consensus statement on immunotherapy for the treatment of renal cell carcinoma.</w:t>
      </w:r>
      <w:proofErr w:type="gramEnd"/>
      <w:r w:rsidRPr="000C4B7C">
        <w:rPr>
          <w:rFonts w:ascii="Book Antiqua" w:hAnsi="Book Antiqua"/>
        </w:rPr>
        <w:t xml:space="preserve"> </w:t>
      </w:r>
      <w:r w:rsidRPr="000C4B7C">
        <w:rPr>
          <w:rFonts w:ascii="Book Antiqua" w:hAnsi="Book Antiqua"/>
          <w:i/>
        </w:rPr>
        <w:t>J Immunother Cancer</w:t>
      </w:r>
      <w:r w:rsidRPr="000C4B7C">
        <w:rPr>
          <w:rFonts w:ascii="Book Antiqua" w:hAnsi="Book Antiqua"/>
        </w:rPr>
        <w:t xml:space="preserve"> 2016; </w:t>
      </w:r>
      <w:r w:rsidRPr="000C4B7C">
        <w:rPr>
          <w:rFonts w:ascii="Book Antiqua" w:hAnsi="Book Antiqua"/>
          <w:b/>
        </w:rPr>
        <w:t>4</w:t>
      </w:r>
      <w:r w:rsidRPr="000C4B7C">
        <w:rPr>
          <w:rFonts w:ascii="Book Antiqua" w:hAnsi="Book Antiqua"/>
        </w:rPr>
        <w:t>: 81 [PMID: 27891227 DOI: 10.1186/s40425-016-0180-7]</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13 </w:t>
      </w:r>
      <w:r w:rsidRPr="000C4B7C">
        <w:rPr>
          <w:rFonts w:ascii="Book Antiqua" w:hAnsi="Book Antiqua"/>
          <w:b/>
        </w:rPr>
        <w:t>Vachhani P</w:t>
      </w:r>
      <w:r w:rsidRPr="000C4B7C">
        <w:rPr>
          <w:rFonts w:ascii="Book Antiqua" w:hAnsi="Book Antiqua"/>
        </w:rPr>
        <w:t>, George S. VEGF inhibitors in renal cell carcinoma.</w:t>
      </w:r>
      <w:proofErr w:type="gramEnd"/>
      <w:r w:rsidRPr="000C4B7C">
        <w:rPr>
          <w:rFonts w:ascii="Book Antiqua" w:hAnsi="Book Antiqua"/>
        </w:rPr>
        <w:t xml:space="preserve"> </w:t>
      </w:r>
      <w:r w:rsidRPr="000C4B7C">
        <w:rPr>
          <w:rFonts w:ascii="Book Antiqua" w:hAnsi="Book Antiqua"/>
          <w:i/>
        </w:rPr>
        <w:t>Clin Adv Hematol Oncol</w:t>
      </w:r>
      <w:r w:rsidRPr="000C4B7C">
        <w:rPr>
          <w:rFonts w:ascii="Book Antiqua" w:hAnsi="Book Antiqua"/>
        </w:rPr>
        <w:t xml:space="preserve"> 2016; </w:t>
      </w:r>
      <w:r w:rsidRPr="000C4B7C">
        <w:rPr>
          <w:rFonts w:ascii="Book Antiqua" w:hAnsi="Book Antiqua"/>
          <w:b/>
        </w:rPr>
        <w:t>14</w:t>
      </w:r>
      <w:r w:rsidRPr="000C4B7C">
        <w:rPr>
          <w:rFonts w:ascii="Book Antiqua" w:hAnsi="Book Antiqua"/>
        </w:rPr>
        <w:t>: 1016-1028 [PMID: 28212363]</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14 </w:t>
      </w:r>
      <w:r w:rsidRPr="000C4B7C">
        <w:rPr>
          <w:rFonts w:ascii="Book Antiqua" w:hAnsi="Book Antiqua"/>
          <w:b/>
        </w:rPr>
        <w:t>Margolin KA</w:t>
      </w:r>
      <w:r w:rsidRPr="000C4B7C">
        <w:rPr>
          <w:rFonts w:ascii="Book Antiqua" w:hAnsi="Book Antiqua"/>
        </w:rPr>
        <w:t>.</w:t>
      </w:r>
      <w:proofErr w:type="gramEnd"/>
      <w:r w:rsidRPr="000C4B7C">
        <w:rPr>
          <w:rFonts w:ascii="Book Antiqua" w:hAnsi="Book Antiqua"/>
        </w:rPr>
        <w:t xml:space="preserve"> </w:t>
      </w:r>
      <w:proofErr w:type="gramStart"/>
      <w:r w:rsidRPr="000C4B7C">
        <w:rPr>
          <w:rFonts w:ascii="Book Antiqua" w:hAnsi="Book Antiqua"/>
        </w:rPr>
        <w:t>Interleukin-2 in the treatment of renal cancer.</w:t>
      </w:r>
      <w:proofErr w:type="gramEnd"/>
      <w:r w:rsidRPr="000C4B7C">
        <w:rPr>
          <w:rFonts w:ascii="Book Antiqua" w:hAnsi="Book Antiqua"/>
        </w:rPr>
        <w:t xml:space="preserve"> </w:t>
      </w:r>
      <w:r w:rsidRPr="000C4B7C">
        <w:rPr>
          <w:rFonts w:ascii="Book Antiqua" w:hAnsi="Book Antiqua"/>
          <w:i/>
        </w:rPr>
        <w:t>Semin Oncol</w:t>
      </w:r>
      <w:r w:rsidRPr="000C4B7C">
        <w:rPr>
          <w:rFonts w:ascii="Book Antiqua" w:hAnsi="Book Antiqua"/>
        </w:rPr>
        <w:t xml:space="preserve"> 2000; </w:t>
      </w:r>
      <w:r w:rsidRPr="000C4B7C">
        <w:rPr>
          <w:rFonts w:ascii="Book Antiqua" w:hAnsi="Book Antiqua"/>
          <w:b/>
        </w:rPr>
        <w:t>27</w:t>
      </w:r>
      <w:r w:rsidRPr="000C4B7C">
        <w:rPr>
          <w:rFonts w:ascii="Book Antiqua" w:hAnsi="Book Antiqua"/>
        </w:rPr>
        <w:t>: 194-203 [PMID: 10768598]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15 </w:t>
      </w:r>
      <w:r w:rsidRPr="000C4B7C">
        <w:rPr>
          <w:rFonts w:ascii="Book Antiqua" w:hAnsi="Book Antiqua"/>
          <w:b/>
        </w:rPr>
        <w:t>Eklund JW</w:t>
      </w:r>
      <w:r w:rsidRPr="000C4B7C">
        <w:rPr>
          <w:rFonts w:ascii="Book Antiqua" w:hAnsi="Book Antiqua"/>
        </w:rPr>
        <w:t xml:space="preserve">, Kuzel TM. </w:t>
      </w:r>
      <w:proofErr w:type="gramStart"/>
      <w:r w:rsidRPr="000C4B7C">
        <w:rPr>
          <w:rFonts w:ascii="Book Antiqua" w:hAnsi="Book Antiqua"/>
        </w:rPr>
        <w:t>Interleukin-2 in the treatment of renal cell carcinoma and malignant melanoma.</w:t>
      </w:r>
      <w:proofErr w:type="gramEnd"/>
      <w:r w:rsidRPr="000C4B7C">
        <w:rPr>
          <w:rFonts w:ascii="Book Antiqua" w:hAnsi="Book Antiqua"/>
        </w:rPr>
        <w:t xml:space="preserve"> </w:t>
      </w:r>
      <w:r w:rsidRPr="000C4B7C">
        <w:rPr>
          <w:rFonts w:ascii="Book Antiqua" w:hAnsi="Book Antiqua"/>
          <w:i/>
        </w:rPr>
        <w:t>Cancer Treat Res</w:t>
      </w:r>
      <w:r w:rsidRPr="000C4B7C">
        <w:rPr>
          <w:rFonts w:ascii="Book Antiqua" w:hAnsi="Book Antiqua"/>
        </w:rPr>
        <w:t xml:space="preserve"> 2005; </w:t>
      </w:r>
      <w:r w:rsidRPr="000C4B7C">
        <w:rPr>
          <w:rFonts w:ascii="Book Antiqua" w:hAnsi="Book Antiqua"/>
          <w:b/>
        </w:rPr>
        <w:t>126</w:t>
      </w:r>
      <w:r w:rsidRPr="000C4B7C">
        <w:rPr>
          <w:rFonts w:ascii="Book Antiqua" w:hAnsi="Book Antiqua"/>
        </w:rPr>
        <w:t>: 263-287 [PMID: 16209070</w:t>
      </w:r>
      <w:r w:rsidR="0089737E" w:rsidRPr="000C4B7C">
        <w:rPr>
          <w:rFonts w:ascii="Book Antiqua" w:hAnsi="Book Antiqua"/>
          <w:lang w:eastAsia="zh-CN"/>
        </w:rPr>
        <w:t xml:space="preserve"> DOI: 10.1007/0-387-24361-5_11</w:t>
      </w:r>
      <w:r w:rsidRPr="000C4B7C">
        <w:rPr>
          <w:rFonts w:ascii="Book Antiqua" w:hAnsi="Book Antiqua"/>
        </w:rPr>
        <w:t>]</w:t>
      </w:r>
    </w:p>
    <w:p w:rsidR="00656D23" w:rsidRPr="00391971" w:rsidRDefault="00656D23" w:rsidP="000C4B7C">
      <w:pPr>
        <w:adjustRightInd w:val="0"/>
        <w:snapToGrid w:val="0"/>
        <w:spacing w:line="360" w:lineRule="auto"/>
        <w:jc w:val="both"/>
        <w:rPr>
          <w:rFonts w:ascii="Book Antiqua" w:hAnsi="Book Antiqua"/>
          <w:b/>
          <w:lang w:eastAsia="zh-CN"/>
        </w:rPr>
      </w:pPr>
      <w:proofErr w:type="gramStart"/>
      <w:r w:rsidRPr="00391971">
        <w:rPr>
          <w:rFonts w:ascii="Book Antiqua" w:hAnsi="Book Antiqua"/>
        </w:rPr>
        <w:t xml:space="preserve">16 </w:t>
      </w:r>
      <w:r w:rsidR="00F714EC" w:rsidRPr="00391971">
        <w:rPr>
          <w:rFonts w:ascii="Book Antiqua" w:hAnsi="Book Antiqua"/>
          <w:b/>
        </w:rPr>
        <w:t>Nektar Therapeutics</w:t>
      </w:r>
      <w:r w:rsidR="00F714EC" w:rsidRPr="00391971">
        <w:rPr>
          <w:rFonts w:ascii="Book Antiqua" w:hAnsi="Book Antiqua"/>
          <w:b/>
          <w:lang w:eastAsia="zh-CN"/>
        </w:rPr>
        <w:t>.</w:t>
      </w:r>
      <w:proofErr w:type="gramEnd"/>
      <w:r w:rsidR="00F714EC" w:rsidRPr="00391971">
        <w:rPr>
          <w:rFonts w:ascii="Book Antiqua" w:hAnsi="Book Antiqua"/>
        </w:rPr>
        <w:t xml:space="preserve"> </w:t>
      </w:r>
      <w:r w:rsidRPr="00391971">
        <w:rPr>
          <w:rFonts w:ascii="Book Antiqua" w:hAnsi="Book Antiqua"/>
        </w:rPr>
        <w:t xml:space="preserve">A Study of NKTR-214 in Combination </w:t>
      </w:r>
      <w:proofErr w:type="gramStart"/>
      <w:r w:rsidRPr="00391971">
        <w:rPr>
          <w:rFonts w:ascii="Book Antiqua" w:hAnsi="Book Antiqua"/>
        </w:rPr>
        <w:t>With</w:t>
      </w:r>
      <w:proofErr w:type="gramEnd"/>
      <w:r w:rsidRPr="00391971">
        <w:rPr>
          <w:rFonts w:ascii="Book Antiqua" w:hAnsi="Book Antiqua"/>
        </w:rPr>
        <w:t xml:space="preserve"> Nivolumab With the Investigator's Choice of a Tyrosine Kinase Inhibitor (TKI) Therapy (Either Sunitinib or Cabozantinib Monotherapy) for Advanced Metastatic Renal Cell Carcinoma (RCC). </w:t>
      </w:r>
      <w:r w:rsidR="009438AD" w:rsidRPr="00391971">
        <w:rPr>
          <w:rFonts w:ascii="Book Antiqua" w:hAnsi="Book Antiqua"/>
          <w:lang w:eastAsia="zh-CN"/>
        </w:rPr>
        <w:t xml:space="preserve">In: </w:t>
      </w:r>
      <w:r w:rsidR="009438AD" w:rsidRPr="00391971">
        <w:rPr>
          <w:rFonts w:ascii="Book Antiqua" w:eastAsia="Times New Roman" w:hAnsi="Book Antiqua"/>
          <w:bCs/>
          <w:color w:val="000000" w:themeColor="text1"/>
        </w:rPr>
        <w:t>ClinicalTrials.gov [Internet]. Bethesda (MD): U.S. National Library of Medicine.</w:t>
      </w:r>
      <w:r w:rsidR="009438AD" w:rsidRPr="00391971">
        <w:rPr>
          <w:rFonts w:ascii="Book Antiqua" w:hAnsi="Book Antiqua"/>
          <w:lang w:eastAsia="zh-CN"/>
        </w:rPr>
        <w:t xml:space="preserve"> </w:t>
      </w:r>
      <w:r w:rsidR="00A43AF9" w:rsidRPr="00391971">
        <w:rPr>
          <w:rFonts w:ascii="Book Antiqua" w:hAnsi="Book Antiqua"/>
          <w:lang w:eastAsia="zh-CN"/>
        </w:rPr>
        <w:t>[</w:t>
      </w:r>
      <w:proofErr w:type="gramStart"/>
      <w:r w:rsidR="00A43AF9" w:rsidRPr="00391971">
        <w:rPr>
          <w:rFonts w:ascii="Book Antiqua" w:hAnsi="Book Antiqua"/>
        </w:rPr>
        <w:t>accessed</w:t>
      </w:r>
      <w:proofErr w:type="gramEnd"/>
      <w:r w:rsidR="00A43AF9" w:rsidRPr="00391971">
        <w:rPr>
          <w:rFonts w:ascii="Book Antiqua" w:hAnsi="Book Antiqua"/>
        </w:rPr>
        <w:t xml:space="preserve"> 2019</w:t>
      </w:r>
      <w:r w:rsidR="00A43AF9" w:rsidRPr="00391971">
        <w:rPr>
          <w:rFonts w:ascii="Book Antiqua" w:hAnsi="Book Antiqua"/>
          <w:lang w:eastAsia="zh-CN"/>
        </w:rPr>
        <w:t xml:space="preserve"> </w:t>
      </w:r>
      <w:r w:rsidR="00A43AF9" w:rsidRPr="00391971">
        <w:rPr>
          <w:rFonts w:ascii="Book Antiqua" w:hAnsi="Book Antiqua"/>
        </w:rPr>
        <w:t>Oct 30</w:t>
      </w:r>
      <w:r w:rsidR="00A43AF9" w:rsidRPr="00391971">
        <w:rPr>
          <w:rFonts w:ascii="Book Antiqua" w:hAnsi="Book Antiqua"/>
          <w:lang w:eastAsia="zh-CN"/>
        </w:rPr>
        <w:t xml:space="preserve">]. </w:t>
      </w:r>
      <w:r w:rsidR="009438AD" w:rsidRPr="00391971">
        <w:rPr>
          <w:rFonts w:ascii="Book Antiqua" w:eastAsia="Times New Roman" w:hAnsi="Book Antiqua"/>
          <w:bCs/>
          <w:color w:val="000000" w:themeColor="text1"/>
        </w:rPr>
        <w:t>Available from:</w:t>
      </w:r>
      <w:r w:rsidR="009438AD" w:rsidRPr="00391971">
        <w:rPr>
          <w:rFonts w:ascii="Book Antiqua" w:hAnsi="Book Antiqua"/>
          <w:bCs/>
          <w:color w:val="000000" w:themeColor="text1"/>
          <w:lang w:eastAsia="zh-CN"/>
        </w:rPr>
        <w:t xml:space="preserve"> </w:t>
      </w:r>
      <w:r w:rsidR="009438AD" w:rsidRPr="00391971">
        <w:rPr>
          <w:rFonts w:ascii="Book Antiqua" w:hAnsi="Book Antiqua"/>
          <w:lang w:eastAsia="zh-CN"/>
        </w:rPr>
        <w:t xml:space="preserve">https://clinicaltrials.gov/ct2/show/NCT03729245 </w:t>
      </w:r>
      <w:r w:rsidR="00A43AF9" w:rsidRPr="00391971">
        <w:rPr>
          <w:rFonts w:ascii="Book Antiqua" w:hAnsi="Book Antiqua" w:hint="eastAsia"/>
          <w:lang w:eastAsia="zh-CN"/>
        </w:rPr>
        <w:t>N</w:t>
      </w:r>
      <w:r w:rsidR="00A43AF9" w:rsidRPr="00391971">
        <w:rPr>
          <w:rFonts w:ascii="Book Antiqua" w:hAnsi="Book Antiqua"/>
          <w:lang w:eastAsia="zh-CN"/>
        </w:rPr>
        <w:t xml:space="preserve">LM </w:t>
      </w:r>
      <w:r w:rsidR="009438AD" w:rsidRPr="00391971">
        <w:rPr>
          <w:rFonts w:ascii="Book Antiqua" w:eastAsia="Times New Roman" w:hAnsi="Book Antiqua"/>
          <w:bCs/>
          <w:color w:val="000000" w:themeColor="text1"/>
        </w:rPr>
        <w:t xml:space="preserve">Identifier: </w:t>
      </w:r>
      <w:r w:rsidR="009438AD" w:rsidRPr="00391971">
        <w:rPr>
          <w:rFonts w:ascii="Book Antiqua" w:hAnsi="Book Antiqua"/>
          <w:lang w:eastAsia="zh-CN"/>
        </w:rPr>
        <w:t>NCT03729245</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17 </w:t>
      </w:r>
      <w:r w:rsidRPr="000C4B7C">
        <w:rPr>
          <w:rFonts w:ascii="Book Antiqua" w:hAnsi="Book Antiqua"/>
          <w:b/>
        </w:rPr>
        <w:t>Linehan WM</w:t>
      </w:r>
      <w:r w:rsidRPr="000C4B7C">
        <w:rPr>
          <w:rFonts w:ascii="Book Antiqua" w:hAnsi="Book Antiqua"/>
        </w:rPr>
        <w:t>, Schmidt LS, Crooks DR, Wei D, Srinivasan R, Lang M, Ricketts CJ.</w:t>
      </w:r>
      <w:proofErr w:type="gramEnd"/>
      <w:r w:rsidRPr="000C4B7C">
        <w:rPr>
          <w:rFonts w:ascii="Book Antiqua" w:hAnsi="Book Antiqua"/>
        </w:rPr>
        <w:t xml:space="preserve"> </w:t>
      </w:r>
      <w:proofErr w:type="gramStart"/>
      <w:r w:rsidRPr="000C4B7C">
        <w:rPr>
          <w:rFonts w:ascii="Book Antiqua" w:hAnsi="Book Antiqua"/>
        </w:rPr>
        <w:t>The Metabolic Basis of Kidney Cancer.</w:t>
      </w:r>
      <w:proofErr w:type="gramEnd"/>
      <w:r w:rsidRPr="000C4B7C">
        <w:rPr>
          <w:rFonts w:ascii="Book Antiqua" w:hAnsi="Book Antiqua"/>
        </w:rPr>
        <w:t xml:space="preserve"> </w:t>
      </w:r>
      <w:r w:rsidRPr="000C4B7C">
        <w:rPr>
          <w:rFonts w:ascii="Book Antiqua" w:hAnsi="Book Antiqua"/>
          <w:i/>
        </w:rPr>
        <w:t>Cancer Discov</w:t>
      </w:r>
      <w:r w:rsidRPr="000C4B7C">
        <w:rPr>
          <w:rFonts w:ascii="Book Antiqua" w:hAnsi="Book Antiqua"/>
        </w:rPr>
        <w:t xml:space="preserve"> 2019; </w:t>
      </w:r>
      <w:r w:rsidRPr="000C4B7C">
        <w:rPr>
          <w:rFonts w:ascii="Book Antiqua" w:hAnsi="Book Antiqua"/>
          <w:b/>
        </w:rPr>
        <w:t>9</w:t>
      </w:r>
      <w:r w:rsidRPr="000C4B7C">
        <w:rPr>
          <w:rFonts w:ascii="Book Antiqua" w:hAnsi="Book Antiqua"/>
        </w:rPr>
        <w:t>: 1006-1021 [PMID: 31088840 DOI: 10.1158/2159-8290.CD-18-1354]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18 </w:t>
      </w:r>
      <w:r w:rsidRPr="000C4B7C">
        <w:rPr>
          <w:rFonts w:ascii="Book Antiqua" w:hAnsi="Book Antiqua"/>
          <w:b/>
        </w:rPr>
        <w:t>Carlo MI</w:t>
      </w:r>
      <w:r w:rsidRPr="000C4B7C">
        <w:rPr>
          <w:rFonts w:ascii="Book Antiqua" w:hAnsi="Book Antiqua"/>
        </w:rPr>
        <w:t xml:space="preserve">, Hakimi AA, Stewart GD, Bratslavsky G, Brugarolas J, Chen YB, Linehan WM, Maher ER, Merino MJ, Offit K, Reuter VE, Shuch B, Coleman JA. Familial Kidney Cancer: Implications of New Syndromes and Molecular Insights. </w:t>
      </w:r>
      <w:r w:rsidRPr="000C4B7C">
        <w:rPr>
          <w:rFonts w:ascii="Book Antiqua" w:hAnsi="Book Antiqua"/>
          <w:i/>
        </w:rPr>
        <w:t>Eur Urol</w:t>
      </w:r>
      <w:r w:rsidRPr="000C4B7C">
        <w:rPr>
          <w:rFonts w:ascii="Book Antiqua" w:hAnsi="Book Antiqua"/>
        </w:rPr>
        <w:t xml:space="preserve"> 2019; </w:t>
      </w:r>
      <w:r w:rsidRPr="000C4B7C">
        <w:rPr>
          <w:rFonts w:ascii="Book Antiqua" w:hAnsi="Book Antiqua"/>
          <w:b/>
        </w:rPr>
        <w:t>76</w:t>
      </w:r>
      <w:r w:rsidRPr="000C4B7C">
        <w:rPr>
          <w:rFonts w:ascii="Book Antiqua" w:hAnsi="Book Antiqua"/>
        </w:rPr>
        <w:t>: 754-764 [PMID: 31326218 DOI: 10.1016/j.eururo.2019.06.015]</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19 </w:t>
      </w:r>
      <w:r w:rsidRPr="000C4B7C">
        <w:rPr>
          <w:rFonts w:ascii="Book Antiqua" w:hAnsi="Book Antiqua"/>
          <w:b/>
        </w:rPr>
        <w:t>Rini BI</w:t>
      </w:r>
      <w:r w:rsidRPr="000C4B7C">
        <w:rPr>
          <w:rFonts w:ascii="Book Antiqua" w:hAnsi="Book Antiqua"/>
        </w:rPr>
        <w:t>, Small EJ.</w:t>
      </w:r>
      <w:proofErr w:type="gramEnd"/>
      <w:r w:rsidRPr="000C4B7C">
        <w:rPr>
          <w:rFonts w:ascii="Book Antiqua" w:hAnsi="Book Antiqua"/>
        </w:rPr>
        <w:t xml:space="preserve"> </w:t>
      </w:r>
      <w:proofErr w:type="gramStart"/>
      <w:r w:rsidRPr="000C4B7C">
        <w:rPr>
          <w:rFonts w:ascii="Book Antiqua" w:hAnsi="Book Antiqua"/>
        </w:rPr>
        <w:t>Biology and clinical development of vascular endothelial growth factor-targeted therapy in renal cell carcinoma.</w:t>
      </w:r>
      <w:proofErr w:type="gramEnd"/>
      <w:r w:rsidRPr="000C4B7C">
        <w:rPr>
          <w:rFonts w:ascii="Book Antiqua" w:hAnsi="Book Antiqua"/>
        </w:rPr>
        <w:t xml:space="preserve"> </w:t>
      </w:r>
      <w:r w:rsidRPr="000C4B7C">
        <w:rPr>
          <w:rFonts w:ascii="Book Antiqua" w:hAnsi="Book Antiqua"/>
          <w:i/>
        </w:rPr>
        <w:t>J Clin Oncol</w:t>
      </w:r>
      <w:r w:rsidRPr="000C4B7C">
        <w:rPr>
          <w:rFonts w:ascii="Book Antiqua" w:hAnsi="Book Antiqua"/>
        </w:rPr>
        <w:t xml:space="preserve"> 2005; </w:t>
      </w:r>
      <w:r w:rsidRPr="000C4B7C">
        <w:rPr>
          <w:rFonts w:ascii="Book Antiqua" w:hAnsi="Book Antiqua"/>
          <w:b/>
        </w:rPr>
        <w:t>23</w:t>
      </w:r>
      <w:r w:rsidRPr="000C4B7C">
        <w:rPr>
          <w:rFonts w:ascii="Book Antiqua" w:hAnsi="Book Antiqua"/>
        </w:rPr>
        <w:t>: 1028-1043 [PMID: 15534359 DOI: 10.1200/JCO.2005.01.186]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20 </w:t>
      </w:r>
      <w:r w:rsidRPr="000C4B7C">
        <w:rPr>
          <w:rFonts w:ascii="Book Antiqua" w:hAnsi="Book Antiqua"/>
          <w:b/>
        </w:rPr>
        <w:t>Turner KJ</w:t>
      </w:r>
      <w:r w:rsidRPr="000C4B7C">
        <w:rPr>
          <w:rFonts w:ascii="Book Antiqua" w:hAnsi="Book Antiqua"/>
        </w:rPr>
        <w:t>, Moore JW, Jones A, Taylor CF, Cuthbert-Heavens D, Han C, Leek RD, Gatter KC, Maxwell PH, Ratcliffe PJ, Cranston D, Harris AL. Expression of hypoxia-</w:t>
      </w:r>
      <w:r w:rsidRPr="000C4B7C">
        <w:rPr>
          <w:rFonts w:ascii="Book Antiqua" w:hAnsi="Book Antiqua"/>
        </w:rPr>
        <w:lastRenderedPageBreak/>
        <w:t xml:space="preserve">inducible factors in human renal cancer: relationship to angiogenesis and to the von Hippel-Lindau gene mutation. </w:t>
      </w:r>
      <w:r w:rsidRPr="000C4B7C">
        <w:rPr>
          <w:rFonts w:ascii="Book Antiqua" w:hAnsi="Book Antiqua"/>
          <w:i/>
        </w:rPr>
        <w:t>Cancer Res</w:t>
      </w:r>
      <w:r w:rsidRPr="000C4B7C">
        <w:rPr>
          <w:rFonts w:ascii="Book Antiqua" w:hAnsi="Book Antiqua"/>
        </w:rPr>
        <w:t xml:space="preserve"> 2002; </w:t>
      </w:r>
      <w:r w:rsidRPr="000C4B7C">
        <w:rPr>
          <w:rFonts w:ascii="Book Antiqua" w:hAnsi="Book Antiqua"/>
          <w:b/>
        </w:rPr>
        <w:t>62</w:t>
      </w:r>
      <w:r w:rsidRPr="000C4B7C">
        <w:rPr>
          <w:rFonts w:ascii="Book Antiqua" w:hAnsi="Book Antiqua"/>
        </w:rPr>
        <w:t>: 2957-2961 [PMID: 12019178]</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21 </w:t>
      </w:r>
      <w:r w:rsidRPr="000C4B7C">
        <w:rPr>
          <w:rFonts w:ascii="Book Antiqua" w:hAnsi="Book Antiqua"/>
          <w:b/>
        </w:rPr>
        <w:t>Kaelin WG Jr</w:t>
      </w:r>
      <w:r w:rsidRPr="000C4B7C">
        <w:rPr>
          <w:rFonts w:ascii="Book Antiqua" w:hAnsi="Book Antiqua"/>
        </w:rPr>
        <w:t>.</w:t>
      </w:r>
      <w:proofErr w:type="gramEnd"/>
      <w:r w:rsidRPr="000C4B7C">
        <w:rPr>
          <w:rFonts w:ascii="Book Antiqua" w:hAnsi="Book Antiqua"/>
        </w:rPr>
        <w:t xml:space="preserve"> The VHL Tumor Suppressor Gene: Insights into Oxygen Sensing and Cancer. </w:t>
      </w:r>
      <w:r w:rsidRPr="000C4B7C">
        <w:rPr>
          <w:rFonts w:ascii="Book Antiqua" w:hAnsi="Book Antiqua"/>
          <w:i/>
        </w:rPr>
        <w:t>Trans Am Clin Climatol Assoc</w:t>
      </w:r>
      <w:r w:rsidRPr="000C4B7C">
        <w:rPr>
          <w:rFonts w:ascii="Book Antiqua" w:hAnsi="Book Antiqua"/>
        </w:rPr>
        <w:t xml:space="preserve"> 2017; </w:t>
      </w:r>
      <w:r w:rsidRPr="000C4B7C">
        <w:rPr>
          <w:rFonts w:ascii="Book Antiqua" w:hAnsi="Book Antiqua"/>
          <w:b/>
        </w:rPr>
        <w:t>128</w:t>
      </w:r>
      <w:r w:rsidRPr="000C4B7C">
        <w:rPr>
          <w:rFonts w:ascii="Book Antiqua" w:hAnsi="Book Antiqua"/>
        </w:rPr>
        <w:t>: 298-307 [PMID: 28790514]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22 </w:t>
      </w:r>
      <w:r w:rsidRPr="000C4B7C">
        <w:rPr>
          <w:rFonts w:ascii="Book Antiqua" w:hAnsi="Book Antiqua"/>
          <w:b/>
        </w:rPr>
        <w:t>Baldewijns MM</w:t>
      </w:r>
      <w:r w:rsidRPr="000C4B7C">
        <w:rPr>
          <w:rFonts w:ascii="Book Antiqua" w:hAnsi="Book Antiqua"/>
        </w:rPr>
        <w:t xml:space="preserve">, van Vlodrop IJ, Vermeulen PB, Soetekouw PM, van Engeland M, de Bruïne AP. VHL and HIF signalling in renal cell carcinogenesis. </w:t>
      </w:r>
      <w:r w:rsidRPr="000C4B7C">
        <w:rPr>
          <w:rFonts w:ascii="Book Antiqua" w:hAnsi="Book Antiqua"/>
          <w:i/>
        </w:rPr>
        <w:t>J Pathol</w:t>
      </w:r>
      <w:r w:rsidRPr="000C4B7C">
        <w:rPr>
          <w:rFonts w:ascii="Book Antiqua" w:hAnsi="Book Antiqua"/>
        </w:rPr>
        <w:t xml:space="preserve"> 2010; </w:t>
      </w:r>
      <w:r w:rsidRPr="000C4B7C">
        <w:rPr>
          <w:rFonts w:ascii="Book Antiqua" w:hAnsi="Book Antiqua"/>
          <w:b/>
        </w:rPr>
        <w:t>221</w:t>
      </w:r>
      <w:r w:rsidRPr="000C4B7C">
        <w:rPr>
          <w:rFonts w:ascii="Book Antiqua" w:hAnsi="Book Antiqua"/>
        </w:rPr>
        <w:t>: 125-138 [PMID: 20225241 DOI: 10.1002/path.2689]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23 </w:t>
      </w:r>
      <w:proofErr w:type="gramStart"/>
      <w:r w:rsidRPr="000C4B7C">
        <w:rPr>
          <w:rFonts w:ascii="Book Antiqua" w:hAnsi="Book Antiqua"/>
          <w:b/>
        </w:rPr>
        <w:t>Pal</w:t>
      </w:r>
      <w:proofErr w:type="gramEnd"/>
      <w:r w:rsidRPr="000C4B7C">
        <w:rPr>
          <w:rFonts w:ascii="Book Antiqua" w:hAnsi="Book Antiqua"/>
          <w:b/>
        </w:rPr>
        <w:t xml:space="preserve"> SK</w:t>
      </w:r>
      <w:r w:rsidRPr="000C4B7C">
        <w:rPr>
          <w:rFonts w:ascii="Book Antiqua" w:hAnsi="Book Antiqua"/>
        </w:rPr>
        <w:t xml:space="preserve">, Quinn DI. </w:t>
      </w:r>
      <w:proofErr w:type="gramStart"/>
      <w:r w:rsidRPr="000C4B7C">
        <w:rPr>
          <w:rFonts w:ascii="Book Antiqua" w:hAnsi="Book Antiqua"/>
        </w:rPr>
        <w:t>Differentiating mTOR inhibitors in renal cell carcinoma.</w:t>
      </w:r>
      <w:proofErr w:type="gramEnd"/>
      <w:r w:rsidRPr="000C4B7C">
        <w:rPr>
          <w:rFonts w:ascii="Book Antiqua" w:hAnsi="Book Antiqua"/>
        </w:rPr>
        <w:t xml:space="preserve"> </w:t>
      </w:r>
      <w:r w:rsidRPr="000C4B7C">
        <w:rPr>
          <w:rFonts w:ascii="Book Antiqua" w:hAnsi="Book Antiqua"/>
          <w:i/>
        </w:rPr>
        <w:t>Cancer Treat Rev</w:t>
      </w:r>
      <w:r w:rsidRPr="000C4B7C">
        <w:rPr>
          <w:rFonts w:ascii="Book Antiqua" w:hAnsi="Book Antiqua"/>
        </w:rPr>
        <w:t xml:space="preserve"> 2013; </w:t>
      </w:r>
      <w:r w:rsidRPr="000C4B7C">
        <w:rPr>
          <w:rFonts w:ascii="Book Antiqua" w:hAnsi="Book Antiqua"/>
          <w:b/>
        </w:rPr>
        <w:t>39</w:t>
      </w:r>
      <w:r w:rsidRPr="000C4B7C">
        <w:rPr>
          <w:rFonts w:ascii="Book Antiqua" w:hAnsi="Book Antiqua"/>
        </w:rPr>
        <w:t>: 709-719 [PMID: 23433636 DOI: 10.1016/j.ctrv.2012.12.015]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24 </w:t>
      </w:r>
      <w:r w:rsidRPr="000C4B7C">
        <w:rPr>
          <w:rFonts w:ascii="Book Antiqua" w:hAnsi="Book Antiqua"/>
          <w:b/>
        </w:rPr>
        <w:t>Lieberthal W</w:t>
      </w:r>
      <w:r w:rsidRPr="000C4B7C">
        <w:rPr>
          <w:rFonts w:ascii="Book Antiqua" w:hAnsi="Book Antiqua"/>
        </w:rPr>
        <w:t xml:space="preserve">, Levine JS. </w:t>
      </w:r>
      <w:proofErr w:type="gramStart"/>
      <w:r w:rsidRPr="000C4B7C">
        <w:rPr>
          <w:rFonts w:ascii="Book Antiqua" w:hAnsi="Book Antiqua"/>
        </w:rPr>
        <w:t>The role of the mammalian target of rapamycin (mTOR) in renal disease.</w:t>
      </w:r>
      <w:proofErr w:type="gramEnd"/>
      <w:r w:rsidRPr="000C4B7C">
        <w:rPr>
          <w:rFonts w:ascii="Book Antiqua" w:hAnsi="Book Antiqua"/>
        </w:rPr>
        <w:t xml:space="preserve"> </w:t>
      </w:r>
      <w:r w:rsidRPr="000C4B7C">
        <w:rPr>
          <w:rFonts w:ascii="Book Antiqua" w:hAnsi="Book Antiqua"/>
          <w:i/>
        </w:rPr>
        <w:t>J Am Soc Nephrol</w:t>
      </w:r>
      <w:r w:rsidRPr="000C4B7C">
        <w:rPr>
          <w:rFonts w:ascii="Book Antiqua" w:hAnsi="Book Antiqua"/>
        </w:rPr>
        <w:t xml:space="preserve"> 2009; </w:t>
      </w:r>
      <w:r w:rsidRPr="000C4B7C">
        <w:rPr>
          <w:rFonts w:ascii="Book Antiqua" w:hAnsi="Book Antiqua"/>
          <w:b/>
        </w:rPr>
        <w:t>20</w:t>
      </w:r>
      <w:r w:rsidRPr="000C4B7C">
        <w:rPr>
          <w:rFonts w:ascii="Book Antiqua" w:hAnsi="Book Antiqua"/>
        </w:rPr>
        <w:t>: 2493-2502 [PMID: 19875810 DOI: 10.1681/ASN.2008111186]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25 </w:t>
      </w:r>
      <w:r w:rsidRPr="000C4B7C">
        <w:rPr>
          <w:rFonts w:ascii="Book Antiqua" w:hAnsi="Book Antiqua"/>
          <w:b/>
        </w:rPr>
        <w:t>Leonetti A</w:t>
      </w:r>
      <w:r w:rsidRPr="000C4B7C">
        <w:rPr>
          <w:rFonts w:ascii="Book Antiqua" w:hAnsi="Book Antiqua"/>
        </w:rPr>
        <w:t xml:space="preserve">, Leonardi F, Bersanelli M, Buti S. Clinical use of lenvatinib in combination with everolimus for the treatment of advanced renal cell carcinoma. </w:t>
      </w:r>
      <w:r w:rsidRPr="000C4B7C">
        <w:rPr>
          <w:rFonts w:ascii="Book Antiqua" w:hAnsi="Book Antiqua"/>
          <w:i/>
        </w:rPr>
        <w:t>Ther Clin Risk Manag</w:t>
      </w:r>
      <w:r w:rsidRPr="000C4B7C">
        <w:rPr>
          <w:rFonts w:ascii="Book Antiqua" w:hAnsi="Book Antiqua"/>
        </w:rPr>
        <w:t xml:space="preserve"> 2017; </w:t>
      </w:r>
      <w:r w:rsidRPr="000C4B7C">
        <w:rPr>
          <w:rFonts w:ascii="Book Antiqua" w:hAnsi="Book Antiqua"/>
          <w:b/>
        </w:rPr>
        <w:t>13</w:t>
      </w:r>
      <w:r w:rsidRPr="000C4B7C">
        <w:rPr>
          <w:rFonts w:ascii="Book Antiqua" w:hAnsi="Book Antiqua"/>
        </w:rPr>
        <w:t>: 799-806 [PMID: 28721060 DOI: 10.2147/TCRM.S126910]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26 </w:t>
      </w:r>
      <w:r w:rsidRPr="000C4B7C">
        <w:rPr>
          <w:rFonts w:ascii="Book Antiqua" w:hAnsi="Book Antiqua"/>
          <w:b/>
        </w:rPr>
        <w:t>Choueiri TK</w:t>
      </w:r>
      <w:r w:rsidRPr="000C4B7C">
        <w:rPr>
          <w:rFonts w:ascii="Book Antiqua" w:hAnsi="Book Antiqua"/>
        </w:rPr>
        <w:t xml:space="preserve">, Motzer RJ. </w:t>
      </w:r>
      <w:proofErr w:type="gramStart"/>
      <w:r w:rsidRPr="000C4B7C">
        <w:rPr>
          <w:rFonts w:ascii="Book Antiqua" w:hAnsi="Book Antiqua"/>
        </w:rPr>
        <w:t>Systemic Therapy for Metastatic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2017; </w:t>
      </w:r>
      <w:r w:rsidRPr="000C4B7C">
        <w:rPr>
          <w:rFonts w:ascii="Book Antiqua" w:hAnsi="Book Antiqua"/>
          <w:b/>
        </w:rPr>
        <w:t>376</w:t>
      </w:r>
      <w:r w:rsidRPr="000C4B7C">
        <w:rPr>
          <w:rFonts w:ascii="Book Antiqua" w:hAnsi="Book Antiqua"/>
        </w:rPr>
        <w:t>: 354-366 [PMID: 28121507 DOI: 10.1056/NEJMra1601333]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27 </w:t>
      </w:r>
      <w:r w:rsidRPr="000C4B7C">
        <w:rPr>
          <w:rFonts w:ascii="Book Antiqua" w:hAnsi="Book Antiqua"/>
          <w:b/>
        </w:rPr>
        <w:t>Thompson RH</w:t>
      </w:r>
      <w:r w:rsidRPr="000C4B7C">
        <w:rPr>
          <w:rFonts w:ascii="Book Antiqua" w:hAnsi="Book Antiqua"/>
        </w:rPr>
        <w:t xml:space="preserve">, Dong H, Lohse CM, Leibovich BC, Blute ML, Cheville JC, Kwon ED. PD-1 is expressed by tumor-infiltrating immune cells and is associated with poor outcome for patients with renal cell carcinoma. </w:t>
      </w:r>
      <w:r w:rsidRPr="000C4B7C">
        <w:rPr>
          <w:rFonts w:ascii="Book Antiqua" w:hAnsi="Book Antiqua"/>
          <w:i/>
        </w:rPr>
        <w:t>Clin Cancer Res</w:t>
      </w:r>
      <w:r w:rsidRPr="000C4B7C">
        <w:rPr>
          <w:rFonts w:ascii="Book Antiqua" w:hAnsi="Book Antiqua"/>
        </w:rPr>
        <w:t xml:space="preserve"> 2007; </w:t>
      </w:r>
      <w:r w:rsidRPr="000C4B7C">
        <w:rPr>
          <w:rFonts w:ascii="Book Antiqua" w:hAnsi="Book Antiqua"/>
          <w:b/>
        </w:rPr>
        <w:t>13</w:t>
      </w:r>
      <w:r w:rsidRPr="000C4B7C">
        <w:rPr>
          <w:rFonts w:ascii="Book Antiqua" w:hAnsi="Book Antiqua"/>
        </w:rPr>
        <w:t>: 1757-1761 [PMID: 17363529 DOI: 10.1158/1078-0432.CCR-06-2599]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28 </w:t>
      </w:r>
      <w:r w:rsidRPr="000C4B7C">
        <w:rPr>
          <w:rFonts w:ascii="Book Antiqua" w:hAnsi="Book Antiqua"/>
          <w:b/>
        </w:rPr>
        <w:t>Santoni M</w:t>
      </w:r>
      <w:r w:rsidRPr="000C4B7C">
        <w:rPr>
          <w:rFonts w:ascii="Book Antiqua" w:hAnsi="Book Antiqua"/>
        </w:rPr>
        <w:t xml:space="preserve">, Massari F, Di Nunno V, Conti A, Cimadamore A, Scarpelli M, Montironi R, Cheng L, Battelli N, Lopez-Beltran A. Immunotherapy in renal cell carcinoma: latest evidence and clinical implications. </w:t>
      </w:r>
      <w:r w:rsidRPr="000C4B7C">
        <w:rPr>
          <w:rFonts w:ascii="Book Antiqua" w:hAnsi="Book Antiqua"/>
          <w:i/>
        </w:rPr>
        <w:t>Drugs Context</w:t>
      </w:r>
      <w:r w:rsidRPr="000C4B7C">
        <w:rPr>
          <w:rFonts w:ascii="Book Antiqua" w:hAnsi="Book Antiqua"/>
        </w:rPr>
        <w:t xml:space="preserve"> 2018; </w:t>
      </w:r>
      <w:r w:rsidRPr="000C4B7C">
        <w:rPr>
          <w:rFonts w:ascii="Book Antiqua" w:hAnsi="Book Antiqua"/>
          <w:b/>
        </w:rPr>
        <w:t>7</w:t>
      </w:r>
      <w:r w:rsidRPr="000C4B7C">
        <w:rPr>
          <w:rFonts w:ascii="Book Antiqua" w:hAnsi="Book Antiqua"/>
        </w:rPr>
        <w:t>: 212528 [PMID: 29899754 DOI: 10.7573/dic.212528]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29 </w:t>
      </w:r>
      <w:r w:rsidRPr="000C4B7C">
        <w:rPr>
          <w:rFonts w:ascii="Book Antiqua" w:hAnsi="Book Antiqua"/>
          <w:b/>
        </w:rPr>
        <w:t>Buchbinder EI</w:t>
      </w:r>
      <w:r w:rsidRPr="000C4B7C">
        <w:rPr>
          <w:rFonts w:ascii="Book Antiqua" w:hAnsi="Book Antiqua"/>
        </w:rPr>
        <w:t xml:space="preserve">, Desai A. CTLA-4 and PD-1 Pathways: Similarities, Differences, and Implications of Their Inhibition. </w:t>
      </w:r>
      <w:r w:rsidRPr="000C4B7C">
        <w:rPr>
          <w:rFonts w:ascii="Book Antiqua" w:hAnsi="Book Antiqua"/>
          <w:i/>
        </w:rPr>
        <w:t>Am J Clin Oncol</w:t>
      </w:r>
      <w:r w:rsidRPr="000C4B7C">
        <w:rPr>
          <w:rFonts w:ascii="Book Antiqua" w:hAnsi="Book Antiqua"/>
        </w:rPr>
        <w:t xml:space="preserve"> 2016; </w:t>
      </w:r>
      <w:r w:rsidRPr="000C4B7C">
        <w:rPr>
          <w:rFonts w:ascii="Book Antiqua" w:hAnsi="Book Antiqua"/>
          <w:b/>
        </w:rPr>
        <w:t>39</w:t>
      </w:r>
      <w:r w:rsidRPr="000C4B7C">
        <w:rPr>
          <w:rFonts w:ascii="Book Antiqua" w:hAnsi="Book Antiqua"/>
        </w:rPr>
        <w:t>: 98-106 [PMID: 26558876 DOI: 10.1097/COC.0000000000000239]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30 </w:t>
      </w:r>
      <w:r w:rsidRPr="000C4B7C">
        <w:rPr>
          <w:rFonts w:ascii="Book Antiqua" w:hAnsi="Book Antiqua"/>
          <w:b/>
        </w:rPr>
        <w:t>Feldman DR</w:t>
      </w:r>
      <w:r w:rsidRPr="000C4B7C">
        <w:rPr>
          <w:rFonts w:ascii="Book Antiqua" w:hAnsi="Book Antiqua"/>
        </w:rPr>
        <w:t xml:space="preserve">, Baum MS, Ginsberg MS, Hassoun H, Flombaum CD, Velasco S, Fischer P, Ronnen E, Ishill N, Patil S, Motzer RJ. </w:t>
      </w:r>
      <w:proofErr w:type="gramStart"/>
      <w:r w:rsidRPr="000C4B7C">
        <w:rPr>
          <w:rFonts w:ascii="Book Antiqua" w:hAnsi="Book Antiqua"/>
        </w:rPr>
        <w:t>Phase</w:t>
      </w:r>
      <w:proofErr w:type="gramEnd"/>
      <w:r w:rsidRPr="000C4B7C">
        <w:rPr>
          <w:rFonts w:ascii="Book Antiqua" w:hAnsi="Book Antiqua"/>
        </w:rPr>
        <w:t xml:space="preserve"> I trial of bevacizumab plus escalated doses of sunitinib in patients with metastatic renal cell carcinoma.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1432-1439 [PMID: 19224847 DOI: 10.1200/JCO.2008.19.0108]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31 </w:t>
      </w:r>
      <w:r w:rsidRPr="000C4B7C">
        <w:rPr>
          <w:rFonts w:ascii="Book Antiqua" w:hAnsi="Book Antiqua"/>
          <w:b/>
        </w:rPr>
        <w:t>Hainsworth JD</w:t>
      </w:r>
      <w:r w:rsidRPr="000C4B7C">
        <w:rPr>
          <w:rFonts w:ascii="Book Antiqua" w:hAnsi="Book Antiqua"/>
        </w:rPr>
        <w:t xml:space="preserve">, Spigel DR, Burris HA 3rd, Waterhouse D, Clark BL, Whorf R. Phase II trial of bevacizumab and everolimus in patients with advanced renal cell carcinoma.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2131-2136 [PMID: 20368560 DOI: 10.1200/JCO.2009.26.3152]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32 </w:t>
      </w:r>
      <w:r w:rsidRPr="000C4B7C">
        <w:rPr>
          <w:rFonts w:ascii="Book Antiqua" w:hAnsi="Book Antiqua"/>
          <w:b/>
        </w:rPr>
        <w:t>Harzstark AL</w:t>
      </w:r>
      <w:r w:rsidRPr="000C4B7C">
        <w:rPr>
          <w:rFonts w:ascii="Book Antiqua" w:hAnsi="Book Antiqua"/>
        </w:rPr>
        <w:t xml:space="preserve">, Small EJ, Weinberg VK, Sun J, Ryan CJ, Lin AM, Fong L, Brocks DR, Rosenberg JE. </w:t>
      </w:r>
      <w:proofErr w:type="gramStart"/>
      <w:r w:rsidRPr="000C4B7C">
        <w:rPr>
          <w:rFonts w:ascii="Book Antiqua" w:hAnsi="Book Antiqua"/>
        </w:rPr>
        <w:t>A phase 1 study of everolimus and sorafenib for metastatic clear cell renal cell carcinoma.</w:t>
      </w:r>
      <w:proofErr w:type="gramEnd"/>
      <w:r w:rsidRPr="000C4B7C">
        <w:rPr>
          <w:rFonts w:ascii="Book Antiqua" w:hAnsi="Book Antiqua"/>
        </w:rPr>
        <w:t xml:space="preserve"> </w:t>
      </w:r>
      <w:r w:rsidRPr="000C4B7C">
        <w:rPr>
          <w:rFonts w:ascii="Book Antiqua" w:hAnsi="Book Antiqua"/>
          <w:i/>
        </w:rPr>
        <w:t>Cancer</w:t>
      </w:r>
      <w:r w:rsidRPr="000C4B7C">
        <w:rPr>
          <w:rFonts w:ascii="Book Antiqua" w:hAnsi="Book Antiqua"/>
        </w:rPr>
        <w:t xml:space="preserve"> 2011; </w:t>
      </w:r>
      <w:r w:rsidRPr="000C4B7C">
        <w:rPr>
          <w:rFonts w:ascii="Book Antiqua" w:hAnsi="Book Antiqua"/>
          <w:b/>
        </w:rPr>
        <w:t>117</w:t>
      </w:r>
      <w:r w:rsidRPr="000C4B7C">
        <w:rPr>
          <w:rFonts w:ascii="Book Antiqua" w:hAnsi="Book Antiqua"/>
        </w:rPr>
        <w:t>: 4194-4200 [PMID: 21387258 DOI: 10.1002/cncr.25931]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33 </w:t>
      </w:r>
      <w:r w:rsidRPr="000C4B7C">
        <w:rPr>
          <w:rFonts w:ascii="Book Antiqua" w:hAnsi="Book Antiqua"/>
          <w:b/>
        </w:rPr>
        <w:t>Hudes G</w:t>
      </w:r>
      <w:r w:rsidRPr="000C4B7C">
        <w:rPr>
          <w:rFonts w:ascii="Book Antiqua" w:hAnsi="Book Antiqua"/>
        </w:rPr>
        <w:t xml:space="preserve">, Carducci M, Tomczak P, Dutcher J, Figlin R, Kapoor A, Staroslawska E, Sosman J, McDermott D, Bodrogi I, Kovacevic Z, Lesovoy V, Schmidt-Wolf IG, Barbarash O, Gokmen E, O'Toole T, Lustgarten S, Moore L, Motzer RJ; Global ARCC Trial. Temsirolimus, interferon alfa, or both for advanced renal-cell carcinoma.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2271-2281 [PMID: 17538086 DOI: 10.1056/NEJMoa066838]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34 </w:t>
      </w:r>
      <w:r w:rsidRPr="000C4B7C">
        <w:rPr>
          <w:rFonts w:ascii="Book Antiqua" w:hAnsi="Book Antiqua"/>
          <w:b/>
        </w:rPr>
        <w:t>Rini BI</w:t>
      </w:r>
      <w:r w:rsidRPr="000C4B7C">
        <w:rPr>
          <w:rFonts w:ascii="Book Antiqua" w:hAnsi="Book Antiqua"/>
        </w:rPr>
        <w:t xml:space="preserve">, Stein M, Shannon P, Eddy S, Tyler A, Stephenson JJ Jr, Catlett L, Huang B, Healey D, Gordon M. Phase 1 dose-escalation trial of tremelimumab plus sunitinib in patients with metastatic renal cell carcinoma. </w:t>
      </w:r>
      <w:r w:rsidRPr="000C4B7C">
        <w:rPr>
          <w:rFonts w:ascii="Book Antiqua" w:hAnsi="Book Antiqua"/>
          <w:i/>
        </w:rPr>
        <w:t>Cancer</w:t>
      </w:r>
      <w:r w:rsidRPr="000C4B7C">
        <w:rPr>
          <w:rFonts w:ascii="Book Antiqua" w:hAnsi="Book Antiqua"/>
        </w:rPr>
        <w:t xml:space="preserve"> 2011; </w:t>
      </w:r>
      <w:r w:rsidRPr="000C4B7C">
        <w:rPr>
          <w:rFonts w:ascii="Book Antiqua" w:hAnsi="Book Antiqua"/>
          <w:b/>
        </w:rPr>
        <w:t>117</w:t>
      </w:r>
      <w:r w:rsidRPr="000C4B7C">
        <w:rPr>
          <w:rFonts w:ascii="Book Antiqua" w:hAnsi="Book Antiqua"/>
        </w:rPr>
        <w:t>: 758-767 [PMID: 20922784 DOI: 10.1002/cncr.25639]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35 </w:t>
      </w:r>
      <w:r w:rsidRPr="000C4B7C">
        <w:rPr>
          <w:rFonts w:ascii="Book Antiqua" w:hAnsi="Book Antiqua"/>
          <w:b/>
        </w:rPr>
        <w:t>Escudier B</w:t>
      </w:r>
      <w:r w:rsidRPr="000C4B7C">
        <w:rPr>
          <w:rFonts w:ascii="Book Antiqua" w:hAnsi="Book Antiqua"/>
        </w:rPr>
        <w:t xml:space="preserve">, Pluzanska A, Koralewski P, Ravaud A, Bracarda S, Szczylik C, Chevreau C, Filipek M, Melichar B, Bajetta E, Gorbunova V, Bay JO, Bodrogi I, Jagiello-Gruszfeld A, Moore N; AVOREN Trial investigators. Bevacizumab plus interferon alfa-2a for treatment of metastatic renal cell carcinoma: a randomised, double-blind phase III trial. </w:t>
      </w:r>
      <w:r w:rsidRPr="000C4B7C">
        <w:rPr>
          <w:rFonts w:ascii="Book Antiqua" w:hAnsi="Book Antiqua"/>
          <w:i/>
        </w:rPr>
        <w:t>Lancet</w:t>
      </w:r>
      <w:r w:rsidRPr="000C4B7C">
        <w:rPr>
          <w:rFonts w:ascii="Book Antiqua" w:hAnsi="Book Antiqua"/>
        </w:rPr>
        <w:t xml:space="preserve"> 2007; </w:t>
      </w:r>
      <w:r w:rsidRPr="000C4B7C">
        <w:rPr>
          <w:rFonts w:ascii="Book Antiqua" w:hAnsi="Book Antiqua"/>
          <w:b/>
        </w:rPr>
        <w:t>370</w:t>
      </w:r>
      <w:r w:rsidRPr="000C4B7C">
        <w:rPr>
          <w:rFonts w:ascii="Book Antiqua" w:hAnsi="Book Antiqua"/>
        </w:rPr>
        <w:t>: 2103-2111 [PMID: 18156031 DOI: 10.1016/S0140-6736(07)61904-7]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36 </w:t>
      </w:r>
      <w:r w:rsidRPr="000C4B7C">
        <w:rPr>
          <w:rFonts w:ascii="Book Antiqua" w:hAnsi="Book Antiqua"/>
          <w:b/>
        </w:rPr>
        <w:t>Rini BI</w:t>
      </w:r>
      <w:r w:rsidRPr="000C4B7C">
        <w:rPr>
          <w:rFonts w:ascii="Book Antiqua" w:hAnsi="Book Antiqua"/>
        </w:rPr>
        <w:t xml:space="preserve">, Halabi S, Rosenberg JE, Stadler WM, Vaena DA, Archer L, Atkins JN, Picus J, Czaykowski P, Dutcher J, Small EJ. Phase III trial of bevacizumab plus interferon alfa versus interferon alfa monotherapy in patients with metastatic renal cell carcinoma: </w:t>
      </w:r>
      <w:r w:rsidRPr="000C4B7C">
        <w:rPr>
          <w:rFonts w:ascii="Book Antiqua" w:hAnsi="Book Antiqua"/>
        </w:rPr>
        <w:lastRenderedPageBreak/>
        <w:t xml:space="preserve">final results of CALGB 90206.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2137-2143 [PMID: 20368558 DOI: 10.1200/JCO.2009.26.5561]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37 </w:t>
      </w:r>
      <w:r w:rsidRPr="000C4B7C">
        <w:rPr>
          <w:rFonts w:ascii="Book Antiqua" w:hAnsi="Book Antiqua"/>
          <w:b/>
        </w:rPr>
        <w:t>Lee CH</w:t>
      </w:r>
      <w:r w:rsidRPr="000C4B7C">
        <w:rPr>
          <w:rFonts w:ascii="Book Antiqua" w:hAnsi="Book Antiqua"/>
        </w:rPr>
        <w:t xml:space="preserve">, Hötker AM, Voss MH, Feldman DR, Woo KM, Patil S, Coskey DT, </w:t>
      </w:r>
      <w:proofErr w:type="gramStart"/>
      <w:r w:rsidRPr="000C4B7C">
        <w:rPr>
          <w:rFonts w:ascii="Book Antiqua" w:hAnsi="Book Antiqua"/>
        </w:rPr>
        <w:t>Akin</w:t>
      </w:r>
      <w:proofErr w:type="gramEnd"/>
      <w:r w:rsidRPr="000C4B7C">
        <w:rPr>
          <w:rFonts w:ascii="Book Antiqua" w:hAnsi="Book Antiqua"/>
        </w:rPr>
        <w:t xml:space="preserve"> O, Hsieh JJ, Motzer RJ. </w:t>
      </w:r>
      <w:proofErr w:type="gramStart"/>
      <w:r w:rsidRPr="000C4B7C">
        <w:rPr>
          <w:rFonts w:ascii="Book Antiqua" w:hAnsi="Book Antiqua"/>
        </w:rPr>
        <w:t>Bevacizumab Monotherapy as Salvage Therapy for Advanced Clear Cell Renal Cell Carcinoma Pretreated With Targeted Drugs.</w:t>
      </w:r>
      <w:proofErr w:type="gramEnd"/>
      <w:r w:rsidRPr="000C4B7C">
        <w:rPr>
          <w:rFonts w:ascii="Book Antiqua" w:hAnsi="Book Antiqua"/>
        </w:rPr>
        <w:t xml:space="preserve"> </w:t>
      </w:r>
      <w:r w:rsidRPr="000C4B7C">
        <w:rPr>
          <w:rFonts w:ascii="Book Antiqua" w:hAnsi="Book Antiqua"/>
          <w:i/>
        </w:rPr>
        <w:t>Clin Genitourin Cancer</w:t>
      </w:r>
      <w:r w:rsidRPr="000C4B7C">
        <w:rPr>
          <w:rFonts w:ascii="Book Antiqua" w:hAnsi="Book Antiqua"/>
        </w:rPr>
        <w:t xml:space="preserve"> 2016; </w:t>
      </w:r>
      <w:r w:rsidRPr="000C4B7C">
        <w:rPr>
          <w:rFonts w:ascii="Book Antiqua" w:hAnsi="Book Antiqua"/>
          <w:b/>
        </w:rPr>
        <w:t>14</w:t>
      </w:r>
      <w:r w:rsidRPr="000C4B7C">
        <w:rPr>
          <w:rFonts w:ascii="Book Antiqua" w:hAnsi="Book Antiqua"/>
        </w:rPr>
        <w:t>: 56-62 [PMID: 26404107 DOI: 10.1016/j.clgc.2015.07.010]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38 </w:t>
      </w:r>
      <w:r w:rsidRPr="000C4B7C">
        <w:rPr>
          <w:rFonts w:ascii="Book Antiqua" w:hAnsi="Book Antiqua"/>
          <w:b/>
        </w:rPr>
        <w:t>Rini BI</w:t>
      </w:r>
      <w:r w:rsidRPr="000C4B7C">
        <w:rPr>
          <w:rFonts w:ascii="Book Antiqua" w:hAnsi="Book Antiqua"/>
        </w:rPr>
        <w:t xml:space="preserve">, Atkins MB. </w:t>
      </w:r>
      <w:proofErr w:type="gramStart"/>
      <w:r w:rsidRPr="000C4B7C">
        <w:rPr>
          <w:rFonts w:ascii="Book Antiqua" w:hAnsi="Book Antiqua"/>
        </w:rPr>
        <w:t>Resistance to targeted therapy in renal-cell carcinoma.</w:t>
      </w:r>
      <w:proofErr w:type="gramEnd"/>
      <w:r w:rsidRPr="000C4B7C">
        <w:rPr>
          <w:rFonts w:ascii="Book Antiqua" w:hAnsi="Book Antiqua"/>
        </w:rPr>
        <w:t xml:space="preserve"> </w:t>
      </w:r>
      <w:r w:rsidRPr="000C4B7C">
        <w:rPr>
          <w:rFonts w:ascii="Book Antiqua" w:hAnsi="Book Antiqua"/>
          <w:i/>
        </w:rPr>
        <w:t>Lancet Oncol</w:t>
      </w:r>
      <w:r w:rsidRPr="000C4B7C">
        <w:rPr>
          <w:rFonts w:ascii="Book Antiqua" w:hAnsi="Book Antiqua"/>
        </w:rPr>
        <w:t xml:space="preserve"> 2009; </w:t>
      </w:r>
      <w:r w:rsidRPr="000C4B7C">
        <w:rPr>
          <w:rFonts w:ascii="Book Antiqua" w:hAnsi="Book Antiqua"/>
          <w:b/>
        </w:rPr>
        <w:t>10</w:t>
      </w:r>
      <w:r w:rsidRPr="000C4B7C">
        <w:rPr>
          <w:rFonts w:ascii="Book Antiqua" w:hAnsi="Book Antiqua"/>
        </w:rPr>
        <w:t>: 992-1000 [PMID: 19796751 DOI: 10.1016/S1470-2045(09)70240-2]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39 </w:t>
      </w:r>
      <w:r w:rsidRPr="000C4B7C">
        <w:rPr>
          <w:rFonts w:ascii="Book Antiqua" w:hAnsi="Book Antiqua"/>
          <w:b/>
        </w:rPr>
        <w:t>Gore ME</w:t>
      </w:r>
      <w:r w:rsidRPr="000C4B7C">
        <w:rPr>
          <w:rFonts w:ascii="Book Antiqua" w:hAnsi="Book Antiqua"/>
        </w:rPr>
        <w:t xml:space="preserve">, Larkin JM. </w:t>
      </w:r>
      <w:proofErr w:type="gramStart"/>
      <w:r w:rsidRPr="000C4B7C">
        <w:rPr>
          <w:rFonts w:ascii="Book Antiqua" w:hAnsi="Book Antiqua"/>
        </w:rPr>
        <w:t>Challenges and opportunities for converting renal cell carcinoma into a chronic disease with targeted therapies.</w:t>
      </w:r>
      <w:proofErr w:type="gramEnd"/>
      <w:r w:rsidRPr="000C4B7C">
        <w:rPr>
          <w:rFonts w:ascii="Book Antiqua" w:hAnsi="Book Antiqua"/>
        </w:rPr>
        <w:t xml:space="preserve"> </w:t>
      </w:r>
      <w:r w:rsidRPr="000C4B7C">
        <w:rPr>
          <w:rFonts w:ascii="Book Antiqua" w:hAnsi="Book Antiqua"/>
          <w:i/>
        </w:rPr>
        <w:t>Br J Cancer</w:t>
      </w:r>
      <w:r w:rsidRPr="000C4B7C">
        <w:rPr>
          <w:rFonts w:ascii="Book Antiqua" w:hAnsi="Book Antiqua"/>
        </w:rPr>
        <w:t xml:space="preserve"> 2011; </w:t>
      </w:r>
      <w:r w:rsidRPr="000C4B7C">
        <w:rPr>
          <w:rFonts w:ascii="Book Antiqua" w:hAnsi="Book Antiqua"/>
          <w:b/>
        </w:rPr>
        <w:t>104</w:t>
      </w:r>
      <w:r w:rsidRPr="000C4B7C">
        <w:rPr>
          <w:rFonts w:ascii="Book Antiqua" w:hAnsi="Book Antiqua"/>
        </w:rPr>
        <w:t>: 399-406 [PMID: 21285971 DOI: 10.1038/sj.bjc.6606084]</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40 </w:t>
      </w:r>
      <w:r w:rsidRPr="000C4B7C">
        <w:rPr>
          <w:rFonts w:ascii="Book Antiqua" w:hAnsi="Book Antiqua"/>
          <w:b/>
        </w:rPr>
        <w:t>Sosman JA</w:t>
      </w:r>
      <w:r w:rsidRPr="000C4B7C">
        <w:rPr>
          <w:rFonts w:ascii="Book Antiqua" w:hAnsi="Book Antiqua"/>
        </w:rPr>
        <w:t>, Puzanov I, Atkins MB.</w:t>
      </w:r>
      <w:proofErr w:type="gramEnd"/>
      <w:r w:rsidRPr="000C4B7C">
        <w:rPr>
          <w:rFonts w:ascii="Book Antiqua" w:hAnsi="Book Antiqua"/>
        </w:rPr>
        <w:t xml:space="preserve"> Opportunities and obstacles to combination targeted therapy in renal cell cancer. </w:t>
      </w:r>
      <w:r w:rsidRPr="000C4B7C">
        <w:rPr>
          <w:rFonts w:ascii="Book Antiqua" w:hAnsi="Book Antiqua"/>
          <w:i/>
        </w:rPr>
        <w:t>Clin Cancer Res</w:t>
      </w:r>
      <w:r w:rsidRPr="000C4B7C">
        <w:rPr>
          <w:rFonts w:ascii="Book Antiqua" w:hAnsi="Book Antiqua"/>
        </w:rPr>
        <w:t xml:space="preserve"> 2007; </w:t>
      </w:r>
      <w:r w:rsidRPr="000C4B7C">
        <w:rPr>
          <w:rFonts w:ascii="Book Antiqua" w:hAnsi="Book Antiqua"/>
          <w:b/>
        </w:rPr>
        <w:t>13</w:t>
      </w:r>
      <w:r w:rsidRPr="000C4B7C">
        <w:rPr>
          <w:rFonts w:ascii="Book Antiqua" w:hAnsi="Book Antiqua"/>
        </w:rPr>
        <w:t>: 764s-769s [PMID: 17255307 DOI: 10.1158/1078-0432.CCR-06-1975]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41 </w:t>
      </w:r>
      <w:r w:rsidRPr="000C4B7C">
        <w:rPr>
          <w:rFonts w:ascii="Book Antiqua" w:hAnsi="Book Antiqua"/>
          <w:b/>
        </w:rPr>
        <w:t>Motzer RJ</w:t>
      </w:r>
      <w:r w:rsidRPr="000C4B7C">
        <w:rPr>
          <w:rFonts w:ascii="Book Antiqua" w:hAnsi="Book Antiqua"/>
        </w:rPr>
        <w:t xml:space="preserve">, Hutson TE, Glen H, Michaelson MD, Molina A, Eisen T, Jassem J, Zolnierek J, Maroto JP, Mellado B, Melichar B, Tomasek J, Kremer A, Kim HJ, Wood K, Dutcus C, Larkin J. Lenvatinib, everolimus, and the combination in patients with metastatic renal cell carcinoma: a randomised, phase 2, open-label, multicentre trial. </w:t>
      </w:r>
      <w:r w:rsidRPr="000C4B7C">
        <w:rPr>
          <w:rFonts w:ascii="Book Antiqua" w:hAnsi="Book Antiqua"/>
          <w:i/>
        </w:rPr>
        <w:t>Lancet Oncol</w:t>
      </w:r>
      <w:r w:rsidRPr="000C4B7C">
        <w:rPr>
          <w:rFonts w:ascii="Book Antiqua" w:hAnsi="Book Antiqua"/>
        </w:rPr>
        <w:t xml:space="preserve"> 2015; </w:t>
      </w:r>
      <w:r w:rsidRPr="000C4B7C">
        <w:rPr>
          <w:rFonts w:ascii="Book Antiqua" w:hAnsi="Book Antiqua"/>
          <w:b/>
        </w:rPr>
        <w:t>16</w:t>
      </w:r>
      <w:r w:rsidRPr="000C4B7C">
        <w:rPr>
          <w:rFonts w:ascii="Book Antiqua" w:hAnsi="Book Antiqua"/>
        </w:rPr>
        <w:t>: 1473-1482 [PMID: 26482279 DOI: 10.1016/S1470-2045(15)00290-9]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42 </w:t>
      </w:r>
      <w:r w:rsidRPr="000C4B7C">
        <w:rPr>
          <w:rFonts w:ascii="Book Antiqua" w:hAnsi="Book Antiqua"/>
          <w:b/>
        </w:rPr>
        <w:t>Hammers HJ</w:t>
      </w:r>
      <w:r w:rsidRPr="000C4B7C">
        <w:rPr>
          <w:rFonts w:ascii="Book Antiqua" w:hAnsi="Book Antiqua"/>
        </w:rPr>
        <w:t xml:space="preserve">, Plimack ER, Infante JR, Rini BI, McDermott DF, Lewis LD, Voss MH, Sharma P, Pal SK, Razak ARA, Kollmannsberger C, Heng DYC, Spratlin J, McHenry MB, Amin A. Safety and Efficacy of Nivolumab in Combination With Ipilimumab in Metastatic Renal Cell Carcinoma: The CheckMate 016 Study. </w:t>
      </w:r>
      <w:r w:rsidRPr="000C4B7C">
        <w:rPr>
          <w:rFonts w:ascii="Book Antiqua" w:hAnsi="Book Antiqua"/>
          <w:i/>
        </w:rPr>
        <w:t>J Clin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3851-3858 [PMID: 28678668 DOI: 10.1200/JCO.2016.72.1985]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43 </w:t>
      </w:r>
      <w:r w:rsidRPr="000C4B7C">
        <w:rPr>
          <w:rFonts w:ascii="Book Antiqua" w:hAnsi="Book Antiqua"/>
          <w:b/>
        </w:rPr>
        <w:t>Tannir NM,</w:t>
      </w:r>
      <w:r w:rsidR="00F714EC" w:rsidRPr="000C4B7C">
        <w:rPr>
          <w:rFonts w:ascii="Book Antiqua" w:hAnsi="Book Antiqua"/>
        </w:rPr>
        <w:t xml:space="preserve"> </w:t>
      </w:r>
      <w:r w:rsidRPr="000C4B7C">
        <w:rPr>
          <w:rFonts w:ascii="Book Antiqua" w:hAnsi="Book Antiqua"/>
        </w:rPr>
        <w:t xml:space="preserve">Frontera OA, Hammers HJ, Carducci MA, McDermott DF, Salman P, Escudier B, Beuselinck B, Amin A, Porta C, George S, Bracarda S, Tykodi SS, Powles T, Rini BI, Tomita Y, McHenry MB, Mekan SF, Motzer RJ. </w:t>
      </w:r>
      <w:proofErr w:type="gramStart"/>
      <w:r w:rsidRPr="000C4B7C">
        <w:rPr>
          <w:rFonts w:ascii="Book Antiqua" w:hAnsi="Book Antiqua"/>
        </w:rPr>
        <w:t xml:space="preserve">Thirty-month follow-up of the phase III CheckMate 214 trial of first-line nivolumab + ipilimumab (N+I) or sunitinib (S) </w:t>
      </w:r>
      <w:r w:rsidRPr="000C4B7C">
        <w:rPr>
          <w:rFonts w:ascii="Book Antiqua" w:hAnsi="Book Antiqua"/>
        </w:rPr>
        <w:lastRenderedPageBreak/>
        <w:t>in patients (pts) with advanced renal cell carcinoma (aRCC).</w:t>
      </w:r>
      <w:proofErr w:type="gramEnd"/>
      <w:r w:rsidRPr="000C4B7C">
        <w:rPr>
          <w:rFonts w:ascii="Book Antiqua" w:hAnsi="Book Antiqua"/>
          <w:i/>
        </w:rPr>
        <w:t xml:space="preserve"> </w:t>
      </w:r>
      <w:r w:rsidR="007A7863" w:rsidRPr="000C4B7C">
        <w:rPr>
          <w:rFonts w:ascii="Book Antiqua" w:hAnsi="Book Antiqua"/>
          <w:i/>
        </w:rPr>
        <w:t>J Clin Oncol</w:t>
      </w:r>
      <w:r w:rsidRPr="000C4B7C">
        <w:rPr>
          <w:rFonts w:ascii="Book Antiqua" w:hAnsi="Book Antiqua"/>
        </w:rPr>
        <w:t xml:space="preserve"> 2019; </w:t>
      </w:r>
      <w:r w:rsidRPr="000C4B7C">
        <w:rPr>
          <w:rFonts w:ascii="Book Antiqua" w:hAnsi="Book Antiqua"/>
          <w:b/>
        </w:rPr>
        <w:t>37(7_suppl)</w:t>
      </w:r>
      <w:r w:rsidRPr="000C4B7C">
        <w:rPr>
          <w:rFonts w:ascii="Book Antiqua" w:hAnsi="Book Antiqua"/>
        </w:rPr>
        <w:t>: 547-547 [DOI: 10.1200/JCO.2019.37.7_suppl.547]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44 </w:t>
      </w:r>
      <w:r w:rsidRPr="000C4B7C">
        <w:rPr>
          <w:rFonts w:ascii="Book Antiqua" w:hAnsi="Book Antiqua"/>
          <w:b/>
        </w:rPr>
        <w:t>Motzer RJ</w:t>
      </w:r>
      <w:r w:rsidRPr="000C4B7C">
        <w:rPr>
          <w:rFonts w:ascii="Book Antiqua" w:hAnsi="Book Antiqua"/>
        </w:rPr>
        <w:t xml:space="preserve">, Tannir NM, McDermott DF, Arén Frontera O, Melichar B, Choueiri TK, Plimack ER, Barthélémy P, Porta C, George S, Powles T, Donskov F, Neiman V, Kollmannsberger CK, Salman P, Gurney H, Hawkins R, Ravaud A, Grimm MO, Bracarda S, Barrios CH, Tomita Y, Castellano D, Rini BI, Chen AC, Mekan S, McHenry MB, Wind-Rotolo M, Doan J, Sharma P, Hammers HJ, Escudier B; CheckMate 214 Investigators. </w:t>
      </w:r>
      <w:proofErr w:type="gramStart"/>
      <w:r w:rsidRPr="000C4B7C">
        <w:rPr>
          <w:rFonts w:ascii="Book Antiqua" w:hAnsi="Book Antiqua"/>
        </w:rPr>
        <w:t>Nivolumab plus Ipilimumab versus Sunitinib in Advanced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2018; </w:t>
      </w:r>
      <w:r w:rsidRPr="000C4B7C">
        <w:rPr>
          <w:rFonts w:ascii="Book Antiqua" w:hAnsi="Book Antiqua"/>
          <w:b/>
        </w:rPr>
        <w:t>378</w:t>
      </w:r>
      <w:r w:rsidRPr="000C4B7C">
        <w:rPr>
          <w:rFonts w:ascii="Book Antiqua" w:hAnsi="Book Antiqua"/>
        </w:rPr>
        <w:t>: 1277-1290 [PMID: 29562145 DOI: 10.1056/NEJMoa1712126]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45 </w:t>
      </w:r>
      <w:r w:rsidRPr="000C4B7C">
        <w:rPr>
          <w:rFonts w:ascii="Book Antiqua" w:hAnsi="Book Antiqua"/>
          <w:b/>
        </w:rPr>
        <w:t>Rini BI</w:t>
      </w:r>
      <w:r w:rsidRPr="000C4B7C">
        <w:rPr>
          <w:rFonts w:ascii="Book Antiqua" w:hAnsi="Book Antiqua"/>
        </w:rPr>
        <w:t xml:space="preserve">, Plimack ER, Stus V, Gafanov R, Hawkins R, Nosov D, Pouliot F, Alekseev B, Soulières D, Melichar B, Vynnychenko I, Kryzhanivska A, Bondarenko I, Azevedo SJ, Borchiellini D, Szczylik C, Markus M, McDermott RS, Bedke J, Tartas S, Chang YH, Tamada S, Shou Q, Perini RF, Chen M, Atkins MB, Powles T; KEYNOTE-426 Investigators. Pembrolizumab plus Axitinib versus Sunitinib for Advanced Renal-Cell Carcinoma. </w:t>
      </w:r>
      <w:r w:rsidRPr="000C4B7C">
        <w:rPr>
          <w:rFonts w:ascii="Book Antiqua" w:hAnsi="Book Antiqua"/>
          <w:i/>
        </w:rPr>
        <w:t>N Engl J Med</w:t>
      </w:r>
      <w:r w:rsidRPr="000C4B7C">
        <w:rPr>
          <w:rFonts w:ascii="Book Antiqua" w:hAnsi="Book Antiqua"/>
        </w:rPr>
        <w:t xml:space="preserve"> 2019; </w:t>
      </w:r>
      <w:r w:rsidRPr="000C4B7C">
        <w:rPr>
          <w:rFonts w:ascii="Book Antiqua" w:hAnsi="Book Antiqua"/>
          <w:b/>
        </w:rPr>
        <w:t>380</w:t>
      </w:r>
      <w:r w:rsidRPr="000C4B7C">
        <w:rPr>
          <w:rFonts w:ascii="Book Antiqua" w:hAnsi="Book Antiqua"/>
        </w:rPr>
        <w:t>: 1116-1127 [PMID: 30779529 DOI: 10.1056/NEJMoa1816714]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46 </w:t>
      </w:r>
      <w:r w:rsidRPr="000C4B7C">
        <w:rPr>
          <w:rFonts w:ascii="Book Antiqua" w:hAnsi="Book Antiqua"/>
          <w:b/>
        </w:rPr>
        <w:t>Motzer RJ</w:t>
      </w:r>
      <w:r w:rsidRPr="000C4B7C">
        <w:rPr>
          <w:rFonts w:ascii="Book Antiqua" w:hAnsi="Book Antiqua"/>
        </w:rPr>
        <w:t xml:space="preserve">, Penkov K, Haanen J, Rini B, Albiges L, Campbell MT, Venugopal B, Kollmannsberger C, Negrier S, Uemura M, Lee JL, Vasiliev A, Miller WH Jr, Gurney H, Schmidinger M, Larkin J, Atkins MB, Bedke J, Alekseev B, Wang J, Mariani M, Robbins PB, Chudnovsky A, Fowst C, Hariharan S, Huang B, di Pietro A, Choueiri TK. Avelumab plus Axitinib versus Sunitinib for Advanced Renal-Cell Carcinoma. </w:t>
      </w:r>
      <w:r w:rsidRPr="000C4B7C">
        <w:rPr>
          <w:rFonts w:ascii="Book Antiqua" w:hAnsi="Book Antiqua"/>
          <w:i/>
        </w:rPr>
        <w:t>N Engl J Med</w:t>
      </w:r>
      <w:r w:rsidRPr="000C4B7C">
        <w:rPr>
          <w:rFonts w:ascii="Book Antiqua" w:hAnsi="Book Antiqua"/>
        </w:rPr>
        <w:t xml:space="preserve"> 2019; </w:t>
      </w:r>
      <w:r w:rsidRPr="000C4B7C">
        <w:rPr>
          <w:rFonts w:ascii="Book Antiqua" w:hAnsi="Book Antiqua"/>
          <w:b/>
        </w:rPr>
        <w:t>380</w:t>
      </w:r>
      <w:r w:rsidRPr="000C4B7C">
        <w:rPr>
          <w:rFonts w:ascii="Book Antiqua" w:hAnsi="Book Antiqua"/>
        </w:rPr>
        <w:t>: 1103-1115 [PMID: 30779531 DOI: 10.1056/NEJMoa1816047]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47 </w:t>
      </w:r>
      <w:r w:rsidRPr="000C4B7C">
        <w:rPr>
          <w:rFonts w:ascii="Book Antiqua" w:hAnsi="Book Antiqua"/>
          <w:b/>
        </w:rPr>
        <w:t>Bentebibel SE</w:t>
      </w:r>
      <w:r w:rsidRPr="000C4B7C">
        <w:rPr>
          <w:rFonts w:ascii="Book Antiqua" w:hAnsi="Book Antiqua"/>
        </w:rPr>
        <w:t xml:space="preserve">, Hurwitz ME, Bernatchez C, Haymaker C, Hudgens CW, Kluger HM, Tetzlaff MT, Tagliaferri MA, Zalevsky J, Hoch U, Fanton C, Aung S, Hwu P, Curti BD, Tannir NM, Sznol M, Diab A. </w:t>
      </w:r>
      <w:proofErr w:type="gramStart"/>
      <w:r w:rsidRPr="000C4B7C">
        <w:rPr>
          <w:rFonts w:ascii="Book Antiqua" w:hAnsi="Book Antiqua"/>
        </w:rPr>
        <w:t>A First-in-Human Study and Biomarker Analysis of NKTR-214, a Novel IL2Rβγ-Biased Cytokine, in Patients with Advanced or Metastatic Solid Tumors.</w:t>
      </w:r>
      <w:proofErr w:type="gramEnd"/>
      <w:r w:rsidRPr="000C4B7C">
        <w:rPr>
          <w:rFonts w:ascii="Book Antiqua" w:hAnsi="Book Antiqua"/>
        </w:rPr>
        <w:t xml:space="preserve"> </w:t>
      </w:r>
      <w:r w:rsidRPr="000C4B7C">
        <w:rPr>
          <w:rFonts w:ascii="Book Antiqua" w:hAnsi="Book Antiqua"/>
          <w:i/>
        </w:rPr>
        <w:t>Cancer Discov</w:t>
      </w:r>
      <w:r w:rsidRPr="000C4B7C">
        <w:rPr>
          <w:rFonts w:ascii="Book Antiqua" w:hAnsi="Book Antiqua"/>
        </w:rPr>
        <w:t xml:space="preserve"> 2019; </w:t>
      </w:r>
      <w:r w:rsidRPr="000C4B7C">
        <w:rPr>
          <w:rFonts w:ascii="Book Antiqua" w:hAnsi="Book Antiqua"/>
          <w:b/>
        </w:rPr>
        <w:t>9</w:t>
      </w:r>
      <w:r w:rsidRPr="000C4B7C">
        <w:rPr>
          <w:rFonts w:ascii="Book Antiqua" w:hAnsi="Book Antiqua"/>
        </w:rPr>
        <w:t>: 711-721 [PMID: 30988166 DOI: 10.1158/2159-8290.CD-18-1495]</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lastRenderedPageBreak/>
        <w:t xml:space="preserve">48 </w:t>
      </w:r>
      <w:r w:rsidR="00234AAD" w:rsidRPr="000C4B7C">
        <w:rPr>
          <w:rFonts w:ascii="Book Antiqua" w:hAnsi="Book Antiqua"/>
          <w:b/>
        </w:rPr>
        <w:t>Aggarwal</w:t>
      </w:r>
      <w:r w:rsidR="00234AAD" w:rsidRPr="000C4B7C">
        <w:rPr>
          <w:rFonts w:ascii="Book Antiqua" w:hAnsi="Book Antiqua"/>
          <w:b/>
          <w:lang w:eastAsia="zh-CN"/>
        </w:rPr>
        <w:t xml:space="preserve"> </w:t>
      </w:r>
      <w:r w:rsidRPr="000C4B7C">
        <w:rPr>
          <w:rFonts w:ascii="Book Antiqua" w:hAnsi="Book Antiqua"/>
          <w:b/>
        </w:rPr>
        <w:t>RR,</w:t>
      </w:r>
      <w:r w:rsidR="00234AAD" w:rsidRPr="000C4B7C">
        <w:rPr>
          <w:rFonts w:ascii="Book Antiqua" w:hAnsi="Book Antiqua"/>
          <w:lang w:eastAsia="zh-CN"/>
        </w:rPr>
        <w:t xml:space="preserve"> </w:t>
      </w:r>
      <w:r w:rsidRPr="000C4B7C">
        <w:rPr>
          <w:rFonts w:ascii="Book Antiqua" w:hAnsi="Book Antiqua"/>
        </w:rPr>
        <w:t>Thomas S, Hauke RJ, Nordquist LT, Munster PN.</w:t>
      </w:r>
      <w:proofErr w:type="gramEnd"/>
      <w:r w:rsidRPr="000C4B7C">
        <w:rPr>
          <w:rFonts w:ascii="Book Antiqua" w:hAnsi="Book Antiqua"/>
        </w:rPr>
        <w:t xml:space="preserve"> RENAVIV: A randomized phase III, double-blind, placebo-controlled study of pazopanib with or without abexinostat in patients with locally advanced or m</w:t>
      </w:r>
      <w:r w:rsidR="00234AAD" w:rsidRPr="000C4B7C">
        <w:rPr>
          <w:rFonts w:ascii="Book Antiqua" w:hAnsi="Book Antiqua"/>
        </w:rPr>
        <w:t>etastatic renal cell carcinoma.</w:t>
      </w:r>
      <w:r w:rsidR="00234AAD" w:rsidRPr="000C4B7C">
        <w:rPr>
          <w:rFonts w:ascii="Book Antiqua" w:hAnsi="Book Antiqua"/>
          <w:lang w:eastAsia="zh-CN"/>
        </w:rPr>
        <w:t xml:space="preserve"> </w:t>
      </w:r>
      <w:r w:rsidR="00234AAD" w:rsidRPr="000C4B7C">
        <w:rPr>
          <w:rFonts w:ascii="Book Antiqua" w:hAnsi="Book Antiqua"/>
          <w:i/>
        </w:rPr>
        <w:t>J Clin Oncol</w:t>
      </w:r>
      <w:r w:rsidRPr="000C4B7C">
        <w:rPr>
          <w:rFonts w:ascii="Book Antiqua" w:hAnsi="Book Antiqua"/>
        </w:rPr>
        <w:t xml:space="preserve"> 2019; </w:t>
      </w:r>
      <w:r w:rsidRPr="000C4B7C">
        <w:rPr>
          <w:rFonts w:ascii="Book Antiqua" w:hAnsi="Book Antiqua"/>
          <w:b/>
        </w:rPr>
        <w:t>37(7_suppl)</w:t>
      </w:r>
      <w:r w:rsidR="00234AAD" w:rsidRPr="000C4B7C">
        <w:rPr>
          <w:rFonts w:ascii="Book Antiqua" w:hAnsi="Book Antiqua"/>
        </w:rPr>
        <w:t>:</w:t>
      </w:r>
      <w:r w:rsidR="00234AAD" w:rsidRPr="000C4B7C">
        <w:rPr>
          <w:rFonts w:ascii="Book Antiqua" w:hAnsi="Book Antiqua"/>
          <w:lang w:eastAsia="zh-CN"/>
        </w:rPr>
        <w:t xml:space="preserve"> </w:t>
      </w:r>
      <w:r w:rsidRPr="000C4B7C">
        <w:rPr>
          <w:rFonts w:ascii="Book Antiqua" w:hAnsi="Book Antiqua"/>
        </w:rPr>
        <w:t>TPS681-TPS681 [DOI: 10.1200/JCO.2019.37.7_suppl.TPS681]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49 </w:t>
      </w:r>
      <w:r w:rsidRPr="000C4B7C">
        <w:rPr>
          <w:rFonts w:ascii="Book Antiqua" w:hAnsi="Book Antiqua"/>
          <w:b/>
        </w:rPr>
        <w:t>Dudek AZ</w:t>
      </w:r>
      <w:r w:rsidRPr="000C4B7C">
        <w:rPr>
          <w:rFonts w:ascii="Book Antiqua" w:hAnsi="Book Antiqua"/>
        </w:rPr>
        <w:t xml:space="preserve">, Liu LC, Gupta S, Logan TF, Singer EA, Joshi M, Zakharia YN, Lang JM, Schwarz JK, Al-Janadi A, Alva AS. Phase Ib/II Clinical Trial of Pembrolizumab </w:t>
      </w:r>
      <w:proofErr w:type="gramStart"/>
      <w:r w:rsidRPr="000C4B7C">
        <w:rPr>
          <w:rFonts w:ascii="Book Antiqua" w:hAnsi="Book Antiqua"/>
        </w:rPr>
        <w:t>With</w:t>
      </w:r>
      <w:proofErr w:type="gramEnd"/>
      <w:r w:rsidRPr="000C4B7C">
        <w:rPr>
          <w:rFonts w:ascii="Book Antiqua" w:hAnsi="Book Antiqua"/>
        </w:rPr>
        <w:t xml:space="preserve"> Bevacizumab for Metastatic Renal Cell Carcinoma: BTCRC-GU14-003. </w:t>
      </w:r>
      <w:r w:rsidRPr="000C4B7C">
        <w:rPr>
          <w:rFonts w:ascii="Book Antiqua" w:hAnsi="Book Antiqua"/>
          <w:i/>
        </w:rPr>
        <w:t>J Clin Oncol</w:t>
      </w:r>
      <w:r w:rsidRPr="000C4B7C">
        <w:rPr>
          <w:rFonts w:ascii="Book Antiqua" w:hAnsi="Book Antiqua"/>
        </w:rPr>
        <w:t xml:space="preserve"> 2020; </w:t>
      </w:r>
      <w:r w:rsidRPr="000C4B7C">
        <w:rPr>
          <w:rFonts w:ascii="Book Antiqua" w:hAnsi="Book Antiqua"/>
          <w:b/>
        </w:rPr>
        <w:t>38</w:t>
      </w:r>
      <w:r w:rsidRPr="000C4B7C">
        <w:rPr>
          <w:rFonts w:ascii="Book Antiqua" w:hAnsi="Book Antiqua"/>
        </w:rPr>
        <w:t>: 1138-1145 [PMID: 32097091 DOI: 10.1200/JCO.19.02394]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50 </w:t>
      </w:r>
      <w:r w:rsidRPr="000C4B7C">
        <w:rPr>
          <w:rFonts w:ascii="Book Antiqua" w:hAnsi="Book Antiqua"/>
          <w:b/>
        </w:rPr>
        <w:t>Motzer RJ,</w:t>
      </w:r>
      <w:r w:rsidR="00234AAD" w:rsidRPr="000C4B7C">
        <w:rPr>
          <w:rFonts w:ascii="Book Antiqua" w:hAnsi="Book Antiqua"/>
        </w:rPr>
        <w:t xml:space="preserve"> </w:t>
      </w:r>
      <w:r w:rsidRPr="000C4B7C">
        <w:rPr>
          <w:rFonts w:ascii="Book Antiqua" w:hAnsi="Book Antiqua"/>
        </w:rPr>
        <w:t xml:space="preserve">Powles T, Atkins MB, Escudier B, McDermott DF, Suarez C, Bracarda S, Stadler WM, Donskov F, Lee J-L, Hawkins RE, Ravaud A, Alekseev BY, Staehler MD, Uemura M, Donaldson F, Li S, Huseni MA, Schiff C, Rini BI. IMmotion151: A Randomized Phase III Study of Atezolizumab </w:t>
      </w:r>
      <w:proofErr w:type="gramStart"/>
      <w:r w:rsidRPr="000C4B7C">
        <w:rPr>
          <w:rFonts w:ascii="Book Antiqua" w:hAnsi="Book Antiqua"/>
        </w:rPr>
        <w:t>Plus</w:t>
      </w:r>
      <w:proofErr w:type="gramEnd"/>
      <w:r w:rsidRPr="000C4B7C">
        <w:rPr>
          <w:rFonts w:ascii="Book Antiqua" w:hAnsi="Book Antiqua"/>
        </w:rPr>
        <w:t xml:space="preserve"> Bevacizumab vs Sunitinib in Untreated Metastatic Renal Cell Carcinoma (mRCC). </w:t>
      </w:r>
      <w:r w:rsidR="00234AAD" w:rsidRPr="000C4B7C">
        <w:rPr>
          <w:rFonts w:ascii="Book Antiqua" w:hAnsi="Book Antiqua"/>
          <w:i/>
        </w:rPr>
        <w:t>J Clin Oncol</w:t>
      </w:r>
      <w:r w:rsidRPr="000C4B7C">
        <w:rPr>
          <w:rFonts w:ascii="Book Antiqua" w:hAnsi="Book Antiqua"/>
        </w:rPr>
        <w:t xml:space="preserve"> 2018; </w:t>
      </w:r>
      <w:r w:rsidRPr="000C4B7C">
        <w:rPr>
          <w:rFonts w:ascii="Book Antiqua" w:hAnsi="Book Antiqua"/>
          <w:b/>
        </w:rPr>
        <w:t>36(6_suppl)</w:t>
      </w:r>
      <w:r w:rsidRPr="000C4B7C">
        <w:rPr>
          <w:rFonts w:ascii="Book Antiqua" w:hAnsi="Book Antiqua"/>
        </w:rPr>
        <w:t>: 578-578 [DOI: 10.1200/JCO.2018.36.6_suppl.578]</w:t>
      </w:r>
    </w:p>
    <w:p w:rsidR="00656D23" w:rsidRPr="000C4B7C" w:rsidRDefault="00656D23" w:rsidP="000C4B7C">
      <w:pPr>
        <w:adjustRightInd w:val="0"/>
        <w:snapToGrid w:val="0"/>
        <w:spacing w:line="360" w:lineRule="auto"/>
        <w:jc w:val="both"/>
        <w:rPr>
          <w:rFonts w:ascii="Book Antiqua" w:hAnsi="Book Antiqua"/>
        </w:rPr>
      </w:pPr>
      <w:proofErr w:type="gramStart"/>
      <w:r w:rsidRPr="00391971">
        <w:rPr>
          <w:rFonts w:ascii="Book Antiqua" w:hAnsi="Book Antiqua"/>
        </w:rPr>
        <w:t xml:space="preserve">51 </w:t>
      </w:r>
      <w:r w:rsidR="00B65271" w:rsidRPr="00391971">
        <w:rPr>
          <w:rFonts w:ascii="Book Antiqua" w:hAnsi="Book Antiqua"/>
          <w:b/>
        </w:rPr>
        <w:t>National Comprehensive Cancer Network</w:t>
      </w:r>
      <w:r w:rsidRPr="00391971">
        <w:rPr>
          <w:rFonts w:ascii="Book Antiqua" w:hAnsi="Book Antiqua"/>
          <w:b/>
        </w:rPr>
        <w:t>.</w:t>
      </w:r>
      <w:proofErr w:type="gramEnd"/>
      <w:r w:rsidRPr="00391971">
        <w:rPr>
          <w:rFonts w:ascii="Book Antiqua" w:hAnsi="Book Antiqua"/>
          <w:b/>
        </w:rPr>
        <w:t xml:space="preserve"> </w:t>
      </w:r>
      <w:proofErr w:type="gramStart"/>
      <w:r w:rsidRPr="00391971">
        <w:rPr>
          <w:rFonts w:ascii="Book Antiqua" w:hAnsi="Book Antiqua"/>
        </w:rPr>
        <w:t>NCCN clinical practice guidelines in oncology,</w:t>
      </w:r>
      <w:r w:rsidR="00416774" w:rsidRPr="00391971">
        <w:rPr>
          <w:rFonts w:ascii="Book Antiqua" w:hAnsi="Book Antiqua"/>
          <w:lang w:eastAsia="zh-CN"/>
        </w:rPr>
        <w:t xml:space="preserve"> </w:t>
      </w:r>
      <w:r w:rsidR="00B65271" w:rsidRPr="00391971">
        <w:rPr>
          <w:rFonts w:ascii="Book Antiqua" w:hAnsi="Book Antiqua"/>
        </w:rPr>
        <w:t>kidney cancer</w:t>
      </w:r>
      <w:r w:rsidRPr="00391971">
        <w:rPr>
          <w:rFonts w:ascii="Book Antiqua" w:hAnsi="Book Antiqua"/>
        </w:rPr>
        <w:t>.</w:t>
      </w:r>
      <w:proofErr w:type="gramEnd"/>
      <w:r w:rsidRPr="00391971">
        <w:rPr>
          <w:rFonts w:ascii="Book Antiqua" w:hAnsi="Book Antiqua"/>
        </w:rPr>
        <w:t xml:space="preserve"> Version 1.2020 ed</w:t>
      </w:r>
      <w:r w:rsidR="00B65271" w:rsidRPr="00391971">
        <w:rPr>
          <w:rFonts w:ascii="Book Antiqua" w:hAnsi="Book Antiqua"/>
          <w:lang w:eastAsia="zh-CN"/>
        </w:rPr>
        <w:t>.</w:t>
      </w:r>
      <w:r w:rsidR="00B65271" w:rsidRPr="00391971">
        <w:rPr>
          <w:rFonts w:ascii="Book Antiqua" w:eastAsia="Times New Roman" w:hAnsi="Book Antiqua"/>
          <w:bCs/>
          <w:color w:val="000000" w:themeColor="text1"/>
        </w:rPr>
        <w:t xml:space="preserve"> Available from:</w:t>
      </w:r>
      <w:r w:rsidR="005D0E8F" w:rsidRPr="00391971">
        <w:rPr>
          <w:rFonts w:ascii="Book Antiqua" w:hAnsi="Book Antiqua"/>
        </w:rPr>
        <w:t xml:space="preserve"> </w:t>
      </w:r>
      <w:r w:rsidR="00FA19DB" w:rsidRPr="00391971">
        <w:rPr>
          <w:rFonts w:ascii="Book Antiqua" w:hAnsi="Book Antiqua"/>
        </w:rPr>
        <w:t>https://www.nccn.org/professionals/physician_gls/default.aspx</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52 </w:t>
      </w:r>
      <w:r w:rsidRPr="000C4B7C">
        <w:rPr>
          <w:rFonts w:ascii="Book Antiqua" w:hAnsi="Book Antiqua"/>
          <w:b/>
        </w:rPr>
        <w:t>Heng DY</w:t>
      </w:r>
      <w:r w:rsidRPr="000C4B7C">
        <w:rPr>
          <w:rFonts w:ascii="Book Antiqua" w:hAnsi="Book Antiqua"/>
        </w:rPr>
        <w:t xml:space="preserve">, Xie W, Regan MM, Harshman LC, Bjarnason GA, Vaishampayan UN, Mackenzie M, Wood L, Donskov F, Tan MH, Rha SY, Agarwal N, Kollmannsberger C, Rini BI, Choueiri TK. External validation and comparison with other models of the International Metastatic Renal-Cell Carcinoma Database Consortium prognostic model: a population-based study.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141-148 [PMID: 23312463 DOI: 10.1016/S1470-2045(12)70559-4]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53 </w:t>
      </w:r>
      <w:r w:rsidRPr="000C4B7C">
        <w:rPr>
          <w:rFonts w:ascii="Book Antiqua" w:hAnsi="Book Antiqua"/>
          <w:b/>
        </w:rPr>
        <w:t>Motzer RJ</w:t>
      </w:r>
      <w:r w:rsidRPr="000C4B7C">
        <w:rPr>
          <w:rFonts w:ascii="Book Antiqua" w:hAnsi="Book Antiqua"/>
        </w:rPr>
        <w:t xml:space="preserve">, Hutson TE, Cella D, Reeves J, Hawkins R, Guo J, Nathan P, Staehler M, de Souza P, Merchan JR, Boleti E, Fife K, Jin J, Jones R, Uemura H, De Giorgi U, Harmenberg U, Wang J, Sternberg CN, Deen K, McCann L, Hackshaw MD, Crescenzo R, Pandite LN, Choueiri TK. Pazopanib versus sunitinib in metastatic renal-cell </w:t>
      </w:r>
      <w:r w:rsidRPr="000C4B7C">
        <w:rPr>
          <w:rFonts w:ascii="Book Antiqua" w:hAnsi="Book Antiqua"/>
        </w:rPr>
        <w:lastRenderedPageBreak/>
        <w:t xml:space="preserve">carcinoma. </w:t>
      </w:r>
      <w:r w:rsidRPr="000C4B7C">
        <w:rPr>
          <w:rFonts w:ascii="Book Antiqua" w:hAnsi="Book Antiqua"/>
          <w:i/>
        </w:rPr>
        <w:t>N Engl J Med</w:t>
      </w:r>
      <w:r w:rsidRPr="000C4B7C">
        <w:rPr>
          <w:rFonts w:ascii="Book Antiqua" w:hAnsi="Book Antiqua"/>
        </w:rPr>
        <w:t xml:space="preserve"> 2013; </w:t>
      </w:r>
      <w:r w:rsidRPr="000C4B7C">
        <w:rPr>
          <w:rFonts w:ascii="Book Antiqua" w:hAnsi="Book Antiqua"/>
          <w:b/>
        </w:rPr>
        <w:t>369</w:t>
      </w:r>
      <w:r w:rsidRPr="000C4B7C">
        <w:rPr>
          <w:rFonts w:ascii="Book Antiqua" w:hAnsi="Book Antiqua"/>
        </w:rPr>
        <w:t>: 722-731 [PMID: 23964934 DOI: 10.1056/NEJMoa1303989]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54 </w:t>
      </w:r>
      <w:r w:rsidRPr="000C4B7C">
        <w:rPr>
          <w:rFonts w:ascii="Book Antiqua" w:hAnsi="Book Antiqua"/>
          <w:b/>
        </w:rPr>
        <w:t>Motzer RJ</w:t>
      </w:r>
      <w:r w:rsidRPr="000C4B7C">
        <w:rPr>
          <w:rFonts w:ascii="Book Antiqua" w:hAnsi="Book Antiqua"/>
        </w:rPr>
        <w:t xml:space="preserve">, Hutson TE, McCann L, Deen K, Choueiri TK. Overall survival in renal-cell carcinoma with pazopanib versus sunitinib. </w:t>
      </w:r>
      <w:r w:rsidRPr="000C4B7C">
        <w:rPr>
          <w:rFonts w:ascii="Book Antiqua" w:hAnsi="Book Antiqua"/>
          <w:i/>
        </w:rPr>
        <w:t>N Engl J Med</w:t>
      </w:r>
      <w:r w:rsidRPr="000C4B7C">
        <w:rPr>
          <w:rFonts w:ascii="Book Antiqua" w:hAnsi="Book Antiqua"/>
        </w:rPr>
        <w:t xml:space="preserve"> 2014; </w:t>
      </w:r>
      <w:r w:rsidRPr="000C4B7C">
        <w:rPr>
          <w:rFonts w:ascii="Book Antiqua" w:hAnsi="Book Antiqua"/>
          <w:b/>
        </w:rPr>
        <w:t>370</w:t>
      </w:r>
      <w:r w:rsidRPr="000C4B7C">
        <w:rPr>
          <w:rFonts w:ascii="Book Antiqua" w:hAnsi="Book Antiqua"/>
        </w:rPr>
        <w:t>: 1769-1770 [PMID: 24785224 DOI: 10.1056/NEJMc1400731]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55 </w:t>
      </w:r>
      <w:r w:rsidRPr="000C4B7C">
        <w:rPr>
          <w:rFonts w:ascii="Book Antiqua" w:hAnsi="Book Antiqua"/>
          <w:b/>
        </w:rPr>
        <w:t>Escudier B</w:t>
      </w:r>
      <w:r w:rsidRPr="000C4B7C">
        <w:rPr>
          <w:rFonts w:ascii="Book Antiqua" w:hAnsi="Book Antiqua"/>
        </w:rPr>
        <w:t xml:space="preserve">, Porta C, Bono P, Powles T, Eisen T, Sternberg CN, Gschwend JE, De Giorgi U, Parikh O, Hawkins R, Sevin E, Négrier S, Khan S, Diaz J, Redhu S, Mehmud F, Cella D. Randomized, controlled, double-blind, cross-over trial assessing treatment preference for pazopanib versus sunitinib in patients with metastatic renal cell carcinoma: PISCES Study.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1412-1418 [PMID: 24687826 DOI: 10.1200/JCO.2013.50.8267]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56 </w:t>
      </w:r>
      <w:r w:rsidRPr="000C4B7C">
        <w:rPr>
          <w:rFonts w:ascii="Book Antiqua" w:hAnsi="Book Antiqua"/>
          <w:b/>
        </w:rPr>
        <w:t>Guo J</w:t>
      </w:r>
      <w:r w:rsidRPr="000C4B7C">
        <w:rPr>
          <w:rFonts w:ascii="Book Antiqua" w:hAnsi="Book Antiqua"/>
        </w:rPr>
        <w:t xml:space="preserve">, Jin J, Oya M, Uemura H, Takahashi S, Tatsugami K, Rha SY, Lee JL, Chung J, Lim HY, Wu HC, Chang YH, Azad A, Davis ID, Carrasco-Alfonso MJ, Nanua B, Han J, Ahmad Q, Motzer R. Safety of pazopanib and sunitinib in treatment-naive patients with metastatic renal cell carcinoma: Asian versus non-Asian subgroup analysis of the COMPARZ trial. </w:t>
      </w:r>
      <w:r w:rsidRPr="000C4B7C">
        <w:rPr>
          <w:rFonts w:ascii="Book Antiqua" w:hAnsi="Book Antiqua"/>
          <w:i/>
        </w:rPr>
        <w:t>J Hematol Oncol</w:t>
      </w:r>
      <w:r w:rsidRPr="000C4B7C">
        <w:rPr>
          <w:rFonts w:ascii="Book Antiqua" w:hAnsi="Book Antiqua"/>
        </w:rPr>
        <w:t xml:space="preserve"> 2018; </w:t>
      </w:r>
      <w:r w:rsidRPr="000C4B7C">
        <w:rPr>
          <w:rFonts w:ascii="Book Antiqua" w:hAnsi="Book Antiqua"/>
          <w:b/>
        </w:rPr>
        <w:t>11</w:t>
      </w:r>
      <w:r w:rsidRPr="000C4B7C">
        <w:rPr>
          <w:rFonts w:ascii="Book Antiqua" w:hAnsi="Book Antiqua"/>
        </w:rPr>
        <w:t>: 69 [PMID: 29788981 DOI: 10.1186/s13045-018-0617-1]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57 </w:t>
      </w:r>
      <w:r w:rsidRPr="000C4B7C">
        <w:rPr>
          <w:rFonts w:ascii="Book Antiqua" w:hAnsi="Book Antiqua"/>
          <w:b/>
        </w:rPr>
        <w:t>Rini BI</w:t>
      </w:r>
      <w:r w:rsidRPr="000C4B7C">
        <w:rPr>
          <w:rFonts w:ascii="Book Antiqua" w:hAnsi="Book Antiqua"/>
        </w:rPr>
        <w:t xml:space="preserve">, Escudier B, Tomczak P, Kaprin A, Szczylik C, Hutson TE, Michaelson MD, Gorbunova VA, Gore ME, Rusakov IG, Negrier S, Ou YC, Castellano D, Lim HY, Uemura H, Tarazi J, Cella D, Chen C, Rosbrook B, Kim S, Motzer RJ. Comparative effectiveness of axitinib versus sorafenib in advanced renal cell carcinoma (AXIS): a randomised phase 3 trial. </w:t>
      </w:r>
      <w:r w:rsidRPr="000C4B7C">
        <w:rPr>
          <w:rFonts w:ascii="Book Antiqua" w:hAnsi="Book Antiqua"/>
          <w:i/>
        </w:rPr>
        <w:t>Lancet</w:t>
      </w:r>
      <w:r w:rsidRPr="000C4B7C">
        <w:rPr>
          <w:rFonts w:ascii="Book Antiqua" w:hAnsi="Book Antiqua"/>
        </w:rPr>
        <w:t xml:space="preserve"> 2011; </w:t>
      </w:r>
      <w:r w:rsidRPr="000C4B7C">
        <w:rPr>
          <w:rFonts w:ascii="Book Antiqua" w:hAnsi="Book Antiqua"/>
          <w:b/>
        </w:rPr>
        <w:t>378</w:t>
      </w:r>
      <w:r w:rsidRPr="000C4B7C">
        <w:rPr>
          <w:rFonts w:ascii="Book Antiqua" w:hAnsi="Book Antiqua"/>
        </w:rPr>
        <w:t>: 1931-1939 [PMID: 22056247 DOI: 10.1016/S0140-6736(11)61613-9]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58 </w:t>
      </w:r>
      <w:r w:rsidRPr="000C4B7C">
        <w:rPr>
          <w:rFonts w:ascii="Book Antiqua" w:hAnsi="Book Antiqua"/>
          <w:b/>
        </w:rPr>
        <w:t>Amin A,</w:t>
      </w:r>
      <w:r w:rsidR="00755988" w:rsidRPr="000C4B7C">
        <w:rPr>
          <w:rFonts w:ascii="Book Antiqua" w:hAnsi="Book Antiqua"/>
        </w:rPr>
        <w:t xml:space="preserve"> </w:t>
      </w:r>
      <w:r w:rsidRPr="000C4B7C">
        <w:rPr>
          <w:rFonts w:ascii="Book Antiqua" w:hAnsi="Book Antiqua"/>
        </w:rPr>
        <w:t xml:space="preserve">Plimack ER, Infante JR, Ernstoff MS, Rini BI, McDermott DF, Knox JJ, Pal SK, Voss MH, Sharma P, Kollmannsberger CK, Heng DYC, Spratlin JL, Shen Y, Kurland JF, Gagnier P, Hammers HJ. </w:t>
      </w:r>
      <w:proofErr w:type="gramStart"/>
      <w:r w:rsidRPr="000C4B7C">
        <w:rPr>
          <w:rFonts w:ascii="Book Antiqua" w:hAnsi="Book Antiqua"/>
        </w:rPr>
        <w:t>Nivolumab (anti-PD-1; BMS-936558, ONO-4538) in combination with sunitinib or pazopanib in patients (pts) with metastatic renal cell carcinoma (mRCC).</w:t>
      </w:r>
      <w:proofErr w:type="gramEnd"/>
      <w:r w:rsidRPr="000C4B7C">
        <w:rPr>
          <w:rFonts w:ascii="Book Antiqua" w:hAnsi="Book Antiqua"/>
        </w:rPr>
        <w:t xml:space="preserve"> </w:t>
      </w:r>
      <w:r w:rsidR="00C73B17" w:rsidRPr="000C4B7C">
        <w:rPr>
          <w:rFonts w:ascii="Book Antiqua" w:hAnsi="Book Antiqua"/>
          <w:i/>
        </w:rPr>
        <w:t>J Clin Oncol</w:t>
      </w:r>
      <w:r w:rsidR="00C73B17" w:rsidRPr="000C4B7C">
        <w:rPr>
          <w:rFonts w:ascii="Book Antiqua" w:hAnsi="Book Antiqua"/>
        </w:rPr>
        <w:t xml:space="preserve"> </w:t>
      </w:r>
      <w:r w:rsidRPr="000C4B7C">
        <w:rPr>
          <w:rFonts w:ascii="Book Antiqua" w:hAnsi="Book Antiqua"/>
        </w:rPr>
        <w:t xml:space="preserve">2014; </w:t>
      </w:r>
      <w:r w:rsidRPr="000C4B7C">
        <w:rPr>
          <w:rFonts w:ascii="Book Antiqua" w:hAnsi="Book Antiqua"/>
          <w:b/>
        </w:rPr>
        <w:t>32(15_suppl)</w:t>
      </w:r>
      <w:r w:rsidRPr="000C4B7C">
        <w:rPr>
          <w:rFonts w:ascii="Book Antiqua" w:hAnsi="Book Antiqua"/>
        </w:rPr>
        <w:t>: 5010-5010 [DOI: 10.1200/jco.2014.32.15_suppl.5010]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59 </w:t>
      </w:r>
      <w:r w:rsidRPr="000C4B7C">
        <w:rPr>
          <w:rFonts w:ascii="Book Antiqua" w:hAnsi="Book Antiqua"/>
          <w:b/>
        </w:rPr>
        <w:t>Rini BI</w:t>
      </w:r>
      <w:r w:rsidRPr="000C4B7C">
        <w:rPr>
          <w:rFonts w:ascii="Book Antiqua" w:hAnsi="Book Antiqua"/>
        </w:rPr>
        <w:t xml:space="preserve">, Dorff TB, Elson P, Rodriguez CS, Shepard D, Wood L, Humbert J, Pyle L, Wong YN, Finke JH, Rayman PA, Larkin JM, Garcia JA, Plimack ER. Active surveillance in metastatic renal-cell carcinoma: a prospective, phase 2 trial.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1317-1324 [PMID: 27498080 DOI: 10.1016/S1470-2045(16)30196-6]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60 </w:t>
      </w:r>
      <w:r w:rsidRPr="000C4B7C">
        <w:rPr>
          <w:rFonts w:ascii="Book Antiqua" w:hAnsi="Book Antiqua"/>
          <w:b/>
        </w:rPr>
        <w:t>Motzer RJ</w:t>
      </w:r>
      <w:r w:rsidRPr="000C4B7C">
        <w:rPr>
          <w:rFonts w:ascii="Book Antiqua" w:hAnsi="Book Antiqua"/>
        </w:rPr>
        <w:t xml:space="preserve">, Rini BI, McDermott DF, Arén Frontera O, Hammers HJ, Carducci MA, Salman P, Escudier B, Beuselinck B, Amin A, Porta C, George S, Neiman V, Bracarda S, Tykodi SS, Barthélémy P, Leibowitz-Amit R, Plimack ER, Oosting SF, Redman B, Melichar B, Powles T, Nathan P, Oudard S, Pook D, Choueiri TK, Donskov F, Grimm MO, Gurney H, Heng DYC, Kollmannsberger CK, Harrison MR, Tomita Y, Duran I, Grünwald V, McHenry MB, Mekan S, Tannir NM; CheckMate 214 investigators. Nivolumab plus ipilimumab versus sunitinib in first-line treatment for advanced renal cell carcinoma: extended follow-up of efficacy and safety results from a randomised, controlled, phase 3 trial. </w:t>
      </w:r>
      <w:r w:rsidRPr="000C4B7C">
        <w:rPr>
          <w:rFonts w:ascii="Book Antiqua" w:hAnsi="Book Antiqua"/>
          <w:i/>
        </w:rPr>
        <w:t>Lancet Oncol</w:t>
      </w:r>
      <w:r w:rsidRPr="000C4B7C">
        <w:rPr>
          <w:rFonts w:ascii="Book Antiqua" w:hAnsi="Book Antiqua"/>
        </w:rPr>
        <w:t xml:space="preserve"> 2019; </w:t>
      </w:r>
      <w:r w:rsidRPr="000C4B7C">
        <w:rPr>
          <w:rFonts w:ascii="Book Antiqua" w:hAnsi="Book Antiqua"/>
          <w:b/>
        </w:rPr>
        <w:t>20</w:t>
      </w:r>
      <w:r w:rsidRPr="000C4B7C">
        <w:rPr>
          <w:rFonts w:ascii="Book Antiqua" w:hAnsi="Book Antiqua"/>
        </w:rPr>
        <w:t>: 1370-1385 [PMID: 31427204 DOI: 10.1016/S1470-2045(19)30413-9]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61 </w:t>
      </w:r>
      <w:r w:rsidRPr="000C4B7C">
        <w:rPr>
          <w:rFonts w:ascii="Book Antiqua" w:hAnsi="Book Antiqua"/>
          <w:b/>
        </w:rPr>
        <w:t>Escudier B</w:t>
      </w:r>
      <w:r w:rsidRPr="000C4B7C">
        <w:rPr>
          <w:rFonts w:ascii="Book Antiqua" w:hAnsi="Book Antiqua"/>
        </w:rPr>
        <w:t xml:space="preserve">, Powles T, Motzer RJ, Olencki T, Arén Frontera O, Oudard S, Rolland F, Tomczak P, Castellano D, Appleman LJ, Drabkin H, Vaena D, Milwee S, Youkstetter J, Lougheed JC, Bracarda S, Choueiri TK. Cabozantinib, a New Standard of Care for Patients With Advanced Renal Cell Carcinoma and Bone Metastases? </w:t>
      </w:r>
      <w:proofErr w:type="gramStart"/>
      <w:r w:rsidRPr="000C4B7C">
        <w:rPr>
          <w:rFonts w:ascii="Book Antiqua" w:hAnsi="Book Antiqua"/>
        </w:rPr>
        <w:t>Subgroup Analysis of the METEOR Trial.</w:t>
      </w:r>
      <w:proofErr w:type="gramEnd"/>
      <w:r w:rsidRPr="000C4B7C">
        <w:rPr>
          <w:rFonts w:ascii="Book Antiqua" w:hAnsi="Book Antiqua"/>
        </w:rPr>
        <w:t xml:space="preserve"> </w:t>
      </w:r>
      <w:r w:rsidRPr="000C4B7C">
        <w:rPr>
          <w:rFonts w:ascii="Book Antiqua" w:hAnsi="Book Antiqua"/>
          <w:i/>
        </w:rPr>
        <w:t>J Clin Oncol</w:t>
      </w:r>
      <w:r w:rsidRPr="000C4B7C">
        <w:rPr>
          <w:rFonts w:ascii="Book Antiqua" w:hAnsi="Book Antiqua"/>
        </w:rPr>
        <w:t xml:space="preserve"> 2018; </w:t>
      </w:r>
      <w:r w:rsidRPr="000C4B7C">
        <w:rPr>
          <w:rFonts w:ascii="Book Antiqua" w:hAnsi="Book Antiqua"/>
          <w:b/>
        </w:rPr>
        <w:t>36</w:t>
      </w:r>
      <w:r w:rsidRPr="000C4B7C">
        <w:rPr>
          <w:rFonts w:ascii="Book Antiqua" w:hAnsi="Book Antiqua"/>
        </w:rPr>
        <w:t>: 765-772 [PMID: 29309249 DOI: 10.1200/JCO.2017.74.7352]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62 </w:t>
      </w:r>
      <w:r w:rsidRPr="000C4B7C">
        <w:rPr>
          <w:rFonts w:ascii="Book Antiqua" w:hAnsi="Book Antiqua"/>
          <w:b/>
        </w:rPr>
        <w:t>Choueiri TK</w:t>
      </w:r>
      <w:r w:rsidRPr="000C4B7C">
        <w:rPr>
          <w:rFonts w:ascii="Book Antiqua" w:hAnsi="Book Antiqua"/>
        </w:rPr>
        <w:t xml:space="preserve">, Halabi S, Sanford BL, Hahn O, Michaelson MD, Walsh MK, Feldman DR, Olencki T, Picus J, Small EJ, Dakhil S, George DJ, Morris MJ. Cabozantinib </w:t>
      </w:r>
      <w:proofErr w:type="gramStart"/>
      <w:r w:rsidRPr="000C4B7C">
        <w:rPr>
          <w:rFonts w:ascii="Book Antiqua" w:hAnsi="Book Antiqua"/>
        </w:rPr>
        <w:t>Versus</w:t>
      </w:r>
      <w:proofErr w:type="gramEnd"/>
      <w:r w:rsidRPr="000C4B7C">
        <w:rPr>
          <w:rFonts w:ascii="Book Antiqua" w:hAnsi="Book Antiqua"/>
        </w:rPr>
        <w:t xml:space="preserve"> Sunitinib As Initial Targeted Therapy for Patients With Metastatic Renal Cell Carcinoma of Poor or Intermediate Risk: The Alliance A031203 CABOSUN Trial. </w:t>
      </w:r>
      <w:r w:rsidRPr="000C4B7C">
        <w:rPr>
          <w:rFonts w:ascii="Book Antiqua" w:hAnsi="Book Antiqua"/>
          <w:i/>
        </w:rPr>
        <w:t>J Clin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591-597 [PMID: 28199818 DOI: 10.1200/JCO.2016.70.7398]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63 </w:t>
      </w:r>
      <w:r w:rsidRPr="000C4B7C">
        <w:rPr>
          <w:rFonts w:ascii="Book Antiqua" w:hAnsi="Book Antiqua"/>
          <w:b/>
        </w:rPr>
        <w:t>Choueiri TK</w:t>
      </w:r>
      <w:r w:rsidRPr="000C4B7C">
        <w:rPr>
          <w:rFonts w:ascii="Book Antiqua" w:hAnsi="Book Antiqua"/>
        </w:rPr>
        <w:t xml:space="preserve">, Escudier B, Powles T, Tannir NM, Mainwaring PN, Rini BI, Hammers HJ, Donskov F, Roth BJ, Peltola K, Lee JL, Heng DYC, Schmidinger M, Agarwal N, Sternberg CN, McDermott DF, Aftab DT, Hessel C, Scheffold C, Schwab G, Hutson TE, Pal S, Motzer RJ; METEOR investigators. Cabozantinib versus everolimus in advanced </w:t>
      </w:r>
      <w:r w:rsidRPr="000C4B7C">
        <w:rPr>
          <w:rFonts w:ascii="Book Antiqua" w:hAnsi="Book Antiqua"/>
        </w:rPr>
        <w:lastRenderedPageBreak/>
        <w:t>renal cell carcinoma (METEOR): final results from a randomised, open-</w:t>
      </w:r>
      <w:proofErr w:type="gramStart"/>
      <w:r w:rsidRPr="000C4B7C">
        <w:rPr>
          <w:rFonts w:ascii="Book Antiqua" w:hAnsi="Book Antiqua"/>
        </w:rPr>
        <w:t>label,</w:t>
      </w:r>
      <w:proofErr w:type="gramEnd"/>
      <w:r w:rsidRPr="000C4B7C">
        <w:rPr>
          <w:rFonts w:ascii="Book Antiqua" w:hAnsi="Book Antiqua"/>
        </w:rPr>
        <w:t xml:space="preserve"> phase 3 trial.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917-927 [PMID: 27279544 DOI: 10.1016/S1470-2045(16)30107-3]</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64 </w:t>
      </w:r>
      <w:r w:rsidRPr="000C4B7C">
        <w:rPr>
          <w:rFonts w:ascii="Book Antiqua" w:hAnsi="Book Antiqua"/>
          <w:b/>
        </w:rPr>
        <w:t>Tannir NM</w:t>
      </w:r>
      <w:r w:rsidRPr="000C4B7C">
        <w:rPr>
          <w:rFonts w:ascii="Book Antiqua" w:hAnsi="Book Antiqua"/>
        </w:rPr>
        <w:t>, Pal SK, Atkins MB.</w:t>
      </w:r>
      <w:proofErr w:type="gramEnd"/>
      <w:r w:rsidRPr="000C4B7C">
        <w:rPr>
          <w:rFonts w:ascii="Book Antiqua" w:hAnsi="Book Antiqua"/>
        </w:rPr>
        <w:t xml:space="preserve"> Second-Line Treatment Landscape for Renal Cell Carcinoma: A Comprehensive Review. </w:t>
      </w:r>
      <w:r w:rsidRPr="000C4B7C">
        <w:rPr>
          <w:rFonts w:ascii="Book Antiqua" w:hAnsi="Book Antiqua"/>
          <w:i/>
        </w:rPr>
        <w:t>Oncologist</w:t>
      </w:r>
      <w:r w:rsidRPr="000C4B7C">
        <w:rPr>
          <w:rFonts w:ascii="Book Antiqua" w:hAnsi="Book Antiqua"/>
        </w:rPr>
        <w:t xml:space="preserve"> 2018; </w:t>
      </w:r>
      <w:r w:rsidRPr="000C4B7C">
        <w:rPr>
          <w:rFonts w:ascii="Book Antiqua" w:hAnsi="Book Antiqua"/>
          <w:b/>
        </w:rPr>
        <w:t>23</w:t>
      </w:r>
      <w:r w:rsidRPr="000C4B7C">
        <w:rPr>
          <w:rFonts w:ascii="Book Antiqua" w:hAnsi="Book Antiqua"/>
        </w:rPr>
        <w:t>: 540-555 [PMID: 29487224 DOI: 10.1634/theoncologist.2017-0534]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65 </w:t>
      </w:r>
      <w:r w:rsidRPr="000C4B7C">
        <w:rPr>
          <w:rFonts w:ascii="Book Antiqua" w:hAnsi="Book Antiqua"/>
          <w:b/>
        </w:rPr>
        <w:t>Amzal B</w:t>
      </w:r>
      <w:r w:rsidRPr="000C4B7C">
        <w:rPr>
          <w:rFonts w:ascii="Book Antiqua" w:hAnsi="Book Antiqua"/>
        </w:rPr>
        <w:t xml:space="preserve">, Fu S, Meng J, Lister J, Karcher H. Cabozantinib versus everolimus, nivolumab, axitinib, sorafenib and best supportive care: A network meta-analysis of progression-free survival and overall survival in second line treatment of advanced renal cell carcinoma. </w:t>
      </w:r>
      <w:r w:rsidRPr="000C4B7C">
        <w:rPr>
          <w:rFonts w:ascii="Book Antiqua" w:hAnsi="Book Antiqua"/>
          <w:i/>
        </w:rPr>
        <w:t>PLoS One</w:t>
      </w:r>
      <w:r w:rsidRPr="000C4B7C">
        <w:rPr>
          <w:rFonts w:ascii="Book Antiqua" w:hAnsi="Book Antiqua"/>
        </w:rPr>
        <w:t xml:space="preserve"> 2017; </w:t>
      </w:r>
      <w:r w:rsidRPr="000C4B7C">
        <w:rPr>
          <w:rFonts w:ascii="Book Antiqua" w:hAnsi="Book Antiqua"/>
          <w:b/>
        </w:rPr>
        <w:t>12</w:t>
      </w:r>
      <w:r w:rsidRPr="000C4B7C">
        <w:rPr>
          <w:rFonts w:ascii="Book Antiqua" w:hAnsi="Book Antiqua"/>
        </w:rPr>
        <w:t>: e0184423 [PMID: 28886175 DOI: 10.1371/journal.pone.0184423]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66 </w:t>
      </w:r>
      <w:r w:rsidRPr="000C4B7C">
        <w:rPr>
          <w:rFonts w:ascii="Book Antiqua" w:hAnsi="Book Antiqua"/>
          <w:b/>
        </w:rPr>
        <w:t>Motzer RJ</w:t>
      </w:r>
      <w:r w:rsidRPr="000C4B7C">
        <w:rPr>
          <w:rFonts w:ascii="Book Antiqua" w:hAnsi="Book Antiqua"/>
        </w:rPr>
        <w:t xml:space="preserve">, Escudier B, McDermott DF, George S, Hammers HJ, Srinivas S, Tykodi SS, Sosman JA, Procopio G, Plimack ER, Castellano D, Choueiri TK, Gurney H, Donskov F, Bono P, Wagstaff J, Gauler TC, Ueda T, Tomita Y, Schutz FA, Kollmannsberger C, Larkin J, Ravaud A, Simon JS, Xu LA, Waxman IM, Sharma P; CheckMate 025 Investigators. </w:t>
      </w:r>
      <w:proofErr w:type="gramStart"/>
      <w:r w:rsidRPr="000C4B7C">
        <w:rPr>
          <w:rFonts w:ascii="Book Antiqua" w:hAnsi="Book Antiqua"/>
        </w:rPr>
        <w:t>Nivolumab versus Everolimus in Advanced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2015; </w:t>
      </w:r>
      <w:r w:rsidRPr="000C4B7C">
        <w:rPr>
          <w:rFonts w:ascii="Book Antiqua" w:hAnsi="Book Antiqua"/>
          <w:b/>
        </w:rPr>
        <w:t>373</w:t>
      </w:r>
      <w:r w:rsidRPr="000C4B7C">
        <w:rPr>
          <w:rFonts w:ascii="Book Antiqua" w:hAnsi="Book Antiqua"/>
        </w:rPr>
        <w:t>: 1803-1813 [PMID: 26406148 DOI: 10.1056/NEJMoa1510665]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67 </w:t>
      </w:r>
      <w:r w:rsidRPr="000C4B7C">
        <w:rPr>
          <w:rFonts w:ascii="Book Antiqua" w:hAnsi="Book Antiqua"/>
          <w:b/>
        </w:rPr>
        <w:t>Escudier B</w:t>
      </w:r>
      <w:r w:rsidRPr="000C4B7C">
        <w:rPr>
          <w:rFonts w:ascii="Book Antiqua" w:hAnsi="Book Antiqua"/>
        </w:rPr>
        <w:t xml:space="preserve">, Sharma P, McDermott DF, George S, Hammers HJ, Srinivas S, Tykodi SS, Sosman JA, Procopio G, Plimack ER, Castellano D, Gurney H, Donskov F, Peltola K, Wagstaff J, Gauler TC, Ueda T, Zhao H, Waxman IM, Motzer RJ; CheckMate 025 investigators. CheckMate 025 Randomized Phase 3 </w:t>
      </w:r>
      <w:proofErr w:type="gramStart"/>
      <w:r w:rsidRPr="000C4B7C">
        <w:rPr>
          <w:rFonts w:ascii="Book Antiqua" w:hAnsi="Book Antiqua"/>
        </w:rPr>
        <w:t>Study</w:t>
      </w:r>
      <w:proofErr w:type="gramEnd"/>
      <w:r w:rsidRPr="000C4B7C">
        <w:rPr>
          <w:rFonts w:ascii="Book Antiqua" w:hAnsi="Book Antiqua"/>
        </w:rPr>
        <w:t xml:space="preserve">: Outcomes by Key Baseline Factors and Prior Therapy for Nivolumab Versus Everolimus in Advanced Renal Cell Carcinoma.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72</w:t>
      </w:r>
      <w:r w:rsidRPr="000C4B7C">
        <w:rPr>
          <w:rFonts w:ascii="Book Antiqua" w:hAnsi="Book Antiqua"/>
        </w:rPr>
        <w:t>: 962-971 [PMID: 28262413 DOI: 10.1016/j.eururo.2017.02.010]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68 </w:t>
      </w:r>
      <w:r w:rsidRPr="000C4B7C">
        <w:rPr>
          <w:rFonts w:ascii="Book Antiqua" w:hAnsi="Book Antiqua"/>
          <w:b/>
        </w:rPr>
        <w:t>Escudier B</w:t>
      </w:r>
      <w:r w:rsidRPr="000C4B7C">
        <w:rPr>
          <w:rFonts w:ascii="Book Antiqua" w:hAnsi="Book Antiqua"/>
        </w:rPr>
        <w:t xml:space="preserve">, Motzer RJ, Sharma P, Wagstaff J, Plimack ER, Hammers HJ, Donskov F, Gurney H, Sosman JA, Zalewski PG, Harmenberg U, McDermott DF, Choueiri TK, Richardet M, Tomita Y, Ravaud A, Doan J, Zhao H, Hardy H, George S. Treatment Beyond Progression in Patients with Advanced Renal Cell Carcinoma Treated with </w:t>
      </w:r>
      <w:r w:rsidRPr="000C4B7C">
        <w:rPr>
          <w:rFonts w:ascii="Book Antiqua" w:hAnsi="Book Antiqua"/>
        </w:rPr>
        <w:lastRenderedPageBreak/>
        <w:t xml:space="preserve">Nivolumab in CheckMate 025.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72</w:t>
      </w:r>
      <w:r w:rsidRPr="000C4B7C">
        <w:rPr>
          <w:rFonts w:ascii="Book Antiqua" w:hAnsi="Book Antiqua"/>
        </w:rPr>
        <w:t>: 368-376 [PMID: 28410865 DOI: 10.1016/j.eururo.2017.03.037]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69 </w:t>
      </w:r>
      <w:r w:rsidRPr="000C4B7C">
        <w:rPr>
          <w:rFonts w:ascii="Book Antiqua" w:hAnsi="Book Antiqua"/>
          <w:b/>
        </w:rPr>
        <w:t>Motzer RJ</w:t>
      </w:r>
      <w:r w:rsidRPr="000C4B7C">
        <w:rPr>
          <w:rFonts w:ascii="Book Antiqua" w:hAnsi="Book Antiqua"/>
        </w:rPr>
        <w:t xml:space="preserve">, Hutson TE, Ren M, Dutcus C, Larkin J. Independent assessment of lenvatinib plus everolimus in patients with metastatic renal cell carcinoma. </w:t>
      </w:r>
      <w:r w:rsidRPr="000C4B7C">
        <w:rPr>
          <w:rFonts w:ascii="Book Antiqua" w:hAnsi="Book Antiqua"/>
          <w:i/>
        </w:rPr>
        <w:t>Lancet Oncol</w:t>
      </w:r>
      <w:r w:rsidRPr="000C4B7C">
        <w:rPr>
          <w:rFonts w:ascii="Book Antiqua" w:hAnsi="Book Antiqua"/>
        </w:rPr>
        <w:t xml:space="preserve"> 2016; </w:t>
      </w:r>
      <w:r w:rsidRPr="000C4B7C">
        <w:rPr>
          <w:rFonts w:ascii="Book Antiqua" w:hAnsi="Book Antiqua"/>
          <w:b/>
        </w:rPr>
        <w:t>17</w:t>
      </w:r>
      <w:r w:rsidRPr="000C4B7C">
        <w:rPr>
          <w:rFonts w:ascii="Book Antiqua" w:hAnsi="Book Antiqua"/>
        </w:rPr>
        <w:t>: e4-e5 [PMID: 26758760 DOI: 10.1016/S1470-2045(15)00543-4]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70 </w:t>
      </w:r>
      <w:r w:rsidRPr="000C4B7C">
        <w:rPr>
          <w:rFonts w:ascii="Book Antiqua" w:hAnsi="Book Antiqua"/>
          <w:b/>
        </w:rPr>
        <w:t>Voss MH</w:t>
      </w:r>
      <w:r w:rsidRPr="000C4B7C">
        <w:rPr>
          <w:rFonts w:ascii="Book Antiqua" w:hAnsi="Book Antiqua"/>
        </w:rPr>
        <w:t xml:space="preserve">, Hakimi AA, Pham CG, Brannon AR, Chen YB, Cunha LF, Akin O, Liu H, Takeda S, Scott SN, Socci ND, Viale A, Schultz N, Sander C, Reuter VE, Russo P, Cheng EH, Motzer RJ, Berger MF, Hsieh JJ. </w:t>
      </w:r>
      <w:proofErr w:type="gramStart"/>
      <w:r w:rsidRPr="000C4B7C">
        <w:rPr>
          <w:rFonts w:ascii="Book Antiqua" w:hAnsi="Book Antiqua"/>
        </w:rPr>
        <w:t>Tumor genetic analyses of patients with metastatic renal cell carcinoma and extended benefit from mTOR inhibitor therapy.</w:t>
      </w:r>
      <w:proofErr w:type="gramEnd"/>
      <w:r w:rsidRPr="000C4B7C">
        <w:rPr>
          <w:rFonts w:ascii="Book Antiqua" w:hAnsi="Book Antiqua"/>
        </w:rPr>
        <w:t xml:space="preserve"> </w:t>
      </w:r>
      <w:r w:rsidRPr="000C4B7C">
        <w:rPr>
          <w:rFonts w:ascii="Book Antiqua" w:hAnsi="Book Antiqua"/>
          <w:i/>
        </w:rPr>
        <w:t>Clin Cancer Res</w:t>
      </w:r>
      <w:r w:rsidRPr="000C4B7C">
        <w:rPr>
          <w:rFonts w:ascii="Book Antiqua" w:hAnsi="Book Antiqua"/>
        </w:rPr>
        <w:t xml:space="preserve"> 2014; </w:t>
      </w:r>
      <w:r w:rsidRPr="000C4B7C">
        <w:rPr>
          <w:rFonts w:ascii="Book Antiqua" w:hAnsi="Book Antiqua"/>
          <w:b/>
        </w:rPr>
        <w:t>20</w:t>
      </w:r>
      <w:r w:rsidRPr="000C4B7C">
        <w:rPr>
          <w:rFonts w:ascii="Book Antiqua" w:hAnsi="Book Antiqua"/>
        </w:rPr>
        <w:t>: 1955-1964 [PMID: 24622468 DOI: 10.1158/1078-0432.CCR-13-2345]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71 </w:t>
      </w:r>
      <w:r w:rsidRPr="000C4B7C">
        <w:rPr>
          <w:rFonts w:ascii="Book Antiqua" w:hAnsi="Book Antiqua"/>
          <w:b/>
        </w:rPr>
        <w:t>Kwiatkowski DJ</w:t>
      </w:r>
      <w:r w:rsidRPr="000C4B7C">
        <w:rPr>
          <w:rFonts w:ascii="Book Antiqua" w:hAnsi="Book Antiqua"/>
        </w:rPr>
        <w:t xml:space="preserve">, Choueiri TK, Fay AP, Rini BI, Thorner AR, de Velasco G, Tyburczy ME, Hamieh L, Albiges L, Agarwal N, Ho TH, Song J, Pignon JC, Barrios PM, Michaelson MD, Van Allen E, Krajewski KM, Porta C, Pal S, Bellmunt J, McDermott DF, Heng DYC, Gray KP, Signoretti S. Mutations in TSC1, TSC2, and MTOR Are Associated with Response to Rapalogs in Patients with Metastatic Renal Cell Carcinoma. </w:t>
      </w:r>
      <w:r w:rsidRPr="000C4B7C">
        <w:rPr>
          <w:rFonts w:ascii="Book Antiqua" w:hAnsi="Book Antiqua"/>
          <w:i/>
        </w:rPr>
        <w:t>Clin Cancer Res</w:t>
      </w:r>
      <w:r w:rsidRPr="000C4B7C">
        <w:rPr>
          <w:rFonts w:ascii="Book Antiqua" w:hAnsi="Book Antiqua"/>
        </w:rPr>
        <w:t xml:space="preserve"> 2016; </w:t>
      </w:r>
      <w:r w:rsidRPr="000C4B7C">
        <w:rPr>
          <w:rFonts w:ascii="Book Antiqua" w:hAnsi="Book Antiqua"/>
          <w:b/>
        </w:rPr>
        <w:t>22</w:t>
      </w:r>
      <w:r w:rsidRPr="000C4B7C">
        <w:rPr>
          <w:rFonts w:ascii="Book Antiqua" w:hAnsi="Book Antiqua"/>
        </w:rPr>
        <w:t>: 2445-2452 [PMID: 26831717 DOI: 10.1158/1078-0432.CCR-15-2631]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72 </w:t>
      </w:r>
      <w:r w:rsidRPr="000C4B7C">
        <w:rPr>
          <w:rFonts w:ascii="Book Antiqua" w:hAnsi="Book Antiqua"/>
          <w:b/>
        </w:rPr>
        <w:t>Modi PK</w:t>
      </w:r>
      <w:r w:rsidRPr="000C4B7C">
        <w:rPr>
          <w:rFonts w:ascii="Book Antiqua" w:hAnsi="Book Antiqua"/>
        </w:rPr>
        <w:t xml:space="preserve">, Farber NJ, Singer EA. Precision Oncology: Identifying Predictive Biomarkers for the Treatment of Metastatic Renal Cell Carcinoma. </w:t>
      </w:r>
      <w:r w:rsidRPr="000C4B7C">
        <w:rPr>
          <w:rFonts w:ascii="Book Antiqua" w:hAnsi="Book Antiqua"/>
          <w:i/>
        </w:rPr>
        <w:t>Transl Cancer Res</w:t>
      </w:r>
      <w:r w:rsidRPr="000C4B7C">
        <w:rPr>
          <w:rFonts w:ascii="Book Antiqua" w:hAnsi="Book Antiqua"/>
        </w:rPr>
        <w:t xml:space="preserve"> 2016; </w:t>
      </w:r>
      <w:r w:rsidRPr="000C4B7C">
        <w:rPr>
          <w:rFonts w:ascii="Book Antiqua" w:hAnsi="Book Antiqua"/>
          <w:b/>
        </w:rPr>
        <w:t>5</w:t>
      </w:r>
      <w:r w:rsidRPr="000C4B7C">
        <w:rPr>
          <w:rFonts w:ascii="Book Antiqua" w:hAnsi="Book Antiqua"/>
        </w:rPr>
        <w:t>: S76-S80 [PMID: 27540511 DOI: 10.21037/tcr.2016.06.05]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73 </w:t>
      </w:r>
      <w:r w:rsidRPr="000C4B7C">
        <w:rPr>
          <w:rFonts w:ascii="Book Antiqua" w:hAnsi="Book Antiqua"/>
          <w:b/>
        </w:rPr>
        <w:t>Farber NJ</w:t>
      </w:r>
      <w:r w:rsidRPr="000C4B7C">
        <w:rPr>
          <w:rFonts w:ascii="Book Antiqua" w:hAnsi="Book Antiqua"/>
        </w:rPr>
        <w:t xml:space="preserve">, Kim CJ, Modi PK, Hon JD, Sadimin ET, Singer EA. Renal cell carcinoma: the search for a reliable biomarker. </w:t>
      </w:r>
      <w:r w:rsidRPr="000C4B7C">
        <w:rPr>
          <w:rFonts w:ascii="Book Antiqua" w:hAnsi="Book Antiqua"/>
          <w:i/>
        </w:rPr>
        <w:t>Transl Cancer Res</w:t>
      </w:r>
      <w:r w:rsidRPr="000C4B7C">
        <w:rPr>
          <w:rFonts w:ascii="Book Antiqua" w:hAnsi="Book Antiqua"/>
        </w:rPr>
        <w:t xml:space="preserve"> 2017; </w:t>
      </w:r>
      <w:r w:rsidRPr="000C4B7C">
        <w:rPr>
          <w:rFonts w:ascii="Book Antiqua" w:hAnsi="Book Antiqua"/>
          <w:b/>
        </w:rPr>
        <w:t>6</w:t>
      </w:r>
      <w:r w:rsidRPr="000C4B7C">
        <w:rPr>
          <w:rFonts w:ascii="Book Antiqua" w:hAnsi="Book Antiqua"/>
        </w:rPr>
        <w:t>: 620-632 [PMID: 28775935 DOI: 10.21037/tcr.2017.05.19]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74 </w:t>
      </w:r>
      <w:r w:rsidRPr="000C4B7C">
        <w:rPr>
          <w:rFonts w:ascii="Book Antiqua" w:hAnsi="Book Antiqua"/>
          <w:b/>
        </w:rPr>
        <w:t>Thompson RH</w:t>
      </w:r>
      <w:r w:rsidRPr="000C4B7C">
        <w:rPr>
          <w:rFonts w:ascii="Book Antiqua" w:hAnsi="Book Antiqua"/>
        </w:rPr>
        <w:t xml:space="preserve">, Kuntz SM, Leibovich BC, Dong H, Lohse CM, Webster WS, Sengupta S, Frank I, Parker AS, Zincke H, Blute ML, Sebo TJ, Cheville JC, Kwon ED. Tumor B7-H1 is associated with poor prognosis in renal cell carcinoma patients with long-term follow-up. </w:t>
      </w:r>
      <w:r w:rsidRPr="000C4B7C">
        <w:rPr>
          <w:rFonts w:ascii="Book Antiqua" w:hAnsi="Book Antiqua"/>
          <w:i/>
        </w:rPr>
        <w:t>Cancer Res</w:t>
      </w:r>
      <w:r w:rsidRPr="000C4B7C">
        <w:rPr>
          <w:rFonts w:ascii="Book Antiqua" w:hAnsi="Book Antiqua"/>
        </w:rPr>
        <w:t xml:space="preserve"> 2006; </w:t>
      </w:r>
      <w:r w:rsidRPr="000C4B7C">
        <w:rPr>
          <w:rFonts w:ascii="Book Antiqua" w:hAnsi="Book Antiqua"/>
          <w:b/>
        </w:rPr>
        <w:t>66</w:t>
      </w:r>
      <w:r w:rsidRPr="000C4B7C">
        <w:rPr>
          <w:rFonts w:ascii="Book Antiqua" w:hAnsi="Book Antiqua"/>
        </w:rPr>
        <w:t>: 3381-3385 [PMID: 16585157 DOI: 10.1158/0008-5472.CAN-05-4303]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75 </w:t>
      </w:r>
      <w:r w:rsidRPr="000C4B7C">
        <w:rPr>
          <w:rFonts w:ascii="Book Antiqua" w:hAnsi="Book Antiqua"/>
          <w:b/>
        </w:rPr>
        <w:t>Kammerer-Jacquet SF</w:t>
      </w:r>
      <w:r w:rsidRPr="000C4B7C">
        <w:rPr>
          <w:rFonts w:ascii="Book Antiqua" w:hAnsi="Book Antiqua"/>
        </w:rPr>
        <w:t>, Deleuze A, Saout J, Mathieu R, Laguerre B, Verhoest G, Dugay F, Belaud-Rotureau MA, Bensalah K, Rioux-Leclercq N. Targeting the PD-1/PD-</w:t>
      </w:r>
      <w:r w:rsidRPr="000C4B7C">
        <w:rPr>
          <w:rFonts w:ascii="Book Antiqua" w:hAnsi="Book Antiqua"/>
        </w:rPr>
        <w:lastRenderedPageBreak/>
        <w:t xml:space="preserve">L1 Pathway in Renal Cell Carcinoma. </w:t>
      </w:r>
      <w:r w:rsidRPr="000C4B7C">
        <w:rPr>
          <w:rFonts w:ascii="Book Antiqua" w:hAnsi="Book Antiqua"/>
          <w:i/>
        </w:rPr>
        <w:t>Int J Mol Sci</w:t>
      </w:r>
      <w:r w:rsidRPr="000C4B7C">
        <w:rPr>
          <w:rFonts w:ascii="Book Antiqua" w:hAnsi="Book Antiqua"/>
        </w:rPr>
        <w:t xml:space="preserve"> 2019; </w:t>
      </w:r>
      <w:r w:rsidRPr="000C4B7C">
        <w:rPr>
          <w:rFonts w:ascii="Book Antiqua" w:hAnsi="Book Antiqua"/>
          <w:b/>
        </w:rPr>
        <w:t>20</w:t>
      </w:r>
      <w:r w:rsidRPr="000C4B7C">
        <w:rPr>
          <w:rFonts w:ascii="Book Antiqua" w:hAnsi="Book Antiqua"/>
        </w:rPr>
        <w:t xml:space="preserve">: </w:t>
      </w:r>
      <w:r w:rsidR="00F55756" w:rsidRPr="000C4B7C">
        <w:rPr>
          <w:rFonts w:ascii="Book Antiqua" w:hAnsi="Book Antiqua"/>
          <w:lang w:eastAsia="zh-CN"/>
        </w:rPr>
        <w:t>1692</w:t>
      </w:r>
      <w:r w:rsidRPr="000C4B7C">
        <w:rPr>
          <w:rFonts w:ascii="Book Antiqua" w:hAnsi="Book Antiqua"/>
        </w:rPr>
        <w:t xml:space="preserve"> [PMID: 30987368 DOI: 10.3390/ijms20071692]</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76 </w:t>
      </w:r>
      <w:r w:rsidRPr="000C4B7C">
        <w:rPr>
          <w:rFonts w:ascii="Book Antiqua" w:hAnsi="Book Antiqua"/>
          <w:b/>
        </w:rPr>
        <w:t>Zhu J</w:t>
      </w:r>
      <w:r w:rsidRPr="000C4B7C">
        <w:rPr>
          <w:rFonts w:ascii="Book Antiqua" w:hAnsi="Book Antiqua"/>
        </w:rPr>
        <w:t xml:space="preserve">, Armstrong AJ, Friedlander TW, Kim W, Pal SK, George DJ, Zhang T. Biomarkers of immunotherapy in urothelial and renal cell carcinoma: PD-L1, tumor mutational burden, and beyond. </w:t>
      </w:r>
      <w:r w:rsidRPr="000C4B7C">
        <w:rPr>
          <w:rFonts w:ascii="Book Antiqua" w:hAnsi="Book Antiqua"/>
          <w:i/>
        </w:rPr>
        <w:t>J Immunother Cancer</w:t>
      </w:r>
      <w:r w:rsidRPr="000C4B7C">
        <w:rPr>
          <w:rFonts w:ascii="Book Antiqua" w:hAnsi="Book Antiqua"/>
        </w:rPr>
        <w:t xml:space="preserve"> 2018; </w:t>
      </w:r>
      <w:r w:rsidRPr="000C4B7C">
        <w:rPr>
          <w:rFonts w:ascii="Book Antiqua" w:hAnsi="Book Antiqua"/>
          <w:b/>
        </w:rPr>
        <w:t>6</w:t>
      </w:r>
      <w:r w:rsidRPr="000C4B7C">
        <w:rPr>
          <w:rFonts w:ascii="Book Antiqua" w:hAnsi="Book Antiqua"/>
        </w:rPr>
        <w:t>: 4 [PMID: 29368638 DOI: 10.1186/s40425-018-0314-1]</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77 </w:t>
      </w:r>
      <w:r w:rsidRPr="000C4B7C">
        <w:rPr>
          <w:rFonts w:ascii="Book Antiqua" w:hAnsi="Book Antiqua"/>
          <w:b/>
        </w:rPr>
        <w:t>Casuscelli J</w:t>
      </w:r>
      <w:r w:rsidRPr="000C4B7C">
        <w:rPr>
          <w:rFonts w:ascii="Book Antiqua" w:hAnsi="Book Antiqua"/>
        </w:rPr>
        <w:t>, Vano YA, Fridman WH, Hsieh JJ.</w:t>
      </w:r>
      <w:proofErr w:type="gramEnd"/>
      <w:r w:rsidRPr="000C4B7C">
        <w:rPr>
          <w:rFonts w:ascii="Book Antiqua" w:hAnsi="Book Antiqua"/>
        </w:rPr>
        <w:t xml:space="preserve"> </w:t>
      </w:r>
      <w:proofErr w:type="gramStart"/>
      <w:r w:rsidRPr="000C4B7C">
        <w:rPr>
          <w:rFonts w:ascii="Book Antiqua" w:hAnsi="Book Antiqua"/>
        </w:rPr>
        <w:t>Molecular Classification of Renal Cell Carcinoma and Its Implication in Future Clinical Practice.</w:t>
      </w:r>
      <w:proofErr w:type="gramEnd"/>
      <w:r w:rsidRPr="000C4B7C">
        <w:rPr>
          <w:rFonts w:ascii="Book Antiqua" w:hAnsi="Book Antiqua"/>
        </w:rPr>
        <w:t xml:space="preserve"> </w:t>
      </w:r>
      <w:r w:rsidRPr="000C4B7C">
        <w:rPr>
          <w:rFonts w:ascii="Book Antiqua" w:hAnsi="Book Antiqua"/>
          <w:i/>
        </w:rPr>
        <w:t>Kidney Cancer</w:t>
      </w:r>
      <w:r w:rsidRPr="000C4B7C">
        <w:rPr>
          <w:rFonts w:ascii="Book Antiqua" w:hAnsi="Book Antiqua"/>
        </w:rPr>
        <w:t xml:space="preserve"> 2017; </w:t>
      </w:r>
      <w:r w:rsidRPr="000C4B7C">
        <w:rPr>
          <w:rFonts w:ascii="Book Antiqua" w:hAnsi="Book Antiqua"/>
          <w:b/>
        </w:rPr>
        <w:t>1</w:t>
      </w:r>
      <w:r w:rsidRPr="000C4B7C">
        <w:rPr>
          <w:rFonts w:ascii="Book Antiqua" w:hAnsi="Book Antiqua"/>
        </w:rPr>
        <w:t>: 3-13 [PMID: 30334000 DOI: 10.3233/KCA-170008]</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78 </w:t>
      </w:r>
      <w:r w:rsidRPr="000C4B7C">
        <w:rPr>
          <w:rFonts w:ascii="Book Antiqua" w:hAnsi="Book Antiqua"/>
          <w:b/>
        </w:rPr>
        <w:t>Hsieh JJ</w:t>
      </w:r>
      <w:r w:rsidRPr="000C4B7C">
        <w:rPr>
          <w:rFonts w:ascii="Book Antiqua" w:hAnsi="Book Antiqua"/>
        </w:rPr>
        <w:t>, Le V, Cao D, Cheng EH, Creighton CJ.</w:t>
      </w:r>
      <w:proofErr w:type="gramEnd"/>
      <w:r w:rsidRPr="000C4B7C">
        <w:rPr>
          <w:rFonts w:ascii="Book Antiqua" w:hAnsi="Book Antiqua"/>
        </w:rPr>
        <w:t xml:space="preserve"> Genomic classifications of renal cell carcinoma: a critical step towards the future application of personalized kidney cancer care with pan-omics precision. </w:t>
      </w:r>
      <w:r w:rsidRPr="000C4B7C">
        <w:rPr>
          <w:rFonts w:ascii="Book Antiqua" w:hAnsi="Book Antiqua"/>
          <w:i/>
        </w:rPr>
        <w:t>J Pathol</w:t>
      </w:r>
      <w:r w:rsidRPr="000C4B7C">
        <w:rPr>
          <w:rFonts w:ascii="Book Antiqua" w:hAnsi="Book Antiqua"/>
        </w:rPr>
        <w:t xml:space="preserve"> 2018; </w:t>
      </w:r>
      <w:r w:rsidRPr="000C4B7C">
        <w:rPr>
          <w:rFonts w:ascii="Book Antiqua" w:hAnsi="Book Antiqua"/>
          <w:b/>
        </w:rPr>
        <w:t>244</w:t>
      </w:r>
      <w:r w:rsidRPr="000C4B7C">
        <w:rPr>
          <w:rFonts w:ascii="Book Antiqua" w:hAnsi="Book Antiqua"/>
        </w:rPr>
        <w:t>: 525-537 [PMID: 29266437 DOI: 10.1002/path.5022]</w:t>
      </w:r>
    </w:p>
    <w:p w:rsidR="00656D23"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79 </w:t>
      </w:r>
      <w:r w:rsidRPr="000C4B7C">
        <w:rPr>
          <w:rFonts w:ascii="Book Antiqua" w:hAnsi="Book Antiqua"/>
          <w:b/>
        </w:rPr>
        <w:t>Le VH,</w:t>
      </w:r>
      <w:r w:rsidR="00DA2216" w:rsidRPr="000C4B7C">
        <w:rPr>
          <w:rFonts w:ascii="Book Antiqua" w:hAnsi="Book Antiqua"/>
          <w:lang w:eastAsia="zh-CN"/>
        </w:rPr>
        <w:t xml:space="preserve"> </w:t>
      </w:r>
      <w:r w:rsidRPr="000C4B7C">
        <w:rPr>
          <w:rFonts w:ascii="Book Antiqua" w:hAnsi="Book Antiqua"/>
        </w:rPr>
        <w:t>Hsieh JJ. Genomics and genetics of clear cell renal</w:t>
      </w:r>
      <w:r w:rsidR="009F6E61" w:rsidRPr="000C4B7C">
        <w:rPr>
          <w:rFonts w:ascii="Book Antiqua" w:hAnsi="Book Antiqua"/>
        </w:rPr>
        <w:t xml:space="preserve"> cell carcinoma: a mini-review.</w:t>
      </w:r>
      <w:r w:rsidR="009F6E61" w:rsidRPr="000C4B7C">
        <w:rPr>
          <w:rFonts w:ascii="Book Antiqua" w:hAnsi="Book Antiqua"/>
          <w:lang w:eastAsia="zh-CN"/>
        </w:rPr>
        <w:t xml:space="preserve"> </w:t>
      </w:r>
      <w:r w:rsidR="009F6E61" w:rsidRPr="000C4B7C">
        <w:rPr>
          <w:rFonts w:ascii="Book Antiqua" w:hAnsi="Book Antiqua"/>
          <w:i/>
          <w:lang w:eastAsia="zh-CN"/>
        </w:rPr>
        <w:t>J Transl Genet Genom</w:t>
      </w:r>
      <w:r w:rsidR="009F6E61" w:rsidRPr="000C4B7C">
        <w:rPr>
          <w:rFonts w:ascii="Book Antiqua" w:hAnsi="Book Antiqua"/>
          <w:lang w:eastAsia="zh-CN"/>
        </w:rPr>
        <w:t xml:space="preserve"> </w:t>
      </w:r>
      <w:r w:rsidRPr="000C4B7C">
        <w:rPr>
          <w:rFonts w:ascii="Book Antiqua" w:hAnsi="Book Antiqua"/>
        </w:rPr>
        <w:t>2018</w:t>
      </w:r>
      <w:r w:rsidR="009F6E61" w:rsidRPr="000C4B7C">
        <w:rPr>
          <w:rFonts w:ascii="Book Antiqua" w:hAnsi="Book Antiqua"/>
          <w:lang w:eastAsia="zh-CN"/>
        </w:rPr>
        <w:t xml:space="preserve">; </w:t>
      </w:r>
      <w:r w:rsidR="009F6E61" w:rsidRPr="000C4B7C">
        <w:rPr>
          <w:rFonts w:ascii="Book Antiqua" w:hAnsi="Book Antiqua"/>
          <w:b/>
          <w:lang w:eastAsia="zh-CN"/>
        </w:rPr>
        <w:t>2</w:t>
      </w:r>
      <w:r w:rsidR="009F6E61" w:rsidRPr="000C4B7C">
        <w:rPr>
          <w:rFonts w:ascii="Book Antiqua" w:hAnsi="Book Antiqua"/>
          <w:lang w:eastAsia="zh-CN"/>
        </w:rPr>
        <w:t>: 17 [DOI: 10.20517/jtgg.2018.28]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80 </w:t>
      </w:r>
      <w:r w:rsidRPr="000C4B7C">
        <w:rPr>
          <w:rFonts w:ascii="Book Antiqua" w:hAnsi="Book Antiqua"/>
          <w:b/>
        </w:rPr>
        <w:t>Hakimi AA</w:t>
      </w:r>
      <w:r w:rsidRPr="000C4B7C">
        <w:rPr>
          <w:rFonts w:ascii="Book Antiqua" w:hAnsi="Book Antiqua"/>
        </w:rPr>
        <w:t xml:space="preserve">, Chen YB, Wren J, Gonen M, Abdel-Wahab O, Heguy A, Liu H, Takeda S, Tickoo SK, Reuter VE, Voss MH, Motzer RJ, Coleman JA, Cheng EH, Russo P, Hsieh JJ. </w:t>
      </w:r>
      <w:proofErr w:type="gramStart"/>
      <w:r w:rsidRPr="000C4B7C">
        <w:rPr>
          <w:rFonts w:ascii="Book Antiqua" w:hAnsi="Book Antiqua"/>
        </w:rPr>
        <w:t>Clinical and pathologic impact of select chromatin-modulating tumor suppressors in clear cell renal cell carcinoma.</w:t>
      </w:r>
      <w:proofErr w:type="gramEnd"/>
      <w:r w:rsidRPr="000C4B7C">
        <w:rPr>
          <w:rFonts w:ascii="Book Antiqua" w:hAnsi="Book Antiqua"/>
        </w:rPr>
        <w:t xml:space="preserve"> </w:t>
      </w:r>
      <w:r w:rsidRPr="000C4B7C">
        <w:rPr>
          <w:rFonts w:ascii="Book Antiqua" w:hAnsi="Book Antiqua"/>
          <w:i/>
        </w:rPr>
        <w:t>Eur Urol</w:t>
      </w:r>
      <w:r w:rsidRPr="000C4B7C">
        <w:rPr>
          <w:rFonts w:ascii="Book Antiqua" w:hAnsi="Book Antiqua"/>
        </w:rPr>
        <w:t xml:space="preserve"> 2013; </w:t>
      </w:r>
      <w:r w:rsidRPr="000C4B7C">
        <w:rPr>
          <w:rFonts w:ascii="Book Antiqua" w:hAnsi="Book Antiqua"/>
          <w:b/>
        </w:rPr>
        <w:t>63</w:t>
      </w:r>
      <w:r w:rsidRPr="000C4B7C">
        <w:rPr>
          <w:rFonts w:ascii="Book Antiqua" w:hAnsi="Book Antiqua"/>
        </w:rPr>
        <w:t>: 848-854 [PMID: 23036577 DOI: 10.1016/j.eururo.2012.09.005]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81 </w:t>
      </w:r>
      <w:r w:rsidRPr="000C4B7C">
        <w:rPr>
          <w:rFonts w:ascii="Book Antiqua" w:hAnsi="Book Antiqua"/>
          <w:b/>
        </w:rPr>
        <w:t>Manley BJ</w:t>
      </w:r>
      <w:r w:rsidRPr="000C4B7C">
        <w:rPr>
          <w:rFonts w:ascii="Book Antiqua" w:hAnsi="Book Antiqua"/>
        </w:rPr>
        <w:t xml:space="preserve">, Zabor EC, Casuscelli J, Tennenbaum DM, Redzematovic A, Becerra MF, Benfante N, Sato Y, Morikawa T, Kume H, Fukayama M, Homma Y, Ogawa S, Arcila ME, Voss MH, Feldman DR, Coleman JA, Reuter VE, Motzer RJ, Russo P, Hsieh JJ, Hakimi AA. Integration of Recurrent Somatic Mutations with Clinical Outcomes: A Pooled Analysis of 1049 Patients with Clear Cell Renal Cell Carcinoma. </w:t>
      </w:r>
      <w:r w:rsidRPr="000C4B7C">
        <w:rPr>
          <w:rFonts w:ascii="Book Antiqua" w:hAnsi="Book Antiqua"/>
          <w:i/>
        </w:rPr>
        <w:t>Eur Urol Focus</w:t>
      </w:r>
      <w:r w:rsidRPr="000C4B7C">
        <w:rPr>
          <w:rFonts w:ascii="Book Antiqua" w:hAnsi="Book Antiqua"/>
        </w:rPr>
        <w:t xml:space="preserve"> 2017; </w:t>
      </w:r>
      <w:r w:rsidRPr="000C4B7C">
        <w:rPr>
          <w:rFonts w:ascii="Book Antiqua" w:hAnsi="Book Antiqua"/>
          <w:b/>
        </w:rPr>
        <w:t>3</w:t>
      </w:r>
      <w:r w:rsidRPr="000C4B7C">
        <w:rPr>
          <w:rFonts w:ascii="Book Antiqua" w:hAnsi="Book Antiqua"/>
        </w:rPr>
        <w:t>: 421-427 [PMID: 28753773 DOI: 10.1016/j.euf.2016.06.015]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82 </w:t>
      </w:r>
      <w:r w:rsidRPr="000C4B7C">
        <w:rPr>
          <w:rFonts w:ascii="Book Antiqua" w:hAnsi="Book Antiqua"/>
          <w:b/>
        </w:rPr>
        <w:t>Hsieh JJ</w:t>
      </w:r>
      <w:r w:rsidRPr="000C4B7C">
        <w:rPr>
          <w:rFonts w:ascii="Book Antiqua" w:hAnsi="Book Antiqua"/>
        </w:rPr>
        <w:t xml:space="preserve">, Chen D, Wang PI, Marker M, Redzematovic A, Chen YB, Selcuklu SD, Weinhold N, Bouvier N, Huberman KH, Bhanot U, Chevinsky MS, Patel P, Pinciroli P, Won HH, You D, Viale A, Lee W, Hakimi AA, Berger MF, Socci ND, Cheng EH, Knox J, </w:t>
      </w:r>
      <w:r w:rsidRPr="000C4B7C">
        <w:rPr>
          <w:rFonts w:ascii="Book Antiqua" w:hAnsi="Book Antiqua"/>
        </w:rPr>
        <w:lastRenderedPageBreak/>
        <w:t xml:space="preserve">Voss MH, Voi M, Motzer RJ. </w:t>
      </w:r>
      <w:proofErr w:type="gramStart"/>
      <w:r w:rsidRPr="000C4B7C">
        <w:rPr>
          <w:rFonts w:ascii="Book Antiqua" w:hAnsi="Book Antiqua"/>
        </w:rPr>
        <w:t>Genomic Biomarkers of a Randomized Trial Comparing First-line Everolimus and Sunitinib in Patients with Metastatic Renal Cell Carcinoma.</w:t>
      </w:r>
      <w:proofErr w:type="gramEnd"/>
      <w:r w:rsidRPr="000C4B7C">
        <w:rPr>
          <w:rFonts w:ascii="Book Antiqua" w:hAnsi="Book Antiqua"/>
        </w:rPr>
        <w:t xml:space="preserve"> </w:t>
      </w:r>
      <w:r w:rsidRPr="000C4B7C">
        <w:rPr>
          <w:rFonts w:ascii="Book Antiqua" w:hAnsi="Book Antiqua"/>
          <w:i/>
        </w:rPr>
        <w:t>Eur Urol</w:t>
      </w:r>
      <w:r w:rsidRPr="000C4B7C">
        <w:rPr>
          <w:rFonts w:ascii="Book Antiqua" w:hAnsi="Book Antiqua"/>
        </w:rPr>
        <w:t xml:space="preserve"> 2017; </w:t>
      </w:r>
      <w:r w:rsidRPr="000C4B7C">
        <w:rPr>
          <w:rFonts w:ascii="Book Antiqua" w:hAnsi="Book Antiqua"/>
          <w:b/>
        </w:rPr>
        <w:t>71</w:t>
      </w:r>
      <w:r w:rsidRPr="000C4B7C">
        <w:rPr>
          <w:rFonts w:ascii="Book Antiqua" w:hAnsi="Book Antiqua"/>
        </w:rPr>
        <w:t>: 405-414 [PMID: 27751729 DOI: 10.1016/j.eururo.2016.10.007]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83 </w:t>
      </w:r>
      <w:r w:rsidRPr="000C4B7C">
        <w:rPr>
          <w:rFonts w:ascii="Book Antiqua" w:hAnsi="Book Antiqua"/>
          <w:b/>
        </w:rPr>
        <w:t>Tennenbaum DM</w:t>
      </w:r>
      <w:r w:rsidRPr="000C4B7C">
        <w:rPr>
          <w:rFonts w:ascii="Book Antiqua" w:hAnsi="Book Antiqua"/>
        </w:rPr>
        <w:t xml:space="preserve">, Manley BJ, Zabor E, Becerra MF, Carlo MI, Casuscelli J, Redzematovic A, Khan N, Arcila ME, Voss MH, Feldman DR, Motzer RJ, Benfante NE, Coleman JA, Russo P, Hsieh JJ, Hakimi AA. </w:t>
      </w:r>
      <w:proofErr w:type="gramStart"/>
      <w:r w:rsidRPr="000C4B7C">
        <w:rPr>
          <w:rFonts w:ascii="Book Antiqua" w:hAnsi="Book Antiqua"/>
        </w:rPr>
        <w:t>Genomic alterations as predictors of survival among patients within a combined cohort with clear cell renal cell carcinoma undergoing cytoreductive nephrectomy.</w:t>
      </w:r>
      <w:proofErr w:type="gramEnd"/>
      <w:r w:rsidRPr="000C4B7C">
        <w:rPr>
          <w:rFonts w:ascii="Book Antiqua" w:hAnsi="Book Antiqua"/>
        </w:rPr>
        <w:t xml:space="preserve"> </w:t>
      </w:r>
      <w:r w:rsidRPr="000C4B7C">
        <w:rPr>
          <w:rFonts w:ascii="Book Antiqua" w:hAnsi="Book Antiqua"/>
          <w:i/>
        </w:rPr>
        <w:t>Urol Oncol</w:t>
      </w:r>
      <w:r w:rsidRPr="000C4B7C">
        <w:rPr>
          <w:rFonts w:ascii="Book Antiqua" w:hAnsi="Book Antiqua"/>
        </w:rPr>
        <w:t xml:space="preserve"> 2017; </w:t>
      </w:r>
      <w:r w:rsidRPr="000C4B7C">
        <w:rPr>
          <w:rFonts w:ascii="Book Antiqua" w:hAnsi="Book Antiqua"/>
          <w:b/>
        </w:rPr>
        <w:t>35</w:t>
      </w:r>
      <w:r w:rsidRPr="000C4B7C">
        <w:rPr>
          <w:rFonts w:ascii="Book Antiqua" w:hAnsi="Book Antiqua"/>
        </w:rPr>
        <w:t>: 532.e7-532.e13 [PMID: 28408295 DOI: 10.1016/j.urolonc.2017.03.015]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84 </w:t>
      </w:r>
      <w:r w:rsidRPr="000C4B7C">
        <w:rPr>
          <w:rFonts w:ascii="Book Antiqua" w:hAnsi="Book Antiqua"/>
          <w:b/>
        </w:rPr>
        <w:t>Brugarolas J</w:t>
      </w:r>
      <w:r w:rsidRPr="000C4B7C">
        <w:rPr>
          <w:rFonts w:ascii="Book Antiqua" w:hAnsi="Book Antiqua"/>
        </w:rPr>
        <w:t xml:space="preserve">. Molecular genetics of clear-cell renal cell carcinoma.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1968-1976 [PMID: 24821879 DOI: 10.1200/JCO.2012.45.2003]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85 </w:t>
      </w:r>
      <w:r w:rsidRPr="000C4B7C">
        <w:rPr>
          <w:rFonts w:ascii="Book Antiqua" w:hAnsi="Book Antiqua"/>
          <w:b/>
        </w:rPr>
        <w:t>Brannon AR</w:t>
      </w:r>
      <w:r w:rsidRPr="000C4B7C">
        <w:rPr>
          <w:rFonts w:ascii="Book Antiqua" w:hAnsi="Book Antiqua"/>
        </w:rPr>
        <w:t xml:space="preserve">, Reddy A, Seiler M, Arreola A, Moore DT, Pruthi RS, Wallen EM, Nielsen ME, Liu H, Nathanson KL, Ljungberg B, Zhao H, Brooks JD, Ganesan S, Bhanot G, Rathmell WK. Molecular Stratification of Clear Cell Renal Cell Carcinoma by Consensus Clustering Reveals Distinct Subtypes and Survival Patterns. </w:t>
      </w:r>
      <w:r w:rsidRPr="000C4B7C">
        <w:rPr>
          <w:rFonts w:ascii="Book Antiqua" w:hAnsi="Book Antiqua"/>
          <w:i/>
        </w:rPr>
        <w:t>Genes Cancer</w:t>
      </w:r>
      <w:r w:rsidRPr="000C4B7C">
        <w:rPr>
          <w:rFonts w:ascii="Book Antiqua" w:hAnsi="Book Antiqua"/>
        </w:rPr>
        <w:t xml:space="preserve"> 2010; </w:t>
      </w:r>
      <w:r w:rsidRPr="000C4B7C">
        <w:rPr>
          <w:rFonts w:ascii="Book Antiqua" w:hAnsi="Book Antiqua"/>
          <w:b/>
        </w:rPr>
        <w:t>1</w:t>
      </w:r>
      <w:r w:rsidRPr="000C4B7C">
        <w:rPr>
          <w:rFonts w:ascii="Book Antiqua" w:hAnsi="Book Antiqua"/>
        </w:rPr>
        <w:t>: 152-163 [PMID: 20871783 DOI: 10.1177/1947601909359929]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86 </w:t>
      </w:r>
      <w:r w:rsidRPr="000C4B7C">
        <w:rPr>
          <w:rFonts w:ascii="Book Antiqua" w:hAnsi="Book Antiqua"/>
          <w:b/>
        </w:rPr>
        <w:t>Brannon AR</w:t>
      </w:r>
      <w:r w:rsidRPr="000C4B7C">
        <w:rPr>
          <w:rFonts w:ascii="Book Antiqua" w:hAnsi="Book Antiqua"/>
        </w:rPr>
        <w:t xml:space="preserve">, Haake SM, Hacker KE, Pruthi RS, Wallen EM, Nielsen ME, Rathmell WK. Meta-analysis of clear cell renal cell carcinoma gene expression defines a variant subgroup and identifies gender influences on tumor biology. </w:t>
      </w:r>
      <w:r w:rsidRPr="000C4B7C">
        <w:rPr>
          <w:rFonts w:ascii="Book Antiqua" w:hAnsi="Book Antiqua"/>
          <w:i/>
        </w:rPr>
        <w:t>Eur Urol</w:t>
      </w:r>
      <w:r w:rsidRPr="000C4B7C">
        <w:rPr>
          <w:rFonts w:ascii="Book Antiqua" w:hAnsi="Book Antiqua"/>
        </w:rPr>
        <w:t xml:space="preserve"> 2012; </w:t>
      </w:r>
      <w:r w:rsidRPr="000C4B7C">
        <w:rPr>
          <w:rFonts w:ascii="Book Antiqua" w:hAnsi="Book Antiqua"/>
          <w:b/>
        </w:rPr>
        <w:t>61</w:t>
      </w:r>
      <w:r w:rsidRPr="000C4B7C">
        <w:rPr>
          <w:rFonts w:ascii="Book Antiqua" w:hAnsi="Book Antiqua"/>
        </w:rPr>
        <w:t>: 258-268 [PMID: 22030119 DOI: 10.1016/j.eururo.2011.10.007]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87 </w:t>
      </w:r>
      <w:r w:rsidRPr="000C4B7C">
        <w:rPr>
          <w:rFonts w:ascii="Book Antiqua" w:hAnsi="Book Antiqua"/>
          <w:b/>
        </w:rPr>
        <w:t>Brooks SA</w:t>
      </w:r>
      <w:r w:rsidRPr="000C4B7C">
        <w:rPr>
          <w:rFonts w:ascii="Book Antiqua" w:hAnsi="Book Antiqua"/>
        </w:rPr>
        <w:t xml:space="preserve">, Brannon AR, Parker JS, Fisher JC, Sen O, Kattan MW, Hakimi AA, Hsieh JJ, Choueiri TK, Tamboli P, Maranchie JK, Hinds P, Miller CR, Nielsen ME, Rathmell WK. ClearCode34: A prognostic risk predictor for localized clear cell renal cell carcinoma. </w:t>
      </w:r>
      <w:r w:rsidRPr="000C4B7C">
        <w:rPr>
          <w:rFonts w:ascii="Book Antiqua" w:hAnsi="Book Antiqua"/>
          <w:i/>
        </w:rPr>
        <w:t>Eur Urol</w:t>
      </w:r>
      <w:r w:rsidRPr="000C4B7C">
        <w:rPr>
          <w:rFonts w:ascii="Book Antiqua" w:hAnsi="Book Antiqua"/>
        </w:rPr>
        <w:t xml:space="preserve"> 2014; </w:t>
      </w:r>
      <w:r w:rsidRPr="000C4B7C">
        <w:rPr>
          <w:rFonts w:ascii="Book Antiqua" w:hAnsi="Book Antiqua"/>
          <w:b/>
        </w:rPr>
        <w:t>66</w:t>
      </w:r>
      <w:r w:rsidRPr="000C4B7C">
        <w:rPr>
          <w:rFonts w:ascii="Book Antiqua" w:hAnsi="Book Antiqua"/>
        </w:rPr>
        <w:t>: 77-84 [PMID: 24613583 DOI: 10.1016/j.eururo.2014.02.035]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88 </w:t>
      </w:r>
      <w:r w:rsidRPr="000C4B7C">
        <w:rPr>
          <w:rFonts w:ascii="Book Antiqua" w:hAnsi="Book Antiqua"/>
          <w:b/>
        </w:rPr>
        <w:t>Rini B</w:t>
      </w:r>
      <w:r w:rsidRPr="000C4B7C">
        <w:rPr>
          <w:rFonts w:ascii="Book Antiqua" w:hAnsi="Book Antiqua"/>
        </w:rPr>
        <w:t xml:space="preserve">, Goddard A, Knezevic D, Maddala T, Zhou M, Aydin H, Campbell S, Elson P, Koscielny S, Lopatin M, Svedman C, Martini JF, Williams JA, Verkarre V, Radulescu C, Neuzillet Y, Hemmerlé I, Timsit MO, Tsiatis AC, Bonham M, Lebret T, Mejean A, Escudier B. A 16-gene assay to predict recurrence after surgery in localised renal cell </w:t>
      </w:r>
      <w:r w:rsidRPr="000C4B7C">
        <w:rPr>
          <w:rFonts w:ascii="Book Antiqua" w:hAnsi="Book Antiqua"/>
        </w:rPr>
        <w:lastRenderedPageBreak/>
        <w:t xml:space="preserve">carcinoma: development and validation studies. </w:t>
      </w:r>
      <w:r w:rsidRPr="000C4B7C">
        <w:rPr>
          <w:rFonts w:ascii="Book Antiqua" w:hAnsi="Book Antiqua"/>
          <w:i/>
        </w:rPr>
        <w:t>Lancet Oncol</w:t>
      </w:r>
      <w:r w:rsidRPr="000C4B7C">
        <w:rPr>
          <w:rFonts w:ascii="Book Antiqua" w:hAnsi="Book Antiqua"/>
        </w:rPr>
        <w:t xml:space="preserve"> 2015; </w:t>
      </w:r>
      <w:r w:rsidRPr="000C4B7C">
        <w:rPr>
          <w:rFonts w:ascii="Book Antiqua" w:hAnsi="Book Antiqua"/>
          <w:b/>
        </w:rPr>
        <w:t>16</w:t>
      </w:r>
      <w:r w:rsidRPr="000C4B7C">
        <w:rPr>
          <w:rFonts w:ascii="Book Antiqua" w:hAnsi="Book Antiqua"/>
        </w:rPr>
        <w:t>: 676-685 [PMID: 25979595 DOI: 10.1016/S1470-2045(15)70167-1]</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89 </w:t>
      </w:r>
      <w:r w:rsidRPr="000C4B7C">
        <w:rPr>
          <w:rFonts w:ascii="Book Antiqua" w:hAnsi="Book Antiqua"/>
          <w:b/>
        </w:rPr>
        <w:t>Sanjmyatav J</w:t>
      </w:r>
      <w:r w:rsidRPr="000C4B7C">
        <w:rPr>
          <w:rFonts w:ascii="Book Antiqua" w:hAnsi="Book Antiqua"/>
        </w:rPr>
        <w:t xml:space="preserve">, Matthes S, Muehr M, Sava D, Sternal M, Wunderlich H, Gajda M, Grimm MO, Junker K. Identification of high-risk patients with clear cell renal cell carcinoma based on interphase-FISH. </w:t>
      </w:r>
      <w:r w:rsidRPr="000C4B7C">
        <w:rPr>
          <w:rFonts w:ascii="Book Antiqua" w:hAnsi="Book Antiqua"/>
          <w:i/>
        </w:rPr>
        <w:t>Br J Cancer</w:t>
      </w:r>
      <w:r w:rsidRPr="000C4B7C">
        <w:rPr>
          <w:rFonts w:ascii="Book Antiqua" w:hAnsi="Book Antiqua"/>
        </w:rPr>
        <w:t xml:space="preserve"> 2014; </w:t>
      </w:r>
      <w:r w:rsidRPr="000C4B7C">
        <w:rPr>
          <w:rFonts w:ascii="Book Antiqua" w:hAnsi="Book Antiqua"/>
          <w:b/>
        </w:rPr>
        <w:t>110</w:t>
      </w:r>
      <w:r w:rsidRPr="000C4B7C">
        <w:rPr>
          <w:rFonts w:ascii="Book Antiqua" w:hAnsi="Book Antiqua"/>
        </w:rPr>
        <w:t>: 2537-2543 [PMID: 24667645 DOI: 10.1038/bjc.2014.159]</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90 </w:t>
      </w:r>
      <w:r w:rsidRPr="000C4B7C">
        <w:rPr>
          <w:rFonts w:ascii="Book Antiqua" w:hAnsi="Book Antiqua"/>
          <w:b/>
        </w:rPr>
        <w:t>Kim JH</w:t>
      </w:r>
      <w:r w:rsidRPr="000C4B7C">
        <w:rPr>
          <w:rFonts w:ascii="Book Antiqua" w:hAnsi="Book Antiqua"/>
        </w:rPr>
        <w:t>, Kim BJ, Kim HS.</w:t>
      </w:r>
      <w:proofErr w:type="gramEnd"/>
      <w:r w:rsidRPr="000C4B7C">
        <w:rPr>
          <w:rFonts w:ascii="Book Antiqua" w:hAnsi="Book Antiqua"/>
        </w:rPr>
        <w:t xml:space="preserve"> Clinicopathological impacts of high c-Met expression in renal cell carcinoma: a meta-analysis and review. </w:t>
      </w:r>
      <w:r w:rsidRPr="000C4B7C">
        <w:rPr>
          <w:rFonts w:ascii="Book Antiqua" w:hAnsi="Book Antiqua"/>
          <w:i/>
        </w:rPr>
        <w:t>Oncotarget</w:t>
      </w:r>
      <w:r w:rsidRPr="000C4B7C">
        <w:rPr>
          <w:rFonts w:ascii="Book Antiqua" w:hAnsi="Book Antiqua"/>
        </w:rPr>
        <w:t xml:space="preserve"> 2017; </w:t>
      </w:r>
      <w:r w:rsidRPr="000C4B7C">
        <w:rPr>
          <w:rFonts w:ascii="Book Antiqua" w:hAnsi="Book Antiqua"/>
          <w:b/>
        </w:rPr>
        <w:t>8</w:t>
      </w:r>
      <w:r w:rsidRPr="000C4B7C">
        <w:rPr>
          <w:rFonts w:ascii="Book Antiqua" w:hAnsi="Book Antiqua"/>
        </w:rPr>
        <w:t>: 75478-75487 [PMID: 29088883 DOI: 10.18632/oncotarget.20796]</w:t>
      </w:r>
    </w:p>
    <w:p w:rsidR="00656D23" w:rsidRPr="000C4B7C" w:rsidRDefault="00656D23" w:rsidP="000C4B7C">
      <w:pPr>
        <w:adjustRightInd w:val="0"/>
        <w:snapToGrid w:val="0"/>
        <w:spacing w:line="360" w:lineRule="auto"/>
        <w:jc w:val="both"/>
        <w:rPr>
          <w:rFonts w:ascii="Book Antiqua" w:hAnsi="Book Antiqua"/>
        </w:rPr>
      </w:pPr>
      <w:r w:rsidRPr="00391971">
        <w:rPr>
          <w:rFonts w:ascii="Book Antiqua" w:hAnsi="Book Antiqua"/>
        </w:rPr>
        <w:t xml:space="preserve">91 </w:t>
      </w:r>
      <w:r w:rsidRPr="00391971">
        <w:rPr>
          <w:rFonts w:ascii="Book Antiqua" w:hAnsi="Book Antiqua"/>
          <w:b/>
        </w:rPr>
        <w:t>Yasser G.</w:t>
      </w:r>
      <w:r w:rsidR="00BE4ECD" w:rsidRPr="00391971">
        <w:rPr>
          <w:rFonts w:ascii="Book Antiqua" w:hAnsi="Book Antiqua"/>
          <w:lang w:eastAsia="zh-CN"/>
        </w:rPr>
        <w:t xml:space="preserve"> </w:t>
      </w:r>
      <w:r w:rsidRPr="00391971">
        <w:rPr>
          <w:rFonts w:ascii="Book Antiqua" w:hAnsi="Book Antiqua"/>
        </w:rPr>
        <w:t xml:space="preserve">Alterations in DNA damage repair genes and outcomes to systemic therapy in immune-oncology versus tyrosine kinase inhibitor treated metastatic clear cell renal cell carcinoma patients. </w:t>
      </w:r>
      <w:r w:rsidR="0092692F" w:rsidRPr="00391971">
        <w:rPr>
          <w:rFonts w:ascii="Book Antiqua" w:hAnsi="Book Antiqua"/>
        </w:rPr>
        <w:t>San Francisco</w:t>
      </w:r>
      <w:r w:rsidR="0092692F" w:rsidRPr="00391971">
        <w:rPr>
          <w:rFonts w:ascii="Book Antiqua" w:hAnsi="Book Antiqua"/>
          <w:lang w:eastAsia="zh-CN"/>
        </w:rPr>
        <w:t>:</w:t>
      </w:r>
      <w:r w:rsidR="0092692F" w:rsidRPr="00391971">
        <w:rPr>
          <w:rFonts w:ascii="Book Antiqua" w:hAnsi="Book Antiqua"/>
        </w:rPr>
        <w:t xml:space="preserve"> </w:t>
      </w:r>
      <w:r w:rsidRPr="00391971">
        <w:rPr>
          <w:rFonts w:ascii="Book Antiqua" w:hAnsi="Book Antiqua"/>
        </w:rPr>
        <w:t>American Society of Clinical Oncology Genitourinary Cancers Symposium (ASCO GU)</w:t>
      </w:r>
      <w:r w:rsidR="0092692F" w:rsidRPr="00391971">
        <w:rPr>
          <w:rFonts w:ascii="Book Antiqua" w:hAnsi="Book Antiqua"/>
          <w:lang w:eastAsia="zh-CN"/>
        </w:rPr>
        <w:t>,</w:t>
      </w:r>
      <w:r w:rsidRPr="00391971">
        <w:rPr>
          <w:rFonts w:ascii="Book Antiqua" w:hAnsi="Book Antiqua"/>
        </w:rPr>
        <w:t xml:space="preserve"> 2019</w:t>
      </w:r>
    </w:p>
    <w:p w:rsidR="00656D23" w:rsidRPr="000C4B7C" w:rsidRDefault="00656D23" w:rsidP="000C4B7C">
      <w:pPr>
        <w:adjustRightInd w:val="0"/>
        <w:snapToGrid w:val="0"/>
        <w:spacing w:line="360" w:lineRule="auto"/>
        <w:jc w:val="both"/>
        <w:rPr>
          <w:rFonts w:ascii="Book Antiqua" w:hAnsi="Book Antiqua"/>
        </w:rPr>
      </w:pPr>
      <w:proofErr w:type="gramStart"/>
      <w:r w:rsidRPr="000C4B7C">
        <w:rPr>
          <w:rFonts w:ascii="Book Antiqua" w:hAnsi="Book Antiqua"/>
        </w:rPr>
        <w:t xml:space="preserve">92 </w:t>
      </w:r>
      <w:r w:rsidRPr="000C4B7C">
        <w:rPr>
          <w:rFonts w:ascii="Book Antiqua" w:hAnsi="Book Antiqua"/>
          <w:b/>
        </w:rPr>
        <w:t>Ha M</w:t>
      </w:r>
      <w:r w:rsidRPr="000C4B7C">
        <w:rPr>
          <w:rFonts w:ascii="Book Antiqua" w:hAnsi="Book Antiqua"/>
        </w:rPr>
        <w:t>, Jeong H, Roh JS, Lee B, Han ME, Oh SO, Sohn DH, Kim YH.</w:t>
      </w:r>
      <w:proofErr w:type="gramEnd"/>
      <w:r w:rsidRPr="000C4B7C">
        <w:rPr>
          <w:rFonts w:ascii="Book Antiqua" w:hAnsi="Book Antiqua"/>
        </w:rPr>
        <w:t xml:space="preserve"> DYSF expression in clear cell renal cell carcinoma: A retrospective study of 2 independent cohorts. </w:t>
      </w:r>
      <w:r w:rsidRPr="000C4B7C">
        <w:rPr>
          <w:rFonts w:ascii="Book Antiqua" w:hAnsi="Book Antiqua"/>
          <w:i/>
        </w:rPr>
        <w:t>Urol Oncol</w:t>
      </w:r>
      <w:r w:rsidRPr="000C4B7C">
        <w:rPr>
          <w:rFonts w:ascii="Book Antiqua" w:hAnsi="Book Antiqua"/>
        </w:rPr>
        <w:t xml:space="preserve"> 2019; </w:t>
      </w:r>
      <w:r w:rsidRPr="000C4B7C">
        <w:rPr>
          <w:rFonts w:ascii="Book Antiqua" w:hAnsi="Book Antiqua"/>
          <w:b/>
        </w:rPr>
        <w:t>37</w:t>
      </w:r>
      <w:r w:rsidRPr="000C4B7C">
        <w:rPr>
          <w:rFonts w:ascii="Book Antiqua" w:hAnsi="Book Antiqua"/>
        </w:rPr>
        <w:t>: 735-741 [PMID: 31377166 DOI: 10.1016/j.urolonc.2019.07.007]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93 </w:t>
      </w:r>
      <w:r w:rsidRPr="000C4B7C">
        <w:rPr>
          <w:rFonts w:ascii="Book Antiqua" w:hAnsi="Book Antiqua"/>
          <w:b/>
        </w:rPr>
        <w:t>Majer W</w:t>
      </w:r>
      <w:r w:rsidRPr="000C4B7C">
        <w:rPr>
          <w:rFonts w:ascii="Book Antiqua" w:hAnsi="Book Antiqua"/>
        </w:rPr>
        <w:t xml:space="preserve">, Kluzek K, Bluyssen H, Wesoły J. Potential Approaches and Recent Advances in Biomarker Discovery in Clear-Cell Renal Cell Carcinoma. </w:t>
      </w:r>
      <w:r w:rsidRPr="000C4B7C">
        <w:rPr>
          <w:rFonts w:ascii="Book Antiqua" w:hAnsi="Book Antiqua"/>
          <w:i/>
        </w:rPr>
        <w:t>J Cancer</w:t>
      </w:r>
      <w:r w:rsidRPr="000C4B7C">
        <w:rPr>
          <w:rFonts w:ascii="Book Antiqua" w:hAnsi="Book Antiqua"/>
        </w:rPr>
        <w:t xml:space="preserve"> 2015; </w:t>
      </w:r>
      <w:r w:rsidRPr="000C4B7C">
        <w:rPr>
          <w:rFonts w:ascii="Book Antiqua" w:hAnsi="Book Antiqua"/>
          <w:b/>
        </w:rPr>
        <w:t>6</w:t>
      </w:r>
      <w:r w:rsidRPr="000C4B7C">
        <w:rPr>
          <w:rFonts w:ascii="Book Antiqua" w:hAnsi="Book Antiqua"/>
        </w:rPr>
        <w:t>: 1105-1113 [PMID: 26516358 DOI: 10.7150/jca.12145]</w:t>
      </w:r>
    </w:p>
    <w:p w:rsidR="00656D23"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94 </w:t>
      </w:r>
      <w:r w:rsidR="009A6F8E" w:rsidRPr="000C4B7C">
        <w:rPr>
          <w:rFonts w:ascii="Book Antiqua" w:hAnsi="Book Antiqua"/>
          <w:b/>
        </w:rPr>
        <w:t>McGregor</w:t>
      </w:r>
      <w:r w:rsidR="009A6F8E" w:rsidRPr="000C4B7C">
        <w:rPr>
          <w:rFonts w:ascii="Book Antiqua" w:hAnsi="Book Antiqua"/>
          <w:b/>
          <w:lang w:eastAsia="zh-CN"/>
        </w:rPr>
        <w:t xml:space="preserve"> BA, </w:t>
      </w:r>
      <w:r w:rsidR="009A6F8E" w:rsidRPr="000C4B7C">
        <w:rPr>
          <w:rFonts w:ascii="Book Antiqua" w:hAnsi="Book Antiqua"/>
          <w:lang w:eastAsia="zh-CN"/>
        </w:rPr>
        <w:t>Lalani A, Xie W, Steinharter JA, Martini DJ, Nuzzo PV, Martinez Chanza N, Harshman LC, Bilen MA, Choueiri TK</w:t>
      </w:r>
      <w:r w:rsidRPr="000C4B7C">
        <w:rPr>
          <w:rFonts w:ascii="Book Antiqua" w:hAnsi="Book Antiqua"/>
        </w:rPr>
        <w:t>.</w:t>
      </w:r>
      <w:r w:rsidRPr="000C4B7C">
        <w:rPr>
          <w:rFonts w:ascii="Book Antiqua" w:hAnsi="Book Antiqua"/>
          <w:b/>
        </w:rPr>
        <w:t xml:space="preserve"> </w:t>
      </w:r>
      <w:r w:rsidRPr="000C4B7C">
        <w:rPr>
          <w:rFonts w:ascii="Book Antiqua" w:hAnsi="Book Antiqua"/>
        </w:rPr>
        <w:t>Activity of cabozantinib (cabo) after PD-1/PD-L1 immune checkpoint blockade (ICB) in metastatic clear cell</w:t>
      </w:r>
      <w:r w:rsidR="009F6E61" w:rsidRPr="000C4B7C">
        <w:rPr>
          <w:rFonts w:ascii="Book Antiqua" w:hAnsi="Book Antiqua"/>
        </w:rPr>
        <w:t xml:space="preserve"> renal cell carcinoma (mccRCC).</w:t>
      </w:r>
      <w:r w:rsidRPr="000C4B7C">
        <w:rPr>
          <w:rFonts w:ascii="Book Antiqua" w:hAnsi="Book Antiqua"/>
        </w:rPr>
        <w:t xml:space="preserve"> </w:t>
      </w:r>
      <w:r w:rsidR="00503AD4" w:rsidRPr="000C4B7C">
        <w:rPr>
          <w:rFonts w:ascii="Book Antiqua" w:hAnsi="Book Antiqua"/>
          <w:i/>
        </w:rPr>
        <w:t>Ann Oncol</w:t>
      </w:r>
      <w:r w:rsidR="00503AD4" w:rsidRPr="000C4B7C">
        <w:rPr>
          <w:rFonts w:ascii="Book Antiqua" w:hAnsi="Book Antiqua"/>
          <w:i/>
          <w:lang w:eastAsia="zh-CN"/>
        </w:rPr>
        <w:t xml:space="preserve"> </w:t>
      </w:r>
      <w:r w:rsidRPr="000C4B7C">
        <w:rPr>
          <w:rFonts w:ascii="Book Antiqua" w:hAnsi="Book Antiqua"/>
        </w:rPr>
        <w:t>2018</w:t>
      </w:r>
      <w:r w:rsidR="00560C36" w:rsidRPr="000C4B7C">
        <w:rPr>
          <w:rFonts w:ascii="Book Antiqua" w:hAnsi="Book Antiqua"/>
          <w:lang w:eastAsia="zh-CN"/>
        </w:rPr>
        <w:t xml:space="preserve">; </w:t>
      </w:r>
      <w:r w:rsidR="00560C36" w:rsidRPr="000C4B7C">
        <w:rPr>
          <w:rFonts w:ascii="Book Antiqua" w:hAnsi="Book Antiqua"/>
          <w:b/>
          <w:lang w:eastAsia="zh-CN"/>
        </w:rPr>
        <w:t>29 (suppl_8)</w:t>
      </w:r>
      <w:r w:rsidRPr="000C4B7C">
        <w:rPr>
          <w:rFonts w:ascii="Book Antiqua" w:hAnsi="Book Antiqua"/>
        </w:rPr>
        <w:t xml:space="preserve">: viii303-viii331 </w:t>
      </w:r>
      <w:r w:rsidR="006B4211" w:rsidRPr="000C4B7C">
        <w:rPr>
          <w:rFonts w:ascii="Book Antiqua" w:hAnsi="Book Antiqua"/>
          <w:lang w:eastAsia="zh-CN"/>
        </w:rPr>
        <w:t xml:space="preserve">[DOI: </w:t>
      </w:r>
      <w:r w:rsidR="00503AD4" w:rsidRPr="000C4B7C">
        <w:rPr>
          <w:rFonts w:ascii="Book Antiqua" w:hAnsi="Book Antiqua"/>
        </w:rPr>
        <w:t>10.1093/annonc/mdy283</w:t>
      </w:r>
      <w:r w:rsidR="006B4211" w:rsidRPr="000C4B7C">
        <w:rPr>
          <w:rFonts w:ascii="Book Antiqua" w:hAnsi="Book Antiqua"/>
          <w:lang w:eastAsia="zh-CN"/>
        </w:rPr>
        <w:t>]</w:t>
      </w:r>
    </w:p>
    <w:p w:rsidR="00A659D9" w:rsidRPr="000C4B7C" w:rsidRDefault="00656D23" w:rsidP="000C4B7C">
      <w:pPr>
        <w:adjustRightInd w:val="0"/>
        <w:snapToGrid w:val="0"/>
        <w:spacing w:line="360" w:lineRule="auto"/>
        <w:jc w:val="both"/>
        <w:rPr>
          <w:rFonts w:ascii="Book Antiqua" w:hAnsi="Book Antiqua"/>
          <w:lang w:eastAsia="zh-CN"/>
        </w:rPr>
      </w:pPr>
      <w:r w:rsidRPr="000C4B7C">
        <w:rPr>
          <w:rFonts w:ascii="Book Antiqua" w:hAnsi="Book Antiqua"/>
        </w:rPr>
        <w:t xml:space="preserve">95 </w:t>
      </w:r>
      <w:r w:rsidR="00484A63" w:rsidRPr="000C4B7C">
        <w:rPr>
          <w:rFonts w:ascii="Book Antiqua" w:hAnsi="Book Antiqua"/>
          <w:b/>
        </w:rPr>
        <w:t>McDermott</w:t>
      </w:r>
      <w:r w:rsidR="00484A63" w:rsidRPr="000C4B7C">
        <w:rPr>
          <w:rFonts w:ascii="Book Antiqua" w:hAnsi="Book Antiqua"/>
          <w:b/>
          <w:lang w:eastAsia="zh-CN"/>
        </w:rPr>
        <w:t xml:space="preserve"> </w:t>
      </w:r>
      <w:r w:rsidR="00484A63" w:rsidRPr="000C4B7C">
        <w:rPr>
          <w:rFonts w:ascii="Book Antiqua" w:hAnsi="Book Antiqua"/>
          <w:b/>
        </w:rPr>
        <w:t xml:space="preserve">DF, </w:t>
      </w:r>
      <w:r w:rsidR="00484A63" w:rsidRPr="000C4B7C">
        <w:rPr>
          <w:rFonts w:ascii="Book Antiqua" w:hAnsi="Book Antiqua"/>
        </w:rPr>
        <w:t>Rini BI, Motzer RJ, Tannir NM, Escudier B, Kollmannsberger CK, Hammers HJ, Porta C, George S, Donskov F, Gurney HP, Grimm M, Harrison M, Hutson TE, Doan J, Yang S, Rao S, Mekan S, Ambavane A, Powles T</w:t>
      </w:r>
      <w:r w:rsidR="00484A63" w:rsidRPr="000C4B7C">
        <w:rPr>
          <w:rFonts w:ascii="Book Antiqua" w:hAnsi="Book Antiqua"/>
          <w:lang w:eastAsia="zh-CN"/>
        </w:rPr>
        <w:t xml:space="preserve">. </w:t>
      </w:r>
      <w:r w:rsidRPr="000C4B7C">
        <w:rPr>
          <w:rFonts w:ascii="Book Antiqua" w:hAnsi="Book Antiqua"/>
        </w:rPr>
        <w:t>Treatment-free interval (TFI) following discontinuation of first-line nivolumab plus ipilimumab (N+I) or sunitinib (S) in patients (Pts) with advanced renal cell carcinoma (</w:t>
      </w:r>
      <w:r w:rsidR="00C0042C" w:rsidRPr="000C4B7C">
        <w:rPr>
          <w:rFonts w:ascii="Book Antiqua" w:hAnsi="Book Antiqua"/>
        </w:rPr>
        <w:t xml:space="preserve">aRCC): CheckMate </w:t>
      </w:r>
      <w:r w:rsidR="00C0042C" w:rsidRPr="000C4B7C">
        <w:rPr>
          <w:rFonts w:ascii="Book Antiqua" w:hAnsi="Book Antiqua"/>
        </w:rPr>
        <w:lastRenderedPageBreak/>
        <w:t xml:space="preserve">214 analysis. </w:t>
      </w:r>
      <w:r w:rsidR="001F4762" w:rsidRPr="000C4B7C">
        <w:rPr>
          <w:rFonts w:ascii="Book Antiqua" w:hAnsi="Book Antiqua"/>
          <w:i/>
        </w:rPr>
        <w:t>Ann Oncol</w:t>
      </w:r>
      <w:r w:rsidR="001F4762" w:rsidRPr="000C4B7C">
        <w:rPr>
          <w:rFonts w:ascii="Book Antiqua" w:hAnsi="Book Antiqua"/>
          <w:i/>
          <w:lang w:eastAsia="zh-CN"/>
        </w:rPr>
        <w:t xml:space="preserve"> </w:t>
      </w:r>
      <w:r w:rsidR="001F4762" w:rsidRPr="000C4B7C">
        <w:rPr>
          <w:rFonts w:ascii="Book Antiqua" w:hAnsi="Book Antiqua"/>
        </w:rPr>
        <w:t>2018</w:t>
      </w:r>
      <w:r w:rsidR="001F4762" w:rsidRPr="000C4B7C">
        <w:rPr>
          <w:rFonts w:ascii="Book Antiqua" w:hAnsi="Book Antiqua"/>
          <w:lang w:eastAsia="zh-CN"/>
        </w:rPr>
        <w:t xml:space="preserve">; </w:t>
      </w:r>
      <w:r w:rsidR="001F4762" w:rsidRPr="000C4B7C">
        <w:rPr>
          <w:rFonts w:ascii="Book Antiqua" w:hAnsi="Book Antiqua"/>
          <w:b/>
          <w:lang w:eastAsia="zh-CN"/>
        </w:rPr>
        <w:t>29 (suppl_8)</w:t>
      </w:r>
      <w:r w:rsidR="001F4762" w:rsidRPr="000C4B7C">
        <w:rPr>
          <w:rFonts w:ascii="Book Antiqua" w:hAnsi="Book Antiqua"/>
        </w:rPr>
        <w:t>: viii2303-viii2331</w:t>
      </w:r>
      <w:r w:rsidR="001F4762" w:rsidRPr="000C4B7C">
        <w:rPr>
          <w:rFonts w:ascii="Book Antiqua" w:hAnsi="Book Antiqua"/>
          <w:lang w:eastAsia="zh-CN"/>
        </w:rPr>
        <w:t xml:space="preserve"> </w:t>
      </w:r>
      <w:r w:rsidR="00A659D9" w:rsidRPr="000C4B7C">
        <w:rPr>
          <w:rFonts w:ascii="Book Antiqua" w:hAnsi="Book Antiqua"/>
          <w:lang w:eastAsia="zh-CN"/>
        </w:rPr>
        <w:t xml:space="preserve">[DOI: </w:t>
      </w:r>
      <w:r w:rsidR="00A659D9" w:rsidRPr="000C4B7C">
        <w:rPr>
          <w:rFonts w:ascii="Book Antiqua" w:hAnsi="Book Antiqua"/>
        </w:rPr>
        <w:t>10.1093/annonc/mdy283</w:t>
      </w:r>
      <w:r w:rsidR="00A659D9" w:rsidRPr="000C4B7C">
        <w:rPr>
          <w:rFonts w:ascii="Book Antiqua" w:hAnsi="Book Antiqua"/>
          <w:lang w:eastAsia="zh-CN"/>
        </w:rPr>
        <w:t>]</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96 </w:t>
      </w:r>
      <w:r w:rsidRPr="000C4B7C">
        <w:rPr>
          <w:rFonts w:ascii="Book Antiqua" w:hAnsi="Book Antiqua"/>
          <w:b/>
        </w:rPr>
        <w:t>Nadal R</w:t>
      </w:r>
      <w:r w:rsidRPr="000C4B7C">
        <w:rPr>
          <w:rFonts w:ascii="Book Antiqua" w:hAnsi="Book Antiqua"/>
        </w:rPr>
        <w:t xml:space="preserve">, Amin A, Geynisman DM, Voss MH, Weinstock M, Doyle J, Zhang Z, Viudez A, Plimack ER, McDermott DF, Motzer R, Rini B, Hammers HJ. </w:t>
      </w:r>
      <w:proofErr w:type="gramStart"/>
      <w:r w:rsidRPr="000C4B7C">
        <w:rPr>
          <w:rFonts w:ascii="Book Antiqua" w:hAnsi="Book Antiqua"/>
        </w:rPr>
        <w:t>Safety and clinical activity of vascular endothelial growth factor receptor (VEGFR)-tyrosine kinase inhibitors after programmed cell death 1 inhibitor treatment in patients with metastatic clear cell renal cell carcinoma.</w:t>
      </w:r>
      <w:proofErr w:type="gramEnd"/>
      <w:r w:rsidRPr="000C4B7C">
        <w:rPr>
          <w:rFonts w:ascii="Book Antiqua" w:hAnsi="Book Antiqua"/>
        </w:rPr>
        <w:t xml:space="preserve"> </w:t>
      </w:r>
      <w:r w:rsidRPr="000C4B7C">
        <w:rPr>
          <w:rFonts w:ascii="Book Antiqua" w:hAnsi="Book Antiqua"/>
          <w:i/>
        </w:rPr>
        <w:t>Ann Oncol</w:t>
      </w:r>
      <w:r w:rsidRPr="000C4B7C">
        <w:rPr>
          <w:rFonts w:ascii="Book Antiqua" w:hAnsi="Book Antiqua"/>
        </w:rPr>
        <w:t xml:space="preserve"> 2016; </w:t>
      </w:r>
      <w:r w:rsidRPr="000C4B7C">
        <w:rPr>
          <w:rFonts w:ascii="Book Antiqua" w:hAnsi="Book Antiqua"/>
          <w:b/>
        </w:rPr>
        <w:t>27</w:t>
      </w:r>
      <w:r w:rsidRPr="000C4B7C">
        <w:rPr>
          <w:rFonts w:ascii="Book Antiqua" w:hAnsi="Book Antiqua"/>
        </w:rPr>
        <w:t>: 1304-1311 [PMID: 27059553 DOI: 10.1093/annonc/mdw160]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97 </w:t>
      </w:r>
      <w:r w:rsidRPr="000C4B7C">
        <w:rPr>
          <w:rFonts w:ascii="Book Antiqua" w:hAnsi="Book Antiqua"/>
          <w:b/>
        </w:rPr>
        <w:t>Barata PC</w:t>
      </w:r>
      <w:r w:rsidRPr="000C4B7C">
        <w:rPr>
          <w:rFonts w:ascii="Book Antiqua" w:hAnsi="Book Antiqua"/>
        </w:rPr>
        <w:t xml:space="preserve">, De Liano AG, Mendiratta P, Crolley V, Szabados B, Morrison L, Wood L, Allman K, Tyler A, Martin A, Gilligan T, Grivas P, Ornstein M, Garcia JA, Powles T, Rini BI. </w:t>
      </w:r>
      <w:proofErr w:type="gramStart"/>
      <w:r w:rsidRPr="000C4B7C">
        <w:rPr>
          <w:rFonts w:ascii="Book Antiqua" w:hAnsi="Book Antiqua"/>
        </w:rPr>
        <w:t>The efficacy of VEGFR TKI therapy after progression on immune combination therapy in metastatic renal cell carcinoma.</w:t>
      </w:r>
      <w:proofErr w:type="gramEnd"/>
      <w:r w:rsidRPr="000C4B7C">
        <w:rPr>
          <w:rFonts w:ascii="Book Antiqua" w:hAnsi="Book Antiqua"/>
        </w:rPr>
        <w:t xml:space="preserve"> </w:t>
      </w:r>
      <w:r w:rsidRPr="000C4B7C">
        <w:rPr>
          <w:rFonts w:ascii="Book Antiqua" w:hAnsi="Book Antiqua"/>
          <w:i/>
        </w:rPr>
        <w:t>Br J Cancer</w:t>
      </w:r>
      <w:r w:rsidRPr="000C4B7C">
        <w:rPr>
          <w:rFonts w:ascii="Book Antiqua" w:hAnsi="Book Antiqua"/>
        </w:rPr>
        <w:t xml:space="preserve"> 2018; </w:t>
      </w:r>
      <w:r w:rsidRPr="000C4B7C">
        <w:rPr>
          <w:rFonts w:ascii="Book Antiqua" w:hAnsi="Book Antiqua"/>
          <w:b/>
        </w:rPr>
        <w:t>119</w:t>
      </w:r>
      <w:r w:rsidRPr="000C4B7C">
        <w:rPr>
          <w:rFonts w:ascii="Book Antiqua" w:hAnsi="Book Antiqua"/>
        </w:rPr>
        <w:t>: 160-163 [PMID: 29795307 DOI: 10.1038/s41416-018-0104-z]</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98 </w:t>
      </w:r>
      <w:r w:rsidRPr="000C4B7C">
        <w:rPr>
          <w:rFonts w:ascii="Book Antiqua" w:hAnsi="Book Antiqua"/>
          <w:b/>
        </w:rPr>
        <w:t>Amin A</w:t>
      </w:r>
      <w:r w:rsidRPr="000C4B7C">
        <w:rPr>
          <w:rFonts w:ascii="Book Antiqua" w:hAnsi="Book Antiqua"/>
        </w:rPr>
        <w:t xml:space="preserve">, Plimack ER, Ernstoff MS, Lewis LD, Bauer TM, McDermott DF, Carducci M, Kollmannsberger C, Rini BI, Heng DYC, Knox J, Voss MH, Spratlin J, Berghorn E, Yang L, Hammers HJ. Safety and efficacy of nivolumab in combination with sunitinib or pazopanib in advanced or metastatic renal cell carcinoma: the CheckMate 016 study. </w:t>
      </w:r>
      <w:r w:rsidRPr="000C4B7C">
        <w:rPr>
          <w:rFonts w:ascii="Book Antiqua" w:hAnsi="Book Antiqua"/>
          <w:i/>
        </w:rPr>
        <w:t>J Immunother Cancer</w:t>
      </w:r>
      <w:r w:rsidRPr="000C4B7C">
        <w:rPr>
          <w:rFonts w:ascii="Book Antiqua" w:hAnsi="Book Antiqua"/>
        </w:rPr>
        <w:t xml:space="preserve"> 2018; </w:t>
      </w:r>
      <w:r w:rsidRPr="000C4B7C">
        <w:rPr>
          <w:rFonts w:ascii="Book Antiqua" w:hAnsi="Book Antiqua"/>
          <w:b/>
        </w:rPr>
        <w:t>6</w:t>
      </w:r>
      <w:r w:rsidRPr="000C4B7C">
        <w:rPr>
          <w:rFonts w:ascii="Book Antiqua" w:hAnsi="Book Antiqua"/>
        </w:rPr>
        <w:t>: 109 [PMID: 30348216 DOI: 10.1186/s40425-018-0420-0]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99 </w:t>
      </w:r>
      <w:r w:rsidRPr="000C4B7C">
        <w:rPr>
          <w:rFonts w:ascii="Book Antiqua" w:hAnsi="Book Antiqua"/>
          <w:b/>
        </w:rPr>
        <w:t>Sternberg CN</w:t>
      </w:r>
      <w:r w:rsidRPr="000C4B7C">
        <w:rPr>
          <w:rFonts w:ascii="Book Antiqua" w:hAnsi="Book Antiqua"/>
        </w:rPr>
        <w:t xml:space="preserve">, Davis ID, Mardiak J, Szczylik C, Lee E, Wagstaff J, Barrios CH, Salman P, Gladkov OA, Kavina A, Zarbá JJ, Chen M, McCann L, Pandite L, Roychowdhury DF, Hawkins RE. Pazopanib in locally advanced or metastatic renal cell carcinoma: results of a randomized phase III trial. </w:t>
      </w:r>
      <w:r w:rsidRPr="000C4B7C">
        <w:rPr>
          <w:rFonts w:ascii="Book Antiqua" w:hAnsi="Book Antiqua"/>
          <w:i/>
        </w:rPr>
        <w:t>J Clin Oncol</w:t>
      </w:r>
      <w:r w:rsidRPr="000C4B7C">
        <w:rPr>
          <w:rFonts w:ascii="Book Antiqua" w:hAnsi="Book Antiqua"/>
        </w:rPr>
        <w:t xml:space="preserve"> 2010; </w:t>
      </w:r>
      <w:r w:rsidRPr="000C4B7C">
        <w:rPr>
          <w:rFonts w:ascii="Book Antiqua" w:hAnsi="Book Antiqua"/>
          <w:b/>
        </w:rPr>
        <w:t>28</w:t>
      </w:r>
      <w:r w:rsidRPr="000C4B7C">
        <w:rPr>
          <w:rFonts w:ascii="Book Antiqua" w:hAnsi="Book Antiqua"/>
        </w:rPr>
        <w:t>: 1061-1068 [PMID: 20100962 DOI: 10.1200/JCO.2009.23.9764]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100 </w:t>
      </w:r>
      <w:r w:rsidRPr="000C4B7C">
        <w:rPr>
          <w:rFonts w:ascii="Book Antiqua" w:hAnsi="Book Antiqua"/>
          <w:b/>
        </w:rPr>
        <w:t>Sternberg CN</w:t>
      </w:r>
      <w:r w:rsidRPr="000C4B7C">
        <w:rPr>
          <w:rFonts w:ascii="Book Antiqua" w:hAnsi="Book Antiqua"/>
        </w:rPr>
        <w:t xml:space="preserve">, Hawkins RE, Wagstaff J, Salman P, Mardiak J, Barrios CH, Zarba JJ, Gladkov OA, Lee E, Szczylik C, McCann L, Rubin SD, Chen M, Davis ID. A randomised, double-blind phase III study of pazopanib in patients with advanced and/or metastatic renal cell carcinoma: final overall survival results and safety update. </w:t>
      </w:r>
      <w:r w:rsidRPr="000C4B7C">
        <w:rPr>
          <w:rFonts w:ascii="Book Antiqua" w:hAnsi="Book Antiqua"/>
          <w:i/>
        </w:rPr>
        <w:t>Eur J Cancer</w:t>
      </w:r>
      <w:r w:rsidRPr="000C4B7C">
        <w:rPr>
          <w:rFonts w:ascii="Book Antiqua" w:hAnsi="Book Antiqua"/>
        </w:rPr>
        <w:t xml:space="preserve"> 2013; </w:t>
      </w:r>
      <w:r w:rsidRPr="000C4B7C">
        <w:rPr>
          <w:rFonts w:ascii="Book Antiqua" w:hAnsi="Book Antiqua"/>
          <w:b/>
        </w:rPr>
        <w:t>49</w:t>
      </w:r>
      <w:r w:rsidRPr="000C4B7C">
        <w:rPr>
          <w:rFonts w:ascii="Book Antiqua" w:hAnsi="Book Antiqua"/>
        </w:rPr>
        <w:t>: 1287-1296 [PMID: 23321547 DOI: 10.1016/j.ejca.2012.12.010]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101 </w:t>
      </w:r>
      <w:r w:rsidRPr="000C4B7C">
        <w:rPr>
          <w:rFonts w:ascii="Book Antiqua" w:hAnsi="Book Antiqua"/>
          <w:b/>
        </w:rPr>
        <w:t>Hainsworth JD</w:t>
      </w:r>
      <w:r w:rsidRPr="000C4B7C">
        <w:rPr>
          <w:rFonts w:ascii="Book Antiqua" w:hAnsi="Book Antiqua"/>
        </w:rPr>
        <w:t xml:space="preserve">, Rubin MS, Arrowsmith ER, Khatcheressian J, Crane EJ, Franco LA. Pazopanib as second-line treatment after sunitinib or bevacizumab in patients with advanced renal cell carcinoma: a Sarah Cannon Oncology Research Consortium Phase II Trial. </w:t>
      </w:r>
      <w:r w:rsidRPr="000C4B7C">
        <w:rPr>
          <w:rFonts w:ascii="Book Antiqua" w:hAnsi="Book Antiqua"/>
          <w:i/>
        </w:rPr>
        <w:t>Clin Genitourin Cancer</w:t>
      </w:r>
      <w:r w:rsidRPr="000C4B7C">
        <w:rPr>
          <w:rFonts w:ascii="Book Antiqua" w:hAnsi="Book Antiqua"/>
        </w:rPr>
        <w:t xml:space="preserve"> 2013; </w:t>
      </w:r>
      <w:r w:rsidRPr="000C4B7C">
        <w:rPr>
          <w:rFonts w:ascii="Book Antiqua" w:hAnsi="Book Antiqua"/>
          <w:b/>
        </w:rPr>
        <w:t>11</w:t>
      </w:r>
      <w:r w:rsidRPr="000C4B7C">
        <w:rPr>
          <w:rFonts w:ascii="Book Antiqua" w:hAnsi="Book Antiqua"/>
        </w:rPr>
        <w:t>: 270-275 [PMID: 23665131 DOI: 10.1016/j.clgc.2013.04.006]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102 </w:t>
      </w:r>
      <w:r w:rsidRPr="000C4B7C">
        <w:rPr>
          <w:rFonts w:ascii="Book Antiqua" w:hAnsi="Book Antiqua"/>
          <w:b/>
        </w:rPr>
        <w:t>Motzer RJ</w:t>
      </w:r>
      <w:r w:rsidRPr="000C4B7C">
        <w:rPr>
          <w:rFonts w:ascii="Book Antiqua" w:hAnsi="Book Antiqua"/>
        </w:rPr>
        <w:t xml:space="preserve">, Hutson TE, Tomczak P, Michaelson MD, Bukowski RM, Rixe O, Oudard S, Negrier S, Szczylik C, Kim ST, Chen I, Bycott PW, Baum CM, Figlin RA. </w:t>
      </w:r>
      <w:proofErr w:type="gramStart"/>
      <w:r w:rsidRPr="000C4B7C">
        <w:rPr>
          <w:rFonts w:ascii="Book Antiqua" w:hAnsi="Book Antiqua"/>
        </w:rPr>
        <w:t>Sunitinib versus interferon alfa in metastatic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115-124 [PMID: 17215529 DOI: 10.1056/NEJMoa065044]</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103 </w:t>
      </w:r>
      <w:r w:rsidRPr="000C4B7C">
        <w:rPr>
          <w:rFonts w:ascii="Book Antiqua" w:hAnsi="Book Antiqua"/>
          <w:b/>
        </w:rPr>
        <w:t>Motzer RJ</w:t>
      </w:r>
      <w:r w:rsidRPr="000C4B7C">
        <w:rPr>
          <w:rFonts w:ascii="Book Antiqua" w:hAnsi="Book Antiqua"/>
        </w:rPr>
        <w:t xml:space="preserve">, Hutson TE, Tomczak P, Michaelson MD, Bukowski RM, Oudard S, Negrier S, Szczylik C, Pili R, Bjarnason GA, Garcia-del-Muro X, Sosman JA, Solska E, Wilding G, Thompson JA, Kim ST, Chen I, Huang X, Figlin RA. Overall survival and updated results for sunitinib compared with interferon alfa in patients with metastatic renal cell carcinoma. </w:t>
      </w:r>
      <w:r w:rsidRPr="000C4B7C">
        <w:rPr>
          <w:rFonts w:ascii="Book Antiqua" w:hAnsi="Book Antiqua"/>
          <w:i/>
        </w:rPr>
        <w:t>J Clin Oncol</w:t>
      </w:r>
      <w:r w:rsidRPr="000C4B7C">
        <w:rPr>
          <w:rFonts w:ascii="Book Antiqua" w:hAnsi="Book Antiqua"/>
        </w:rPr>
        <w:t xml:space="preserve"> 2009; </w:t>
      </w:r>
      <w:r w:rsidRPr="000C4B7C">
        <w:rPr>
          <w:rFonts w:ascii="Book Antiqua" w:hAnsi="Book Antiqua"/>
          <w:b/>
        </w:rPr>
        <w:t>27</w:t>
      </w:r>
      <w:r w:rsidRPr="000C4B7C">
        <w:rPr>
          <w:rFonts w:ascii="Book Antiqua" w:hAnsi="Book Antiqua"/>
        </w:rPr>
        <w:t>: 3584-3590 [PMID: 19487381 DOI: 10.1200/JCO.2008.20.1293]</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104 </w:t>
      </w:r>
      <w:r w:rsidRPr="000C4B7C">
        <w:rPr>
          <w:rFonts w:ascii="Book Antiqua" w:hAnsi="Book Antiqua"/>
          <w:b/>
        </w:rPr>
        <w:t>Hutson TE</w:t>
      </w:r>
      <w:r w:rsidRPr="000C4B7C">
        <w:rPr>
          <w:rFonts w:ascii="Book Antiqua" w:hAnsi="Book Antiqua"/>
        </w:rPr>
        <w:t xml:space="preserve">, Lesovoy V, Al-Shukri S, Stus VP, Lipatov ON, Bair AH, Rosbrook B, Chen C, Kim S, Vogelzang NJ. Axitinib versus sorafenib as first-line therapy in patients with metastatic renal-cell carcinoma: a randomised open-label phase 3 trial.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1287-1294 [PMID: 24206640 DOI: 10.1016/S1470-2045(13)70465-0]</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105 </w:t>
      </w:r>
      <w:r w:rsidRPr="000C4B7C">
        <w:rPr>
          <w:rFonts w:ascii="Book Antiqua" w:hAnsi="Book Antiqua"/>
          <w:b/>
        </w:rPr>
        <w:t>Hutson TE</w:t>
      </w:r>
      <w:r w:rsidRPr="000C4B7C">
        <w:rPr>
          <w:rFonts w:ascii="Book Antiqua" w:hAnsi="Book Antiqua"/>
        </w:rPr>
        <w:t xml:space="preserve">, Al-Shukri S, Stus VP, Lipatov ON, Shparyk Y, Bair AH, Rosbrook B, Andrews GI, Vogelzang NJ. Axitinib </w:t>
      </w:r>
      <w:proofErr w:type="gramStart"/>
      <w:r w:rsidRPr="000C4B7C">
        <w:rPr>
          <w:rFonts w:ascii="Book Antiqua" w:hAnsi="Book Antiqua"/>
        </w:rPr>
        <w:t>Versus</w:t>
      </w:r>
      <w:proofErr w:type="gramEnd"/>
      <w:r w:rsidRPr="000C4B7C">
        <w:rPr>
          <w:rFonts w:ascii="Book Antiqua" w:hAnsi="Book Antiqua"/>
        </w:rPr>
        <w:t xml:space="preserve"> Sorafenib in First-Line Metastatic Renal Cell Carcinoma: Overall Survival From a Randomized Phase III Trial. </w:t>
      </w:r>
      <w:r w:rsidRPr="000C4B7C">
        <w:rPr>
          <w:rFonts w:ascii="Book Antiqua" w:hAnsi="Book Antiqua"/>
          <w:i/>
        </w:rPr>
        <w:t>Clin Genitourin Cancer</w:t>
      </w:r>
      <w:r w:rsidRPr="000C4B7C">
        <w:rPr>
          <w:rFonts w:ascii="Book Antiqua" w:hAnsi="Book Antiqua"/>
        </w:rPr>
        <w:t xml:space="preserve"> 2017; </w:t>
      </w:r>
      <w:r w:rsidRPr="000C4B7C">
        <w:rPr>
          <w:rFonts w:ascii="Book Antiqua" w:hAnsi="Book Antiqua"/>
          <w:b/>
        </w:rPr>
        <w:t>15</w:t>
      </w:r>
      <w:r w:rsidRPr="000C4B7C">
        <w:rPr>
          <w:rFonts w:ascii="Book Antiqua" w:hAnsi="Book Antiqua"/>
        </w:rPr>
        <w:t>: 72-76 [PMID: 27498023 DOI: 10.1016/j.clgc.2016.05.008]</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106 </w:t>
      </w:r>
      <w:r w:rsidRPr="000C4B7C">
        <w:rPr>
          <w:rFonts w:ascii="Book Antiqua" w:hAnsi="Book Antiqua"/>
          <w:b/>
        </w:rPr>
        <w:t>Motzer RJ</w:t>
      </w:r>
      <w:r w:rsidRPr="000C4B7C">
        <w:rPr>
          <w:rFonts w:ascii="Book Antiqua" w:hAnsi="Book Antiqua"/>
        </w:rPr>
        <w:t xml:space="preserve">, Escudier B, Tomczak P, Hutson TE, Michaelson MD, Negrier S, Oudard S, Gore ME, Tarazi J, Hariharan S, Chen C, Rosbrook B, Kim S, Rini BI. Axitinib versus sorafenib as second-line treatment for advanced renal cell carcinoma: overall survival analysis and updated results from a randomised phase 3 trial. </w:t>
      </w:r>
      <w:r w:rsidRPr="000C4B7C">
        <w:rPr>
          <w:rFonts w:ascii="Book Antiqua" w:hAnsi="Book Antiqua"/>
          <w:i/>
        </w:rPr>
        <w:t>Lancet Oncol</w:t>
      </w:r>
      <w:r w:rsidRPr="000C4B7C">
        <w:rPr>
          <w:rFonts w:ascii="Book Antiqua" w:hAnsi="Book Antiqua"/>
        </w:rPr>
        <w:t xml:space="preserve"> 2013; </w:t>
      </w:r>
      <w:r w:rsidRPr="000C4B7C">
        <w:rPr>
          <w:rFonts w:ascii="Book Antiqua" w:hAnsi="Book Antiqua"/>
          <w:b/>
        </w:rPr>
        <w:t>14</w:t>
      </w:r>
      <w:r w:rsidRPr="000C4B7C">
        <w:rPr>
          <w:rFonts w:ascii="Book Antiqua" w:hAnsi="Book Antiqua"/>
        </w:rPr>
        <w:t>: 552-562 [PMID: 23598172 DOI: 10.1016/S1470-2045(13)70093-7]</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lastRenderedPageBreak/>
        <w:t xml:space="preserve">107 </w:t>
      </w:r>
      <w:r w:rsidRPr="000C4B7C">
        <w:rPr>
          <w:rFonts w:ascii="Book Antiqua" w:hAnsi="Book Antiqua"/>
          <w:b/>
        </w:rPr>
        <w:t>Escudier B</w:t>
      </w:r>
      <w:r w:rsidRPr="000C4B7C">
        <w:rPr>
          <w:rFonts w:ascii="Book Antiqua" w:hAnsi="Book Antiqua"/>
        </w:rPr>
        <w:t xml:space="preserve">, Eisen T, Stadler WM, Szczylik C, Oudard S, Siebels M, Negrier S, Chevreau C, Solska E, Desai AA, Rolland F, Demkow T, Hutson TE, Gore M, Freeman S, Schwartz B, Shan M, Simantov R, Bukowski RM; TARGET Study Group. </w:t>
      </w:r>
      <w:proofErr w:type="gramStart"/>
      <w:r w:rsidRPr="000C4B7C">
        <w:rPr>
          <w:rFonts w:ascii="Book Antiqua" w:hAnsi="Book Antiqua"/>
        </w:rPr>
        <w:t>Sorafenib in advanced clear-cell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2007; </w:t>
      </w:r>
      <w:r w:rsidRPr="000C4B7C">
        <w:rPr>
          <w:rFonts w:ascii="Book Antiqua" w:hAnsi="Book Antiqua"/>
          <w:b/>
        </w:rPr>
        <w:t>356</w:t>
      </w:r>
      <w:r w:rsidRPr="000C4B7C">
        <w:rPr>
          <w:rFonts w:ascii="Book Antiqua" w:hAnsi="Book Antiqua"/>
        </w:rPr>
        <w:t>: 125-134 [PMID: 17215530 DOI: 10.1056/NEJMoa060655]</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108 </w:t>
      </w:r>
      <w:r w:rsidRPr="000C4B7C">
        <w:rPr>
          <w:rFonts w:ascii="Book Antiqua" w:hAnsi="Book Antiqua"/>
          <w:b/>
        </w:rPr>
        <w:t>Choueiri TK</w:t>
      </w:r>
      <w:r w:rsidRPr="000C4B7C">
        <w:rPr>
          <w:rFonts w:ascii="Book Antiqua" w:hAnsi="Book Antiqua"/>
        </w:rPr>
        <w:t xml:space="preserve">, Escudier B, Powles T, Mainwaring PN, Rini BI, Donskov F, Hammers H, Hutson TE, Lee JL, Peltola K, Roth BJ, Bjarnason GA, Géczi L, Keam B, Maroto P, Heng DY, Schmidinger M, Kantoff PW, Borgman-Hagey A, Hessel C, Scheffold C, Schwab GM, Tannir NM, Motzer RJ; METEOR Investigators. </w:t>
      </w:r>
      <w:proofErr w:type="gramStart"/>
      <w:r w:rsidRPr="000C4B7C">
        <w:rPr>
          <w:rFonts w:ascii="Book Antiqua" w:hAnsi="Book Antiqua"/>
        </w:rPr>
        <w:t>Cabozantinib versus Everolimus in Advanced Renal-Cell Carcinoma.</w:t>
      </w:r>
      <w:proofErr w:type="gramEnd"/>
      <w:r w:rsidRPr="000C4B7C">
        <w:rPr>
          <w:rFonts w:ascii="Book Antiqua" w:hAnsi="Book Antiqua"/>
        </w:rPr>
        <w:t xml:space="preserve"> </w:t>
      </w:r>
      <w:r w:rsidRPr="000C4B7C">
        <w:rPr>
          <w:rFonts w:ascii="Book Antiqua" w:hAnsi="Book Antiqua"/>
          <w:i/>
        </w:rPr>
        <w:t>N Engl J Med</w:t>
      </w:r>
      <w:r w:rsidRPr="000C4B7C">
        <w:rPr>
          <w:rFonts w:ascii="Book Antiqua" w:hAnsi="Book Antiqua"/>
        </w:rPr>
        <w:t xml:space="preserve"> 2015; </w:t>
      </w:r>
      <w:r w:rsidRPr="000C4B7C">
        <w:rPr>
          <w:rFonts w:ascii="Book Antiqua" w:hAnsi="Book Antiqua"/>
          <w:b/>
        </w:rPr>
        <w:t>373</w:t>
      </w:r>
      <w:r w:rsidRPr="000C4B7C">
        <w:rPr>
          <w:rFonts w:ascii="Book Antiqua" w:hAnsi="Book Antiqua"/>
        </w:rPr>
        <w:t>: 1814-1823 [PMID: 26406150 DOI: 10.1056/NEJMoa1510016]</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109 </w:t>
      </w:r>
      <w:r w:rsidRPr="000C4B7C">
        <w:rPr>
          <w:rFonts w:ascii="Book Antiqua" w:hAnsi="Book Antiqua"/>
          <w:b/>
        </w:rPr>
        <w:t>Motzer RJ</w:t>
      </w:r>
      <w:r w:rsidRPr="000C4B7C">
        <w:rPr>
          <w:rFonts w:ascii="Book Antiqua" w:hAnsi="Book Antiqua"/>
        </w:rPr>
        <w:t>, Escudier B, Oudard S, Hutson TE, Porta C, Bracarda S, Grünwald V, Thompson JA, Figlin RA, Hollaender N, Kay A, Ravaud A; RECORD</w:t>
      </w:r>
      <w:r w:rsidRPr="000C4B7C">
        <w:rPr>
          <w:rFonts w:ascii="宋体" w:eastAsia="宋体" w:hAnsi="宋体" w:cs="宋体" w:hint="eastAsia"/>
        </w:rPr>
        <w:t>‐</w:t>
      </w:r>
      <w:r w:rsidRPr="000C4B7C">
        <w:rPr>
          <w:rFonts w:ascii="Book Antiqua" w:hAnsi="Book Antiqua"/>
        </w:rPr>
        <w:t xml:space="preserve">1 Study Group. Phase 3 trial of everolimus for metastatic renal cell </w:t>
      </w:r>
      <w:proofErr w:type="gramStart"/>
      <w:r w:rsidRPr="000C4B7C">
        <w:rPr>
          <w:rFonts w:ascii="Book Antiqua" w:hAnsi="Book Antiqua"/>
        </w:rPr>
        <w:t>carcinoma :</w:t>
      </w:r>
      <w:proofErr w:type="gramEnd"/>
      <w:r w:rsidRPr="000C4B7C">
        <w:rPr>
          <w:rFonts w:ascii="Book Antiqua" w:hAnsi="Book Antiqua"/>
        </w:rPr>
        <w:t xml:space="preserve"> final results and analysis of prognostic factors. </w:t>
      </w:r>
      <w:r w:rsidRPr="000C4B7C">
        <w:rPr>
          <w:rFonts w:ascii="Book Antiqua" w:hAnsi="Book Antiqua"/>
          <w:i/>
        </w:rPr>
        <w:t>Cancer</w:t>
      </w:r>
      <w:r w:rsidRPr="000C4B7C">
        <w:rPr>
          <w:rFonts w:ascii="Book Antiqua" w:hAnsi="Book Antiqua"/>
        </w:rPr>
        <w:t xml:space="preserve"> 2010; </w:t>
      </w:r>
      <w:r w:rsidRPr="000C4B7C">
        <w:rPr>
          <w:rFonts w:ascii="Book Antiqua" w:hAnsi="Book Antiqua"/>
          <w:b/>
        </w:rPr>
        <w:t>116</w:t>
      </w:r>
      <w:r w:rsidRPr="000C4B7C">
        <w:rPr>
          <w:rFonts w:ascii="Book Antiqua" w:hAnsi="Book Antiqua"/>
        </w:rPr>
        <w:t>: 4256-4265 [PMID: 20549832 DOI: 10.1002/cncr.25219]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110 </w:t>
      </w:r>
      <w:r w:rsidRPr="000C4B7C">
        <w:rPr>
          <w:rFonts w:ascii="Book Antiqua" w:hAnsi="Book Antiqua"/>
          <w:b/>
        </w:rPr>
        <w:t>Motzer RJ</w:t>
      </w:r>
      <w:r w:rsidRPr="000C4B7C">
        <w:rPr>
          <w:rFonts w:ascii="Book Antiqua" w:hAnsi="Book Antiqua"/>
        </w:rPr>
        <w:t xml:space="preserve">, Escudier B, Oudard S, Hutson TE, Porta C, Bracarda S, Grünwald V, Thompson JA, Figlin RA, Hollaender N, Urbanowitz G, Berg WJ, Kay A, Lebwohl D, Ravaud A; RECORD-1 Study Group. Efficacy of everolimus in advanced renal cell carcinoma: a double-blind, randomised, placebo-controlled phase III trial. </w:t>
      </w:r>
      <w:r w:rsidRPr="000C4B7C">
        <w:rPr>
          <w:rFonts w:ascii="Book Antiqua" w:hAnsi="Book Antiqua"/>
          <w:i/>
        </w:rPr>
        <w:t>Lancet</w:t>
      </w:r>
      <w:r w:rsidRPr="000C4B7C">
        <w:rPr>
          <w:rFonts w:ascii="Book Antiqua" w:hAnsi="Book Antiqua"/>
        </w:rPr>
        <w:t xml:space="preserve"> 2008; </w:t>
      </w:r>
      <w:r w:rsidRPr="000C4B7C">
        <w:rPr>
          <w:rFonts w:ascii="Book Antiqua" w:hAnsi="Book Antiqua"/>
          <w:b/>
        </w:rPr>
        <w:t>372</w:t>
      </w:r>
      <w:r w:rsidRPr="000C4B7C">
        <w:rPr>
          <w:rFonts w:ascii="Book Antiqua" w:hAnsi="Book Antiqua"/>
        </w:rPr>
        <w:t>: 449-456 [PMID: 18653228 DOI: 10.1016/S0140-6736(08)61039-9]</w:t>
      </w:r>
    </w:p>
    <w:p w:rsidR="00656D23" w:rsidRPr="000C4B7C" w:rsidRDefault="00656D23" w:rsidP="000C4B7C">
      <w:pPr>
        <w:adjustRightInd w:val="0"/>
        <w:snapToGrid w:val="0"/>
        <w:spacing w:line="360" w:lineRule="auto"/>
        <w:jc w:val="both"/>
        <w:rPr>
          <w:rFonts w:ascii="Book Antiqua" w:hAnsi="Book Antiqua"/>
        </w:rPr>
      </w:pPr>
      <w:r w:rsidRPr="000C4B7C">
        <w:rPr>
          <w:rFonts w:ascii="Book Antiqua" w:hAnsi="Book Antiqua"/>
        </w:rPr>
        <w:t xml:space="preserve">111 </w:t>
      </w:r>
      <w:r w:rsidRPr="000C4B7C">
        <w:rPr>
          <w:rFonts w:ascii="Book Antiqua" w:hAnsi="Book Antiqua"/>
          <w:b/>
        </w:rPr>
        <w:t>Hutson TE</w:t>
      </w:r>
      <w:r w:rsidRPr="000C4B7C">
        <w:rPr>
          <w:rFonts w:ascii="Book Antiqua" w:hAnsi="Book Antiqua"/>
        </w:rPr>
        <w:t xml:space="preserve">, Escudier B, Esteban E, Bjarnason GA, Lim HY, Pittman KB, Senico P, Niethammer A, Lu DR, Hariharan S, Motzer RJ. Randomized phase III trial of temsirolimus versus sorafenib as second-line therapy after sunitinib in patients with metastatic renal cell carcinoma. </w:t>
      </w:r>
      <w:r w:rsidRPr="000C4B7C">
        <w:rPr>
          <w:rFonts w:ascii="Book Antiqua" w:hAnsi="Book Antiqua"/>
          <w:i/>
        </w:rPr>
        <w:t>J Clin Oncol</w:t>
      </w:r>
      <w:r w:rsidRPr="000C4B7C">
        <w:rPr>
          <w:rFonts w:ascii="Book Antiqua" w:hAnsi="Book Antiqua"/>
        </w:rPr>
        <w:t xml:space="preserve"> 2014; </w:t>
      </w:r>
      <w:r w:rsidRPr="000C4B7C">
        <w:rPr>
          <w:rFonts w:ascii="Book Antiqua" w:hAnsi="Book Antiqua"/>
          <w:b/>
        </w:rPr>
        <w:t>32</w:t>
      </w:r>
      <w:r w:rsidRPr="000C4B7C">
        <w:rPr>
          <w:rFonts w:ascii="Book Antiqua" w:hAnsi="Book Antiqua"/>
        </w:rPr>
        <w:t>: 760-767 [PMID: 24297950 DOI: 10.1200/JCO.2013.50.3961]</w:t>
      </w:r>
    </w:p>
    <w:p w:rsidR="00895F20" w:rsidRPr="000C4B7C" w:rsidRDefault="00895F20" w:rsidP="000C4B7C">
      <w:pPr>
        <w:adjustRightInd w:val="0"/>
        <w:snapToGrid w:val="0"/>
        <w:spacing w:line="360" w:lineRule="auto"/>
        <w:jc w:val="both"/>
        <w:rPr>
          <w:rFonts w:ascii="Book Antiqua" w:hAnsi="Book Antiqua"/>
          <w:color w:val="000000" w:themeColor="text1"/>
          <w:lang w:eastAsia="zh-CN"/>
        </w:rPr>
      </w:pPr>
    </w:p>
    <w:p w:rsidR="00A82D57" w:rsidRPr="000C4B7C" w:rsidRDefault="00A82D57" w:rsidP="000C4B7C">
      <w:pPr>
        <w:adjustRightInd w:val="0"/>
        <w:snapToGrid w:val="0"/>
        <w:spacing w:line="360" w:lineRule="auto"/>
        <w:jc w:val="both"/>
        <w:rPr>
          <w:rFonts w:ascii="Book Antiqua" w:hAnsi="Book Antiqua"/>
          <w:b/>
        </w:rPr>
      </w:pPr>
      <w:r w:rsidRPr="000C4B7C">
        <w:rPr>
          <w:rFonts w:ascii="Book Antiqua" w:hAnsi="Book Antiqua"/>
          <w:b/>
        </w:rPr>
        <w:t>Footnotes</w:t>
      </w:r>
    </w:p>
    <w:p w:rsidR="00A82D57" w:rsidRPr="000C4B7C" w:rsidRDefault="00A82D5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b/>
          <w:color w:val="000000"/>
        </w:rPr>
        <w:lastRenderedPageBreak/>
        <w:t>Conflict-of-interest statement</w:t>
      </w:r>
      <w:r w:rsidRPr="000C4B7C">
        <w:rPr>
          <w:rFonts w:ascii="Book Antiqua" w:hAnsi="Book Antiqua"/>
          <w:b/>
        </w:rPr>
        <w:t>:</w:t>
      </w:r>
      <w:r w:rsidRPr="000C4B7C">
        <w:rPr>
          <w:rFonts w:ascii="Book Antiqua" w:eastAsia="宋体" w:hAnsi="Book Antiqua" w:cs="TimesNewRomanPS-BoldItalicMT"/>
          <w:b/>
          <w:bCs/>
          <w:iCs/>
          <w:color w:val="000000"/>
          <w:lang w:eastAsia="zh-CN"/>
        </w:rPr>
        <w:t xml:space="preserve"> </w:t>
      </w:r>
      <w:r w:rsidRPr="000C4B7C">
        <w:rPr>
          <w:rFonts w:ascii="Book Antiqua" w:hAnsi="Book Antiqua"/>
          <w:color w:val="000000" w:themeColor="text1"/>
        </w:rPr>
        <w:t>Singer EA receives research support from Astellas/Medivation</w:t>
      </w:r>
      <w:r w:rsidRPr="000C4B7C">
        <w:rPr>
          <w:rFonts w:ascii="Book Antiqua" w:hAnsi="Book Antiqua"/>
          <w:color w:val="000000" w:themeColor="text1"/>
          <w:lang w:eastAsia="zh-CN"/>
        </w:rPr>
        <w:t xml:space="preserve">; </w:t>
      </w:r>
      <w:r w:rsidRPr="000C4B7C">
        <w:rPr>
          <w:rFonts w:ascii="Book Antiqua" w:hAnsi="Book Antiqua"/>
          <w:color w:val="000000" w:themeColor="text1"/>
        </w:rPr>
        <w:t xml:space="preserve">Mayer T received research support from ICON Medical, AstraZeneca, research support from Merck, Sotio, </w:t>
      </w:r>
      <w:proofErr w:type="gramStart"/>
      <w:r w:rsidRPr="000C4B7C">
        <w:rPr>
          <w:rFonts w:ascii="Book Antiqua" w:hAnsi="Book Antiqua"/>
          <w:color w:val="000000" w:themeColor="text1"/>
        </w:rPr>
        <w:t>Pfizer</w:t>
      </w:r>
      <w:proofErr w:type="gramEnd"/>
      <w:r w:rsidRPr="000C4B7C">
        <w:rPr>
          <w:rFonts w:ascii="Book Antiqua" w:hAnsi="Book Antiqua"/>
          <w:color w:val="000000" w:themeColor="text1"/>
          <w:lang w:eastAsia="zh-CN"/>
        </w:rPr>
        <w:t xml:space="preserve">. No other </w:t>
      </w:r>
      <w:r w:rsidRPr="000C4B7C">
        <w:rPr>
          <w:rFonts w:ascii="Book Antiqua" w:hAnsi="Book Antiqua"/>
          <w:color w:val="000000"/>
        </w:rPr>
        <w:t>conflict-of-interest</w:t>
      </w:r>
      <w:r w:rsidRPr="000C4B7C">
        <w:rPr>
          <w:rFonts w:ascii="Book Antiqua" w:hAnsi="Book Antiqua"/>
          <w:color w:val="000000"/>
          <w:lang w:eastAsia="zh-CN"/>
        </w:rPr>
        <w:t>.</w:t>
      </w:r>
    </w:p>
    <w:p w:rsidR="00A82D57" w:rsidRPr="000C4B7C" w:rsidRDefault="00A82D57" w:rsidP="000C4B7C">
      <w:pPr>
        <w:adjustRightInd w:val="0"/>
        <w:snapToGrid w:val="0"/>
        <w:spacing w:line="360" w:lineRule="auto"/>
        <w:jc w:val="both"/>
        <w:rPr>
          <w:rFonts w:ascii="Book Antiqua" w:eastAsia="宋体" w:hAnsi="Book Antiqua"/>
          <w:b/>
          <w:color w:val="000000"/>
          <w:lang w:eastAsia="zh-CN"/>
        </w:rPr>
      </w:pPr>
    </w:p>
    <w:p w:rsidR="00A82D57" w:rsidRPr="000C4B7C" w:rsidRDefault="00A82D57" w:rsidP="000C4B7C">
      <w:pPr>
        <w:adjustRightInd w:val="0"/>
        <w:snapToGrid w:val="0"/>
        <w:spacing w:line="360" w:lineRule="auto"/>
        <w:jc w:val="both"/>
        <w:rPr>
          <w:rFonts w:ascii="Book Antiqua" w:hAnsi="Book Antiqua"/>
        </w:rPr>
      </w:pPr>
      <w:r w:rsidRPr="000C4B7C">
        <w:rPr>
          <w:rFonts w:ascii="Book Antiqua" w:hAnsi="Book Antiqua"/>
          <w:b/>
          <w:color w:val="000000"/>
        </w:rPr>
        <w:t>Open-Access:</w:t>
      </w:r>
      <w:r w:rsidRPr="000C4B7C">
        <w:rPr>
          <w:rFonts w:ascii="Book Antiqua" w:hAnsi="Book Antiqua"/>
          <w:color w:val="000000"/>
        </w:rPr>
        <w:t xml:space="preserve"> This article is an open-access </w:t>
      </w:r>
      <w:r w:rsidRPr="000C4B7C">
        <w:rPr>
          <w:rFonts w:ascii="Book Antiqua" w:hAnsi="Book Antiqua"/>
        </w:rPr>
        <w:t xml:space="preserve">article that was selected </w:t>
      </w:r>
      <w:r w:rsidRPr="000C4B7C">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82D57" w:rsidRPr="000C4B7C" w:rsidRDefault="00A82D57" w:rsidP="000C4B7C">
      <w:pPr>
        <w:pStyle w:val="a6"/>
        <w:adjustRightInd w:val="0"/>
        <w:snapToGrid w:val="0"/>
        <w:spacing w:line="360" w:lineRule="auto"/>
        <w:jc w:val="both"/>
        <w:rPr>
          <w:rFonts w:ascii="Book Antiqua" w:eastAsia="宋体" w:hAnsi="Book Antiqua" w:cs="Times New Roman"/>
          <w:bCs/>
          <w:color w:val="000000"/>
          <w:lang w:eastAsia="zh-CN"/>
        </w:rPr>
      </w:pPr>
    </w:p>
    <w:p w:rsidR="00A82D57" w:rsidRPr="000C4B7C" w:rsidRDefault="00A82D57" w:rsidP="000C4B7C">
      <w:pPr>
        <w:adjustRightInd w:val="0"/>
        <w:snapToGrid w:val="0"/>
        <w:spacing w:line="360" w:lineRule="auto"/>
        <w:jc w:val="both"/>
        <w:rPr>
          <w:rFonts w:ascii="Book Antiqua" w:hAnsi="Book Antiqua"/>
          <w:bCs/>
          <w:color w:val="000000"/>
          <w:lang w:eastAsia="zh-CN"/>
        </w:rPr>
      </w:pPr>
      <w:r w:rsidRPr="000C4B7C">
        <w:rPr>
          <w:rFonts w:ascii="Book Antiqua" w:hAnsi="Book Antiqua"/>
          <w:b/>
          <w:bCs/>
          <w:color w:val="000000"/>
          <w:lang w:eastAsia="pl-PL"/>
        </w:rPr>
        <w:t>Manuscript source:</w:t>
      </w:r>
      <w:r w:rsidRPr="000C4B7C">
        <w:rPr>
          <w:rFonts w:ascii="Book Antiqua" w:hAnsi="Book Antiqua"/>
          <w:b/>
          <w:bCs/>
          <w:color w:val="000000"/>
          <w:lang w:eastAsia="zh-CN"/>
        </w:rPr>
        <w:t xml:space="preserve"> </w:t>
      </w:r>
      <w:r w:rsidR="0006187F" w:rsidRPr="000C4B7C">
        <w:rPr>
          <w:rFonts w:ascii="Book Antiqua" w:hAnsi="Book Antiqua"/>
          <w:bCs/>
          <w:color w:val="000000"/>
          <w:lang w:eastAsia="pl-PL"/>
        </w:rPr>
        <w:t xml:space="preserve">Invited </w:t>
      </w:r>
      <w:r w:rsidRPr="000C4B7C">
        <w:rPr>
          <w:rFonts w:ascii="Book Antiqua" w:hAnsi="Book Antiqua"/>
          <w:bCs/>
          <w:color w:val="000000"/>
          <w:lang w:eastAsia="pl-PL"/>
        </w:rPr>
        <w:t>manuscript</w:t>
      </w:r>
    </w:p>
    <w:p w:rsidR="00A82D57" w:rsidRPr="000C4B7C" w:rsidRDefault="00A82D57" w:rsidP="000C4B7C">
      <w:pPr>
        <w:widowControl w:val="0"/>
        <w:adjustRightInd w:val="0"/>
        <w:snapToGrid w:val="0"/>
        <w:spacing w:line="360" w:lineRule="auto"/>
        <w:jc w:val="both"/>
        <w:rPr>
          <w:rFonts w:ascii="Book Antiqua" w:hAnsi="Book Antiqua"/>
          <w:b/>
          <w:kern w:val="2"/>
          <w:lang w:eastAsia="zh-CN"/>
        </w:rPr>
      </w:pPr>
    </w:p>
    <w:p w:rsidR="00A82D57" w:rsidRPr="000C4B7C" w:rsidRDefault="00A82D57" w:rsidP="000C4B7C">
      <w:pPr>
        <w:adjustRightInd w:val="0"/>
        <w:snapToGrid w:val="0"/>
        <w:spacing w:line="360" w:lineRule="auto"/>
        <w:jc w:val="both"/>
        <w:rPr>
          <w:rFonts w:ascii="Book Antiqua" w:eastAsia="宋体" w:hAnsi="Book Antiqua"/>
          <w:b/>
          <w:lang w:eastAsia="zh-CN"/>
        </w:rPr>
      </w:pPr>
      <w:r w:rsidRPr="000C4B7C">
        <w:rPr>
          <w:rFonts w:ascii="Book Antiqua" w:hAnsi="Book Antiqua"/>
          <w:b/>
        </w:rPr>
        <w:t>Peer-review started:</w:t>
      </w:r>
      <w:r w:rsidRPr="000C4B7C">
        <w:rPr>
          <w:rFonts w:ascii="Book Antiqua" w:eastAsia="宋体" w:hAnsi="Book Antiqua"/>
          <w:b/>
          <w:lang w:eastAsia="zh-CN"/>
        </w:rPr>
        <w:t xml:space="preserve"> </w:t>
      </w:r>
      <w:r w:rsidRPr="000C4B7C">
        <w:rPr>
          <w:rFonts w:ascii="Book Antiqua" w:eastAsia="宋体" w:hAnsi="Book Antiqua"/>
          <w:lang w:eastAsia="zh-CN"/>
        </w:rPr>
        <w:t xml:space="preserve">March </w:t>
      </w:r>
      <w:r w:rsidR="0050242A" w:rsidRPr="000C4B7C">
        <w:rPr>
          <w:rFonts w:ascii="Book Antiqua" w:eastAsia="宋体" w:hAnsi="Book Antiqua"/>
          <w:lang w:eastAsia="zh-CN"/>
        </w:rPr>
        <w:t>14, 2020</w:t>
      </w:r>
    </w:p>
    <w:p w:rsidR="00A82D57" w:rsidRPr="000C4B7C" w:rsidRDefault="00A82D57" w:rsidP="000C4B7C">
      <w:pPr>
        <w:adjustRightInd w:val="0"/>
        <w:snapToGrid w:val="0"/>
        <w:spacing w:line="360" w:lineRule="auto"/>
        <w:jc w:val="both"/>
        <w:rPr>
          <w:rFonts w:ascii="Book Antiqua" w:eastAsia="宋体" w:hAnsi="Book Antiqua"/>
          <w:b/>
          <w:lang w:eastAsia="zh-CN"/>
        </w:rPr>
      </w:pPr>
      <w:r w:rsidRPr="000C4B7C">
        <w:rPr>
          <w:rFonts w:ascii="Book Antiqua" w:hAnsi="Book Antiqua"/>
          <w:b/>
        </w:rPr>
        <w:t>First decision:</w:t>
      </w:r>
      <w:r w:rsidRPr="000C4B7C">
        <w:rPr>
          <w:rFonts w:ascii="Book Antiqua" w:eastAsia="宋体" w:hAnsi="Book Antiqua"/>
          <w:b/>
          <w:lang w:eastAsia="zh-CN"/>
        </w:rPr>
        <w:t xml:space="preserve"> </w:t>
      </w:r>
      <w:r w:rsidR="0050242A" w:rsidRPr="000C4B7C">
        <w:rPr>
          <w:rFonts w:ascii="Book Antiqua" w:eastAsia="宋体" w:hAnsi="Book Antiqua"/>
          <w:lang w:eastAsia="zh-CN"/>
        </w:rPr>
        <w:t>April 29, 2020</w:t>
      </w:r>
    </w:p>
    <w:p w:rsidR="00A82D57" w:rsidRPr="000C4B7C" w:rsidRDefault="00A82D57" w:rsidP="000C4B7C">
      <w:pPr>
        <w:adjustRightInd w:val="0"/>
        <w:snapToGrid w:val="0"/>
        <w:spacing w:line="360" w:lineRule="auto"/>
        <w:jc w:val="both"/>
        <w:rPr>
          <w:rFonts w:ascii="Book Antiqua" w:hAnsi="Book Antiqua"/>
          <w:b/>
        </w:rPr>
      </w:pPr>
      <w:r w:rsidRPr="000C4B7C">
        <w:rPr>
          <w:rFonts w:ascii="Book Antiqua" w:hAnsi="Book Antiqua"/>
          <w:b/>
        </w:rPr>
        <w:t>Article in press:</w:t>
      </w:r>
      <w:r w:rsidR="009B11F4" w:rsidRPr="000C4B7C">
        <w:rPr>
          <w:rFonts w:ascii="Book Antiqua" w:hAnsi="Book Antiqua"/>
          <w:color w:val="000000"/>
        </w:rPr>
        <w:t xml:space="preserve"> </w:t>
      </w:r>
      <w:r w:rsidR="009B11F4">
        <w:rPr>
          <w:rFonts w:ascii="Book Antiqua" w:hAnsi="Book Antiqua"/>
          <w:color w:val="000000"/>
          <w:lang w:eastAsia="zh-CN"/>
        </w:rPr>
        <w:t>July 18, 2020</w:t>
      </w:r>
    </w:p>
    <w:p w:rsidR="00A82D57" w:rsidRPr="000C4B7C" w:rsidRDefault="00A82D57" w:rsidP="000C4B7C">
      <w:pPr>
        <w:adjustRightInd w:val="0"/>
        <w:snapToGrid w:val="0"/>
        <w:spacing w:line="360" w:lineRule="auto"/>
        <w:jc w:val="both"/>
        <w:rPr>
          <w:rFonts w:ascii="Book Antiqua" w:eastAsia="宋体" w:hAnsi="Book Antiqua"/>
          <w:color w:val="000000"/>
          <w:lang w:eastAsia="zh-CN"/>
        </w:rPr>
      </w:pPr>
    </w:p>
    <w:p w:rsidR="00A82D57" w:rsidRPr="000C4B7C" w:rsidRDefault="00A82D57" w:rsidP="000C4B7C">
      <w:pPr>
        <w:widowControl w:val="0"/>
        <w:adjustRightInd w:val="0"/>
        <w:snapToGrid w:val="0"/>
        <w:spacing w:line="360" w:lineRule="auto"/>
        <w:jc w:val="both"/>
        <w:rPr>
          <w:rFonts w:ascii="Book Antiqua" w:eastAsia="微软雅黑" w:hAnsi="Book Antiqua" w:cs="宋体"/>
          <w:lang w:eastAsia="zh-CN"/>
        </w:rPr>
      </w:pPr>
      <w:r w:rsidRPr="000C4B7C">
        <w:rPr>
          <w:rFonts w:ascii="Book Antiqua" w:hAnsi="Book Antiqua" w:cs="宋体"/>
          <w:b/>
          <w:lang w:eastAsia="zh-CN"/>
        </w:rPr>
        <w:t xml:space="preserve">Specialty type: </w:t>
      </w:r>
      <w:r w:rsidR="0006187F" w:rsidRPr="000C4B7C">
        <w:rPr>
          <w:rFonts w:ascii="Book Antiqua" w:eastAsia="微软雅黑" w:hAnsi="Book Antiqua" w:cs="宋体"/>
        </w:rPr>
        <w:t>Oncology</w:t>
      </w:r>
    </w:p>
    <w:p w:rsidR="00A82D57" w:rsidRPr="000C4B7C" w:rsidRDefault="00A82D57" w:rsidP="000C4B7C">
      <w:pPr>
        <w:widowControl w:val="0"/>
        <w:adjustRightInd w:val="0"/>
        <w:snapToGrid w:val="0"/>
        <w:spacing w:line="360" w:lineRule="auto"/>
        <w:jc w:val="both"/>
        <w:rPr>
          <w:rFonts w:ascii="Book Antiqua" w:hAnsi="Book Antiqua" w:cs="宋体"/>
          <w:lang w:eastAsia="zh-CN"/>
        </w:rPr>
      </w:pPr>
      <w:r w:rsidRPr="000C4B7C">
        <w:rPr>
          <w:rFonts w:ascii="Book Antiqua" w:hAnsi="Book Antiqua" w:cs="宋体"/>
          <w:b/>
          <w:lang w:eastAsia="zh-CN"/>
        </w:rPr>
        <w:t xml:space="preserve">Country/Territory of origin: </w:t>
      </w:r>
      <w:r w:rsidR="0006187F" w:rsidRPr="000C4B7C">
        <w:rPr>
          <w:rFonts w:ascii="Book Antiqua" w:eastAsia="宋体" w:hAnsi="Book Antiqua"/>
          <w:lang w:eastAsia="es-ES_tradnl"/>
        </w:rPr>
        <w:t>United States</w:t>
      </w:r>
    </w:p>
    <w:p w:rsidR="00A82D57" w:rsidRPr="000C4B7C" w:rsidRDefault="00A82D57" w:rsidP="000C4B7C">
      <w:pPr>
        <w:widowControl w:val="0"/>
        <w:adjustRightInd w:val="0"/>
        <w:snapToGrid w:val="0"/>
        <w:spacing w:line="360" w:lineRule="auto"/>
        <w:jc w:val="both"/>
        <w:rPr>
          <w:rFonts w:ascii="Book Antiqua" w:hAnsi="Book Antiqua" w:cs="宋体"/>
          <w:b/>
          <w:lang w:eastAsia="zh-CN"/>
        </w:rPr>
      </w:pPr>
      <w:r w:rsidRPr="000C4B7C">
        <w:rPr>
          <w:rFonts w:ascii="Book Antiqua" w:hAnsi="Book Antiqua" w:cs="宋体"/>
          <w:b/>
          <w:lang w:eastAsia="zh-CN"/>
        </w:rPr>
        <w:t>Peer-review report’s scientific quality classification</w:t>
      </w:r>
    </w:p>
    <w:p w:rsidR="00A82D57" w:rsidRPr="000C4B7C" w:rsidRDefault="0050242A" w:rsidP="000C4B7C">
      <w:pPr>
        <w:widowControl w:val="0"/>
        <w:adjustRightInd w:val="0"/>
        <w:snapToGrid w:val="0"/>
        <w:spacing w:line="360" w:lineRule="auto"/>
        <w:jc w:val="both"/>
        <w:rPr>
          <w:rFonts w:ascii="Book Antiqua" w:hAnsi="Book Antiqua" w:cs="宋体"/>
          <w:lang w:eastAsia="zh-CN"/>
        </w:rPr>
      </w:pPr>
      <w:r w:rsidRPr="000C4B7C">
        <w:rPr>
          <w:rFonts w:ascii="Book Antiqua" w:hAnsi="Book Antiqua" w:cs="宋体"/>
          <w:lang w:eastAsia="zh-CN"/>
        </w:rPr>
        <w:t>Grade </w:t>
      </w:r>
      <w:proofErr w:type="gramStart"/>
      <w:r w:rsidRPr="000C4B7C">
        <w:rPr>
          <w:rFonts w:ascii="Book Antiqua" w:hAnsi="Book Antiqua" w:cs="宋体"/>
          <w:lang w:eastAsia="zh-CN"/>
        </w:rPr>
        <w:t>A</w:t>
      </w:r>
      <w:proofErr w:type="gramEnd"/>
      <w:r w:rsidRPr="000C4B7C">
        <w:rPr>
          <w:rFonts w:ascii="Book Antiqua" w:hAnsi="Book Antiqua" w:cs="宋体"/>
          <w:lang w:eastAsia="zh-CN"/>
        </w:rPr>
        <w:t> (Excellent): 0</w:t>
      </w:r>
    </w:p>
    <w:p w:rsidR="00A82D57" w:rsidRPr="000C4B7C" w:rsidRDefault="00A82D57" w:rsidP="000C4B7C">
      <w:pPr>
        <w:widowControl w:val="0"/>
        <w:adjustRightInd w:val="0"/>
        <w:snapToGrid w:val="0"/>
        <w:spacing w:line="360" w:lineRule="auto"/>
        <w:jc w:val="both"/>
        <w:rPr>
          <w:rFonts w:ascii="Book Antiqua" w:eastAsia="宋体" w:hAnsi="Book Antiqua" w:cs="宋体"/>
          <w:lang w:eastAsia="zh-CN"/>
        </w:rPr>
      </w:pPr>
      <w:r w:rsidRPr="000C4B7C">
        <w:rPr>
          <w:rFonts w:ascii="Book Antiqua" w:hAnsi="Book Antiqua" w:cs="宋体"/>
          <w:lang w:eastAsia="zh-CN"/>
        </w:rPr>
        <w:t xml:space="preserve">Grade B (Very good): </w:t>
      </w:r>
      <w:r w:rsidR="0050242A" w:rsidRPr="000C4B7C">
        <w:rPr>
          <w:rFonts w:ascii="Book Antiqua" w:eastAsia="宋体" w:hAnsi="Book Antiqua" w:cs="宋体"/>
          <w:lang w:eastAsia="zh-CN"/>
        </w:rPr>
        <w:t>B</w:t>
      </w:r>
    </w:p>
    <w:p w:rsidR="00A82D57" w:rsidRPr="000C4B7C" w:rsidRDefault="0050242A" w:rsidP="000C4B7C">
      <w:pPr>
        <w:widowControl w:val="0"/>
        <w:adjustRightInd w:val="0"/>
        <w:snapToGrid w:val="0"/>
        <w:spacing w:line="360" w:lineRule="auto"/>
        <w:jc w:val="both"/>
        <w:rPr>
          <w:rFonts w:ascii="Book Antiqua" w:hAnsi="Book Antiqua" w:cs="宋体"/>
          <w:lang w:eastAsia="zh-CN"/>
        </w:rPr>
      </w:pPr>
      <w:r w:rsidRPr="000C4B7C">
        <w:rPr>
          <w:rFonts w:ascii="Book Antiqua" w:hAnsi="Book Antiqua" w:cs="宋体"/>
          <w:lang w:eastAsia="zh-CN"/>
        </w:rPr>
        <w:t>Grade C (Good): 0</w:t>
      </w:r>
    </w:p>
    <w:p w:rsidR="00A82D57" w:rsidRPr="000C4B7C" w:rsidRDefault="00A82D57" w:rsidP="000C4B7C">
      <w:pPr>
        <w:widowControl w:val="0"/>
        <w:adjustRightInd w:val="0"/>
        <w:snapToGrid w:val="0"/>
        <w:spacing w:line="360" w:lineRule="auto"/>
        <w:jc w:val="both"/>
        <w:rPr>
          <w:rFonts w:ascii="Book Antiqua" w:hAnsi="Book Antiqua" w:cs="宋体"/>
          <w:lang w:eastAsia="zh-CN"/>
        </w:rPr>
      </w:pPr>
      <w:r w:rsidRPr="000C4B7C">
        <w:rPr>
          <w:rFonts w:ascii="Book Antiqua" w:hAnsi="Book Antiqua" w:cs="宋体"/>
          <w:lang w:eastAsia="zh-CN"/>
        </w:rPr>
        <w:t>Grade D (Fair): 0</w:t>
      </w:r>
    </w:p>
    <w:p w:rsidR="00A82D57" w:rsidRPr="000C4B7C" w:rsidRDefault="00A82D57" w:rsidP="000C4B7C">
      <w:pPr>
        <w:widowControl w:val="0"/>
        <w:adjustRightInd w:val="0"/>
        <w:snapToGrid w:val="0"/>
        <w:spacing w:line="360" w:lineRule="auto"/>
        <w:jc w:val="both"/>
        <w:rPr>
          <w:rFonts w:ascii="Book Antiqua" w:eastAsia="DengXian" w:hAnsi="Book Antiqua"/>
          <w:kern w:val="2"/>
          <w:lang w:val="hu-HU" w:eastAsia="zh-CN"/>
        </w:rPr>
      </w:pPr>
      <w:r w:rsidRPr="000C4B7C">
        <w:rPr>
          <w:rFonts w:ascii="Book Antiqua" w:hAnsi="Book Antiqua" w:cs="宋体"/>
          <w:lang w:eastAsia="zh-CN"/>
        </w:rPr>
        <w:t>Grade E (Poor): 0</w:t>
      </w:r>
    </w:p>
    <w:p w:rsidR="00A82D57" w:rsidRPr="000C4B7C" w:rsidRDefault="00A82D57" w:rsidP="000C4B7C">
      <w:pPr>
        <w:adjustRightInd w:val="0"/>
        <w:snapToGrid w:val="0"/>
        <w:spacing w:line="360" w:lineRule="auto"/>
        <w:jc w:val="both"/>
        <w:rPr>
          <w:rFonts w:ascii="Book Antiqua" w:eastAsia="宋体" w:hAnsi="Book Antiqua"/>
          <w:b/>
          <w:lang w:val="hu-HU" w:eastAsia="zh-CN"/>
        </w:rPr>
      </w:pPr>
    </w:p>
    <w:p w:rsidR="00AE6521" w:rsidRPr="000C4B7C" w:rsidRDefault="00A82D57"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hAnsi="Book Antiqua"/>
          <w:b/>
        </w:rPr>
        <w:t>P- Reviewer:</w:t>
      </w:r>
      <w:r w:rsidRPr="000C4B7C">
        <w:rPr>
          <w:rFonts w:ascii="Book Antiqua" w:eastAsia="宋体" w:hAnsi="Book Antiqua"/>
          <w:b/>
          <w:lang w:eastAsia="zh-CN"/>
        </w:rPr>
        <w:t xml:space="preserve"> </w:t>
      </w:r>
      <w:r w:rsidR="000C4B7C" w:rsidRPr="000C4B7C">
        <w:rPr>
          <w:rFonts w:ascii="Book Antiqua" w:hAnsi="Book Antiqua"/>
        </w:rPr>
        <w:t>Jin</w:t>
      </w:r>
      <w:r w:rsidR="000C4B7C" w:rsidRPr="000C4B7C">
        <w:rPr>
          <w:rFonts w:ascii="Book Antiqua" w:hAnsi="Book Antiqua"/>
          <w:lang w:eastAsia="zh-CN"/>
        </w:rPr>
        <w:t xml:space="preserve"> C</w:t>
      </w:r>
      <w:r w:rsidRPr="000C4B7C">
        <w:rPr>
          <w:rFonts w:ascii="Book Antiqua" w:eastAsia="宋体" w:hAnsi="Book Antiqua" w:cs="宋体"/>
          <w:color w:val="000000"/>
          <w:lang w:eastAsia="zh-CN"/>
        </w:rPr>
        <w:t xml:space="preserve"> </w:t>
      </w:r>
      <w:r w:rsidRPr="000C4B7C">
        <w:rPr>
          <w:rFonts w:ascii="Book Antiqua" w:hAnsi="Book Antiqua"/>
          <w:b/>
        </w:rPr>
        <w:t>S- Editor:</w:t>
      </w:r>
      <w:r w:rsidRPr="000C4B7C">
        <w:rPr>
          <w:rFonts w:ascii="Book Antiqua" w:hAnsi="Book Antiqua"/>
        </w:rPr>
        <w:t xml:space="preserve"> </w:t>
      </w:r>
      <w:r w:rsidR="000C4B7C" w:rsidRPr="000C4B7C">
        <w:rPr>
          <w:rFonts w:ascii="Book Antiqua" w:hAnsi="Book Antiqua"/>
          <w:lang w:eastAsia="zh-CN"/>
        </w:rPr>
        <w:t>Wang JL</w:t>
      </w:r>
      <w:r w:rsidRPr="000C4B7C">
        <w:rPr>
          <w:rFonts w:ascii="Book Antiqua" w:hAnsi="Book Antiqua"/>
          <w:b/>
        </w:rPr>
        <w:t xml:space="preserve"> L- Editor:</w:t>
      </w:r>
      <w:r w:rsidRPr="000C4B7C">
        <w:rPr>
          <w:rFonts w:ascii="Book Antiqua" w:hAnsi="Book Antiqua"/>
        </w:rPr>
        <w:t xml:space="preserve"> </w:t>
      </w:r>
      <w:r w:rsidR="009B11F4">
        <w:rPr>
          <w:rFonts w:ascii="Book Antiqua" w:hAnsi="Book Antiqua" w:hint="eastAsia"/>
          <w:lang w:eastAsia="zh-CN"/>
        </w:rPr>
        <w:t xml:space="preserve">A </w:t>
      </w:r>
      <w:r w:rsidRPr="000C4B7C">
        <w:rPr>
          <w:rFonts w:ascii="Book Antiqua" w:hAnsi="Book Antiqua"/>
          <w:b/>
        </w:rPr>
        <w:t>E- Editor:</w:t>
      </w:r>
      <w:r w:rsidR="009B11F4">
        <w:rPr>
          <w:rFonts w:ascii="Book Antiqua" w:hAnsi="Book Antiqua" w:hint="eastAsia"/>
          <w:b/>
          <w:lang w:eastAsia="zh-CN"/>
        </w:rPr>
        <w:t xml:space="preserve"> </w:t>
      </w:r>
      <w:r w:rsidR="009B11F4" w:rsidRPr="009B11F4">
        <w:rPr>
          <w:rFonts w:ascii="Book Antiqua" w:hAnsi="Book Antiqua" w:hint="eastAsia"/>
          <w:lang w:eastAsia="zh-CN"/>
        </w:rPr>
        <w:t>Wang LL</w:t>
      </w:r>
      <w:r w:rsidR="00AE6521" w:rsidRPr="000C4B7C">
        <w:rPr>
          <w:rFonts w:ascii="Book Antiqua" w:eastAsia="Times New Roman" w:hAnsi="Book Antiqua"/>
          <w:color w:val="000000" w:themeColor="text1"/>
        </w:rPr>
        <w:br w:type="page"/>
      </w:r>
    </w:p>
    <w:p w:rsidR="0067058F" w:rsidRPr="00136F04" w:rsidRDefault="0067058F" w:rsidP="000C4B7C">
      <w:pPr>
        <w:adjustRightInd w:val="0"/>
        <w:snapToGrid w:val="0"/>
        <w:spacing w:line="360" w:lineRule="auto"/>
        <w:jc w:val="both"/>
        <w:rPr>
          <w:rFonts w:ascii="Book Antiqua" w:hAnsi="Book Antiqua"/>
          <w:b/>
          <w:color w:val="000000" w:themeColor="text1"/>
        </w:rPr>
      </w:pPr>
      <w:r w:rsidRPr="00136F04">
        <w:rPr>
          <w:rFonts w:ascii="Book Antiqua" w:hAnsi="Book Antiqua"/>
          <w:b/>
          <w:color w:val="000000" w:themeColor="text1"/>
        </w:rPr>
        <w:lastRenderedPageBreak/>
        <w:t>Table 1</w:t>
      </w:r>
      <w:r w:rsidR="00980654" w:rsidRPr="00136F04">
        <w:rPr>
          <w:rFonts w:ascii="Book Antiqua" w:hAnsi="Book Antiqua" w:hint="eastAsia"/>
          <w:b/>
          <w:color w:val="000000" w:themeColor="text1"/>
          <w:lang w:eastAsia="zh-CN"/>
        </w:rPr>
        <w:t xml:space="preserve"> </w:t>
      </w:r>
      <w:r w:rsidR="00136F04" w:rsidRPr="00136F04">
        <w:rPr>
          <w:rFonts w:ascii="Book Antiqua" w:hAnsi="Book Antiqua"/>
          <w:b/>
          <w:bCs/>
          <w:color w:val="000000" w:themeColor="text1"/>
        </w:rPr>
        <w:t>Renal cell carcinoma</w:t>
      </w:r>
      <w:r w:rsidR="00136F04" w:rsidRPr="00136F04">
        <w:rPr>
          <w:rFonts w:ascii="Book Antiqua" w:hAnsi="Book Antiqua" w:hint="eastAsia"/>
          <w:b/>
          <w:bCs/>
          <w:color w:val="000000" w:themeColor="text1"/>
          <w:lang w:eastAsia="zh-CN"/>
        </w:rPr>
        <w:t xml:space="preserve"> </w:t>
      </w:r>
      <w:r w:rsidR="00136F04" w:rsidRPr="00136F04">
        <w:rPr>
          <w:rFonts w:ascii="Book Antiqua" w:hAnsi="Book Antiqua"/>
          <w:b/>
          <w:color w:val="000000" w:themeColor="text1"/>
        </w:rPr>
        <w:t>prognostic models</w:t>
      </w:r>
    </w:p>
    <w:tbl>
      <w:tblPr>
        <w:tblW w:w="9270" w:type="dxa"/>
        <w:tblInd w:w="1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340"/>
        <w:gridCol w:w="3840"/>
        <w:gridCol w:w="3090"/>
      </w:tblGrid>
      <w:tr w:rsidR="000170F9" w:rsidRPr="000C4B7C" w:rsidTr="00F716B0">
        <w:trPr>
          <w:trHeight w:val="617"/>
        </w:trPr>
        <w:tc>
          <w:tcPr>
            <w:tcW w:w="23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Model</w:t>
            </w:r>
          </w:p>
        </w:tc>
        <w:tc>
          <w:tcPr>
            <w:tcW w:w="38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Prognostic </w:t>
            </w:r>
            <w:r w:rsidR="006C3F4B" w:rsidRPr="000C4B7C">
              <w:rPr>
                <w:rFonts w:ascii="Book Antiqua" w:hAnsi="Book Antiqua"/>
                <w:b/>
                <w:bCs/>
                <w:color w:val="000000" w:themeColor="text1"/>
              </w:rPr>
              <w:t>factors</w:t>
            </w:r>
          </w:p>
        </w:tc>
        <w:tc>
          <w:tcPr>
            <w:tcW w:w="309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67058F" w:rsidRPr="000C4B7C" w:rsidRDefault="0067058F"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Prognostic </w:t>
            </w:r>
            <w:r w:rsidR="006C3F4B" w:rsidRPr="000C4B7C">
              <w:rPr>
                <w:rFonts w:ascii="Book Antiqua" w:hAnsi="Book Antiqua"/>
                <w:b/>
                <w:bCs/>
                <w:color w:val="000000" w:themeColor="text1"/>
              </w:rPr>
              <w:t>risk groups</w:t>
            </w:r>
          </w:p>
        </w:tc>
      </w:tr>
      <w:tr w:rsidR="000170F9" w:rsidRPr="000C4B7C" w:rsidTr="00F716B0">
        <w:trPr>
          <w:trHeight w:val="933"/>
        </w:trPr>
        <w:tc>
          <w:tcPr>
            <w:tcW w:w="2340" w:type="dxa"/>
            <w:tcBorders>
              <w:top w:val="single" w:sz="4" w:space="0" w:color="auto"/>
            </w:tcBorders>
            <w:shd w:val="clear" w:color="auto" w:fill="auto"/>
            <w:tcMar>
              <w:top w:w="12" w:type="dxa"/>
              <w:left w:w="108" w:type="dxa"/>
              <w:bottom w:w="0" w:type="dxa"/>
              <w:right w:w="108" w:type="dxa"/>
            </w:tcMar>
            <w:hideMark/>
          </w:tcPr>
          <w:p w:rsidR="0067058F" w:rsidRPr="000C4B7C" w:rsidRDefault="0067058F" w:rsidP="00136F0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Memorial Sloan Kettering Cancer Center</w:t>
            </w:r>
            <w:r w:rsidR="00872EB0" w:rsidRPr="000C4B7C">
              <w:rPr>
                <w:rFonts w:ascii="Book Antiqua" w:hAnsi="Book Antiqua"/>
                <w:noProof/>
                <w:color w:val="000000" w:themeColor="text1"/>
                <w:vertAlign w:val="superscript"/>
              </w:rPr>
              <w:t>[6]</w:t>
            </w:r>
          </w:p>
        </w:tc>
        <w:tc>
          <w:tcPr>
            <w:tcW w:w="3840" w:type="dxa"/>
            <w:tcBorders>
              <w:top w:val="single" w:sz="4" w:space="0" w:color="auto"/>
            </w:tcBorders>
            <w:shd w:val="clear" w:color="auto" w:fill="auto"/>
            <w:tcMar>
              <w:top w:w="12" w:type="dxa"/>
              <w:left w:w="108" w:type="dxa"/>
              <w:bottom w:w="0" w:type="dxa"/>
              <w:right w:w="108" w:type="dxa"/>
            </w:tcMar>
            <w:hideMark/>
          </w:tcPr>
          <w:p w:rsidR="0067058F" w:rsidRPr="000C4B7C" w:rsidRDefault="00136F04" w:rsidP="000C4B7C">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(1) </w:t>
            </w:r>
            <w:r w:rsidR="0067058F" w:rsidRPr="00136F04">
              <w:rPr>
                <w:rFonts w:ascii="Book Antiqua" w:hAnsi="Book Antiqua"/>
                <w:color w:val="000000" w:themeColor="text1"/>
              </w:rPr>
              <w:t>Interval from diagnosis to treatment of less than 1 year</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Karnofsky performance status less than 80%</w:t>
            </w:r>
            <w:r>
              <w:rPr>
                <w:rFonts w:ascii="Book Antiqua" w:hAnsi="Book Antiqua" w:hint="eastAsia"/>
                <w:color w:val="000000" w:themeColor="text1"/>
                <w:lang w:eastAsia="zh-CN"/>
              </w:rPr>
              <w:t xml:space="preserve">; (3) </w:t>
            </w:r>
            <w:r>
              <w:rPr>
                <w:rFonts w:ascii="Book Antiqua" w:hAnsi="Book Antiqua"/>
                <w:color w:val="000000" w:themeColor="text1"/>
              </w:rPr>
              <w:t>Serum lactate dehydrogenase</w:t>
            </w:r>
            <w:r w:rsidR="0067058F" w:rsidRPr="000C4B7C">
              <w:rPr>
                <w:rFonts w:ascii="Book Antiqua" w:hAnsi="Book Antiqua"/>
                <w:color w:val="000000" w:themeColor="text1"/>
              </w:rPr>
              <w:t xml:space="preserve"> greater than 1.5 times the upper limit of normal (ULN)</w:t>
            </w:r>
            <w:r>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Corrected serum calcium greater than the ULN</w:t>
            </w:r>
            <w:r>
              <w:rPr>
                <w:rFonts w:ascii="Book Antiqua" w:hAnsi="Book Antiqua" w:hint="eastAsia"/>
                <w:color w:val="000000" w:themeColor="text1"/>
                <w:lang w:eastAsia="zh-CN"/>
              </w:rPr>
              <w:t xml:space="preserve">; and (4) </w:t>
            </w:r>
            <w:r w:rsidR="0067058F" w:rsidRPr="000C4B7C">
              <w:rPr>
                <w:rFonts w:ascii="Book Antiqua" w:hAnsi="Book Antiqua"/>
                <w:color w:val="000000" w:themeColor="text1"/>
              </w:rPr>
              <w:t>Serum hemoglobin less</w:t>
            </w:r>
            <w:r>
              <w:rPr>
                <w:rFonts w:ascii="Book Antiqua" w:hAnsi="Book Antiqua"/>
                <w:color w:val="000000" w:themeColor="text1"/>
              </w:rPr>
              <w:t xml:space="preserve"> than the lower limit of normal</w:t>
            </w:r>
          </w:p>
        </w:tc>
        <w:tc>
          <w:tcPr>
            <w:tcW w:w="3090" w:type="dxa"/>
            <w:tcBorders>
              <w:top w:val="single" w:sz="4" w:space="0" w:color="auto"/>
            </w:tcBorders>
            <w:shd w:val="clear" w:color="auto" w:fill="auto"/>
            <w:tcMar>
              <w:top w:w="12" w:type="dxa"/>
              <w:left w:w="108" w:type="dxa"/>
              <w:bottom w:w="0" w:type="dxa"/>
              <w:right w:w="108" w:type="dxa"/>
            </w:tcMar>
            <w:hideMark/>
          </w:tcPr>
          <w:p w:rsidR="0067058F" w:rsidRPr="000C4B7C" w:rsidRDefault="00136F04" w:rsidP="000C4B7C">
            <w:pPr>
              <w:adjustRightInd w:val="0"/>
              <w:snapToGrid w:val="0"/>
              <w:spacing w:line="360" w:lineRule="auto"/>
              <w:jc w:val="both"/>
              <w:rPr>
                <w:rFonts w:ascii="Book Antiqua" w:hAnsi="Book Antiqua"/>
                <w:color w:val="000000" w:themeColor="text1"/>
                <w:lang w:eastAsia="zh-CN"/>
              </w:rPr>
            </w:pPr>
            <w:r w:rsidRPr="00136F04">
              <w:rPr>
                <w:rFonts w:ascii="Book Antiqua" w:hAnsi="Book Antiqua" w:hint="eastAsia"/>
                <w:color w:val="000000" w:themeColor="text1"/>
                <w:lang w:eastAsia="zh-CN"/>
              </w:rPr>
              <w:t>(1)</w:t>
            </w:r>
            <w:r>
              <w:rPr>
                <w:rFonts w:ascii="Book Antiqua" w:hAnsi="Book Antiqua" w:hint="eastAsia"/>
                <w:color w:val="000000" w:themeColor="text1"/>
                <w:lang w:eastAsia="zh-CN"/>
              </w:rPr>
              <w:t xml:space="preserve"> </w:t>
            </w:r>
            <w:r w:rsidR="0067058F" w:rsidRPr="00136F04">
              <w:rPr>
                <w:rFonts w:ascii="Book Antiqua" w:hAnsi="Book Antiqua"/>
                <w:color w:val="000000" w:themeColor="text1"/>
              </w:rPr>
              <w:t>Low-risk group: no prognostic factors</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Intermediate-risk group: one or two prognostic factors</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Poor-risk group: three or more prognostic factors</w:t>
            </w:r>
          </w:p>
        </w:tc>
      </w:tr>
      <w:tr w:rsidR="000170F9" w:rsidRPr="000C4B7C" w:rsidTr="00F716B0">
        <w:trPr>
          <w:trHeight w:val="854"/>
        </w:trPr>
        <w:tc>
          <w:tcPr>
            <w:tcW w:w="2340" w:type="dxa"/>
            <w:shd w:val="clear" w:color="auto" w:fill="auto"/>
            <w:tcMar>
              <w:top w:w="12" w:type="dxa"/>
              <w:left w:w="108" w:type="dxa"/>
              <w:bottom w:w="0" w:type="dxa"/>
              <w:right w:w="108" w:type="dxa"/>
            </w:tcMar>
            <w:hideMark/>
          </w:tcPr>
          <w:p w:rsidR="0067058F" w:rsidRPr="000C4B7C" w:rsidRDefault="0067058F" w:rsidP="00136F0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International Met</w:t>
            </w:r>
            <w:r w:rsidR="00136F04">
              <w:rPr>
                <w:rFonts w:ascii="Book Antiqua" w:hAnsi="Book Antiqua"/>
                <w:color w:val="000000" w:themeColor="text1"/>
              </w:rPr>
              <w:t>astatic RCC Database Consortium</w:t>
            </w:r>
            <w:r w:rsidR="00872EB0" w:rsidRPr="000C4B7C">
              <w:rPr>
                <w:rFonts w:ascii="Book Antiqua" w:hAnsi="Book Antiqua"/>
                <w:noProof/>
                <w:color w:val="000000" w:themeColor="text1"/>
                <w:vertAlign w:val="superscript"/>
              </w:rPr>
              <w:t>[7]</w:t>
            </w:r>
          </w:p>
        </w:tc>
        <w:tc>
          <w:tcPr>
            <w:tcW w:w="3840" w:type="dxa"/>
            <w:shd w:val="clear" w:color="auto" w:fill="auto"/>
            <w:tcMar>
              <w:top w:w="12" w:type="dxa"/>
              <w:left w:w="108" w:type="dxa"/>
              <w:bottom w:w="0" w:type="dxa"/>
              <w:right w:w="108" w:type="dxa"/>
            </w:tcMar>
            <w:hideMark/>
          </w:tcPr>
          <w:p w:rsidR="0067058F" w:rsidRPr="000C4B7C" w:rsidRDefault="00136F04" w:rsidP="00136F04">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 xml:space="preserve">(1) </w:t>
            </w:r>
            <w:r w:rsidR="0067058F" w:rsidRPr="00136F04">
              <w:rPr>
                <w:rFonts w:ascii="Book Antiqua" w:hAnsi="Book Antiqua"/>
                <w:color w:val="000000" w:themeColor="text1"/>
              </w:rPr>
              <w:t>Less than one year from time of diagnosis to systemic therapy</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Performance status &lt;</w:t>
            </w:r>
            <w:r>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80% (Karnofsky)</w:t>
            </w:r>
            <w:r>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Hemoglobin &lt; lower limit of normal</w:t>
            </w:r>
            <w:r>
              <w:rPr>
                <w:rFonts w:ascii="Book Antiqua" w:hAnsi="Book Antiqua" w:hint="eastAsia"/>
                <w:color w:val="000000" w:themeColor="text1"/>
                <w:lang w:eastAsia="zh-CN"/>
              </w:rPr>
              <w:t xml:space="preserve">; (4) </w:t>
            </w:r>
            <w:r w:rsidR="0067058F" w:rsidRPr="000C4B7C">
              <w:rPr>
                <w:rFonts w:ascii="Book Antiqua" w:hAnsi="Book Antiqua"/>
                <w:color w:val="000000" w:themeColor="text1"/>
              </w:rPr>
              <w:t>Calcium &gt; upper limit of normal</w:t>
            </w:r>
            <w:r>
              <w:rPr>
                <w:rFonts w:ascii="Book Antiqua" w:hAnsi="Book Antiqua" w:hint="eastAsia"/>
                <w:color w:val="000000" w:themeColor="text1"/>
                <w:lang w:eastAsia="zh-CN"/>
              </w:rPr>
              <w:t xml:space="preserve">; (5) </w:t>
            </w:r>
            <w:r w:rsidR="0067058F" w:rsidRPr="000C4B7C">
              <w:rPr>
                <w:rFonts w:ascii="Book Antiqua" w:hAnsi="Book Antiqua"/>
                <w:color w:val="000000" w:themeColor="text1"/>
              </w:rPr>
              <w:t>Neutrophil &gt; upper limit of normal</w:t>
            </w:r>
            <w:r>
              <w:rPr>
                <w:rFonts w:ascii="Book Antiqua" w:hAnsi="Book Antiqua" w:hint="eastAsia"/>
                <w:color w:val="000000" w:themeColor="text1"/>
                <w:lang w:eastAsia="zh-CN"/>
              </w:rPr>
              <w:t xml:space="preserve">; and (6) </w:t>
            </w:r>
            <w:r>
              <w:rPr>
                <w:rFonts w:ascii="Book Antiqua" w:hAnsi="Book Antiqua"/>
                <w:color w:val="000000" w:themeColor="text1"/>
              </w:rPr>
              <w:t>Platelets &gt; upper limit o</w:t>
            </w:r>
            <w:r w:rsidR="0067058F" w:rsidRPr="000C4B7C">
              <w:rPr>
                <w:rFonts w:ascii="Book Antiqua" w:hAnsi="Book Antiqua"/>
                <w:color w:val="000000" w:themeColor="text1"/>
              </w:rPr>
              <w:t>f normal</w:t>
            </w:r>
          </w:p>
          <w:p w:rsidR="0067058F" w:rsidRPr="000C4B7C" w:rsidRDefault="0067058F" w:rsidP="000C4B7C">
            <w:pPr>
              <w:adjustRightInd w:val="0"/>
              <w:snapToGrid w:val="0"/>
              <w:spacing w:line="360" w:lineRule="auto"/>
              <w:ind w:left="-18"/>
              <w:jc w:val="both"/>
              <w:rPr>
                <w:rFonts w:ascii="Book Antiqua" w:hAnsi="Book Antiqua"/>
                <w:color w:val="000000" w:themeColor="text1"/>
              </w:rPr>
            </w:pPr>
          </w:p>
        </w:tc>
        <w:tc>
          <w:tcPr>
            <w:tcW w:w="3090" w:type="dxa"/>
            <w:shd w:val="clear" w:color="auto" w:fill="auto"/>
            <w:tcMar>
              <w:top w:w="12" w:type="dxa"/>
              <w:left w:w="108" w:type="dxa"/>
              <w:bottom w:w="0" w:type="dxa"/>
              <w:right w:w="108" w:type="dxa"/>
            </w:tcMar>
            <w:hideMark/>
          </w:tcPr>
          <w:p w:rsidR="0067058F" w:rsidRPr="000C4B7C" w:rsidRDefault="00DA4756" w:rsidP="00DA4756">
            <w:pPr>
              <w:adjustRightInd w:val="0"/>
              <w:snapToGrid w:val="0"/>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 xml:space="preserve">(1) </w:t>
            </w:r>
            <w:r w:rsidR="0067058F" w:rsidRPr="00DA4756">
              <w:rPr>
                <w:rFonts w:ascii="Book Antiqua" w:hAnsi="Book Antiqua"/>
                <w:color w:val="000000" w:themeColor="text1"/>
              </w:rPr>
              <w:t>Favorable-risk group: no prognostic factors</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Intermediate-risk group: one or two prognostic factors</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Poor-risk group: three to six prognostic factors</w:t>
            </w:r>
          </w:p>
        </w:tc>
      </w:tr>
      <w:tr w:rsidR="006C3F4B" w:rsidRPr="000C4B7C" w:rsidTr="00F716B0">
        <w:trPr>
          <w:trHeight w:val="750"/>
        </w:trPr>
        <w:tc>
          <w:tcPr>
            <w:tcW w:w="2340" w:type="dxa"/>
            <w:shd w:val="clear" w:color="auto" w:fill="auto"/>
            <w:tcMar>
              <w:top w:w="12" w:type="dxa"/>
              <w:left w:w="108" w:type="dxa"/>
              <w:bottom w:w="0" w:type="dxa"/>
              <w:right w:w="108" w:type="dxa"/>
            </w:tcMar>
            <w:hideMark/>
          </w:tcPr>
          <w:p w:rsidR="0067058F" w:rsidRPr="000C4B7C" w:rsidRDefault="00077222" w:rsidP="0007722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Tumor, Nodes, Metastasis</w:t>
            </w:r>
            <w:r>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Staging System for Kidney Cancer</w:t>
            </w:r>
            <w:r w:rsidR="00872EB0" w:rsidRPr="000C4B7C">
              <w:rPr>
                <w:rFonts w:ascii="Book Antiqua" w:hAnsi="Book Antiqua"/>
                <w:noProof/>
                <w:color w:val="000000" w:themeColor="text1"/>
                <w:vertAlign w:val="superscript"/>
              </w:rPr>
              <w:t>[5]</w:t>
            </w:r>
          </w:p>
        </w:tc>
        <w:tc>
          <w:tcPr>
            <w:tcW w:w="3840" w:type="dxa"/>
            <w:shd w:val="clear" w:color="auto" w:fill="auto"/>
            <w:tcMar>
              <w:top w:w="12" w:type="dxa"/>
              <w:left w:w="108" w:type="dxa"/>
              <w:bottom w:w="0" w:type="dxa"/>
              <w:right w:w="108" w:type="dxa"/>
            </w:tcMar>
            <w:hideMark/>
          </w:tcPr>
          <w:p w:rsidR="0067058F" w:rsidRPr="000C4B7C" w:rsidRDefault="00C52F3E" w:rsidP="00C52F3E">
            <w:pPr>
              <w:adjustRightInd w:val="0"/>
              <w:snapToGrid w:val="0"/>
              <w:spacing w:line="360" w:lineRule="auto"/>
              <w:jc w:val="both"/>
              <w:rPr>
                <w:rFonts w:ascii="Book Antiqua" w:hAnsi="Book Antiqua"/>
                <w:color w:val="000000" w:themeColor="text1"/>
              </w:rPr>
            </w:pPr>
            <w:r>
              <w:rPr>
                <w:rFonts w:ascii="Book Antiqua" w:hAnsi="Book Antiqua" w:hint="eastAsia"/>
                <w:color w:val="000000" w:themeColor="text1"/>
                <w:lang w:eastAsia="zh-CN"/>
              </w:rPr>
              <w:t xml:space="preserve">(A) </w:t>
            </w:r>
            <w:r w:rsidR="0067058F" w:rsidRPr="000C4B7C">
              <w:rPr>
                <w:rFonts w:ascii="Book Antiqua" w:hAnsi="Book Antiqua"/>
                <w:color w:val="000000" w:themeColor="text1"/>
              </w:rPr>
              <w:t xml:space="preserve">Primary </w:t>
            </w:r>
            <w:r w:rsidR="00077222" w:rsidRPr="000C4B7C">
              <w:rPr>
                <w:rFonts w:ascii="Book Antiqua" w:hAnsi="Book Antiqua"/>
                <w:color w:val="000000" w:themeColor="text1"/>
              </w:rPr>
              <w:t xml:space="preserve">tumor </w:t>
            </w:r>
            <w:r w:rsidR="0067058F" w:rsidRPr="000C4B7C">
              <w:rPr>
                <w:rFonts w:ascii="Book Antiqua" w:hAnsi="Book Antiqua"/>
                <w:color w:val="000000" w:themeColor="text1"/>
              </w:rPr>
              <w:t>(T)</w:t>
            </w:r>
            <w:r w:rsidR="00077222">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Primary tumor cannot be assessed (TX)</w:t>
            </w:r>
            <w:r w:rsidR="00077222">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No evidence of primary tumor (T0)</w:t>
            </w:r>
            <w:r w:rsidR="00077222">
              <w:rPr>
                <w:rFonts w:ascii="Book Antiqua" w:hAnsi="Book Antiqua" w:hint="eastAsia"/>
                <w:color w:val="000000" w:themeColor="text1"/>
                <w:lang w:eastAsia="zh-CN"/>
              </w:rPr>
              <w:t xml:space="preserve">; (3) </w:t>
            </w:r>
            <w:r w:rsidR="0067058F" w:rsidRPr="000C4B7C">
              <w:rPr>
                <w:rFonts w:ascii="Book Antiqua" w:hAnsi="Book Antiqua"/>
                <w:color w:val="000000" w:themeColor="text1"/>
              </w:rPr>
              <w:t xml:space="preserve">Tumor </w:t>
            </w:r>
            <w:r w:rsidR="00077222" w:rsidRPr="00077222">
              <w:rPr>
                <w:rFonts w:ascii="Book Antiqua" w:hAnsi="Book Antiqua"/>
                <w:color w:val="000000" w:themeColor="text1"/>
                <w:lang w:eastAsia="zh-CN"/>
              </w:rPr>
              <w:t xml:space="preserve">≤ </w:t>
            </w:r>
            <w:r w:rsidR="0067058F" w:rsidRPr="00077222">
              <w:rPr>
                <w:rFonts w:ascii="Book Antiqua" w:hAnsi="Book Antiqua"/>
                <w:color w:val="000000" w:themeColor="text1"/>
              </w:rPr>
              <w:t>7 c</w:t>
            </w:r>
            <w:r w:rsidR="0067058F" w:rsidRPr="000C4B7C">
              <w:rPr>
                <w:rFonts w:ascii="Book Antiqua" w:hAnsi="Book Antiqua"/>
                <w:color w:val="000000" w:themeColor="text1"/>
              </w:rPr>
              <w:t>m in greatest dimension, limited to the kidney (T1)</w:t>
            </w:r>
            <w:r w:rsidR="00077222">
              <w:rPr>
                <w:rFonts w:ascii="Book Antiqua" w:hAnsi="Book Antiqua" w:hint="eastAsia"/>
                <w:color w:val="000000" w:themeColor="text1"/>
                <w:lang w:eastAsia="zh-CN"/>
              </w:rPr>
              <w:t xml:space="preserve">; (4) </w:t>
            </w:r>
            <w:r w:rsidR="0067058F" w:rsidRPr="000C4B7C">
              <w:rPr>
                <w:rFonts w:ascii="Book Antiqua" w:hAnsi="Book Antiqua"/>
                <w:color w:val="000000" w:themeColor="text1"/>
              </w:rPr>
              <w:lastRenderedPageBreak/>
              <w:t>Tumor &gt;</w:t>
            </w:r>
            <w:r w:rsidR="00077222">
              <w:rPr>
                <w:rFonts w:ascii="Book Antiqua" w:hAnsi="Book Antiqua" w:hint="eastAsia"/>
                <w:color w:val="000000" w:themeColor="text1"/>
                <w:lang w:eastAsia="zh-CN"/>
              </w:rPr>
              <w:t xml:space="preserve"> </w:t>
            </w:r>
            <w:r w:rsidR="0067058F" w:rsidRPr="000C4B7C">
              <w:rPr>
                <w:rFonts w:ascii="Book Antiqua" w:hAnsi="Book Antiqua"/>
                <w:color w:val="000000" w:themeColor="text1"/>
              </w:rPr>
              <w:t>7 cm in greatest dimension, limited to the kidney (T2)</w:t>
            </w:r>
            <w:r w:rsidR="00077222">
              <w:rPr>
                <w:rFonts w:ascii="Book Antiqua" w:hAnsi="Book Antiqua" w:hint="eastAsia"/>
                <w:color w:val="000000" w:themeColor="text1"/>
                <w:lang w:eastAsia="zh-CN"/>
              </w:rPr>
              <w:t xml:space="preserve">; (5) </w:t>
            </w:r>
            <w:r w:rsidR="0067058F" w:rsidRPr="000C4B7C">
              <w:rPr>
                <w:rFonts w:ascii="Book Antiqua" w:hAnsi="Book Antiqua"/>
                <w:color w:val="000000" w:themeColor="text1"/>
              </w:rPr>
              <w:t>Tumor extends into major veins or perinephric tissues, but not into the ipsilateral adrenal gland and not beyond Gerota’s Fascia (T3)</w:t>
            </w:r>
            <w:r w:rsidR="00077222">
              <w:rPr>
                <w:rFonts w:ascii="Book Antiqua" w:hAnsi="Book Antiqua" w:hint="eastAsia"/>
                <w:color w:val="000000" w:themeColor="text1"/>
                <w:lang w:eastAsia="zh-CN"/>
              </w:rPr>
              <w:t xml:space="preserve">; and (6) </w:t>
            </w:r>
            <w:r w:rsidR="0067058F" w:rsidRPr="000C4B7C">
              <w:rPr>
                <w:rFonts w:ascii="Book Antiqua" w:hAnsi="Book Antiqua"/>
                <w:color w:val="000000" w:themeColor="text1"/>
              </w:rPr>
              <w:t>Tumor invades beyond Gerota’s fascia (including contiguous extension into the ipsilateral adrenal gland) (T4)</w:t>
            </w:r>
            <w:r>
              <w:rPr>
                <w:rFonts w:ascii="Book Antiqua" w:hAnsi="Book Antiqua" w:hint="eastAsia"/>
                <w:color w:val="000000" w:themeColor="text1"/>
                <w:lang w:eastAsia="zh-CN"/>
              </w:rPr>
              <w:t xml:space="preserve">; (B) </w:t>
            </w:r>
            <w:r w:rsidR="0067058F" w:rsidRPr="000C4B7C">
              <w:rPr>
                <w:rFonts w:ascii="Book Antiqua" w:hAnsi="Book Antiqua"/>
                <w:color w:val="000000" w:themeColor="text1"/>
              </w:rPr>
              <w:t>Regional Lymph Nodes (N)</w:t>
            </w:r>
            <w:r w:rsidR="00077222">
              <w:rPr>
                <w:rFonts w:ascii="Book Antiqua" w:hAnsi="Book Antiqua" w:hint="eastAsia"/>
                <w:color w:val="000000" w:themeColor="text1"/>
                <w:lang w:eastAsia="zh-CN"/>
              </w:rPr>
              <w:t>:</w:t>
            </w:r>
            <w:r>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Regional lymph nodes cannot be assessed (NX)</w:t>
            </w:r>
            <w:r>
              <w:rPr>
                <w:rFonts w:ascii="Book Antiqua" w:hAnsi="Book Antiqua" w:hint="eastAsia"/>
                <w:color w:val="000000" w:themeColor="text1"/>
                <w:lang w:eastAsia="zh-CN"/>
              </w:rPr>
              <w:t xml:space="preserve">; (2) </w:t>
            </w:r>
            <w:r w:rsidR="0067058F" w:rsidRPr="000C4B7C">
              <w:rPr>
                <w:rFonts w:ascii="Book Antiqua" w:hAnsi="Book Antiqua"/>
                <w:color w:val="000000" w:themeColor="text1"/>
              </w:rPr>
              <w:t>No regional lymph node metastasis (N0)</w:t>
            </w:r>
            <w:r>
              <w:rPr>
                <w:rFonts w:ascii="Book Antiqua" w:hAnsi="Book Antiqua" w:hint="eastAsia"/>
                <w:color w:val="000000" w:themeColor="text1"/>
                <w:lang w:eastAsia="zh-CN"/>
              </w:rPr>
              <w:t xml:space="preserve">; and (3) </w:t>
            </w:r>
            <w:r w:rsidR="0067058F" w:rsidRPr="000C4B7C">
              <w:rPr>
                <w:rFonts w:ascii="Book Antiqua" w:hAnsi="Book Antiqua"/>
                <w:color w:val="000000" w:themeColor="text1"/>
              </w:rPr>
              <w:t>Metastasis in regional lymph node(s) (N1)</w:t>
            </w:r>
            <w:r>
              <w:rPr>
                <w:rFonts w:ascii="Book Antiqua" w:hAnsi="Book Antiqua" w:hint="eastAsia"/>
                <w:color w:val="000000" w:themeColor="text1"/>
                <w:lang w:eastAsia="zh-CN"/>
              </w:rPr>
              <w:t xml:space="preserve">; and (C) </w:t>
            </w:r>
            <w:r w:rsidR="0067058F" w:rsidRPr="000C4B7C">
              <w:rPr>
                <w:rFonts w:ascii="Book Antiqua" w:hAnsi="Book Antiqua"/>
                <w:color w:val="000000" w:themeColor="text1"/>
              </w:rPr>
              <w:t>Distant Metastasis (M)</w:t>
            </w:r>
            <w:r>
              <w:rPr>
                <w:rFonts w:ascii="Book Antiqua" w:hAnsi="Book Antiqua" w:hint="eastAsia"/>
                <w:color w:val="000000" w:themeColor="text1"/>
                <w:lang w:eastAsia="zh-CN"/>
              </w:rPr>
              <w:t xml:space="preserve">: (1) </w:t>
            </w:r>
            <w:r w:rsidR="0067058F" w:rsidRPr="000C4B7C">
              <w:rPr>
                <w:rFonts w:ascii="Book Antiqua" w:hAnsi="Book Antiqua"/>
                <w:color w:val="000000" w:themeColor="text1"/>
              </w:rPr>
              <w:t>No distant metastasis (M0)</w:t>
            </w:r>
            <w:r>
              <w:rPr>
                <w:rFonts w:ascii="Book Antiqua" w:hAnsi="Book Antiqua" w:hint="eastAsia"/>
                <w:color w:val="000000" w:themeColor="text1"/>
                <w:lang w:eastAsia="zh-CN"/>
              </w:rPr>
              <w:t xml:space="preserve">; and (2) </w:t>
            </w:r>
            <w:r w:rsidR="0067058F" w:rsidRPr="000C4B7C">
              <w:rPr>
                <w:rFonts w:ascii="Book Antiqua" w:hAnsi="Book Antiqua"/>
                <w:color w:val="000000" w:themeColor="text1"/>
              </w:rPr>
              <w:t>Distant metastasis (M1)</w:t>
            </w:r>
          </w:p>
          <w:p w:rsidR="0067058F" w:rsidRPr="000C4B7C" w:rsidRDefault="0067058F" w:rsidP="000C4B7C">
            <w:pPr>
              <w:adjustRightInd w:val="0"/>
              <w:snapToGrid w:val="0"/>
              <w:spacing w:line="360" w:lineRule="auto"/>
              <w:jc w:val="both"/>
              <w:rPr>
                <w:rFonts w:ascii="Book Antiqua" w:hAnsi="Book Antiqua"/>
                <w:color w:val="000000" w:themeColor="text1"/>
              </w:rPr>
            </w:pPr>
          </w:p>
        </w:tc>
        <w:tc>
          <w:tcPr>
            <w:tcW w:w="3090" w:type="dxa"/>
            <w:shd w:val="clear" w:color="auto" w:fill="auto"/>
            <w:tcMar>
              <w:top w:w="12" w:type="dxa"/>
              <w:left w:w="108" w:type="dxa"/>
              <w:bottom w:w="0" w:type="dxa"/>
              <w:right w:w="108" w:type="dxa"/>
            </w:tcMar>
            <w:hideMark/>
          </w:tcPr>
          <w:p w:rsidR="0067058F" w:rsidRPr="000C4B7C" w:rsidRDefault="0067058F" w:rsidP="00645570">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Stage 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T1;  N: N0;  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T2;  N: N0;  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III</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T: T1-T2;  N: N1;  M: M0</w:t>
            </w:r>
            <w:r w:rsidR="00B9736E">
              <w:rPr>
                <w:rFonts w:ascii="Book Antiqua" w:hAnsi="Book Antiqua" w:hint="eastAsia"/>
                <w:color w:val="000000" w:themeColor="text1"/>
                <w:lang w:eastAsia="zh-CN"/>
              </w:rPr>
              <w:t xml:space="preserve">; and </w:t>
            </w:r>
            <w:r w:rsidR="000C54B9">
              <w:rPr>
                <w:rFonts w:ascii="Book Antiqua" w:hAnsi="Book Antiqua"/>
                <w:color w:val="000000" w:themeColor="text1"/>
              </w:rPr>
              <w:t xml:space="preserve">T: T3;  N: NX,N0-N1; </w:t>
            </w:r>
            <w:r w:rsidRPr="000C4B7C">
              <w:rPr>
                <w:rFonts w:ascii="Book Antiqua" w:hAnsi="Book Antiqua"/>
                <w:color w:val="000000" w:themeColor="text1"/>
              </w:rPr>
              <w:t>M: M0</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Stage IV</w:t>
            </w:r>
            <w:r w:rsidR="00B9736E">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T: T4;  N: Any N;  </w:t>
            </w:r>
            <w:r w:rsidRPr="000C4B7C">
              <w:rPr>
                <w:rFonts w:ascii="Book Antiqua" w:hAnsi="Book Antiqua"/>
                <w:color w:val="000000" w:themeColor="text1"/>
              </w:rPr>
              <w:lastRenderedPageBreak/>
              <w:t>M: M0</w:t>
            </w:r>
            <w:r w:rsidR="00B9736E">
              <w:rPr>
                <w:rFonts w:ascii="Book Antiqua" w:hAnsi="Book Antiqua" w:hint="eastAsia"/>
                <w:color w:val="000000" w:themeColor="text1"/>
                <w:lang w:eastAsia="zh-CN"/>
              </w:rPr>
              <w:t xml:space="preserve">; and </w:t>
            </w:r>
            <w:r w:rsidRPr="000C4B7C">
              <w:rPr>
                <w:rFonts w:ascii="Book Antiqua" w:hAnsi="Book Antiqua"/>
                <w:color w:val="000000" w:themeColor="text1"/>
              </w:rPr>
              <w:t>T: Any T;  N: Any N;  M: M1</w:t>
            </w:r>
          </w:p>
        </w:tc>
      </w:tr>
    </w:tbl>
    <w:p w:rsidR="00136F04" w:rsidRPr="00136F04" w:rsidRDefault="00136F04" w:rsidP="00136F04">
      <w:pPr>
        <w:adjustRightInd w:val="0"/>
        <w:snapToGrid w:val="0"/>
        <w:spacing w:line="360" w:lineRule="auto"/>
        <w:jc w:val="both"/>
        <w:rPr>
          <w:rFonts w:ascii="Book Antiqua" w:hAnsi="Book Antiqua"/>
          <w:bCs/>
          <w:color w:val="000000" w:themeColor="text1"/>
          <w:lang w:eastAsia="zh-CN"/>
        </w:rPr>
      </w:pPr>
      <w:r w:rsidRPr="00136F04">
        <w:rPr>
          <w:rFonts w:ascii="Book Antiqua" w:hAnsi="Book Antiqua" w:hint="eastAsia"/>
          <w:color w:val="000000" w:themeColor="text1"/>
          <w:lang w:eastAsia="zh-CN"/>
        </w:rPr>
        <w:lastRenderedPageBreak/>
        <w:t xml:space="preserve">RCC: </w:t>
      </w:r>
      <w:r w:rsidRPr="00136F04">
        <w:rPr>
          <w:rFonts w:ascii="Book Antiqua" w:hAnsi="Book Antiqua"/>
          <w:bCs/>
          <w:color w:val="000000" w:themeColor="text1"/>
        </w:rPr>
        <w:t>Renal cell carcinoma</w:t>
      </w:r>
      <w:r w:rsidRPr="00136F04">
        <w:rPr>
          <w:rFonts w:ascii="Book Antiqua" w:hAnsi="Book Antiqua" w:hint="eastAsia"/>
          <w:bCs/>
          <w:color w:val="000000" w:themeColor="text1"/>
          <w:lang w:eastAsia="zh-CN"/>
        </w:rPr>
        <w:t>.</w:t>
      </w:r>
    </w:p>
    <w:p w:rsidR="00136F04" w:rsidRPr="000C4B7C" w:rsidRDefault="00136F04" w:rsidP="00136F04">
      <w:pPr>
        <w:adjustRightInd w:val="0"/>
        <w:snapToGrid w:val="0"/>
        <w:spacing w:line="360" w:lineRule="auto"/>
        <w:jc w:val="both"/>
        <w:rPr>
          <w:rFonts w:ascii="Book Antiqua" w:hAnsi="Book Antiqua"/>
          <w:color w:val="000000" w:themeColor="text1"/>
          <w:lang w:eastAsia="zh-CN"/>
        </w:rPr>
      </w:pPr>
    </w:p>
    <w:p w:rsidR="00FB33EA" w:rsidRPr="00136F04" w:rsidRDefault="00FB33EA" w:rsidP="000C4B7C">
      <w:pPr>
        <w:adjustRightInd w:val="0"/>
        <w:snapToGrid w:val="0"/>
        <w:spacing w:line="360" w:lineRule="auto"/>
        <w:jc w:val="both"/>
        <w:rPr>
          <w:rFonts w:ascii="Book Antiqua" w:hAnsi="Book Antiqua"/>
          <w:b/>
          <w:color w:val="000000" w:themeColor="text1"/>
          <w:lang w:eastAsia="zh-CN"/>
        </w:rPr>
        <w:sectPr w:rsidR="00FB33EA" w:rsidRPr="00136F04" w:rsidSect="007C075D">
          <w:footerReference w:type="even" r:id="rId10"/>
          <w:footerReference w:type="default" r:id="rId11"/>
          <w:pgSz w:w="12240" w:h="15840"/>
          <w:pgMar w:top="1440" w:right="1440" w:bottom="1440" w:left="1440" w:header="720" w:footer="720" w:gutter="0"/>
          <w:cols w:space="720"/>
          <w:docGrid w:linePitch="360"/>
        </w:sectPr>
      </w:pPr>
    </w:p>
    <w:p w:rsidR="00660DF7" w:rsidRPr="00656BE6" w:rsidRDefault="00660DF7" w:rsidP="000C4B7C">
      <w:pPr>
        <w:adjustRightInd w:val="0"/>
        <w:snapToGrid w:val="0"/>
        <w:spacing w:line="360" w:lineRule="auto"/>
        <w:jc w:val="both"/>
        <w:rPr>
          <w:rFonts w:ascii="Book Antiqua" w:hAnsi="Book Antiqua"/>
          <w:b/>
          <w:color w:val="000000" w:themeColor="text1"/>
          <w:lang w:eastAsia="zh-CN"/>
        </w:rPr>
      </w:pPr>
      <w:r w:rsidRPr="00656BE6">
        <w:rPr>
          <w:rFonts w:ascii="Book Antiqua" w:hAnsi="Book Antiqua"/>
          <w:b/>
          <w:color w:val="000000" w:themeColor="text1"/>
        </w:rPr>
        <w:lastRenderedPageBreak/>
        <w:t xml:space="preserve">Table </w:t>
      </w:r>
      <w:r w:rsidR="0067058F" w:rsidRPr="00656BE6">
        <w:rPr>
          <w:rFonts w:ascii="Book Antiqua" w:hAnsi="Book Antiqua"/>
          <w:b/>
          <w:color w:val="000000" w:themeColor="text1"/>
        </w:rPr>
        <w:t>2</w:t>
      </w:r>
      <w:r w:rsidRPr="00656BE6">
        <w:rPr>
          <w:rFonts w:ascii="Book Antiqua" w:hAnsi="Book Antiqua"/>
          <w:b/>
          <w:color w:val="000000" w:themeColor="text1"/>
        </w:rPr>
        <w:t xml:space="preserve"> </w:t>
      </w:r>
      <w:r w:rsidR="00656BE6" w:rsidRPr="00656BE6">
        <w:rPr>
          <w:rFonts w:ascii="Book Antiqua" w:hAnsi="Book Antiqua"/>
          <w:b/>
          <w:color w:val="000000" w:themeColor="text1"/>
        </w:rPr>
        <w:t xml:space="preserve">Food and Drug Administration </w:t>
      </w:r>
      <w:r w:rsidR="00F716B0" w:rsidRPr="00656BE6">
        <w:rPr>
          <w:rFonts w:ascii="Book Antiqua" w:hAnsi="Book Antiqua"/>
          <w:b/>
          <w:color w:val="000000" w:themeColor="text1"/>
        </w:rPr>
        <w:t>approval monotherapies for the tr</w:t>
      </w:r>
      <w:r w:rsidR="006F0DD4">
        <w:rPr>
          <w:rFonts w:ascii="Book Antiqua" w:hAnsi="Book Antiqua"/>
          <w:b/>
          <w:color w:val="000000" w:themeColor="text1"/>
        </w:rPr>
        <w:t>eatment of renal cell carcinoma</w:t>
      </w:r>
    </w:p>
    <w:tbl>
      <w:tblPr>
        <w:tblStyle w:val="ad"/>
        <w:tblW w:w="1297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
        <w:gridCol w:w="1080"/>
        <w:gridCol w:w="990"/>
        <w:gridCol w:w="1440"/>
        <w:gridCol w:w="1620"/>
        <w:gridCol w:w="1710"/>
        <w:gridCol w:w="1749"/>
        <w:gridCol w:w="1606"/>
        <w:gridCol w:w="1693"/>
      </w:tblGrid>
      <w:tr w:rsidR="000170F9" w:rsidRPr="000C4B7C" w:rsidTr="008B1950">
        <w:trPr>
          <w:trHeight w:val="602"/>
          <w:jc w:val="center"/>
        </w:trPr>
        <w:tc>
          <w:tcPr>
            <w:tcW w:w="1088"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Drug</w:t>
            </w:r>
          </w:p>
        </w:tc>
        <w:tc>
          <w:tcPr>
            <w:tcW w:w="1080" w:type="dxa"/>
            <w:tcBorders>
              <w:top w:val="single" w:sz="4" w:space="0" w:color="auto"/>
              <w:bottom w:val="single" w:sz="4" w:space="0" w:color="auto"/>
            </w:tcBorders>
            <w:vAlign w:val="center"/>
          </w:tcPr>
          <w:p w:rsidR="00760D17" w:rsidRPr="0078360C" w:rsidRDefault="00660DF7" w:rsidP="008B1950">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 xml:space="preserve">Mechanism of </w:t>
            </w:r>
            <w:r w:rsidR="008B1950" w:rsidRPr="0078360C">
              <w:rPr>
                <w:rFonts w:ascii="Book Antiqua" w:hAnsi="Book Antiqua"/>
                <w:b/>
                <w:color w:val="000000" w:themeColor="text1"/>
              </w:rPr>
              <w:t>action</w:t>
            </w:r>
          </w:p>
        </w:tc>
        <w:tc>
          <w:tcPr>
            <w:tcW w:w="99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 xml:space="preserve">Line of </w:t>
            </w:r>
            <w:r w:rsidR="008B1950" w:rsidRPr="0078360C">
              <w:rPr>
                <w:rFonts w:ascii="Book Antiqua" w:hAnsi="Book Antiqua"/>
                <w:b/>
                <w:color w:val="000000" w:themeColor="text1"/>
              </w:rPr>
              <w:t>therapy</w:t>
            </w:r>
          </w:p>
        </w:tc>
        <w:tc>
          <w:tcPr>
            <w:tcW w:w="144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Study</w:t>
            </w:r>
          </w:p>
        </w:tc>
        <w:tc>
          <w:tcPr>
            <w:tcW w:w="162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PFS</w:t>
            </w:r>
          </w:p>
        </w:tc>
        <w:tc>
          <w:tcPr>
            <w:tcW w:w="1710"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OS</w:t>
            </w:r>
          </w:p>
        </w:tc>
        <w:tc>
          <w:tcPr>
            <w:tcW w:w="1749" w:type="dxa"/>
            <w:tcBorders>
              <w:top w:val="single" w:sz="4" w:space="0" w:color="auto"/>
              <w:bottom w:val="single" w:sz="4" w:space="0" w:color="auto"/>
            </w:tcBorders>
            <w:vAlign w:val="center"/>
          </w:tcPr>
          <w:p w:rsidR="00760D17" w:rsidRPr="0078360C" w:rsidRDefault="00660DF7" w:rsidP="000C4B7C">
            <w:pPr>
              <w:adjustRightInd w:val="0"/>
              <w:snapToGrid w:val="0"/>
              <w:spacing w:line="360" w:lineRule="auto"/>
              <w:jc w:val="both"/>
              <w:rPr>
                <w:rFonts w:ascii="Book Antiqua" w:hAnsi="Book Antiqua"/>
                <w:b/>
                <w:color w:val="000000" w:themeColor="text1"/>
              </w:rPr>
            </w:pPr>
            <w:r w:rsidRPr="0078360C">
              <w:rPr>
                <w:rFonts w:ascii="Book Antiqua" w:hAnsi="Book Antiqua"/>
                <w:b/>
                <w:color w:val="000000" w:themeColor="text1"/>
              </w:rPr>
              <w:t>ORR</w:t>
            </w:r>
          </w:p>
        </w:tc>
        <w:tc>
          <w:tcPr>
            <w:tcW w:w="1606" w:type="dxa"/>
            <w:tcBorders>
              <w:top w:val="single" w:sz="4" w:space="0" w:color="auto"/>
              <w:bottom w:val="single" w:sz="4" w:space="0" w:color="auto"/>
            </w:tcBorders>
            <w:vAlign w:val="center"/>
          </w:tcPr>
          <w:p w:rsidR="00760D17" w:rsidRPr="0078360C" w:rsidRDefault="0078360C" w:rsidP="0078360C">
            <w:pPr>
              <w:adjustRightInd w:val="0"/>
              <w:snapToGrid w:val="0"/>
              <w:spacing w:line="360" w:lineRule="auto"/>
              <w:jc w:val="both"/>
              <w:rPr>
                <w:rFonts w:ascii="Book Antiqua" w:hAnsi="Book Antiqua"/>
                <w:b/>
                <w:color w:val="000000" w:themeColor="text1"/>
                <w:lang w:eastAsia="zh-CN"/>
              </w:rPr>
            </w:pPr>
            <w:r>
              <w:rPr>
                <w:rFonts w:ascii="Book Antiqua" w:hAnsi="Book Antiqua"/>
                <w:b/>
                <w:color w:val="000000" w:themeColor="text1"/>
              </w:rPr>
              <w:t>Associated</w:t>
            </w:r>
            <w:r>
              <w:rPr>
                <w:rFonts w:ascii="Book Antiqua" w:hAnsi="Book Antiqua" w:hint="eastAsia"/>
                <w:b/>
                <w:color w:val="000000" w:themeColor="text1"/>
                <w:lang w:eastAsia="zh-CN"/>
              </w:rPr>
              <w:t xml:space="preserve"> </w:t>
            </w:r>
            <w:r>
              <w:rPr>
                <w:rFonts w:ascii="Book Antiqua" w:hAnsi="Book Antiqua"/>
                <w:b/>
                <w:color w:val="000000" w:themeColor="text1"/>
              </w:rPr>
              <w:t>toxicities</w:t>
            </w:r>
          </w:p>
        </w:tc>
        <w:tc>
          <w:tcPr>
            <w:tcW w:w="1693" w:type="dxa"/>
            <w:tcBorders>
              <w:top w:val="single" w:sz="4" w:space="0" w:color="auto"/>
              <w:bottom w:val="single" w:sz="4" w:space="0" w:color="auto"/>
            </w:tcBorders>
            <w:vAlign w:val="center"/>
          </w:tcPr>
          <w:p w:rsidR="00760D17" w:rsidRPr="0078360C" w:rsidRDefault="0078360C" w:rsidP="000C4B7C">
            <w:pPr>
              <w:adjustRightInd w:val="0"/>
              <w:snapToGrid w:val="0"/>
              <w:spacing w:line="360" w:lineRule="auto"/>
              <w:jc w:val="both"/>
              <w:rPr>
                <w:rFonts w:ascii="Book Antiqua" w:hAnsi="Book Antiqua"/>
                <w:b/>
                <w:color w:val="000000" w:themeColor="text1"/>
                <w:lang w:eastAsia="zh-CN"/>
              </w:rPr>
            </w:pPr>
            <w:r>
              <w:rPr>
                <w:rFonts w:ascii="Book Antiqua" w:hAnsi="Book Antiqua" w:hint="eastAsia"/>
                <w:b/>
                <w:color w:val="000000" w:themeColor="text1"/>
                <w:lang w:eastAsia="zh-CN"/>
              </w:rPr>
              <w:t>Ref.</w:t>
            </w:r>
          </w:p>
        </w:tc>
      </w:tr>
      <w:tr w:rsidR="000170F9" w:rsidRPr="000C4B7C" w:rsidTr="008B1950">
        <w:trPr>
          <w:trHeight w:val="141"/>
          <w:jc w:val="center"/>
        </w:trPr>
        <w:tc>
          <w:tcPr>
            <w:tcW w:w="1088" w:type="dxa"/>
            <w:tcBorders>
              <w:top w:val="single" w:sz="4" w:space="0" w:color="auto"/>
            </w:tcBorders>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Pazopanib</w:t>
            </w:r>
          </w:p>
        </w:tc>
        <w:tc>
          <w:tcPr>
            <w:tcW w:w="1080" w:type="dxa"/>
            <w:tcBorders>
              <w:top w:val="single" w:sz="4" w:space="0" w:color="auto"/>
            </w:tcBorders>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First</w:t>
            </w:r>
          </w:p>
        </w:tc>
        <w:tc>
          <w:tcPr>
            <w:tcW w:w="1440" w:type="dxa"/>
            <w:tcBorders>
              <w:top w:val="single" w:sz="4" w:space="0" w:color="auto"/>
            </w:tcBorders>
          </w:tcPr>
          <w:p w:rsidR="00760D17" w:rsidRPr="000C4B7C" w:rsidRDefault="00660DF7" w:rsidP="006E68DA">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Pazopanib </w:t>
            </w:r>
            <w:r w:rsidRPr="006E68DA">
              <w:rPr>
                <w:rFonts w:ascii="Book Antiqua" w:hAnsi="Book Antiqua"/>
                <w:i/>
                <w:color w:val="000000" w:themeColor="text1"/>
              </w:rPr>
              <w:t>vs</w:t>
            </w:r>
            <w:r w:rsidRPr="000C4B7C">
              <w:rPr>
                <w:rFonts w:ascii="Book Antiqua" w:hAnsi="Book Antiqua"/>
                <w:color w:val="000000" w:themeColor="text1"/>
              </w:rPr>
              <w:t xml:space="preserve"> placebo</w:t>
            </w:r>
          </w:p>
        </w:tc>
        <w:tc>
          <w:tcPr>
            <w:tcW w:w="1620" w:type="dxa"/>
            <w:tcBorders>
              <w:top w:val="single" w:sz="4" w:space="0" w:color="auto"/>
            </w:tcBorders>
          </w:tcPr>
          <w:p w:rsidR="00760D17" w:rsidRPr="000C4B7C" w:rsidRDefault="006E68DA"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9.2 mo </w:t>
            </w:r>
            <w:r w:rsidRPr="006E68DA">
              <w:rPr>
                <w:rFonts w:ascii="Book Antiqua" w:hAnsi="Book Antiqua"/>
                <w:i/>
                <w:color w:val="000000" w:themeColor="text1"/>
              </w:rPr>
              <w:t>vs</w:t>
            </w:r>
            <w:r>
              <w:rPr>
                <w:rFonts w:ascii="Book Antiqua" w:hAnsi="Book Antiqua"/>
                <w:color w:val="000000" w:themeColor="text1"/>
              </w:rPr>
              <w:t xml:space="preserve"> 4.2 mo</w:t>
            </w:r>
          </w:p>
          <w:p w:rsidR="00760D17" w:rsidRPr="000C4B7C" w:rsidRDefault="006E68DA"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HR 0.46; 95%CI</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 xml:space="preserve">0.34 to 0.62; </w:t>
            </w:r>
            <w:r w:rsidR="00660DF7" w:rsidRPr="006E68DA">
              <w:rPr>
                <w:rFonts w:ascii="Book Antiqua" w:hAnsi="Book Antiqua"/>
                <w:i/>
                <w:color w:val="000000" w:themeColor="text1"/>
              </w:rPr>
              <w:t>P</w:t>
            </w:r>
            <w:r w:rsidR="00660DF7" w:rsidRPr="000C4B7C">
              <w:rPr>
                <w:rFonts w:ascii="Book Antiqua" w:hAnsi="Book Antiqua"/>
                <w:color w:val="000000" w:themeColor="text1"/>
              </w:rPr>
              <w:t xml:space="preserve"> &lt;</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0.0001</w:t>
            </w:r>
          </w:p>
        </w:tc>
        <w:tc>
          <w:tcPr>
            <w:tcW w:w="1710"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22.9 mo</w:t>
            </w:r>
            <w:r w:rsidR="006E68DA">
              <w:rPr>
                <w:rFonts w:ascii="Book Antiqua" w:hAnsi="Book Antiqua"/>
                <w:color w:val="000000" w:themeColor="text1"/>
              </w:rPr>
              <w:t xml:space="preserve"> (95%CI</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19.9 to 25.4) </w:t>
            </w:r>
            <w:r w:rsidRPr="006E68DA">
              <w:rPr>
                <w:rFonts w:ascii="Book Antiqua" w:hAnsi="Book Antiqua"/>
                <w:i/>
                <w:color w:val="000000" w:themeColor="text1"/>
              </w:rPr>
              <w:t>vs</w:t>
            </w:r>
            <w:r w:rsidR="006E68DA">
              <w:rPr>
                <w:rFonts w:ascii="Book Antiqua" w:hAnsi="Book Antiqua"/>
                <w:color w:val="000000" w:themeColor="text1"/>
              </w:rPr>
              <w:t xml:space="preserve"> 20.5 (95%</w:t>
            </w:r>
            <w:r w:rsidRPr="000C4B7C">
              <w:rPr>
                <w:rFonts w:ascii="Book Antiqua" w:hAnsi="Book Antiqua"/>
                <w:color w:val="000000" w:themeColor="text1"/>
              </w:rPr>
              <w:t>CI</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15.6 to 27.6) mo</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HR</w:t>
            </w:r>
            <w:r w:rsidR="006E68DA">
              <w:rPr>
                <w:rFonts w:ascii="Book Antiqua" w:hAnsi="Book Antiqua" w:hint="eastAsia"/>
                <w:color w:val="000000" w:themeColor="text1"/>
                <w:lang w:eastAsia="zh-CN"/>
              </w:rPr>
              <w:t xml:space="preserve"> </w:t>
            </w:r>
            <w:r w:rsidR="006E68DA">
              <w:rPr>
                <w:rFonts w:ascii="Book Antiqua" w:hAnsi="Book Antiqua"/>
                <w:color w:val="000000" w:themeColor="text1"/>
              </w:rPr>
              <w:t>0.91; 95%CI</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0.71-1.16; one sided stratified log rank </w:t>
            </w:r>
            <w:r w:rsidRPr="006E68DA">
              <w:rPr>
                <w:rFonts w:ascii="Book Antiqua" w:hAnsi="Book Antiqua"/>
                <w:i/>
                <w:color w:val="000000" w:themeColor="text1"/>
              </w:rPr>
              <w:t>P</w:t>
            </w:r>
            <w:r w:rsidR="006E68DA">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6E68DA">
              <w:rPr>
                <w:rFonts w:ascii="Book Antiqua" w:hAnsi="Book Antiqua" w:hint="eastAsia"/>
                <w:color w:val="000000" w:themeColor="text1"/>
                <w:lang w:eastAsia="zh-CN"/>
              </w:rPr>
              <w:t xml:space="preserve"> 0</w:t>
            </w:r>
            <w:r w:rsidRPr="000C4B7C">
              <w:rPr>
                <w:rFonts w:ascii="Book Antiqua" w:hAnsi="Book Antiqua"/>
                <w:color w:val="000000" w:themeColor="text1"/>
              </w:rPr>
              <w:t>.224</w:t>
            </w:r>
          </w:p>
        </w:tc>
        <w:tc>
          <w:tcPr>
            <w:tcW w:w="1749" w:type="dxa"/>
            <w:tcBorders>
              <w:top w:val="single" w:sz="4" w:space="0" w:color="auto"/>
            </w:tcBorders>
          </w:tcPr>
          <w:p w:rsidR="00760D17" w:rsidRPr="000C4B7C" w:rsidRDefault="006E68DA" w:rsidP="009400C9">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30%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25.1 to 35.6) </w:t>
            </w:r>
            <w:r w:rsidR="00660DF7" w:rsidRPr="006E68DA">
              <w:rPr>
                <w:rFonts w:ascii="Book Antiqua" w:hAnsi="Book Antiqua"/>
                <w:i/>
                <w:color w:val="000000" w:themeColor="text1"/>
              </w:rPr>
              <w:t>vs</w:t>
            </w:r>
            <w:r>
              <w:rPr>
                <w:rFonts w:ascii="Book Antiqua" w:hAnsi="Book Antiqua"/>
                <w:color w:val="000000" w:themeColor="text1"/>
              </w:rPr>
              <w:t xml:space="preserve"> 3%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0.5 to 6.4), median duration of response 58.7 </w:t>
            </w:r>
            <w:r>
              <w:rPr>
                <w:rFonts w:ascii="Book Antiqua" w:hAnsi="Book Antiqua" w:hint="eastAsia"/>
                <w:color w:val="000000" w:themeColor="text1"/>
                <w:lang w:eastAsia="zh-CN"/>
              </w:rPr>
              <w:t>wk</w:t>
            </w:r>
            <w:r w:rsidR="00660DF7" w:rsidRPr="000C4B7C">
              <w:rPr>
                <w:rFonts w:ascii="Book Antiqua" w:hAnsi="Book Antiqua"/>
                <w:color w:val="000000" w:themeColor="text1"/>
              </w:rPr>
              <w:t xml:space="preserve"> by</w:t>
            </w:r>
            <w:r>
              <w:rPr>
                <w:rFonts w:ascii="Book Antiqua" w:hAnsi="Book Antiqua"/>
                <w:color w:val="000000" w:themeColor="text1"/>
              </w:rPr>
              <w:t xml:space="preserve"> independent review</w:t>
            </w:r>
            <w:r w:rsidR="009400C9" w:rsidRPr="009400C9">
              <w:rPr>
                <w:rFonts w:ascii="Book Antiqua" w:hAnsi="Book Antiqua" w:hint="eastAsia"/>
                <w:color w:val="000000" w:themeColor="text1"/>
                <w:vertAlign w:val="superscript"/>
                <w:lang w:eastAsia="zh-CN"/>
              </w:rPr>
              <w:t>1</w:t>
            </w:r>
          </w:p>
        </w:tc>
        <w:tc>
          <w:tcPr>
            <w:tcW w:w="1606" w:type="dxa"/>
            <w:tcBorders>
              <w:top w:val="single" w:sz="4" w:space="0" w:color="auto"/>
            </w:tcBorders>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Diarrhea, hypertension, hair color changes, nausea, anorexia, vomiting. Grade 3 toxicities included el</w:t>
            </w:r>
            <w:r w:rsidR="00F7310B">
              <w:rPr>
                <w:rFonts w:ascii="Book Antiqua" w:hAnsi="Book Antiqua"/>
                <w:color w:val="000000" w:themeColor="text1"/>
              </w:rPr>
              <w:t>evated ALT (30%) and AST (28%)</w:t>
            </w:r>
          </w:p>
        </w:tc>
        <w:tc>
          <w:tcPr>
            <w:tcW w:w="1693" w:type="dxa"/>
            <w:tcBorders>
              <w:top w:val="single" w:sz="4" w:space="0" w:color="auto"/>
            </w:tcBorders>
          </w:tcPr>
          <w:p w:rsidR="00760D17" w:rsidRPr="000C4B7C" w:rsidRDefault="006E68DA" w:rsidP="006E68DA">
            <w:pPr>
              <w:adjustRightInd w:val="0"/>
              <w:snapToGrid w:val="0"/>
              <w:spacing w:line="360" w:lineRule="auto"/>
              <w:jc w:val="both"/>
              <w:rPr>
                <w:rFonts w:ascii="Book Antiqua" w:hAnsi="Book Antiqua"/>
                <w:color w:val="000000" w:themeColor="text1"/>
                <w:lang w:eastAsia="zh-CN"/>
              </w:rPr>
            </w:pPr>
            <w:r w:rsidRPr="006E68DA">
              <w:rPr>
                <w:rFonts w:ascii="Book Antiqua" w:hAnsi="Book Antiqua"/>
                <w:noProof/>
                <w:color w:val="000000" w:themeColor="text1"/>
                <w:vertAlign w:val="superscript"/>
              </w:rPr>
              <w:t>[99</w:t>
            </w:r>
            <w:r w:rsidRPr="006E68DA">
              <w:rPr>
                <w:rFonts w:ascii="Book Antiqua" w:hAnsi="Book Antiqua" w:hint="eastAsia"/>
                <w:color w:val="000000" w:themeColor="text1"/>
                <w:vertAlign w:val="superscript"/>
                <w:lang w:eastAsia="zh-CN"/>
              </w:rPr>
              <w:t>,</w:t>
            </w:r>
            <w:r w:rsidRPr="006E68DA">
              <w:rPr>
                <w:rFonts w:ascii="Book Antiqua" w:hAnsi="Book Antiqua"/>
                <w:noProof/>
                <w:color w:val="000000" w:themeColor="text1"/>
                <w:vertAlign w:val="superscript"/>
              </w:rPr>
              <w:t>100]</w:t>
            </w:r>
            <w:r>
              <w:rPr>
                <w:rFonts w:ascii="Book Antiqua" w:hAnsi="Book Antiqua" w:hint="eastAsia"/>
                <w:color w:val="000000" w:themeColor="text1"/>
                <w:lang w:eastAsia="zh-CN"/>
              </w:rPr>
              <w:t xml:space="preserve">; </w:t>
            </w:r>
            <w:r w:rsidR="00FE5B0B" w:rsidRPr="000C4B7C">
              <w:rPr>
                <w:rFonts w:ascii="Book Antiqua" w:hAnsi="Book Antiqua"/>
                <w:color w:val="000000" w:themeColor="text1"/>
              </w:rPr>
              <w:t>Comment: Lack of correlation between OS and PFS was attributed to extensive crossover of pl</w:t>
            </w:r>
            <w:r w:rsidR="0018449C" w:rsidRPr="000C4B7C">
              <w:rPr>
                <w:rFonts w:ascii="Book Antiqua" w:hAnsi="Book Antiqua"/>
                <w:color w:val="000000" w:themeColor="text1"/>
              </w:rPr>
              <w:t>a</w:t>
            </w:r>
            <w:r w:rsidR="00FE5B0B" w:rsidRPr="000C4B7C">
              <w:rPr>
                <w:rFonts w:ascii="Book Antiqua" w:hAnsi="Book Antiqua"/>
                <w:color w:val="000000" w:themeColor="text1"/>
              </w:rPr>
              <w:t xml:space="preserve">cebo-treated patients to </w:t>
            </w:r>
            <w:r w:rsidR="0018449C" w:rsidRPr="000C4B7C">
              <w:rPr>
                <w:rFonts w:ascii="Book Antiqua" w:hAnsi="Book Antiqua"/>
                <w:color w:val="000000" w:themeColor="text1"/>
              </w:rPr>
              <w:t>p</w:t>
            </w:r>
            <w:r>
              <w:rPr>
                <w:rFonts w:ascii="Book Antiqua" w:hAnsi="Book Antiqua"/>
                <w:color w:val="000000" w:themeColor="text1"/>
              </w:rPr>
              <w:t>azopanib group</w:t>
            </w:r>
          </w:p>
        </w:tc>
      </w:tr>
      <w:tr w:rsidR="000170F9" w:rsidRPr="000C4B7C" w:rsidTr="008B1950">
        <w:trPr>
          <w:trHeight w:val="272"/>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Pazopanib</w:t>
            </w:r>
          </w:p>
        </w:tc>
        <w:tc>
          <w:tcPr>
            <w:tcW w:w="1080" w:type="dxa"/>
          </w:tcPr>
          <w:p w:rsidR="00760D17" w:rsidRPr="000C4B7C" w:rsidRDefault="00994AA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Pazopinibvs placebo </w:t>
            </w:r>
            <w:r w:rsidRPr="000C4B7C">
              <w:rPr>
                <w:rFonts w:ascii="Book Antiqua" w:hAnsi="Book Antiqua"/>
                <w:color w:val="000000" w:themeColor="text1"/>
              </w:rPr>
              <w:lastRenderedPageBreak/>
              <w:t xml:space="preserve">after </w:t>
            </w:r>
            <w:r w:rsidR="00F55539" w:rsidRPr="000C4B7C">
              <w:rPr>
                <w:rFonts w:ascii="Book Antiqua" w:hAnsi="Book Antiqua"/>
                <w:color w:val="000000" w:themeColor="text1"/>
              </w:rPr>
              <w:t xml:space="preserve">prior </w:t>
            </w:r>
            <w:r w:rsidRPr="000C4B7C">
              <w:rPr>
                <w:rFonts w:ascii="Book Antiqua" w:hAnsi="Book Antiqua"/>
                <w:color w:val="000000" w:themeColor="text1"/>
              </w:rPr>
              <w:t>progression on sunitinib or bevacizumab</w:t>
            </w:r>
          </w:p>
        </w:tc>
        <w:tc>
          <w:tcPr>
            <w:tcW w:w="1620" w:type="dxa"/>
          </w:tcPr>
          <w:p w:rsidR="00760D17" w:rsidRPr="000C4B7C" w:rsidRDefault="00F7310B" w:rsidP="00F7310B">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7.5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5.4 </w:t>
            </w:r>
            <w:r w:rsidR="00660DF7" w:rsidRPr="000C4B7C">
              <w:rPr>
                <w:rFonts w:ascii="Book Antiqua" w:hAnsi="Book Antiqua"/>
                <w:color w:val="000000" w:themeColor="text1"/>
              </w:rPr>
              <w:lastRenderedPageBreak/>
              <w:t xml:space="preserve">to 9.4) </w:t>
            </w:r>
            <w:r w:rsidR="00660DF7" w:rsidRPr="00F7310B">
              <w:rPr>
                <w:rFonts w:ascii="Book Antiqua" w:hAnsi="Book Antiqua"/>
                <w:i/>
                <w:color w:val="000000" w:themeColor="text1"/>
              </w:rPr>
              <w:t>vs</w:t>
            </w:r>
            <w:r>
              <w:rPr>
                <w:rFonts w:ascii="Book Antiqua" w:hAnsi="Book Antiqua"/>
                <w:color w:val="000000" w:themeColor="text1"/>
              </w:rPr>
              <w:t xml:space="preserve"> 7.5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5.5 to 14.1) </w:t>
            </w:r>
            <w:r w:rsidR="00660DF7" w:rsidRPr="00F7310B">
              <w:rPr>
                <w:rFonts w:ascii="Book Antiqua" w:hAnsi="Book Antiqua"/>
                <w:i/>
                <w:color w:val="000000" w:themeColor="text1"/>
              </w:rPr>
              <w:t>vs</w:t>
            </w:r>
            <w:r>
              <w:rPr>
                <w:rFonts w:ascii="Book Antiqua" w:hAnsi="Book Antiqua"/>
                <w:color w:val="000000" w:themeColor="text1"/>
              </w:rPr>
              <w:t xml:space="preserve"> 6.7 mo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3.6 to 9.3)</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14.8 mo</w:t>
            </w:r>
            <w:r w:rsidR="00F7310B">
              <w:rPr>
                <w:rFonts w:ascii="Book Antiqua" w:hAnsi="Book Antiqua"/>
                <w:color w:val="000000" w:themeColor="text1"/>
              </w:rPr>
              <w:t xml:space="preserve"> (95%CI</w:t>
            </w:r>
            <w:r w:rsidR="00F7310B">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12 to </w:t>
            </w:r>
            <w:r w:rsidRPr="000C4B7C">
              <w:rPr>
                <w:rFonts w:ascii="Book Antiqua" w:hAnsi="Book Antiqua"/>
                <w:color w:val="000000" w:themeColor="text1"/>
              </w:rPr>
              <w:lastRenderedPageBreak/>
              <w:t xml:space="preserve">28.8) </w:t>
            </w:r>
            <w:r w:rsidRPr="00F7310B">
              <w:rPr>
                <w:rFonts w:ascii="Book Antiqua" w:hAnsi="Book Antiqua"/>
                <w:i/>
                <w:color w:val="000000" w:themeColor="text1"/>
              </w:rPr>
              <w:t>vs</w:t>
            </w:r>
            <w:r w:rsidR="00F7310B">
              <w:rPr>
                <w:rFonts w:ascii="Book Antiqua" w:hAnsi="Book Antiqua"/>
                <w:color w:val="000000" w:themeColor="text1"/>
              </w:rPr>
              <w:t xml:space="preserve"> 24.2 mo (95%</w:t>
            </w:r>
            <w:r w:rsidRPr="000C4B7C">
              <w:rPr>
                <w:rFonts w:ascii="Book Antiqua" w:hAnsi="Book Antiqua"/>
                <w:color w:val="000000" w:themeColor="text1"/>
              </w:rPr>
              <w:t>CI</w:t>
            </w:r>
            <w:r w:rsidR="00F7310B">
              <w:rPr>
                <w:rFonts w:ascii="Book Antiqua" w:hAnsi="Book Antiqua" w:hint="eastAsia"/>
                <w:color w:val="000000" w:themeColor="text1"/>
                <w:lang w:eastAsia="zh-CN"/>
              </w:rPr>
              <w:t>:</w:t>
            </w:r>
            <w:r w:rsidRPr="000C4B7C">
              <w:rPr>
                <w:rFonts w:ascii="Book Antiqua" w:hAnsi="Book Antiqua"/>
                <w:color w:val="000000" w:themeColor="text1"/>
              </w:rPr>
              <w:t xml:space="preserve"> 14.7 to not reached) </w:t>
            </w:r>
            <w:r w:rsidRPr="00F7310B">
              <w:rPr>
                <w:rFonts w:ascii="Book Antiqua" w:hAnsi="Book Antiqua"/>
                <w:i/>
                <w:color w:val="000000" w:themeColor="text1"/>
              </w:rPr>
              <w:t>vs</w:t>
            </w:r>
            <w:r w:rsidR="00F7310B">
              <w:rPr>
                <w:rFonts w:ascii="Book Antiqua" w:hAnsi="Book Antiqua"/>
                <w:color w:val="000000" w:themeColor="text1"/>
              </w:rPr>
              <w:t xml:space="preserve"> 10.9 (95%</w:t>
            </w:r>
            <w:r w:rsidRPr="000C4B7C">
              <w:rPr>
                <w:rFonts w:ascii="Book Antiqua" w:hAnsi="Book Antiqua"/>
                <w:color w:val="000000" w:themeColor="text1"/>
              </w:rPr>
              <w:t>CI</w:t>
            </w:r>
            <w:r w:rsidR="00F7310B">
              <w:rPr>
                <w:rFonts w:ascii="Book Antiqua" w:hAnsi="Book Antiqua" w:hint="eastAsia"/>
                <w:color w:val="000000" w:themeColor="text1"/>
                <w:lang w:eastAsia="zh-CN"/>
              </w:rPr>
              <w:t>:</w:t>
            </w:r>
            <w:r w:rsidRPr="000C4B7C">
              <w:rPr>
                <w:rFonts w:ascii="Book Antiqua" w:hAnsi="Book Antiqua"/>
                <w:color w:val="000000" w:themeColor="text1"/>
              </w:rPr>
              <w:t xml:space="preserve"> 8.2 to 12)</w:t>
            </w:r>
          </w:p>
        </w:tc>
        <w:tc>
          <w:tcPr>
            <w:tcW w:w="1749" w:type="dxa"/>
          </w:tcPr>
          <w:p w:rsidR="00760D17" w:rsidRPr="000C4B7C" w:rsidRDefault="00F7310B" w:rsidP="00F7310B">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lastRenderedPageBreak/>
              <w:t>27%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17% to 40%) </w:t>
            </w:r>
            <w:r w:rsidR="00660DF7" w:rsidRPr="00F7310B">
              <w:rPr>
                <w:rFonts w:ascii="Book Antiqua" w:hAnsi="Book Antiqua"/>
                <w:i/>
                <w:color w:val="000000" w:themeColor="text1"/>
              </w:rPr>
              <w:lastRenderedPageBreak/>
              <w:t>vs</w:t>
            </w:r>
            <w:r>
              <w:rPr>
                <w:rFonts w:ascii="Book Antiqua" w:hAnsi="Book Antiqua"/>
                <w:color w:val="000000" w:themeColor="text1"/>
              </w:rPr>
              <w:t xml:space="preserve"> 26%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15% to 41) </w:t>
            </w:r>
            <w:r w:rsidR="00660DF7" w:rsidRPr="00F7310B">
              <w:rPr>
                <w:rFonts w:ascii="Book Antiqua" w:hAnsi="Book Antiqua"/>
                <w:i/>
                <w:color w:val="000000" w:themeColor="text1"/>
              </w:rPr>
              <w:t>vs</w:t>
            </w:r>
            <w:r>
              <w:rPr>
                <w:rFonts w:ascii="Book Antiqua" w:hAnsi="Book Antiqua"/>
                <w:color w:val="000000" w:themeColor="text1"/>
              </w:rPr>
              <w:t xml:space="preserve"> 31% (95%</w:t>
            </w:r>
            <w:r w:rsidR="00660DF7" w:rsidRPr="000C4B7C">
              <w:rPr>
                <w:rFonts w:ascii="Book Antiqua" w:hAnsi="Book Antiqua"/>
                <w:color w:val="000000" w:themeColor="text1"/>
              </w:rPr>
              <w:t>CI</w:t>
            </w:r>
            <w:r>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14 to 55%)</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Grade 1 and 2 toxicities </w:t>
            </w:r>
            <w:r w:rsidRPr="000C4B7C">
              <w:rPr>
                <w:rFonts w:ascii="Book Antiqua" w:hAnsi="Book Antiqua"/>
                <w:color w:val="000000" w:themeColor="text1"/>
              </w:rPr>
              <w:lastRenderedPageBreak/>
              <w:t xml:space="preserve">were common. Grade 3 and 4 occurring in </w:t>
            </w:r>
            <w:r w:rsidR="005268C4" w:rsidRPr="005268C4">
              <w:rPr>
                <w:rFonts w:ascii="Book Antiqua" w:hAnsi="Book Antiqua"/>
                <w:color w:val="000000" w:themeColor="text1"/>
                <w:lang w:eastAsia="zh-CN"/>
              </w:rPr>
              <w: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10% included fatigue (185), proteinuria (13%), hypertension (13%), and diarrhea (11%)</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[101]</w:t>
            </w:r>
          </w:p>
        </w:tc>
      </w:tr>
      <w:tr w:rsidR="000170F9" w:rsidRPr="000C4B7C" w:rsidTr="008B1950">
        <w:trPr>
          <w:trHeight w:val="388"/>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Sunitinib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Sunitinib </w:t>
            </w:r>
            <w:r w:rsidRPr="00205034">
              <w:rPr>
                <w:rFonts w:ascii="Book Antiqua" w:hAnsi="Book Antiqua"/>
                <w:i/>
                <w:color w:val="000000" w:themeColor="text1"/>
              </w:rPr>
              <w:t>vs</w:t>
            </w:r>
            <w:r w:rsidR="00205034">
              <w:rPr>
                <w:rFonts w:ascii="Book Antiqua" w:hAnsi="Book Antiqua"/>
                <w:color w:val="000000" w:themeColor="text1"/>
              </w:rPr>
              <w:t xml:space="preserve"> interferon</w:t>
            </w:r>
          </w:p>
        </w:tc>
        <w:tc>
          <w:tcPr>
            <w:tcW w:w="1620" w:type="dxa"/>
          </w:tcPr>
          <w:p w:rsidR="00760D17" w:rsidRPr="000C4B7C" w:rsidRDefault="00205034" w:rsidP="00DC3EC9">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11 mo</w:t>
            </w:r>
            <w:r w:rsidR="00660DF7" w:rsidRPr="000C4B7C">
              <w:rPr>
                <w:rFonts w:ascii="Book Antiqua" w:hAnsi="Book Antiqua"/>
                <w:color w:val="000000" w:themeColor="text1"/>
              </w:rPr>
              <w:t xml:space="preserve"> (</w:t>
            </w:r>
            <w:r>
              <w:rPr>
                <w:rFonts w:ascii="Book Antiqua" w:hAnsi="Book Antiqua"/>
                <w:color w:val="000000" w:themeColor="text1"/>
              </w:rPr>
              <w:t>95%CI:</w:t>
            </w:r>
            <w:r w:rsidR="00660DF7" w:rsidRPr="000C4B7C">
              <w:rPr>
                <w:rFonts w:ascii="Book Antiqua" w:hAnsi="Book Antiqua"/>
                <w:color w:val="000000" w:themeColor="text1"/>
              </w:rPr>
              <w:t xml:space="preserve"> 11 to 13</w:t>
            </w:r>
            <w:r w:rsidR="00F55539" w:rsidRPr="000C4B7C">
              <w:rPr>
                <w:rFonts w:ascii="Book Antiqua" w:hAnsi="Book Antiqua"/>
                <w:color w:val="000000" w:themeColor="text1"/>
              </w:rPr>
              <w:t xml:space="preserve"> mo</w:t>
            </w:r>
            <w:r w:rsidR="00660DF7" w:rsidRPr="000C4B7C">
              <w:rPr>
                <w:rFonts w:ascii="Book Antiqua" w:hAnsi="Book Antiqua"/>
                <w:color w:val="000000" w:themeColor="text1"/>
              </w:rPr>
              <w:t xml:space="preserve"> </w:t>
            </w:r>
            <w:r w:rsidR="00660DF7" w:rsidRPr="00205034">
              <w:rPr>
                <w:rFonts w:ascii="Book Antiqua" w:hAnsi="Book Antiqua"/>
                <w:i/>
                <w:color w:val="000000" w:themeColor="text1"/>
              </w:rPr>
              <w:t>vs</w:t>
            </w:r>
            <w:r w:rsidR="00660DF7" w:rsidRPr="000C4B7C">
              <w:rPr>
                <w:rFonts w:ascii="Book Antiqua" w:hAnsi="Book Antiqua"/>
                <w:color w:val="000000" w:themeColor="text1"/>
              </w:rPr>
              <w:t xml:space="preserve"> 5 mo (</w:t>
            </w:r>
            <w:r>
              <w:rPr>
                <w:rFonts w:ascii="Book Antiqua" w:hAnsi="Book Antiqua"/>
                <w:color w:val="000000" w:themeColor="text1"/>
              </w:rPr>
              <w:t>95%CI:</w:t>
            </w:r>
            <w:r w:rsidR="00660DF7" w:rsidRPr="000C4B7C">
              <w:rPr>
                <w:rFonts w:ascii="Book Antiqua" w:hAnsi="Book Antiqua"/>
                <w:color w:val="000000" w:themeColor="text1"/>
              </w:rPr>
              <w:t xml:space="preserve"> 4 to 6)</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HR 0.42 (</w:t>
            </w:r>
            <w:r>
              <w:rPr>
                <w:rFonts w:ascii="Book Antiqua" w:hAnsi="Book Antiqua"/>
                <w:color w:val="000000" w:themeColor="text1"/>
              </w:rPr>
              <w:t>95%CI:</w:t>
            </w:r>
            <w:r w:rsidR="00660DF7" w:rsidRPr="000C4B7C">
              <w:rPr>
                <w:rFonts w:ascii="Book Antiqua" w:hAnsi="Book Antiqua"/>
                <w:color w:val="000000" w:themeColor="text1"/>
              </w:rPr>
              <w:t xml:space="preserve"> 0.451 to </w:t>
            </w:r>
            <w:r w:rsidR="00660DF7" w:rsidRPr="000C4B7C">
              <w:rPr>
                <w:rFonts w:ascii="Book Antiqua" w:hAnsi="Book Antiqua"/>
                <w:color w:val="000000" w:themeColor="text1"/>
              </w:rPr>
              <w:lastRenderedPageBreak/>
              <w:t>0.643</w:t>
            </w:r>
            <w:r w:rsidR="00DC3EC9">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w:t>
            </w:r>
            <w:r w:rsidR="00660DF7" w:rsidRPr="00963A00">
              <w:rPr>
                <w:rFonts w:ascii="Book Antiqua" w:hAnsi="Book Antiqua"/>
                <w:i/>
                <w:color w:val="000000" w:themeColor="text1"/>
              </w:rPr>
              <w:t>P</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&lt;</w:t>
            </w:r>
            <w:r w:rsidR="00963A00">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26.4 mo (</w:t>
            </w:r>
            <w:r w:rsidR="00205034">
              <w:rPr>
                <w:rFonts w:ascii="Book Antiqua" w:hAnsi="Book Antiqua"/>
                <w:color w:val="000000" w:themeColor="text1"/>
              </w:rPr>
              <w:t>95%CI:</w:t>
            </w:r>
            <w:r w:rsidRPr="000C4B7C">
              <w:rPr>
                <w:rFonts w:ascii="Book Antiqua" w:hAnsi="Book Antiqua"/>
                <w:color w:val="000000" w:themeColor="text1"/>
              </w:rPr>
              <w:t xml:space="preserve"> 23 to 32.9) </w:t>
            </w:r>
            <w:r w:rsidRPr="00205034">
              <w:rPr>
                <w:rFonts w:ascii="Book Antiqua" w:hAnsi="Book Antiqua"/>
                <w:i/>
                <w:color w:val="000000" w:themeColor="text1"/>
              </w:rPr>
              <w:t>vs</w:t>
            </w:r>
            <w:r w:rsidRPr="000C4B7C">
              <w:rPr>
                <w:rFonts w:ascii="Book Antiqua" w:hAnsi="Book Antiqua"/>
                <w:color w:val="000000" w:themeColor="text1"/>
              </w:rPr>
              <w:t xml:space="preserve"> 21.8 (</w:t>
            </w:r>
            <w:r w:rsidR="00205034">
              <w:rPr>
                <w:rFonts w:ascii="Book Antiqua" w:hAnsi="Book Antiqua"/>
                <w:color w:val="000000" w:themeColor="text1"/>
              </w:rPr>
              <w:t>95%CI:</w:t>
            </w:r>
            <w:r w:rsidRPr="000C4B7C">
              <w:rPr>
                <w:rFonts w:ascii="Book Antiqua" w:hAnsi="Book Antiqua"/>
                <w:color w:val="000000" w:themeColor="text1"/>
              </w:rPr>
              <w:t xml:space="preserve"> 17.9 to 26.9)</w:t>
            </w:r>
            <w:r w:rsidR="00963A00">
              <w:rPr>
                <w:rFonts w:ascii="Book Antiqua" w:hAnsi="Book Antiqua" w:hint="eastAsia"/>
                <w:color w:val="000000" w:themeColor="text1"/>
                <w:lang w:eastAsia="zh-CN"/>
              </w:rPr>
              <w:t xml:space="preserve">; </w:t>
            </w:r>
            <w:r w:rsidRPr="000C4B7C">
              <w:rPr>
                <w:rFonts w:ascii="Book Antiqua" w:hAnsi="Book Antiqua"/>
                <w:color w:val="000000" w:themeColor="text1"/>
              </w:rPr>
              <w:t>HR, 0.821;</w:t>
            </w:r>
            <w:r w:rsidR="00963A00">
              <w:rPr>
                <w:rFonts w:ascii="Book Antiqua" w:hAnsi="Book Antiqua" w:hint="eastAsia"/>
                <w:color w:val="000000" w:themeColor="text1"/>
                <w:lang w:eastAsia="zh-CN"/>
              </w:rPr>
              <w:t xml:space="preserve"> </w:t>
            </w:r>
            <w:r w:rsidR="00205034">
              <w:rPr>
                <w:rFonts w:ascii="Book Antiqua" w:hAnsi="Book Antiqua"/>
                <w:color w:val="000000" w:themeColor="text1"/>
              </w:rPr>
              <w:t>95%CI:</w:t>
            </w:r>
            <w:r w:rsidRPr="000C4B7C">
              <w:rPr>
                <w:rFonts w:ascii="Book Antiqua" w:hAnsi="Book Antiqua"/>
                <w:color w:val="000000" w:themeColor="text1"/>
              </w:rPr>
              <w:t xml:space="preserve"> 0.673 to 1.001; </w:t>
            </w:r>
            <w:r w:rsidR="00963A00" w:rsidRPr="00963A00">
              <w:rPr>
                <w:rFonts w:ascii="Book Antiqua" w:hAnsi="Book Antiqua"/>
                <w:i/>
                <w:color w:val="000000" w:themeColor="text1"/>
              </w:rPr>
              <w:lastRenderedPageBreak/>
              <w:t>P</w:t>
            </w:r>
            <w:r w:rsidR="00963A00">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963A00">
              <w:rPr>
                <w:rFonts w:ascii="Book Antiqua" w:hAnsi="Book Antiqua" w:hint="eastAsia"/>
                <w:color w:val="000000" w:themeColor="text1"/>
                <w:lang w:eastAsia="zh-CN"/>
              </w:rPr>
              <w:t xml:space="preserve"> 0</w:t>
            </w:r>
            <w:r w:rsidRPr="000C4B7C">
              <w:rPr>
                <w:rFonts w:ascii="Book Antiqua" w:hAnsi="Book Antiqua"/>
                <w:color w:val="000000" w:themeColor="text1"/>
              </w:rPr>
              <w:t>.051</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31% (</w:t>
            </w:r>
            <w:r w:rsidR="00205034">
              <w:rPr>
                <w:rFonts w:ascii="Book Antiqua" w:hAnsi="Book Antiqua"/>
                <w:color w:val="000000" w:themeColor="text1"/>
              </w:rPr>
              <w:t>95%CI:</w:t>
            </w:r>
            <w:r w:rsidRPr="000C4B7C">
              <w:rPr>
                <w:rFonts w:ascii="Book Antiqua" w:hAnsi="Book Antiqua"/>
                <w:color w:val="000000" w:themeColor="text1"/>
              </w:rPr>
              <w:t xml:space="preserve"> 26 to 36) </w:t>
            </w:r>
            <w:r w:rsidR="00205034" w:rsidRPr="00205034">
              <w:rPr>
                <w:rFonts w:ascii="Book Antiqua" w:hAnsi="Book Antiqua"/>
                <w:i/>
                <w:color w:val="000000" w:themeColor="text1"/>
              </w:rPr>
              <w:t>vs</w:t>
            </w:r>
            <w:r w:rsidRPr="000C4B7C">
              <w:rPr>
                <w:rFonts w:ascii="Book Antiqua" w:hAnsi="Book Antiqua"/>
                <w:color w:val="000000" w:themeColor="text1"/>
              </w:rPr>
              <w:t xml:space="preserve"> 6% (</w:t>
            </w:r>
            <w:r w:rsidR="00205034">
              <w:rPr>
                <w:rFonts w:ascii="Book Antiqua" w:hAnsi="Book Antiqua"/>
                <w:color w:val="000000" w:themeColor="text1"/>
              </w:rPr>
              <w:t>95%CI:</w:t>
            </w:r>
            <w:r w:rsidRPr="000C4B7C">
              <w:rPr>
                <w:rFonts w:ascii="Book Antiqua" w:hAnsi="Book Antiqua"/>
                <w:color w:val="000000" w:themeColor="text1"/>
              </w:rPr>
              <w:t xml:space="preserve"> 4 to 9; </w:t>
            </w:r>
            <w:r w:rsidRPr="00205034">
              <w:rPr>
                <w:rFonts w:ascii="Book Antiqua" w:hAnsi="Book Antiqua"/>
                <w:i/>
                <w:color w:val="000000" w:themeColor="text1"/>
              </w:rPr>
              <w:t>P</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&lt;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Grade 3 events included hypertension (12%), fatigue (11%), </w:t>
            </w:r>
            <w:proofErr w:type="gramStart"/>
            <w:r w:rsidRPr="000C4B7C">
              <w:rPr>
                <w:rFonts w:ascii="Book Antiqua" w:hAnsi="Book Antiqua"/>
                <w:color w:val="000000" w:themeColor="text1"/>
              </w:rPr>
              <w:lastRenderedPageBreak/>
              <w:t>diarrhea</w:t>
            </w:r>
            <w:proofErr w:type="gramEnd"/>
            <w:r w:rsidRPr="000C4B7C">
              <w:rPr>
                <w:rFonts w:ascii="Book Antiqua" w:hAnsi="Book Antiqua"/>
                <w:color w:val="000000" w:themeColor="text1"/>
              </w:rPr>
              <w:t xml:space="preserve"> (9%), and hand-foot syndrome (9%) </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[102,103]</w:t>
            </w:r>
          </w:p>
        </w:tc>
      </w:tr>
      <w:tr w:rsidR="000170F9" w:rsidRPr="000C4B7C" w:rsidTr="008B1950">
        <w:trPr>
          <w:trHeight w:val="388"/>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Axitinib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Axitinib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sorafenib</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10.1 mo (</w:t>
            </w:r>
            <w:r w:rsidR="00205034">
              <w:rPr>
                <w:rFonts w:ascii="Book Antiqua" w:hAnsi="Book Antiqua"/>
                <w:color w:val="000000" w:themeColor="text1"/>
              </w:rPr>
              <w:t>95%CI:</w:t>
            </w:r>
            <w:r w:rsidRPr="000C4B7C">
              <w:rPr>
                <w:rFonts w:ascii="Book Antiqua" w:hAnsi="Book Antiqua"/>
                <w:color w:val="000000" w:themeColor="text1"/>
              </w:rPr>
              <w:t xml:space="preserve"> 7.2 to 12.1) </w:t>
            </w:r>
            <w:r w:rsidRPr="009A3C3E">
              <w:rPr>
                <w:rFonts w:ascii="Book Antiqua" w:hAnsi="Book Antiqua"/>
                <w:i/>
                <w:color w:val="000000" w:themeColor="text1"/>
              </w:rPr>
              <w:t>vs</w:t>
            </w:r>
            <w:r w:rsidRPr="000C4B7C">
              <w:rPr>
                <w:rFonts w:ascii="Book Antiqua" w:hAnsi="Book Antiqua"/>
                <w:color w:val="000000" w:themeColor="text1"/>
              </w:rPr>
              <w:t xml:space="preserve"> 6.5 mo (</w:t>
            </w:r>
            <w:r w:rsidR="00205034">
              <w:rPr>
                <w:rFonts w:ascii="Book Antiqua" w:hAnsi="Book Antiqua"/>
                <w:color w:val="000000" w:themeColor="text1"/>
              </w:rPr>
              <w:t>95%CI:</w:t>
            </w:r>
            <w:r w:rsidRPr="000C4B7C">
              <w:rPr>
                <w:rFonts w:ascii="Book Antiqua" w:hAnsi="Book Antiqua"/>
                <w:color w:val="000000" w:themeColor="text1"/>
              </w:rPr>
              <w:t xml:space="preserve"> 4.7 to 8.3)</w:t>
            </w:r>
            <w:r w:rsidR="009A3C3E">
              <w:rPr>
                <w:rFonts w:ascii="Book Antiqua" w:hAnsi="Book Antiqua" w:hint="eastAsia"/>
                <w:color w:val="000000" w:themeColor="text1"/>
                <w:lang w:eastAsia="zh-CN"/>
              </w:rPr>
              <w:t xml:space="preserve">; </w:t>
            </w:r>
            <w:r w:rsidRPr="000C4B7C">
              <w:rPr>
                <w:rFonts w:ascii="Book Antiqua" w:hAnsi="Book Antiqua"/>
                <w:color w:val="000000" w:themeColor="text1"/>
              </w:rPr>
              <w:t>Stratified HR; 0.77 (</w:t>
            </w:r>
            <w:r w:rsidR="00205034">
              <w:rPr>
                <w:rFonts w:ascii="Book Antiqua" w:hAnsi="Book Antiqua"/>
                <w:color w:val="000000" w:themeColor="text1"/>
              </w:rPr>
              <w:t>95%CI:</w:t>
            </w:r>
            <w:r w:rsidR="00EE121F">
              <w:rPr>
                <w:rFonts w:ascii="Book Antiqua" w:hAnsi="Book Antiqua"/>
                <w:color w:val="000000" w:themeColor="text1"/>
              </w:rPr>
              <w:t xml:space="preserve"> 0.56 to 1.05)</w:t>
            </w:r>
            <w:r w:rsidR="00EE121F" w:rsidRPr="00EE121F">
              <w:rPr>
                <w:rFonts w:ascii="Book Antiqua" w:hAnsi="Book Antiqua" w:hint="eastAsia"/>
                <w:color w:val="000000" w:themeColor="text1"/>
                <w:vertAlign w:val="superscript"/>
                <w:lang w:eastAsia="zh-CN"/>
              </w:rPr>
              <w:t>1</w:t>
            </w:r>
          </w:p>
        </w:tc>
        <w:tc>
          <w:tcPr>
            <w:tcW w:w="1710" w:type="dxa"/>
          </w:tcPr>
          <w:p w:rsidR="00AB03FB" w:rsidRPr="00AE71EF" w:rsidRDefault="00AB03FB" w:rsidP="000C4B7C">
            <w:pPr>
              <w:adjustRightInd w:val="0"/>
              <w:snapToGrid w:val="0"/>
              <w:spacing w:line="360" w:lineRule="auto"/>
              <w:jc w:val="both"/>
              <w:rPr>
                <w:rFonts w:ascii="Book Antiqua" w:hAnsi="Book Antiqua" w:cs="Arial"/>
                <w:color w:val="000000" w:themeColor="text1"/>
                <w:shd w:val="clear" w:color="auto" w:fill="FFFFFF"/>
                <w:lang w:eastAsia="zh-CN"/>
              </w:rPr>
            </w:pPr>
            <w:r w:rsidRPr="000C4B7C">
              <w:rPr>
                <w:rFonts w:ascii="Book Antiqua" w:hAnsi="Book Antiqua" w:cs="Arial"/>
                <w:color w:val="000000" w:themeColor="text1"/>
                <w:shd w:val="clear" w:color="auto" w:fill="FFFFFF"/>
              </w:rPr>
              <w:t>Median OS (</w:t>
            </w:r>
            <w:r w:rsidR="00205034">
              <w:rPr>
                <w:rFonts w:ascii="Book Antiqua" w:hAnsi="Book Antiqua" w:cs="Arial"/>
                <w:color w:val="000000" w:themeColor="text1"/>
                <w:shd w:val="clear" w:color="auto" w:fill="FFFFFF"/>
              </w:rPr>
              <w:t>95%CI:</w:t>
            </w:r>
            <w:r w:rsidRPr="000C4B7C">
              <w:rPr>
                <w:rFonts w:ascii="Book Antiqua" w:hAnsi="Book Antiqua" w:cs="Arial"/>
                <w:color w:val="000000" w:themeColor="text1"/>
                <w:shd w:val="clear" w:color="auto" w:fill="FFFFFF"/>
              </w:rPr>
              <w:t xml:space="preserve"> 21.7 mo (18.0-31.7) with axitinib </w:t>
            </w:r>
            <w:r w:rsidR="00FF43B4" w:rsidRPr="000C4B7C">
              <w:rPr>
                <w:rFonts w:ascii="Book Antiqua" w:hAnsi="Book Antiqua" w:cs="Arial"/>
                <w:i/>
                <w:color w:val="000000" w:themeColor="text1"/>
                <w:shd w:val="clear" w:color="auto" w:fill="FFFFFF"/>
              </w:rPr>
              <w:t>vs</w:t>
            </w:r>
            <w:r w:rsidRPr="000C4B7C">
              <w:rPr>
                <w:rFonts w:ascii="Book Antiqua" w:hAnsi="Book Antiqua" w:cs="Arial"/>
                <w:color w:val="000000" w:themeColor="text1"/>
                <w:shd w:val="clear" w:color="auto" w:fill="FFFFFF"/>
              </w:rPr>
              <w:t xml:space="preserve"> 23.3 mo (18.1-33.2) with sorafenib (stratified HR, 0.995; </w:t>
            </w:r>
            <w:r w:rsidR="00205034">
              <w:rPr>
                <w:rFonts w:ascii="Book Antiqua" w:hAnsi="Book Antiqua" w:cs="Arial"/>
                <w:color w:val="000000" w:themeColor="text1"/>
                <w:shd w:val="clear" w:color="auto" w:fill="FFFFFF"/>
              </w:rPr>
              <w:t>95%CI:</w:t>
            </w:r>
            <w:r w:rsidRPr="000C4B7C">
              <w:rPr>
                <w:rFonts w:ascii="Book Antiqua" w:hAnsi="Book Antiqua" w:cs="Arial"/>
                <w:color w:val="000000" w:themeColor="text1"/>
                <w:shd w:val="clear" w:color="auto" w:fill="FFFFFF"/>
              </w:rPr>
              <w:t xml:space="preserve"> 0.731-1.356; 1-sided </w:t>
            </w:r>
            <w:r w:rsidRPr="009A3C3E">
              <w:rPr>
                <w:rFonts w:ascii="Book Antiqua" w:hAnsi="Book Antiqua" w:cs="Arial"/>
                <w:i/>
                <w:color w:val="000000" w:themeColor="text1"/>
                <w:shd w:val="clear" w:color="auto" w:fill="FFFFFF"/>
              </w:rPr>
              <w:t>P</w:t>
            </w:r>
            <w:r w:rsidRPr="000C4B7C">
              <w:rPr>
                <w:rFonts w:ascii="Book Antiqua" w:hAnsi="Book Antiqua" w:cs="Arial"/>
                <w:color w:val="000000" w:themeColor="text1"/>
                <w:shd w:val="clear" w:color="auto" w:fill="FFFFFF"/>
              </w:rPr>
              <w:t xml:space="preserve"> = </w:t>
            </w:r>
            <w:r w:rsidR="009A3C3E">
              <w:rPr>
                <w:rFonts w:ascii="Book Antiqua" w:hAnsi="Book Antiqua" w:cs="Arial" w:hint="eastAsia"/>
                <w:color w:val="000000" w:themeColor="text1"/>
                <w:shd w:val="clear" w:color="auto" w:fill="FFFFFF"/>
                <w:lang w:eastAsia="zh-CN"/>
              </w:rPr>
              <w:t>0</w:t>
            </w:r>
            <w:r w:rsidRPr="000C4B7C">
              <w:rPr>
                <w:rFonts w:ascii="Book Antiqua" w:hAnsi="Book Antiqua" w:cs="Arial"/>
                <w:color w:val="000000" w:themeColor="text1"/>
                <w:shd w:val="clear" w:color="auto" w:fill="FFFFFF"/>
              </w:rPr>
              <w:t>.4883)</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32% </w:t>
            </w:r>
            <w:r w:rsidRPr="00AE71EF">
              <w:rPr>
                <w:rFonts w:ascii="Book Antiqua" w:hAnsi="Book Antiqua"/>
                <w:i/>
                <w:color w:val="000000" w:themeColor="text1"/>
              </w:rPr>
              <w:t>vs</w:t>
            </w:r>
            <w:r w:rsidRPr="000C4B7C">
              <w:rPr>
                <w:rFonts w:ascii="Book Antiqua" w:hAnsi="Book Antiqua"/>
                <w:color w:val="000000" w:themeColor="text1"/>
              </w:rPr>
              <w:t xml:space="preserve"> 15%; risk ratio 2.21; (</w:t>
            </w:r>
            <w:r w:rsidR="00205034">
              <w:rPr>
                <w:rFonts w:ascii="Book Antiqua" w:hAnsi="Book Antiqua"/>
                <w:color w:val="000000" w:themeColor="text1"/>
              </w:rPr>
              <w:t>95%CI:</w:t>
            </w:r>
            <w:r w:rsidRPr="000C4B7C">
              <w:rPr>
                <w:rFonts w:ascii="Book Antiqua" w:hAnsi="Book Antiqua"/>
                <w:color w:val="000000" w:themeColor="text1"/>
              </w:rPr>
              <w:t xml:space="preserve"> 1.31 to 3.75; stratified one-sided </w:t>
            </w:r>
            <w:r w:rsidRPr="00AE71EF">
              <w:rPr>
                <w:rFonts w:ascii="Book Antiqua" w:hAnsi="Book Antiqua"/>
                <w:i/>
                <w:color w:val="000000" w:themeColor="text1"/>
              </w:rPr>
              <w:t>P</w:t>
            </w:r>
            <w:r w:rsidR="00AE71EF">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AE71EF">
              <w:rPr>
                <w:rFonts w:ascii="Book Antiqua" w:hAnsi="Book Antiqua" w:hint="eastAsia"/>
                <w:color w:val="000000" w:themeColor="text1"/>
                <w:lang w:eastAsia="zh-CN"/>
              </w:rPr>
              <w:t xml:space="preserve"> </w:t>
            </w:r>
            <w:r w:rsidRPr="000C4B7C">
              <w:rPr>
                <w:rFonts w:ascii="Book Antiqua" w:hAnsi="Book Antiqua"/>
                <w:color w:val="000000" w:themeColor="text1"/>
              </w:rPr>
              <w:t>0.0006)</w:t>
            </w:r>
          </w:p>
        </w:tc>
        <w:tc>
          <w:tcPr>
            <w:tcW w:w="1606" w:type="dxa"/>
          </w:tcPr>
          <w:p w:rsidR="00760D17" w:rsidRPr="000C4B7C" w:rsidRDefault="00660DF7" w:rsidP="00AE71EF">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Diarrhea (50%), hypertension (49%), weight decrease (40%), decreased appetite (29%), dysphonia (23%). Any grade events were more common n </w:t>
            </w:r>
            <w:r w:rsidRPr="000C4B7C">
              <w:rPr>
                <w:rFonts w:ascii="Book Antiqua" w:hAnsi="Book Antiqua"/>
                <w:color w:val="000000" w:themeColor="text1"/>
              </w:rPr>
              <w:lastRenderedPageBreak/>
              <w:t xml:space="preserve">axitinib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sorafen</w:t>
            </w:r>
            <w:r w:rsidRPr="00AE71EF">
              <w:rPr>
                <w:rFonts w:ascii="Book Antiqua" w:hAnsi="Book Antiqua"/>
                <w:color w:val="000000" w:themeColor="text1"/>
              </w:rPr>
              <w:t>ib</w:t>
            </w:r>
            <w:r w:rsidR="00AE71EF" w:rsidRPr="00AE71EF">
              <w:rPr>
                <w:rFonts w:ascii="Book Antiqua" w:hAnsi="Book Antiqua" w:hint="eastAsia"/>
                <w:color w:val="000000" w:themeColor="text1"/>
                <w:lang w:eastAsia="zh-CN"/>
              </w:rPr>
              <w:t xml:space="preserve"> </w:t>
            </w:r>
            <w:r w:rsidR="00AE71EF" w:rsidRPr="00AE71EF">
              <w:rPr>
                <w:rFonts w:ascii="Book Antiqua" w:hAnsi="Book Antiqua"/>
                <w:color w:val="000000" w:themeColor="text1"/>
                <w:lang w:eastAsia="zh-CN"/>
              </w:rPr>
              <w:t>≥</w:t>
            </w:r>
            <w:r w:rsidR="00AE71EF" w:rsidRPr="00AE71EF">
              <w:rPr>
                <w:rFonts w:ascii="Book Antiqua" w:hAnsi="Book Antiqua" w:hint="eastAsia"/>
                <w:color w:val="000000" w:themeColor="text1"/>
                <w:lang w:eastAsia="zh-CN"/>
              </w:rPr>
              <w:t xml:space="preserve"> </w:t>
            </w:r>
            <w:r w:rsidRPr="00AE71EF">
              <w:rPr>
                <w:rFonts w:ascii="Book Antiqua" w:hAnsi="Book Antiqua"/>
                <w:color w:val="000000" w:themeColor="text1"/>
              </w:rPr>
              <w:t>10%</w:t>
            </w:r>
          </w:p>
        </w:tc>
        <w:tc>
          <w:tcPr>
            <w:tcW w:w="1693" w:type="dxa"/>
          </w:tcPr>
          <w:p w:rsidR="00760D17" w:rsidRPr="000C4B7C" w:rsidRDefault="00252589" w:rsidP="000C4B7C">
            <w:pPr>
              <w:adjustRightInd w:val="0"/>
              <w:snapToGrid w:val="0"/>
              <w:spacing w:line="360" w:lineRule="auto"/>
              <w:jc w:val="both"/>
              <w:rPr>
                <w:rFonts w:ascii="Book Antiqua" w:hAnsi="Book Antiqua"/>
                <w:color w:val="000000" w:themeColor="text1"/>
              </w:rPr>
            </w:pPr>
            <w:r>
              <w:rPr>
                <w:rFonts w:ascii="Book Antiqua" w:hAnsi="Book Antiqua"/>
                <w:noProof/>
                <w:color w:val="000000" w:themeColor="text1"/>
                <w:vertAlign w:val="superscript"/>
              </w:rPr>
              <w:lastRenderedPageBreak/>
              <w:t>[104,</w:t>
            </w:r>
            <w:r w:rsidR="00027335" w:rsidRPr="000C4B7C">
              <w:rPr>
                <w:rFonts w:ascii="Book Antiqua" w:hAnsi="Book Antiqua"/>
                <w:noProof/>
                <w:color w:val="000000" w:themeColor="text1"/>
                <w:vertAlign w:val="superscript"/>
              </w:rPr>
              <w:t>105]</w:t>
            </w:r>
          </w:p>
        </w:tc>
      </w:tr>
      <w:tr w:rsidR="000170F9" w:rsidRPr="000C4B7C" w:rsidTr="008B1950">
        <w:trPr>
          <w:trHeight w:val="388"/>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Axitinib</w:t>
            </w:r>
          </w:p>
        </w:tc>
        <w:tc>
          <w:tcPr>
            <w:tcW w:w="1080" w:type="dxa"/>
          </w:tcPr>
          <w:p w:rsidR="00760D17" w:rsidRPr="000C4B7C" w:rsidRDefault="00A80BE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TKI</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AXIS: axitinibvssorafenib after 1 prior systemic therapy</w:t>
            </w:r>
          </w:p>
        </w:tc>
        <w:tc>
          <w:tcPr>
            <w:tcW w:w="1620" w:type="dxa"/>
          </w:tcPr>
          <w:p w:rsidR="00760D17" w:rsidRPr="000C4B7C" w:rsidRDefault="00660DF7" w:rsidP="00B20A81">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8.3 mo (</w:t>
            </w:r>
            <w:r w:rsidR="00205034">
              <w:rPr>
                <w:rFonts w:ascii="Book Antiqua" w:hAnsi="Book Antiqua"/>
                <w:color w:val="000000" w:themeColor="text1"/>
              </w:rPr>
              <w:t>95%CI:</w:t>
            </w:r>
            <w:r w:rsidRPr="000C4B7C">
              <w:rPr>
                <w:rFonts w:ascii="Book Antiqua" w:hAnsi="Book Antiqua"/>
                <w:color w:val="000000" w:themeColor="text1"/>
              </w:rPr>
              <w:t xml:space="preserve"> 6.7 to 9.2) </w:t>
            </w:r>
            <w:r w:rsidR="00205034" w:rsidRPr="00205034">
              <w:rPr>
                <w:rFonts w:ascii="Book Antiqua" w:hAnsi="Book Antiqua"/>
                <w:i/>
                <w:color w:val="000000" w:themeColor="text1"/>
              </w:rPr>
              <w:t>vs</w:t>
            </w:r>
            <w:r w:rsidRPr="000C4B7C">
              <w:rPr>
                <w:rFonts w:ascii="Book Antiqua" w:hAnsi="Book Antiqua"/>
                <w:color w:val="000000" w:themeColor="text1"/>
              </w:rPr>
              <w:t xml:space="preserve"> 4.7 mo (</w:t>
            </w:r>
            <w:r w:rsidR="00205034">
              <w:rPr>
                <w:rFonts w:ascii="Book Antiqua" w:hAnsi="Book Antiqua"/>
                <w:color w:val="000000" w:themeColor="text1"/>
              </w:rPr>
              <w:t>95%CI:</w:t>
            </w:r>
            <w:r w:rsidRPr="000C4B7C">
              <w:rPr>
                <w:rFonts w:ascii="Book Antiqua" w:hAnsi="Book Antiqua"/>
                <w:color w:val="000000" w:themeColor="text1"/>
              </w:rPr>
              <w:t xml:space="preserve"> 4.7 to 6.5)</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0.656, </w:t>
            </w:r>
            <w:r w:rsidR="00205034">
              <w:rPr>
                <w:rFonts w:ascii="Book Antiqua" w:hAnsi="Book Antiqua"/>
                <w:color w:val="000000" w:themeColor="text1"/>
              </w:rPr>
              <w:t>95%CI:</w:t>
            </w:r>
            <w:r w:rsidRPr="000C4B7C">
              <w:rPr>
                <w:rFonts w:ascii="Book Antiqua" w:hAnsi="Book Antiqua"/>
                <w:color w:val="000000" w:themeColor="text1"/>
              </w:rPr>
              <w:t xml:space="preserve"> 0.552 to 0.779; one sided </w:t>
            </w:r>
            <w:r w:rsidR="006D4309" w:rsidRPr="006D4309">
              <w:rPr>
                <w:rFonts w:ascii="Book Antiqua" w:hAnsi="Book Antiqua"/>
                <w:i/>
                <w:color w:val="000000" w:themeColor="text1"/>
              </w:rPr>
              <w:t>P</w:t>
            </w:r>
            <w:r w:rsidRPr="000C4B7C">
              <w:rPr>
                <w:rFonts w:ascii="Book Antiqua" w:hAnsi="Book Antiqua"/>
                <w:color w:val="000000" w:themeColor="text1"/>
              </w:rPr>
              <w:t xml:space="preserve"> &lt;</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710" w:type="dxa"/>
          </w:tcPr>
          <w:p w:rsidR="00760D17" w:rsidRPr="000C4B7C" w:rsidRDefault="00660DF7" w:rsidP="00311AAF">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20.1 mo (</w:t>
            </w:r>
            <w:r w:rsidR="00205034">
              <w:rPr>
                <w:rFonts w:ascii="Book Antiqua" w:hAnsi="Book Antiqua"/>
                <w:color w:val="000000" w:themeColor="text1"/>
              </w:rPr>
              <w:t>95%CI:</w:t>
            </w:r>
            <w:r w:rsidRPr="000C4B7C">
              <w:rPr>
                <w:rFonts w:ascii="Book Antiqua" w:hAnsi="Book Antiqua"/>
                <w:color w:val="000000" w:themeColor="text1"/>
              </w:rPr>
              <w:t xml:space="preserve"> 16.7 to 23.4) </w:t>
            </w:r>
            <w:r w:rsidR="00205034" w:rsidRPr="00205034">
              <w:rPr>
                <w:rFonts w:ascii="Book Antiqua" w:hAnsi="Book Antiqua"/>
                <w:i/>
                <w:color w:val="000000" w:themeColor="text1"/>
              </w:rPr>
              <w:t>vs</w:t>
            </w:r>
            <w:r w:rsidRPr="000C4B7C">
              <w:rPr>
                <w:rFonts w:ascii="Book Antiqua" w:hAnsi="Book Antiqua"/>
                <w:color w:val="000000" w:themeColor="text1"/>
              </w:rPr>
              <w:t xml:space="preserve"> 19.2 (</w:t>
            </w:r>
            <w:r w:rsidR="00205034">
              <w:rPr>
                <w:rFonts w:ascii="Book Antiqua" w:hAnsi="Book Antiqua"/>
                <w:color w:val="000000" w:themeColor="text1"/>
              </w:rPr>
              <w:t>95%CI:</w:t>
            </w:r>
            <w:r w:rsidRPr="000C4B7C">
              <w:rPr>
                <w:rFonts w:ascii="Book Antiqua" w:hAnsi="Book Antiqua"/>
                <w:color w:val="000000" w:themeColor="text1"/>
              </w:rPr>
              <w:t xml:space="preserve"> 17.5 </w:t>
            </w:r>
            <w:r w:rsidR="00311AAF" w:rsidRPr="00311AAF">
              <w:rPr>
                <w:rFonts w:ascii="Book Antiqua" w:hAnsi="Book Antiqua" w:hint="eastAsia"/>
                <w:color w:val="000000" w:themeColor="text1"/>
                <w:lang w:eastAsia="zh-CN"/>
              </w:rPr>
              <w:t>to</w:t>
            </w:r>
            <w:r w:rsidRPr="00311AAF">
              <w:rPr>
                <w:rFonts w:ascii="Book Antiqua" w:hAnsi="Book Antiqua"/>
                <w:color w:val="000000" w:themeColor="text1"/>
              </w:rPr>
              <w:t xml:space="preserve"> </w:t>
            </w:r>
            <w:r w:rsidRPr="000C4B7C">
              <w:rPr>
                <w:rFonts w:ascii="Book Antiqua" w:hAnsi="Book Antiqua"/>
                <w:color w:val="000000" w:themeColor="text1"/>
              </w:rPr>
              <w:t>22.3)</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19% (</w:t>
            </w:r>
            <w:r w:rsidR="00205034">
              <w:rPr>
                <w:rFonts w:ascii="Book Antiqua" w:hAnsi="Book Antiqua"/>
                <w:color w:val="000000" w:themeColor="text1"/>
              </w:rPr>
              <w:t>95%CI:</w:t>
            </w:r>
            <w:r w:rsidRPr="000C4B7C">
              <w:rPr>
                <w:rFonts w:ascii="Book Antiqua" w:hAnsi="Book Antiqua"/>
                <w:color w:val="000000" w:themeColor="text1"/>
              </w:rPr>
              <w:t xml:space="preserve"> 15.4 to 23.9) </w:t>
            </w:r>
            <w:r w:rsidR="00205034" w:rsidRPr="00205034">
              <w:rPr>
                <w:rFonts w:ascii="Book Antiqua" w:hAnsi="Book Antiqua"/>
                <w:i/>
                <w:color w:val="000000" w:themeColor="text1"/>
              </w:rPr>
              <w:t>vs</w:t>
            </w:r>
            <w:r w:rsidRPr="000C4B7C">
              <w:rPr>
                <w:rFonts w:ascii="Book Antiqua" w:hAnsi="Book Antiqua"/>
                <w:color w:val="000000" w:themeColor="text1"/>
              </w:rPr>
              <w:t xml:space="preserve"> 34% (</w:t>
            </w:r>
            <w:r w:rsidR="00205034">
              <w:rPr>
                <w:rFonts w:ascii="Book Antiqua" w:hAnsi="Book Antiqua"/>
                <w:color w:val="000000" w:themeColor="text1"/>
              </w:rPr>
              <w:t>95%CI:</w:t>
            </w:r>
            <w:r w:rsidRPr="000C4B7C">
              <w:rPr>
                <w:rFonts w:ascii="Book Antiqua" w:hAnsi="Book Antiqua"/>
                <w:color w:val="000000" w:themeColor="text1"/>
              </w:rPr>
              <w:t xml:space="preserve"> 6.6 to 12.9), </w:t>
            </w:r>
            <w:r w:rsidR="006D4309" w:rsidRPr="006D4309">
              <w:rPr>
                <w:rFonts w:ascii="Book Antiqua" w:hAnsi="Book Antiqua"/>
                <w:i/>
                <w:color w:val="000000" w:themeColor="text1"/>
              </w:rPr>
              <w:t>P</w:t>
            </w:r>
            <w:r w:rsidR="006D4309" w:rsidRPr="000C4B7C">
              <w:rPr>
                <w:rFonts w:ascii="Book Antiqua" w:hAnsi="Book Antiqua"/>
                <w:color w:val="000000" w:themeColor="text1"/>
              </w:rPr>
              <w:t xml:space="preserve"> </w:t>
            </w:r>
            <w:r w:rsidRPr="000C4B7C">
              <w:rPr>
                <w:rFonts w:ascii="Book Antiqua" w:hAnsi="Book Antiqua"/>
                <w:color w:val="000000" w:themeColor="text1"/>
              </w:rPr>
              <w:t>=</w:t>
            </w:r>
            <w:r w:rsidR="006D4309">
              <w:rPr>
                <w:rFonts w:ascii="Book Antiqua" w:hAnsi="Book Antiqua" w:hint="eastAsia"/>
                <w:color w:val="000000" w:themeColor="text1"/>
                <w:lang w:eastAsia="zh-CN"/>
              </w:rPr>
              <w:t xml:space="preserve"> </w:t>
            </w:r>
            <w:r w:rsidRPr="000C4B7C">
              <w:rPr>
                <w:rFonts w:ascii="Book Antiqua" w:hAnsi="Book Antiqua"/>
                <w:color w:val="000000" w:themeColor="text1"/>
              </w:rPr>
              <w:t>0.0001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Adverse events of all grades were more frequent with axitinib were hypertension, fatigue, dysphonia, and hypothyroidism. Adverse events more frequent with </w:t>
            </w:r>
            <w:r w:rsidRPr="000C4B7C">
              <w:rPr>
                <w:rFonts w:ascii="Book Antiqua" w:hAnsi="Book Antiqua"/>
                <w:color w:val="000000" w:themeColor="text1"/>
              </w:rPr>
              <w:lastRenderedPageBreak/>
              <w:t>sorafenib with hand-foot syndrome, rash, alopecia, and anemia</w:t>
            </w:r>
          </w:p>
        </w:tc>
        <w:tc>
          <w:tcPr>
            <w:tcW w:w="1693" w:type="dxa"/>
          </w:tcPr>
          <w:p w:rsidR="00760D17" w:rsidRPr="000C4B7C" w:rsidRDefault="00252589" w:rsidP="000C4B7C">
            <w:pPr>
              <w:adjustRightInd w:val="0"/>
              <w:snapToGrid w:val="0"/>
              <w:spacing w:line="360" w:lineRule="auto"/>
              <w:jc w:val="both"/>
              <w:rPr>
                <w:rFonts w:ascii="Book Antiqua" w:hAnsi="Book Antiqua"/>
                <w:color w:val="000000" w:themeColor="text1"/>
              </w:rPr>
            </w:pPr>
            <w:r>
              <w:rPr>
                <w:rFonts w:ascii="Book Antiqua" w:hAnsi="Book Antiqua"/>
                <w:noProof/>
                <w:color w:val="000000" w:themeColor="text1"/>
                <w:vertAlign w:val="superscript"/>
              </w:rPr>
              <w:lastRenderedPageBreak/>
              <w:t>[57,</w:t>
            </w:r>
            <w:r w:rsidR="00027335" w:rsidRPr="000C4B7C">
              <w:rPr>
                <w:rFonts w:ascii="Book Antiqua" w:hAnsi="Book Antiqua"/>
                <w:noProof/>
                <w:color w:val="000000" w:themeColor="text1"/>
                <w:vertAlign w:val="superscript"/>
              </w:rPr>
              <w:t>106]</w:t>
            </w:r>
          </w:p>
        </w:tc>
      </w:tr>
      <w:tr w:rsidR="000170F9" w:rsidRPr="000C4B7C" w:rsidTr="008B1950">
        <w:trPr>
          <w:trHeight w:val="1056"/>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Sorafenib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TKI </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 line</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TARGET: Sorafenib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 for patients </w:t>
            </w:r>
            <w:r w:rsidR="006F6B37">
              <w:rPr>
                <w:rFonts w:ascii="Book Antiqua" w:hAnsi="Book Antiqua"/>
                <w:color w:val="000000" w:themeColor="text1"/>
              </w:rPr>
              <w:t>who progressed on prior therapy</w:t>
            </w:r>
          </w:p>
        </w:tc>
        <w:tc>
          <w:tcPr>
            <w:tcW w:w="1620" w:type="dxa"/>
          </w:tcPr>
          <w:p w:rsidR="00660DF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5.5 </w:t>
            </w:r>
            <w:r w:rsidR="006F6B37">
              <w:rPr>
                <w:rFonts w:ascii="Book Antiqua" w:hAnsi="Book Antiqua"/>
                <w:color w:val="000000" w:themeColor="text1"/>
              </w:rPr>
              <w:t>mo</w:t>
            </w:r>
            <w:r w:rsidR="00B24882" w:rsidRPr="000C4B7C">
              <w:rPr>
                <w:rFonts w:ascii="Book Antiqua" w:hAnsi="Book Antiqua"/>
                <w:color w:val="000000" w:themeColor="text1"/>
              </w:rPr>
              <w:t xml:space="preserve"> </w:t>
            </w:r>
            <w:r w:rsidR="00205034" w:rsidRPr="00205034">
              <w:rPr>
                <w:rFonts w:ascii="Book Antiqua" w:hAnsi="Book Antiqua"/>
                <w:i/>
                <w:color w:val="000000" w:themeColor="text1"/>
              </w:rPr>
              <w:t>vs</w:t>
            </w:r>
            <w:r w:rsidR="006F6B37">
              <w:rPr>
                <w:rFonts w:ascii="Book Antiqua" w:hAnsi="Book Antiqua"/>
                <w:color w:val="000000" w:themeColor="text1"/>
              </w:rPr>
              <w:t xml:space="preserve"> 2.8 mo</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10" w:type="dxa"/>
          </w:tcPr>
          <w:p w:rsidR="00760D17" w:rsidRPr="000C4B7C" w:rsidRDefault="006F6B37"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17.8 mo</w:t>
            </w:r>
            <w:r>
              <w:rPr>
                <w:rFonts w:ascii="Book Antiqua" w:hAnsi="Book Antiqua" w:hint="eastAsia"/>
                <w:color w:val="000000" w:themeColor="text1"/>
                <w:lang w:eastAsia="zh-CN"/>
              </w:rPr>
              <w:t xml:space="preserve"> </w:t>
            </w:r>
            <w:r w:rsidR="00660DF7" w:rsidRPr="006F6B37">
              <w:rPr>
                <w:rFonts w:ascii="Book Antiqua" w:hAnsi="Book Antiqua"/>
                <w:i/>
                <w:color w:val="000000" w:themeColor="text1"/>
              </w:rPr>
              <w:t>vs</w:t>
            </w:r>
            <w:r w:rsidR="00660DF7" w:rsidRPr="000C4B7C">
              <w:rPr>
                <w:rFonts w:ascii="Book Antiqua" w:hAnsi="Book Antiqua"/>
                <w:color w:val="000000" w:themeColor="text1"/>
              </w:rPr>
              <w:t xml:space="preserve"> 14.3 mo</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 xml:space="preserve">HR= 0.88; </w:t>
            </w:r>
            <w:r w:rsidR="00660DF7" w:rsidRPr="006F6B37">
              <w:rPr>
                <w:rFonts w:ascii="Book Antiqua" w:hAnsi="Book Antiqua"/>
                <w:i/>
                <w:color w:val="000000" w:themeColor="text1"/>
              </w:rPr>
              <w:t>P</w:t>
            </w:r>
            <w:r>
              <w:rPr>
                <w:rFonts w:ascii="Book Antiqua" w:hAnsi="Book Antiqua" w:hint="eastAsia"/>
                <w:color w:val="000000" w:themeColor="text1"/>
                <w:lang w:eastAsia="zh-CN"/>
              </w:rPr>
              <w:t xml:space="preserve"> = </w:t>
            </w:r>
            <w:r w:rsidR="00660DF7" w:rsidRPr="000C4B7C">
              <w:rPr>
                <w:rFonts w:ascii="Book Antiqua" w:hAnsi="Book Antiqua"/>
                <w:color w:val="000000" w:themeColor="text1"/>
              </w:rPr>
              <w:t>0.146</w:t>
            </w:r>
          </w:p>
        </w:tc>
        <w:tc>
          <w:tcPr>
            <w:tcW w:w="1749" w:type="dxa"/>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Skin </w:t>
            </w:r>
            <w:r w:rsidR="006F6B37" w:rsidRPr="000C4B7C">
              <w:rPr>
                <w:rFonts w:ascii="Book Antiqua" w:hAnsi="Book Antiqua"/>
                <w:color w:val="000000" w:themeColor="text1"/>
              </w:rPr>
              <w:t>rash</w:t>
            </w:r>
            <w:r w:rsidRPr="000C4B7C">
              <w:rPr>
                <w:rFonts w:ascii="Book Antiqua" w:hAnsi="Book Antiqua"/>
                <w:color w:val="000000" w:themeColor="text1"/>
              </w:rPr>
              <w:t xml:space="preserve">/ desquamation, </w:t>
            </w:r>
            <w:r w:rsidR="00945FAD" w:rsidRPr="000C4B7C">
              <w:rPr>
                <w:rFonts w:ascii="Book Antiqua" w:hAnsi="Book Antiqua"/>
                <w:color w:val="000000" w:themeColor="text1"/>
              </w:rPr>
              <w:t xml:space="preserve">hand </w:t>
            </w:r>
            <w:r w:rsidRPr="000C4B7C">
              <w:rPr>
                <w:rFonts w:ascii="Book Antiqua" w:hAnsi="Book Antiqua"/>
                <w:color w:val="000000" w:themeColor="text1"/>
              </w:rPr>
              <w:t>foot skin reaction, fatigue</w:t>
            </w:r>
            <w:r w:rsidR="00B24882" w:rsidRPr="000C4B7C">
              <w:rPr>
                <w:rFonts w:ascii="Book Antiqua" w:hAnsi="Book Antiqua"/>
                <w:color w:val="000000" w:themeColor="text1"/>
              </w:rPr>
              <w:t>. Hypertension and cardiac ischemia were rare but SAEs.</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t>[107]</w:t>
            </w:r>
          </w:p>
        </w:tc>
      </w:tr>
      <w:tr w:rsidR="000170F9" w:rsidRPr="000C4B7C" w:rsidTr="008B1950">
        <w:trPr>
          <w:trHeight w:val="404"/>
          <w:jc w:val="center"/>
        </w:trPr>
        <w:tc>
          <w:tcPr>
            <w:tcW w:w="1088" w:type="dxa"/>
          </w:tcPr>
          <w:p w:rsidR="00760D17" w:rsidRPr="000C4B7C" w:rsidRDefault="00F96E3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Caboza</w:t>
            </w:r>
            <w:r w:rsidRPr="000C4B7C">
              <w:rPr>
                <w:rFonts w:ascii="Book Antiqua" w:hAnsi="Book Antiqua"/>
                <w:color w:val="000000" w:themeColor="text1"/>
              </w:rPr>
              <w:lastRenderedPageBreak/>
              <w:t>ntinib</w:t>
            </w:r>
          </w:p>
        </w:tc>
        <w:tc>
          <w:tcPr>
            <w:tcW w:w="1080" w:type="dxa"/>
          </w:tcPr>
          <w:p w:rsidR="00660DF7" w:rsidRPr="000C4B7C" w:rsidRDefault="00B20E5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Inhibito</w:t>
            </w:r>
            <w:r w:rsidRPr="000C4B7C">
              <w:rPr>
                <w:rFonts w:ascii="Book Antiqua" w:hAnsi="Book Antiqua"/>
                <w:color w:val="000000" w:themeColor="text1"/>
              </w:rPr>
              <w:lastRenderedPageBreak/>
              <w:t>r of multiple TKReceptors including MET, VEGFRs, and AXL</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Pr>
          <w:p w:rsidR="00760D17" w:rsidRPr="000C4B7C" w:rsidRDefault="009C36A5"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First</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The </w:t>
            </w:r>
            <w:r w:rsidRPr="000C4B7C">
              <w:rPr>
                <w:rFonts w:ascii="Book Antiqua" w:hAnsi="Book Antiqua"/>
                <w:color w:val="000000" w:themeColor="text1"/>
              </w:rPr>
              <w:lastRenderedPageBreak/>
              <w:t xml:space="preserve">Alliance A031203 CABOSUN Trial: Cabozantinib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 xml:space="preserve">8.2 mo </w:t>
            </w:r>
            <w:r w:rsidRPr="000C4B7C">
              <w:rPr>
                <w:rFonts w:ascii="Book Antiqua" w:hAnsi="Book Antiqua"/>
                <w:color w:val="000000" w:themeColor="text1"/>
              </w:rPr>
              <w:lastRenderedPageBreak/>
              <w:t>(</w:t>
            </w:r>
            <w:r w:rsidR="00205034">
              <w:rPr>
                <w:rFonts w:ascii="Book Antiqua" w:hAnsi="Book Antiqua"/>
                <w:color w:val="000000" w:themeColor="text1"/>
              </w:rPr>
              <w:t>95%CI:</w:t>
            </w:r>
            <w:r w:rsidRPr="000C4B7C">
              <w:rPr>
                <w:rFonts w:ascii="Book Antiqua" w:hAnsi="Book Antiqua"/>
                <w:color w:val="000000" w:themeColor="text1"/>
              </w:rPr>
              <w:t xml:space="preserve"> 6.2 to 8.8 mo) </w:t>
            </w:r>
            <w:r w:rsidRPr="00E80F94">
              <w:rPr>
                <w:rFonts w:ascii="Book Antiqua" w:hAnsi="Book Antiqua"/>
                <w:i/>
                <w:color w:val="000000" w:themeColor="text1"/>
              </w:rPr>
              <w:t>vs</w:t>
            </w:r>
            <w:r w:rsidRPr="000C4B7C">
              <w:rPr>
                <w:rFonts w:ascii="Book Antiqua" w:hAnsi="Book Antiqua"/>
                <w:color w:val="000000" w:themeColor="text1"/>
              </w:rPr>
              <w:t xml:space="preserve"> 5.6 mo (</w:t>
            </w:r>
            <w:r w:rsidR="00205034">
              <w:rPr>
                <w:rFonts w:ascii="Book Antiqua" w:hAnsi="Book Antiqua"/>
                <w:color w:val="000000" w:themeColor="text1"/>
              </w:rPr>
              <w:t>95%CI:</w:t>
            </w:r>
            <w:r w:rsidRPr="000C4B7C">
              <w:rPr>
                <w:rFonts w:ascii="Book Antiqua" w:hAnsi="Book Antiqua"/>
                <w:color w:val="000000" w:themeColor="text1"/>
              </w:rPr>
              <w:t xml:space="preserve"> 3.4 to 8.1 mo)</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Adjusted </w:t>
            </w:r>
            <w:r w:rsidR="00D359A1" w:rsidRPr="000C4B7C">
              <w:rPr>
                <w:rFonts w:ascii="Book Antiqua" w:hAnsi="Book Antiqua"/>
                <w:color w:val="000000" w:themeColor="text1"/>
                <w:lang w:eastAsia="zh-CN"/>
              </w:rPr>
              <w:t>HR</w:t>
            </w:r>
            <w:r w:rsidRPr="000C4B7C">
              <w:rPr>
                <w:rFonts w:ascii="Book Antiqua" w:hAnsi="Book Antiqua"/>
                <w:color w:val="000000" w:themeColor="text1"/>
              </w:rPr>
              <w:t xml:space="preserve">, 0.66; </w:t>
            </w:r>
            <w:r w:rsidR="00205034">
              <w:rPr>
                <w:rFonts w:ascii="Book Antiqua" w:hAnsi="Book Antiqua"/>
                <w:color w:val="000000" w:themeColor="text1"/>
              </w:rPr>
              <w:t>95%CI:</w:t>
            </w:r>
            <w:r w:rsidR="000F17F1">
              <w:rPr>
                <w:rFonts w:ascii="Book Antiqua" w:hAnsi="Book Antiqua"/>
                <w:color w:val="000000" w:themeColor="text1"/>
              </w:rPr>
              <w:t xml:space="preserve"> 0.46 to 0.95; one-sided</w:t>
            </w:r>
            <w:r w:rsidR="000F17F1">
              <w:rPr>
                <w:rFonts w:ascii="Book Antiqua" w:hAnsi="Book Antiqua" w:hint="eastAsia"/>
                <w:color w:val="000000" w:themeColor="text1"/>
                <w:lang w:eastAsia="zh-CN"/>
              </w:rPr>
              <w:t xml:space="preserve"> </w:t>
            </w:r>
            <w:r w:rsidRPr="000F17F1">
              <w:rPr>
                <w:rFonts w:ascii="Book Antiqua" w:hAnsi="Book Antiqua"/>
                <w:i/>
                <w:color w:val="000000" w:themeColor="text1"/>
              </w:rPr>
              <w:t>P</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 </w:t>
            </w:r>
            <w:r w:rsidR="000F17F1">
              <w:rPr>
                <w:rFonts w:ascii="Book Antiqua" w:hAnsi="Book Antiqua" w:hint="eastAsia"/>
                <w:color w:val="000000" w:themeColor="text1"/>
                <w:lang w:eastAsia="zh-CN"/>
              </w:rPr>
              <w:t>0</w:t>
            </w:r>
            <w:r w:rsidRPr="000C4B7C">
              <w:rPr>
                <w:rFonts w:ascii="Book Antiqua" w:hAnsi="Book Antiqua"/>
                <w:color w:val="000000" w:themeColor="text1"/>
              </w:rPr>
              <w:t>.012</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10" w:type="dxa"/>
          </w:tcPr>
          <w:p w:rsidR="00760D17" w:rsidRPr="000C4B7C" w:rsidRDefault="00660DF7" w:rsidP="000F17F1">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30.3 </w:t>
            </w:r>
            <w:r w:rsidR="007167C0" w:rsidRPr="000C4B7C">
              <w:rPr>
                <w:rFonts w:ascii="Book Antiqua" w:hAnsi="Book Antiqua"/>
                <w:color w:val="000000" w:themeColor="text1"/>
              </w:rPr>
              <w:t>mo</w:t>
            </w:r>
            <w:r w:rsidRPr="000C4B7C">
              <w:rPr>
                <w:rFonts w:ascii="Book Antiqua" w:hAnsi="Book Antiqua"/>
                <w:color w:val="000000" w:themeColor="text1"/>
              </w:rPr>
              <w:t xml:space="preserve"> </w:t>
            </w:r>
            <w:r w:rsidRPr="000C4B7C">
              <w:rPr>
                <w:rFonts w:ascii="Book Antiqua" w:hAnsi="Book Antiqua"/>
                <w:color w:val="000000" w:themeColor="text1"/>
              </w:rPr>
              <w:lastRenderedPageBreak/>
              <w:t>(</w:t>
            </w:r>
            <w:r w:rsidR="00205034">
              <w:rPr>
                <w:rFonts w:ascii="Book Antiqua" w:hAnsi="Book Antiqua"/>
                <w:color w:val="000000" w:themeColor="text1"/>
              </w:rPr>
              <w:t>95%CI:</w:t>
            </w:r>
            <w:r w:rsidRPr="000C4B7C">
              <w:rPr>
                <w:rFonts w:ascii="Book Antiqua" w:hAnsi="Book Antiqua"/>
                <w:color w:val="000000" w:themeColor="text1"/>
              </w:rPr>
              <w:t xml:space="preserve"> 14.6 to 35.0 mo) </w:t>
            </w:r>
            <w:r w:rsidR="00205034" w:rsidRPr="00205034">
              <w:rPr>
                <w:rFonts w:ascii="Book Antiqua" w:hAnsi="Book Antiqua"/>
                <w:i/>
                <w:color w:val="000000" w:themeColor="text1"/>
              </w:rPr>
              <w:t>vs</w:t>
            </w:r>
            <w:r w:rsidRPr="000C4B7C">
              <w:rPr>
                <w:rFonts w:ascii="Book Antiqua" w:hAnsi="Book Antiqua"/>
                <w:color w:val="000000" w:themeColor="text1"/>
              </w:rPr>
              <w:t xml:space="preserve"> 21.8 mo (</w:t>
            </w:r>
            <w:r w:rsidR="00205034">
              <w:rPr>
                <w:rFonts w:ascii="Book Antiqua" w:hAnsi="Book Antiqua"/>
                <w:color w:val="000000" w:themeColor="text1"/>
              </w:rPr>
              <w:t>95%CI:</w:t>
            </w:r>
            <w:r w:rsidRPr="000C4B7C">
              <w:rPr>
                <w:rFonts w:ascii="Book Antiqua" w:hAnsi="Book Antiqua"/>
                <w:color w:val="000000" w:themeColor="text1"/>
              </w:rPr>
              <w:t xml:space="preserve"> 16.3 to 27.0 mo</w:t>
            </w:r>
            <w:r w:rsidR="000F17F1">
              <w:rPr>
                <w:rFonts w:ascii="Book Antiqua" w:hAnsi="Book Antiqua"/>
                <w:color w:val="000000" w:themeColor="text1"/>
              </w:rPr>
              <w:t>)</w:t>
            </w:r>
            <w:r w:rsidR="000F17F1">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Adjusted HR, 0.80; </w:t>
            </w:r>
            <w:r w:rsidR="00205034">
              <w:rPr>
                <w:rFonts w:ascii="Book Antiqua" w:hAnsi="Book Antiqua"/>
                <w:color w:val="000000" w:themeColor="text1"/>
              </w:rPr>
              <w:t>95%CI:</w:t>
            </w:r>
            <w:r w:rsidRPr="000C4B7C">
              <w:rPr>
                <w:rFonts w:ascii="Book Antiqua" w:hAnsi="Book Antiqua"/>
                <w:color w:val="000000" w:themeColor="text1"/>
              </w:rPr>
              <w:t xml:space="preserve"> 0.50 to 1.26 </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33% (</w:t>
            </w:r>
            <w:r w:rsidR="00205034">
              <w:rPr>
                <w:rFonts w:ascii="Book Antiqua" w:hAnsi="Book Antiqua"/>
                <w:color w:val="000000" w:themeColor="text1"/>
              </w:rPr>
              <w:t>95%CI:</w:t>
            </w:r>
            <w:r w:rsidR="000F17F1">
              <w:rPr>
                <w:rFonts w:ascii="Book Antiqua" w:hAnsi="Book Antiqua"/>
                <w:color w:val="000000" w:themeColor="text1"/>
              </w:rPr>
              <w:t xml:space="preserve"> </w:t>
            </w:r>
            <w:r w:rsidR="000F17F1">
              <w:rPr>
                <w:rFonts w:ascii="Book Antiqua" w:hAnsi="Book Antiqua"/>
                <w:color w:val="000000" w:themeColor="text1"/>
              </w:rPr>
              <w:lastRenderedPageBreak/>
              <w:t>23% to 44%)</w:t>
            </w:r>
            <w:r w:rsidR="000F17F1">
              <w:rPr>
                <w:rFonts w:ascii="Book Antiqua" w:hAnsi="Book Antiqua" w:hint="eastAsia"/>
                <w:color w:val="000000" w:themeColor="text1"/>
                <w:lang w:eastAsia="zh-CN"/>
              </w:rPr>
              <w:t xml:space="preserve"> </w:t>
            </w:r>
            <w:r w:rsidR="00205034" w:rsidRPr="00205034">
              <w:rPr>
                <w:rFonts w:ascii="Book Antiqua" w:hAnsi="Book Antiqua"/>
                <w:i/>
                <w:color w:val="000000" w:themeColor="text1"/>
              </w:rPr>
              <w:t>vs</w:t>
            </w:r>
            <w:r w:rsidRPr="000C4B7C">
              <w:rPr>
                <w:rFonts w:ascii="Book Antiqua" w:hAnsi="Book Antiqua"/>
                <w:color w:val="000000" w:themeColor="text1"/>
              </w:rPr>
              <w:t xml:space="preserve"> 12% (</w:t>
            </w:r>
            <w:r w:rsidR="00205034">
              <w:rPr>
                <w:rFonts w:ascii="Book Antiqua" w:hAnsi="Book Antiqua"/>
                <w:color w:val="000000" w:themeColor="text1"/>
              </w:rPr>
              <w:t>95%CI:</w:t>
            </w:r>
            <w:r w:rsidR="00E80F94">
              <w:rPr>
                <w:rFonts w:ascii="Book Antiqua" w:hAnsi="Book Antiqua"/>
                <w:color w:val="000000" w:themeColor="text1"/>
              </w:rPr>
              <w:t xml:space="preserve"> 5.4% to 21%)</w:t>
            </w:r>
          </w:p>
        </w:tc>
        <w:tc>
          <w:tcPr>
            <w:tcW w:w="1606" w:type="dxa"/>
          </w:tcPr>
          <w:p w:rsidR="00660DF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 xml:space="preserve">Fatigue, </w:t>
            </w:r>
            <w:r w:rsidRPr="000C4B7C">
              <w:rPr>
                <w:rFonts w:ascii="Book Antiqua" w:hAnsi="Book Antiqua"/>
                <w:color w:val="000000" w:themeColor="text1"/>
              </w:rPr>
              <w:lastRenderedPageBreak/>
              <w:t>hypertension, diarrhea, AST/ALT elevation</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[62]</w:t>
            </w:r>
          </w:p>
        </w:tc>
      </w:tr>
      <w:tr w:rsidR="000170F9" w:rsidRPr="000C4B7C" w:rsidTr="008B1950">
        <w:trPr>
          <w:trHeight w:val="404"/>
          <w:jc w:val="center"/>
        </w:trPr>
        <w:tc>
          <w:tcPr>
            <w:tcW w:w="1088" w:type="dxa"/>
          </w:tcPr>
          <w:p w:rsidR="00760D17" w:rsidRPr="000C4B7C" w:rsidRDefault="00F96E30"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Cabozantinib</w:t>
            </w:r>
          </w:p>
        </w:tc>
        <w:tc>
          <w:tcPr>
            <w:tcW w:w="1080" w:type="dxa"/>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METEOR:</w:t>
            </w:r>
          </w:p>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Cabozatinib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everolimus for those that progressed on an</w:t>
            </w:r>
            <w:r w:rsidR="00F55539" w:rsidRPr="000C4B7C">
              <w:rPr>
                <w:rFonts w:ascii="Book Antiqua" w:hAnsi="Book Antiqua"/>
                <w:color w:val="000000" w:themeColor="text1"/>
              </w:rPr>
              <w:t>t</w:t>
            </w:r>
            <w:r w:rsidRPr="000C4B7C">
              <w:rPr>
                <w:rFonts w:ascii="Book Antiqua" w:hAnsi="Book Antiqua"/>
                <w:color w:val="000000" w:themeColor="text1"/>
              </w:rPr>
              <w:t xml:space="preserve">i </w:t>
            </w:r>
            <w:r w:rsidRPr="000C4B7C">
              <w:rPr>
                <w:rFonts w:ascii="Book Antiqua" w:hAnsi="Book Antiqua"/>
                <w:color w:val="000000" w:themeColor="text1"/>
              </w:rPr>
              <w:lastRenderedPageBreak/>
              <w:t>VEGF therapy</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7.4 mo (</w:t>
            </w:r>
            <w:r w:rsidR="00205034">
              <w:rPr>
                <w:rFonts w:ascii="Book Antiqua" w:hAnsi="Book Antiqua"/>
                <w:color w:val="000000" w:themeColor="text1"/>
              </w:rPr>
              <w:t>95%CI:</w:t>
            </w:r>
            <w:r w:rsidRPr="000C4B7C">
              <w:rPr>
                <w:rFonts w:ascii="Book Antiqua" w:hAnsi="Book Antiqua"/>
                <w:color w:val="000000" w:themeColor="text1"/>
              </w:rPr>
              <w:t xml:space="preserve"> 5.6 to 9.1) </w:t>
            </w:r>
            <w:r w:rsidR="00205034" w:rsidRPr="00205034">
              <w:rPr>
                <w:rFonts w:ascii="Book Antiqua" w:hAnsi="Book Antiqua"/>
                <w:i/>
                <w:color w:val="000000" w:themeColor="text1"/>
              </w:rPr>
              <w:t>vs</w:t>
            </w:r>
            <w:r w:rsidRPr="000C4B7C">
              <w:rPr>
                <w:rFonts w:ascii="Book Antiqua" w:hAnsi="Book Antiqua"/>
                <w:color w:val="000000" w:themeColor="text1"/>
              </w:rPr>
              <w:t xml:space="preserve"> 3.8 mo (</w:t>
            </w:r>
            <w:r w:rsidR="00205034">
              <w:rPr>
                <w:rFonts w:ascii="Book Antiqua" w:hAnsi="Book Antiqua"/>
                <w:color w:val="000000" w:themeColor="text1"/>
              </w:rPr>
              <w:t>95%CI:</w:t>
            </w:r>
            <w:r w:rsidRPr="000C4B7C">
              <w:rPr>
                <w:rFonts w:ascii="Book Antiqua" w:hAnsi="Book Antiqua"/>
                <w:color w:val="000000" w:themeColor="text1"/>
              </w:rPr>
              <w:t xml:space="preserve"> 3.7 to 5.4)</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HR 0.51 (</w:t>
            </w:r>
            <w:r w:rsidR="00205034">
              <w:rPr>
                <w:rFonts w:ascii="Book Antiqua" w:hAnsi="Book Antiqua"/>
                <w:color w:val="000000" w:themeColor="text1"/>
              </w:rPr>
              <w:t>95%CI:</w:t>
            </w:r>
            <w:r w:rsidRPr="000C4B7C">
              <w:rPr>
                <w:rFonts w:ascii="Book Antiqua" w:hAnsi="Book Antiqua"/>
                <w:color w:val="000000" w:themeColor="text1"/>
              </w:rPr>
              <w:t xml:space="preserve"> 0.41</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to 0.62); </w:t>
            </w:r>
            <w:r w:rsidR="00E80F94" w:rsidRPr="006D4309">
              <w:rPr>
                <w:rFonts w:ascii="Book Antiqua" w:hAnsi="Book Antiqua"/>
                <w:i/>
                <w:color w:val="000000" w:themeColor="text1"/>
              </w:rPr>
              <w:t>P</w:t>
            </w:r>
            <w:r w:rsidR="00E80F94" w:rsidRPr="000C4B7C">
              <w:rPr>
                <w:rFonts w:ascii="Book Antiqua" w:hAnsi="Book Antiqua"/>
                <w:color w:val="000000" w:themeColor="text1"/>
              </w:rPr>
              <w:t xml:space="preserve"> </w:t>
            </w:r>
            <w:r w:rsidRPr="000C4B7C">
              <w:rPr>
                <w:rFonts w:ascii="Book Antiqua" w:hAnsi="Book Antiqua"/>
                <w:color w:val="000000" w:themeColor="text1"/>
              </w:rPr>
              <w:t>&lt;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lastRenderedPageBreak/>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21.4 mo (</w:t>
            </w:r>
            <w:r w:rsidR="00205034">
              <w:rPr>
                <w:rFonts w:ascii="Book Antiqua" w:hAnsi="Book Antiqua"/>
                <w:color w:val="000000" w:themeColor="text1"/>
              </w:rPr>
              <w:t>95%CI:</w:t>
            </w:r>
            <w:r w:rsidRPr="000C4B7C">
              <w:rPr>
                <w:rFonts w:ascii="Book Antiqua" w:hAnsi="Book Antiqua"/>
                <w:color w:val="000000" w:themeColor="text1"/>
              </w:rPr>
              <w:t xml:space="preserve"> 18.7-not estimable) </w:t>
            </w:r>
            <w:r w:rsidR="00205034" w:rsidRPr="00205034">
              <w:rPr>
                <w:rFonts w:ascii="Book Antiqua" w:hAnsi="Book Antiqua"/>
                <w:i/>
                <w:color w:val="000000" w:themeColor="text1"/>
              </w:rPr>
              <w:t>vs</w:t>
            </w:r>
            <w:r w:rsidRPr="000C4B7C">
              <w:rPr>
                <w:rFonts w:ascii="Book Antiqua" w:hAnsi="Book Antiqua"/>
                <w:color w:val="000000" w:themeColor="text1"/>
              </w:rPr>
              <w:t xml:space="preserve"> 16.5 mo (</w:t>
            </w:r>
            <w:r w:rsidR="00205034">
              <w:rPr>
                <w:rFonts w:ascii="Book Antiqua" w:hAnsi="Book Antiqua"/>
                <w:color w:val="000000" w:themeColor="text1"/>
              </w:rPr>
              <w:t>95%CI:</w:t>
            </w:r>
            <w:r w:rsidRPr="000C4B7C">
              <w:rPr>
                <w:rFonts w:ascii="Book Antiqua" w:hAnsi="Book Antiqua"/>
                <w:color w:val="000000" w:themeColor="text1"/>
              </w:rPr>
              <w:t xml:space="preserve"> 14.7 to 18.8)</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HR 0.66 (</w:t>
            </w:r>
            <w:r w:rsidR="00205034">
              <w:rPr>
                <w:rFonts w:ascii="Book Antiqua" w:hAnsi="Book Antiqua"/>
                <w:color w:val="000000" w:themeColor="text1"/>
              </w:rPr>
              <w:t>95%CI:</w:t>
            </w:r>
            <w:r w:rsidRPr="000C4B7C">
              <w:rPr>
                <w:rFonts w:ascii="Book Antiqua" w:hAnsi="Book Antiqua"/>
                <w:color w:val="000000" w:themeColor="text1"/>
              </w:rPr>
              <w:t xml:space="preserve"> </w:t>
            </w:r>
            <w:r w:rsidRPr="000C4B7C">
              <w:rPr>
                <w:rFonts w:ascii="Book Antiqua" w:hAnsi="Book Antiqua"/>
                <w:color w:val="000000" w:themeColor="text1"/>
              </w:rPr>
              <w:lastRenderedPageBreak/>
              <w:t xml:space="preserve">0.53 to 0.83; </w:t>
            </w:r>
            <w:r w:rsidR="00E80F94" w:rsidRPr="006D4309">
              <w:rPr>
                <w:rFonts w:ascii="Book Antiqua" w:hAnsi="Book Antiqua"/>
                <w:i/>
                <w:color w:val="000000" w:themeColor="text1"/>
              </w:rPr>
              <w:t>P</w:t>
            </w:r>
            <w:r w:rsidR="00E80F94" w:rsidRPr="000C4B7C">
              <w:rPr>
                <w:rFonts w:ascii="Book Antiqua" w:hAnsi="Book Antiqua"/>
                <w:color w:val="000000" w:themeColor="text1"/>
              </w:rPr>
              <w:t xml:space="preserve"> </w:t>
            </w:r>
            <w:r w:rsidRPr="000C4B7C">
              <w:rPr>
                <w:rFonts w:ascii="Book Antiqua" w:hAnsi="Book Antiqua"/>
                <w:color w:val="000000" w:themeColor="text1"/>
              </w:rPr>
              <w: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0.00026)</w:t>
            </w:r>
          </w:p>
        </w:tc>
        <w:tc>
          <w:tcPr>
            <w:tcW w:w="1749" w:type="dxa"/>
          </w:tcPr>
          <w:p w:rsidR="00760D17" w:rsidRPr="000C4B7C" w:rsidRDefault="00660DF7" w:rsidP="00E80F94">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17% (</w:t>
            </w:r>
            <w:r w:rsidR="00205034">
              <w:rPr>
                <w:rFonts w:ascii="Book Antiqua" w:hAnsi="Book Antiqua"/>
                <w:color w:val="000000" w:themeColor="text1"/>
              </w:rPr>
              <w:t>95%CI:</w:t>
            </w:r>
            <w:r w:rsidRPr="000C4B7C">
              <w:rPr>
                <w:rFonts w:ascii="Book Antiqua" w:hAnsi="Book Antiqua"/>
                <w:color w:val="000000" w:themeColor="text1"/>
              </w:rPr>
              <w:t xml:space="preserve"> 13 to 22) </w:t>
            </w:r>
            <w:r w:rsidR="00205034" w:rsidRPr="00205034">
              <w:rPr>
                <w:rFonts w:ascii="Book Antiqua" w:hAnsi="Book Antiqua"/>
                <w:i/>
                <w:color w:val="000000" w:themeColor="text1"/>
              </w:rPr>
              <w:t>vs</w:t>
            </w:r>
            <w:r w:rsidRPr="000C4B7C">
              <w:rPr>
                <w:rFonts w:ascii="Book Antiqua" w:hAnsi="Book Antiqua"/>
                <w:color w:val="000000" w:themeColor="text1"/>
              </w:rPr>
              <w:t xml:space="preserve"> 3% (</w:t>
            </w:r>
            <w:r w:rsidR="00205034">
              <w:rPr>
                <w:rFonts w:ascii="Book Antiqua" w:hAnsi="Book Antiqua"/>
                <w:color w:val="000000" w:themeColor="text1"/>
              </w:rPr>
              <w:t>95%CI:</w:t>
            </w:r>
            <w:r w:rsidRPr="000C4B7C">
              <w:rPr>
                <w:rFonts w:ascii="Book Antiqua" w:hAnsi="Book Antiqua"/>
                <w:color w:val="000000" w:themeColor="text1"/>
              </w:rPr>
              <w:t xml:space="preserve"> 2 to 6), </w:t>
            </w:r>
            <w:r w:rsidR="00E80F94" w:rsidRPr="00E80F94">
              <w:rPr>
                <w:rFonts w:ascii="Book Antiqua" w:hAnsi="Book Antiqua"/>
                <w:i/>
                <w:color w:val="000000" w:themeColor="text1"/>
              </w:rPr>
              <w:t>P</w:t>
            </w:r>
            <w:r w:rsidRPr="000C4B7C">
              <w:rPr>
                <w:rFonts w:ascii="Book Antiqua" w:hAnsi="Book Antiqua"/>
                <w:color w:val="000000" w:themeColor="text1"/>
              </w:rPr>
              <w:t xml:space="preserve"> &lt;</w:t>
            </w:r>
            <w:r w:rsidR="00E80F94">
              <w:rPr>
                <w:rFonts w:ascii="Book Antiqua" w:hAnsi="Book Antiqua" w:hint="eastAsia"/>
                <w:color w:val="000000" w:themeColor="text1"/>
                <w:lang w:eastAsia="zh-CN"/>
              </w:rPr>
              <w:t xml:space="preserve"> </w:t>
            </w:r>
            <w:r w:rsidRPr="000C4B7C">
              <w:rPr>
                <w:rFonts w:ascii="Book Antiqua" w:hAnsi="Book Antiqua"/>
                <w:color w:val="000000" w:themeColor="text1"/>
              </w:rPr>
              <w:t>0.0001</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Grade 3 or 4 events were hypertension (15%), diarrhea (13%), fatigue (11%), </w:t>
            </w:r>
            <w:proofErr w:type="gramStart"/>
            <w:r w:rsidRPr="000C4B7C">
              <w:rPr>
                <w:rFonts w:ascii="Book Antiqua" w:hAnsi="Book Antiqua"/>
                <w:color w:val="000000" w:themeColor="text1"/>
              </w:rPr>
              <w:lastRenderedPageBreak/>
              <w:t>palmar</w:t>
            </w:r>
            <w:proofErr w:type="gramEnd"/>
            <w:r w:rsidRPr="000C4B7C">
              <w:rPr>
                <w:rFonts w:ascii="Book Antiqua" w:hAnsi="Book Antiqua"/>
                <w:color w:val="000000" w:themeColor="text1"/>
              </w:rPr>
              <w:t>-plantar erythrodysaesthesia syndrome (8%)</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[63, 108]</w:t>
            </w:r>
          </w:p>
        </w:tc>
      </w:tr>
      <w:tr w:rsidR="000170F9" w:rsidRPr="000C4B7C" w:rsidTr="008B1950">
        <w:trPr>
          <w:trHeight w:val="369"/>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Everolimus</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Third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RECORD-1: Patients who progressed on sunitinib, sorafenib, or both were given everolimus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w:t>
            </w:r>
          </w:p>
        </w:tc>
        <w:tc>
          <w:tcPr>
            <w:tcW w:w="1620" w:type="dxa"/>
          </w:tcPr>
          <w:p w:rsidR="00760D17" w:rsidRPr="000C4B7C" w:rsidRDefault="00660DF7" w:rsidP="008673D7">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4.9 mo (</w:t>
            </w:r>
            <w:r w:rsidR="00205034">
              <w:rPr>
                <w:rFonts w:ascii="Book Antiqua" w:hAnsi="Book Antiqua"/>
                <w:color w:val="000000" w:themeColor="text1"/>
              </w:rPr>
              <w:t>95%CI:</w:t>
            </w:r>
            <w:r w:rsidRPr="000C4B7C">
              <w:rPr>
                <w:rFonts w:ascii="Book Antiqua" w:hAnsi="Book Antiqua"/>
                <w:color w:val="000000" w:themeColor="text1"/>
              </w:rPr>
              <w:t xml:space="preserve"> 3.7 </w:t>
            </w:r>
            <w:r w:rsidR="000C4BB6" w:rsidRPr="000C4B7C">
              <w:rPr>
                <w:rFonts w:ascii="Book Antiqua" w:hAnsi="Book Antiqua"/>
                <w:color w:val="000000" w:themeColor="text1"/>
              </w:rPr>
              <w:t>t</w:t>
            </w:r>
            <w:r w:rsidRPr="000C4B7C">
              <w:rPr>
                <w:rFonts w:ascii="Book Antiqua" w:hAnsi="Book Antiqua"/>
                <w:color w:val="000000" w:themeColor="text1"/>
              </w:rPr>
              <w:t xml:space="preserve">o 5.5) </w:t>
            </w:r>
            <w:r w:rsidR="00205034" w:rsidRPr="00205034">
              <w:rPr>
                <w:rFonts w:ascii="Book Antiqua" w:hAnsi="Book Antiqua"/>
                <w:i/>
                <w:color w:val="000000" w:themeColor="text1"/>
              </w:rPr>
              <w:t>vs</w:t>
            </w:r>
            <w:r w:rsidRPr="000C4B7C">
              <w:rPr>
                <w:rFonts w:ascii="Book Antiqua" w:hAnsi="Book Antiqua"/>
                <w:color w:val="000000" w:themeColor="text1"/>
              </w:rPr>
              <w:t xml:space="preserve"> 1.9 (</w:t>
            </w:r>
            <w:r w:rsidR="00205034">
              <w:rPr>
                <w:rFonts w:ascii="Book Antiqua" w:hAnsi="Book Antiqua"/>
                <w:color w:val="000000" w:themeColor="text1"/>
              </w:rPr>
              <w:t>95%CI:</w:t>
            </w:r>
            <w:r w:rsidRPr="000C4B7C">
              <w:rPr>
                <w:rFonts w:ascii="Book Antiqua" w:hAnsi="Book Antiqua"/>
                <w:color w:val="000000" w:themeColor="text1"/>
              </w:rPr>
              <w:t xml:space="preserve"> 1.8 </w:t>
            </w:r>
            <w:r w:rsidR="000C4BB6" w:rsidRPr="000C4B7C">
              <w:rPr>
                <w:rFonts w:ascii="Book Antiqua" w:hAnsi="Book Antiqua"/>
                <w:color w:val="000000" w:themeColor="text1"/>
              </w:rPr>
              <w:t>t</w:t>
            </w:r>
            <w:r w:rsidRPr="000C4B7C">
              <w:rPr>
                <w:rFonts w:ascii="Book Antiqua" w:hAnsi="Book Antiqua"/>
                <w:color w:val="000000" w:themeColor="text1"/>
              </w:rPr>
              <w:t>o 1.9)</w:t>
            </w:r>
            <w:r w:rsidR="008673D7">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0.33, </w:t>
            </w:r>
            <w:r w:rsidR="00205034">
              <w:rPr>
                <w:rFonts w:ascii="Book Antiqua" w:hAnsi="Book Antiqua"/>
                <w:color w:val="000000" w:themeColor="text1"/>
              </w:rPr>
              <w:t>95%CI:</w:t>
            </w:r>
            <w:r w:rsidRPr="000C4B7C">
              <w:rPr>
                <w:rFonts w:ascii="Book Antiqua" w:hAnsi="Book Antiqua"/>
                <w:color w:val="000000" w:themeColor="text1"/>
              </w:rPr>
              <w:t xml:space="preserve"> 0.25 to 0.43; </w:t>
            </w:r>
            <w:r w:rsidR="00205034" w:rsidRPr="00205034">
              <w:rPr>
                <w:rFonts w:ascii="Book Antiqua" w:hAnsi="Book Antiqua"/>
                <w:i/>
                <w:color w:val="000000" w:themeColor="text1"/>
              </w:rPr>
              <w:t>P</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&lt;</w:t>
            </w:r>
            <w:r w:rsidR="00205034">
              <w:rPr>
                <w:rFonts w:ascii="Book Antiqua" w:hAnsi="Book Antiqua" w:hint="eastAsia"/>
                <w:color w:val="000000" w:themeColor="text1"/>
                <w:lang w:eastAsia="zh-CN"/>
              </w:rPr>
              <w:t xml:space="preserve"> </w:t>
            </w:r>
            <w:r w:rsidRPr="000C4B7C">
              <w:rPr>
                <w:rFonts w:ascii="Book Antiqua" w:hAnsi="Book Antiqua"/>
                <w:color w:val="000000" w:themeColor="text1"/>
              </w:rPr>
              <w:t>0.001</w:t>
            </w:r>
          </w:p>
        </w:tc>
        <w:tc>
          <w:tcPr>
            <w:tcW w:w="1710" w:type="dxa"/>
          </w:tcPr>
          <w:p w:rsidR="00660DF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14.8 mo </w:t>
            </w:r>
            <w:r w:rsidR="00205034" w:rsidRPr="00205034">
              <w:rPr>
                <w:rFonts w:ascii="Book Antiqua" w:hAnsi="Book Antiqua"/>
                <w:i/>
                <w:color w:val="000000" w:themeColor="text1"/>
              </w:rPr>
              <w:t>vs</w:t>
            </w:r>
            <w:r w:rsidRPr="000C4B7C">
              <w:rPr>
                <w:rFonts w:ascii="Book Antiqua" w:hAnsi="Book Antiqua"/>
                <w:color w:val="000000" w:themeColor="text1"/>
              </w:rPr>
              <w:t xml:space="preserve"> 14.4 </w:t>
            </w:r>
            <w:r w:rsidR="00205034">
              <w:rPr>
                <w:rFonts w:ascii="Book Antiqua" w:hAnsi="Book Antiqua"/>
                <w:color w:val="000000" w:themeColor="text1"/>
              </w:rPr>
              <w:t>mo</w:t>
            </w:r>
            <w:r w:rsidR="008673D7">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0.87, </w:t>
            </w:r>
            <w:r w:rsidR="00205034">
              <w:rPr>
                <w:rFonts w:ascii="Book Antiqua" w:hAnsi="Book Antiqua"/>
                <w:color w:val="000000" w:themeColor="text1"/>
              </w:rPr>
              <w:t>95%CI:</w:t>
            </w:r>
            <w:r w:rsidRPr="000C4B7C">
              <w:rPr>
                <w:rFonts w:ascii="Book Antiqua" w:hAnsi="Book Antiqua"/>
                <w:color w:val="000000" w:themeColor="text1"/>
              </w:rPr>
              <w:t xml:space="preserve"> 0.65 to 1.15; </w:t>
            </w:r>
            <w:r w:rsidR="008673D7" w:rsidRPr="006D4309">
              <w:rPr>
                <w:rFonts w:ascii="Book Antiqua" w:hAnsi="Book Antiqua"/>
                <w:i/>
                <w:color w:val="000000" w:themeColor="text1"/>
              </w:rPr>
              <w:t>P</w:t>
            </w:r>
            <w:r w:rsidR="008673D7" w:rsidRPr="000C4B7C">
              <w:rPr>
                <w:rFonts w:ascii="Book Antiqua" w:hAnsi="Book Antiqua"/>
                <w:color w:val="000000" w:themeColor="text1"/>
              </w:rPr>
              <w:t xml:space="preserve"> </w:t>
            </w:r>
            <w:r w:rsidRPr="000C4B7C">
              <w:rPr>
                <w:rFonts w:ascii="Book Antiqua" w:hAnsi="Book Antiqua"/>
                <w:color w:val="000000" w:themeColor="text1"/>
              </w:rPr>
              <w:t>=</w:t>
            </w:r>
            <w:r w:rsidR="008673D7">
              <w:rPr>
                <w:rFonts w:ascii="Book Antiqua" w:hAnsi="Book Antiqua" w:hint="eastAsia"/>
                <w:color w:val="000000" w:themeColor="text1"/>
                <w:lang w:eastAsia="zh-CN"/>
              </w:rPr>
              <w:t xml:space="preserve"> 0</w:t>
            </w:r>
            <w:r w:rsidRPr="000C4B7C">
              <w:rPr>
                <w:rFonts w:ascii="Book Antiqua" w:hAnsi="Book Antiqua"/>
                <w:color w:val="000000" w:themeColor="text1"/>
              </w:rPr>
              <w:t>.162</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1% </w:t>
            </w:r>
            <w:r w:rsidRPr="008673D7">
              <w:rPr>
                <w:rFonts w:ascii="Book Antiqua" w:hAnsi="Book Antiqua"/>
                <w:i/>
                <w:color w:val="000000" w:themeColor="text1"/>
              </w:rPr>
              <w:t>vs</w:t>
            </w:r>
            <w:r w:rsidRPr="000C4B7C">
              <w:rPr>
                <w:rFonts w:ascii="Book Antiqua" w:hAnsi="Book Antiqua"/>
                <w:color w:val="000000" w:themeColor="text1"/>
              </w:rPr>
              <w:t xml:space="preserve"> 0% </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Stomatitis (40% </w:t>
            </w:r>
            <w:r w:rsidRPr="008673D7">
              <w:rPr>
                <w:rFonts w:ascii="Book Antiqua" w:hAnsi="Book Antiqua"/>
                <w:i/>
                <w:color w:val="000000" w:themeColor="text1"/>
              </w:rPr>
              <w:t>vs</w:t>
            </w:r>
            <w:r w:rsidRPr="000C4B7C">
              <w:rPr>
                <w:rFonts w:ascii="Book Antiqua" w:hAnsi="Book Antiqua"/>
                <w:color w:val="000000" w:themeColor="text1"/>
              </w:rPr>
              <w:t xml:space="preserve"> 8%), rash (25% </w:t>
            </w:r>
            <w:r w:rsidRPr="008673D7">
              <w:rPr>
                <w:rFonts w:ascii="Book Antiqua" w:hAnsi="Book Antiqua"/>
                <w:i/>
                <w:color w:val="000000" w:themeColor="text1"/>
              </w:rPr>
              <w:t>vs</w:t>
            </w:r>
            <w:r w:rsidRPr="000C4B7C">
              <w:rPr>
                <w:rFonts w:ascii="Book Antiqua" w:hAnsi="Book Antiqua"/>
                <w:color w:val="000000" w:themeColor="text1"/>
              </w:rPr>
              <w:t xml:space="preserve"> 4%), fatigue (20% </w:t>
            </w:r>
            <w:r w:rsidR="008673D7" w:rsidRPr="008673D7">
              <w:rPr>
                <w:rFonts w:ascii="Book Antiqua" w:hAnsi="Book Antiqua"/>
                <w:i/>
                <w:color w:val="000000" w:themeColor="text1"/>
              </w:rPr>
              <w:t>vs</w:t>
            </w:r>
            <w:r w:rsidR="008673D7" w:rsidRPr="000C4B7C">
              <w:rPr>
                <w:rFonts w:ascii="Book Antiqua" w:hAnsi="Book Antiqua"/>
                <w:color w:val="000000" w:themeColor="text1"/>
              </w:rPr>
              <w:t xml:space="preserve"> </w:t>
            </w:r>
            <w:r w:rsidRPr="000C4B7C">
              <w:rPr>
                <w:rFonts w:ascii="Book Antiqua" w:hAnsi="Book Antiqua"/>
                <w:color w:val="000000" w:themeColor="text1"/>
              </w:rPr>
              <w:t>16%), pneumonitis (8%)</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t>[109, 110]</w:t>
            </w:r>
          </w:p>
        </w:tc>
      </w:tr>
      <w:tr w:rsidR="000170F9" w:rsidRPr="000C4B7C" w:rsidTr="008B1950">
        <w:trPr>
          <w:trHeight w:val="193"/>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Temsirolimus</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First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IFN-</w:t>
            </w:r>
            <w:r w:rsidR="00205034">
              <w:rPr>
                <w:rFonts w:ascii="Symbol" w:hAnsi="Symbol"/>
                <w:color w:val="000000" w:themeColor="text1"/>
              </w:rPr>
              <w:sym w:font="Symbol" w:char="F061"/>
            </w:r>
            <w:r w:rsidR="00205034">
              <w:rPr>
                <w:rFonts w:ascii="Symbol" w:hAnsi="Symbol"/>
                <w:color w:val="000000" w:themeColor="text1"/>
                <w:lang w:eastAsia="zh-CN"/>
              </w:rPr>
              <w:t></w:t>
            </w:r>
            <w:r w:rsidRPr="000C4B7C">
              <w:rPr>
                <w:rFonts w:ascii="Book Antiqua" w:hAnsi="Book Antiqua"/>
                <w:color w:val="000000" w:themeColor="text1"/>
              </w:rPr>
              <w:t xml:space="preserve">alone </w:t>
            </w:r>
            <w:r w:rsidR="00205034" w:rsidRPr="00205034">
              <w:rPr>
                <w:rFonts w:ascii="Book Antiqua" w:hAnsi="Book Antiqua"/>
                <w:i/>
                <w:color w:val="000000" w:themeColor="text1"/>
              </w:rPr>
              <w:t>vs</w:t>
            </w:r>
            <w:r w:rsidRPr="000C4B7C">
              <w:rPr>
                <w:rFonts w:ascii="Book Antiqua" w:hAnsi="Book Antiqua"/>
                <w:color w:val="000000" w:themeColor="text1"/>
              </w:rPr>
              <w:t xml:space="preserve"> temosiroli</w:t>
            </w:r>
            <w:r w:rsidRPr="000C4B7C">
              <w:rPr>
                <w:rFonts w:ascii="Book Antiqua" w:hAnsi="Book Antiqua"/>
                <w:color w:val="000000" w:themeColor="text1"/>
              </w:rPr>
              <w:lastRenderedPageBreak/>
              <w:t xml:space="preserve">mus alone </w:t>
            </w:r>
            <w:r w:rsidR="00205034" w:rsidRPr="00205034">
              <w:rPr>
                <w:rFonts w:ascii="Book Antiqua" w:hAnsi="Book Antiqua"/>
                <w:i/>
                <w:color w:val="000000" w:themeColor="text1"/>
              </w:rPr>
              <w:t>vs</w:t>
            </w:r>
            <w:r w:rsidRPr="000C4B7C">
              <w:rPr>
                <w:rFonts w:ascii="Book Antiqua" w:hAnsi="Book Antiqua"/>
                <w:color w:val="000000" w:themeColor="text1"/>
              </w:rPr>
              <w:t xml:space="preserve"> IFN-</w:t>
            </w:r>
            <w:r w:rsidR="0077738F" w:rsidRPr="000C4B7C">
              <w:rPr>
                <w:rFonts w:ascii="Book Antiqua" w:hAnsi="Book Antiqua"/>
                <w:color w:val="000000" w:themeColor="text1"/>
              </w:rPr>
              <w:t></w:t>
            </w:r>
            <w:r w:rsidRPr="000C4B7C">
              <w:rPr>
                <w:rFonts w:ascii="Book Antiqua" w:hAnsi="Book Antiqua"/>
                <w:color w:val="000000" w:themeColor="text1"/>
              </w:rPr>
              <w:t>+ temosirolimus</w:t>
            </w:r>
            <w:r w:rsidR="00EE121F" w:rsidRPr="00EE121F">
              <w:rPr>
                <w:rFonts w:ascii="Book Antiqua" w:hAnsi="Book Antiqua" w:hint="eastAsia"/>
                <w:color w:val="000000" w:themeColor="text1"/>
                <w:vertAlign w:val="superscript"/>
                <w:lang w:eastAsia="zh-CN"/>
              </w:rPr>
              <w:t>1</w:t>
            </w:r>
            <w:r w:rsidR="004D27FC">
              <w:rPr>
                <w:rFonts w:ascii="Book Antiqua" w:hAnsi="Book Antiqua" w:hint="eastAsia"/>
                <w:color w:val="000000" w:themeColor="text1"/>
                <w:lang w:eastAsia="zh-CN"/>
              </w:rPr>
              <w:t>,</w:t>
            </w:r>
            <w:r w:rsidR="00EE121F">
              <w:rPr>
                <w:rFonts w:ascii="Book Antiqua" w:hAnsi="Book Antiqua" w:hint="eastAsia"/>
                <w:color w:val="000000" w:themeColor="text1"/>
                <w:lang w:eastAsia="zh-CN"/>
              </w:rPr>
              <w:t xml:space="preserve"> </w:t>
            </w:r>
            <w:r w:rsidR="004D27FC" w:rsidRPr="000C4B7C">
              <w:rPr>
                <w:rFonts w:ascii="Book Antiqua" w:hAnsi="Book Antiqua"/>
                <w:color w:val="000000" w:themeColor="text1"/>
              </w:rPr>
              <w:t>p</w:t>
            </w:r>
            <w:r w:rsidRPr="000C4B7C">
              <w:rPr>
                <w:rFonts w:ascii="Book Antiqua" w:hAnsi="Book Antiqua"/>
                <w:color w:val="000000" w:themeColor="text1"/>
              </w:rPr>
              <w:t>oor risk patients with</w:t>
            </w:r>
            <w:r w:rsidRPr="004D27FC">
              <w:rPr>
                <w:rFonts w:ascii="Book Antiqua" w:hAnsi="Book Antiqua"/>
                <w:color w:val="000000" w:themeColor="text1"/>
              </w:rPr>
              <w:t xml:space="preserve"> </w:t>
            </w:r>
            <w:r w:rsidR="004D27FC" w:rsidRPr="004D27FC">
              <w:rPr>
                <w:rFonts w:ascii="Book Antiqua" w:hAnsi="Book Antiqua"/>
                <w:color w:val="000000" w:themeColor="text1"/>
                <w:lang w:eastAsia="zh-CN"/>
              </w:rPr>
              <w:t xml:space="preserve">≥ </w:t>
            </w:r>
            <w:r w:rsidRPr="004D27FC">
              <w:rPr>
                <w:rFonts w:ascii="Book Antiqua" w:hAnsi="Book Antiqua"/>
                <w:color w:val="000000" w:themeColor="text1"/>
              </w:rPr>
              <w:t>3</w:t>
            </w:r>
            <w:r w:rsidRPr="000C4B7C">
              <w:rPr>
                <w:rFonts w:ascii="Book Antiqua" w:hAnsi="Book Antiqua"/>
                <w:color w:val="000000" w:themeColor="text1"/>
              </w:rPr>
              <w:t xml:space="preserve"> of 6 unfavorable prognostic factors.</w:t>
            </w:r>
          </w:p>
        </w:tc>
        <w:tc>
          <w:tcPr>
            <w:tcW w:w="1620" w:type="dxa"/>
          </w:tcPr>
          <w:p w:rsidR="00760D17" w:rsidRPr="000C4B7C" w:rsidRDefault="00145FC0"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lastRenderedPageBreak/>
              <w:t>3.1 mo</w:t>
            </w:r>
            <w:r w:rsidR="00660DF7" w:rsidRPr="000C4B7C">
              <w:rPr>
                <w:rFonts w:ascii="Book Antiqua" w:hAnsi="Book Antiqua"/>
                <w:color w:val="000000" w:themeColor="text1"/>
              </w:rPr>
              <w:t xml:space="preserve"> (</w:t>
            </w:r>
            <w:r w:rsidR="00205034">
              <w:rPr>
                <w:rFonts w:ascii="Book Antiqua" w:hAnsi="Book Antiqua"/>
                <w:color w:val="000000" w:themeColor="text1"/>
              </w:rPr>
              <w:t>95%CI:</w:t>
            </w:r>
            <w:r w:rsidR="00660DF7" w:rsidRPr="000C4B7C">
              <w:rPr>
                <w:rFonts w:ascii="Book Antiqua" w:hAnsi="Book Antiqua"/>
                <w:color w:val="000000" w:themeColor="text1"/>
              </w:rPr>
              <w:t xml:space="preserve"> 2.2 to 3.8) </w:t>
            </w:r>
            <w:r w:rsidR="00205034" w:rsidRPr="00205034">
              <w:rPr>
                <w:rFonts w:ascii="Book Antiqua" w:hAnsi="Book Antiqua"/>
                <w:i/>
                <w:color w:val="000000" w:themeColor="text1"/>
              </w:rPr>
              <w:t>vs</w:t>
            </w:r>
            <w:r w:rsidR="00660DF7" w:rsidRPr="000C4B7C">
              <w:rPr>
                <w:rFonts w:ascii="Book Antiqua" w:hAnsi="Book Antiqua"/>
                <w:color w:val="000000" w:themeColor="text1"/>
              </w:rPr>
              <w:t xml:space="preserve"> 5.5 </w:t>
            </w:r>
            <w:r w:rsidR="00660DF7" w:rsidRPr="000C4B7C">
              <w:rPr>
                <w:rFonts w:ascii="Book Antiqua" w:hAnsi="Book Antiqua"/>
                <w:color w:val="000000" w:themeColor="text1"/>
              </w:rPr>
              <w:lastRenderedPageBreak/>
              <w:t>(</w:t>
            </w:r>
            <w:r w:rsidR="00205034">
              <w:rPr>
                <w:rFonts w:ascii="Book Antiqua" w:hAnsi="Book Antiqua"/>
                <w:color w:val="000000" w:themeColor="text1"/>
              </w:rPr>
              <w:t>95%CI:</w:t>
            </w:r>
            <w:r w:rsidR="00660DF7" w:rsidRPr="000C4B7C">
              <w:rPr>
                <w:rFonts w:ascii="Book Antiqua" w:hAnsi="Book Antiqua"/>
                <w:color w:val="000000" w:themeColor="text1"/>
              </w:rPr>
              <w:t xml:space="preserve"> 3.9 to 7) </w:t>
            </w:r>
            <w:r w:rsidR="00205034" w:rsidRPr="00205034">
              <w:rPr>
                <w:rFonts w:ascii="Book Antiqua" w:hAnsi="Book Antiqua"/>
                <w:i/>
                <w:color w:val="000000" w:themeColor="text1"/>
              </w:rPr>
              <w:t>vs</w:t>
            </w:r>
            <w:r w:rsidR="00660DF7" w:rsidRPr="000C4B7C">
              <w:rPr>
                <w:rFonts w:ascii="Book Antiqua" w:hAnsi="Book Antiqua"/>
                <w:color w:val="000000" w:themeColor="text1"/>
              </w:rPr>
              <w:t xml:space="preserve"> 4.7 (</w:t>
            </w:r>
            <w:r w:rsidR="00205034">
              <w:rPr>
                <w:rFonts w:ascii="Book Antiqua" w:hAnsi="Book Antiqua"/>
                <w:color w:val="000000" w:themeColor="text1"/>
              </w:rPr>
              <w:t>95%CI:</w:t>
            </w:r>
            <w:r w:rsidR="00660DF7" w:rsidRPr="000C4B7C">
              <w:rPr>
                <w:rFonts w:ascii="Book Antiqua" w:hAnsi="Book Antiqua"/>
                <w:color w:val="000000" w:themeColor="text1"/>
              </w:rPr>
              <w:t xml:space="preserve"> 3.9 to 5.8);</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w:t>
            </w:r>
            <w:r w:rsidR="00660DF7" w:rsidRPr="00145FC0">
              <w:rPr>
                <w:rFonts w:ascii="Book Antiqua" w:hAnsi="Book Antiqua"/>
                <w:i/>
                <w:color w:val="000000" w:themeColor="text1"/>
              </w:rPr>
              <w:t>P</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&lt;</w:t>
            </w:r>
            <w:r>
              <w:rPr>
                <w:rFonts w:ascii="Book Antiqua" w:hAnsi="Book Antiqua" w:hint="eastAsia"/>
                <w:color w:val="000000" w:themeColor="text1"/>
                <w:lang w:eastAsia="zh-CN"/>
              </w:rPr>
              <w:t xml:space="preserve"> </w:t>
            </w:r>
            <w:r w:rsidR="00660DF7" w:rsidRPr="000C4B7C">
              <w:rPr>
                <w:rFonts w:ascii="Book Antiqua" w:hAnsi="Book Antiqua"/>
                <w:color w:val="000000" w:themeColor="text1"/>
              </w:rPr>
              <w:t>0.001)</w:t>
            </w:r>
          </w:p>
        </w:tc>
        <w:tc>
          <w:tcPr>
            <w:tcW w:w="171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7.3 mo (</w:t>
            </w:r>
            <w:r w:rsidR="00205034">
              <w:rPr>
                <w:rFonts w:ascii="Book Antiqua" w:hAnsi="Book Antiqua"/>
                <w:color w:val="000000" w:themeColor="text1"/>
              </w:rPr>
              <w:t>95%CI:</w:t>
            </w:r>
            <w:r w:rsidRPr="000C4B7C">
              <w:rPr>
                <w:rFonts w:ascii="Book Antiqua" w:hAnsi="Book Antiqua"/>
                <w:color w:val="000000" w:themeColor="text1"/>
              </w:rPr>
              <w:t xml:space="preserve"> 6.1 to 8.8) </w:t>
            </w:r>
            <w:r w:rsidR="00205034" w:rsidRPr="00205034">
              <w:rPr>
                <w:rFonts w:ascii="Book Antiqua" w:hAnsi="Book Antiqua"/>
                <w:i/>
                <w:color w:val="000000" w:themeColor="text1"/>
              </w:rPr>
              <w:t>vs</w:t>
            </w:r>
            <w:r w:rsidRPr="000C4B7C">
              <w:rPr>
                <w:rFonts w:ascii="Book Antiqua" w:hAnsi="Book Antiqua"/>
                <w:color w:val="000000" w:themeColor="text1"/>
              </w:rPr>
              <w:t xml:space="preserve"> 10.9 </w:t>
            </w:r>
            <w:r w:rsidRPr="000C4B7C">
              <w:rPr>
                <w:rFonts w:ascii="Book Antiqua" w:hAnsi="Book Antiqua"/>
                <w:color w:val="000000" w:themeColor="text1"/>
              </w:rPr>
              <w:lastRenderedPageBreak/>
              <w:t>mo  (</w:t>
            </w:r>
            <w:r w:rsidR="00205034">
              <w:rPr>
                <w:rFonts w:ascii="Book Antiqua" w:hAnsi="Book Antiqua"/>
                <w:color w:val="000000" w:themeColor="text1"/>
              </w:rPr>
              <w:t>95%CI:</w:t>
            </w:r>
            <w:r w:rsidRPr="000C4B7C">
              <w:rPr>
                <w:rFonts w:ascii="Book Antiqua" w:hAnsi="Book Antiqua"/>
                <w:color w:val="000000" w:themeColor="text1"/>
              </w:rPr>
              <w:t xml:space="preserve"> 8.6 to 12.7) </w:t>
            </w:r>
            <w:r w:rsidR="00205034" w:rsidRPr="00205034">
              <w:rPr>
                <w:rFonts w:ascii="Book Antiqua" w:hAnsi="Book Antiqua"/>
                <w:i/>
                <w:color w:val="000000" w:themeColor="text1"/>
              </w:rPr>
              <w:t>vs</w:t>
            </w:r>
            <w:r w:rsidRPr="000C4B7C">
              <w:rPr>
                <w:rFonts w:ascii="Book Antiqua" w:hAnsi="Book Antiqua"/>
                <w:color w:val="000000" w:themeColor="text1"/>
              </w:rPr>
              <w:t xml:space="preserve"> 8.4 mo (6.6 to 10.3)</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for death, 0.73; </w:t>
            </w:r>
            <w:r w:rsidR="00205034">
              <w:rPr>
                <w:rFonts w:ascii="Book Antiqua" w:hAnsi="Book Antiqua"/>
                <w:color w:val="000000" w:themeColor="text1"/>
              </w:rPr>
              <w:t>95%CI:</w:t>
            </w:r>
            <w:r w:rsidRPr="000C4B7C">
              <w:rPr>
                <w:rFonts w:ascii="Book Antiqua" w:hAnsi="Book Antiqua"/>
                <w:color w:val="000000" w:themeColor="text1"/>
              </w:rPr>
              <w:t xml:space="preserve"> 0.58 to 0.92; </w:t>
            </w:r>
            <w:r w:rsidR="00145FC0" w:rsidRPr="00145FC0">
              <w:rPr>
                <w:rFonts w:ascii="Book Antiqua" w:hAnsi="Book Antiqua"/>
                <w:i/>
                <w:color w:val="000000" w:themeColor="text1"/>
              </w:rPr>
              <w:t>P</w:t>
            </w:r>
            <w:r w:rsidR="00145FC0" w:rsidRPr="000C4B7C">
              <w:rPr>
                <w:rFonts w:ascii="Book Antiqua" w:hAnsi="Book Antiqua"/>
                <w:color w:val="000000" w:themeColor="text1"/>
              </w:rPr>
              <w:t xml:space="preserve"> </w:t>
            </w:r>
            <w:r w:rsidRPr="000C4B7C">
              <w:rPr>
                <w:rFonts w:ascii="Book Antiqua" w:hAnsi="Book Antiqua"/>
                <w:color w:val="000000" w:themeColor="text1"/>
              </w:rPr>
              <w:t>=</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0.008</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4.8% (</w:t>
            </w:r>
            <w:r w:rsidR="00205034">
              <w:rPr>
                <w:rFonts w:ascii="Book Antiqua" w:hAnsi="Book Antiqua"/>
                <w:color w:val="000000" w:themeColor="text1"/>
              </w:rPr>
              <w:t>95%CI:</w:t>
            </w:r>
            <w:r w:rsidRPr="000C4B7C">
              <w:rPr>
                <w:rFonts w:ascii="Book Antiqua" w:hAnsi="Book Antiqua"/>
                <w:color w:val="000000" w:themeColor="text1"/>
              </w:rPr>
              <w:t xml:space="preserve"> 1.9 to 7.8) </w:t>
            </w:r>
            <w:r w:rsidR="00205034" w:rsidRPr="00205034">
              <w:rPr>
                <w:rFonts w:ascii="Book Antiqua" w:hAnsi="Book Antiqua"/>
                <w:i/>
                <w:color w:val="000000" w:themeColor="text1"/>
              </w:rPr>
              <w:t>vs</w:t>
            </w:r>
            <w:r w:rsidRPr="000C4B7C">
              <w:rPr>
                <w:rFonts w:ascii="Book Antiqua" w:hAnsi="Book Antiqua"/>
                <w:color w:val="000000" w:themeColor="text1"/>
              </w:rPr>
              <w:t xml:space="preserve"> 8.6% (</w:t>
            </w:r>
            <w:r w:rsidR="00205034">
              <w:rPr>
                <w:rFonts w:ascii="Book Antiqua" w:hAnsi="Book Antiqua"/>
                <w:color w:val="000000" w:themeColor="text1"/>
              </w:rPr>
              <w:t>95%CI:</w:t>
            </w:r>
            <w:r w:rsidRPr="000C4B7C">
              <w:rPr>
                <w:rFonts w:ascii="Book Antiqua" w:hAnsi="Book Antiqua"/>
                <w:color w:val="000000" w:themeColor="text1"/>
              </w:rPr>
              <w:t xml:space="preserve"> </w:t>
            </w:r>
            <w:r w:rsidRPr="000C4B7C">
              <w:rPr>
                <w:rFonts w:ascii="Book Antiqua" w:hAnsi="Book Antiqua"/>
                <w:color w:val="000000" w:themeColor="text1"/>
              </w:rPr>
              <w:lastRenderedPageBreak/>
              <w:t xml:space="preserve">4.8 to 12.4) </w:t>
            </w:r>
            <w:r w:rsidR="00205034" w:rsidRPr="00205034">
              <w:rPr>
                <w:rFonts w:ascii="Book Antiqua" w:hAnsi="Book Antiqua"/>
                <w:i/>
                <w:color w:val="000000" w:themeColor="text1"/>
              </w:rPr>
              <w:t>vs</w:t>
            </w:r>
            <w:r w:rsidRPr="000C4B7C">
              <w:rPr>
                <w:rFonts w:ascii="Book Antiqua" w:hAnsi="Book Antiqua"/>
                <w:color w:val="000000" w:themeColor="text1"/>
              </w:rPr>
              <w:t xml:space="preserve"> 8.1% (</w:t>
            </w:r>
            <w:r w:rsidR="00205034">
              <w:rPr>
                <w:rFonts w:ascii="Book Antiqua" w:hAnsi="Book Antiqua"/>
                <w:color w:val="000000" w:themeColor="text1"/>
              </w:rPr>
              <w:t>95%CI:</w:t>
            </w:r>
            <w:r w:rsidRPr="000C4B7C">
              <w:rPr>
                <w:rFonts w:ascii="Book Antiqua" w:hAnsi="Book Antiqua"/>
                <w:color w:val="000000" w:themeColor="text1"/>
              </w:rPr>
              <w:t xml:space="preserve"> 4.4 to 11.8)</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HR, 0.96; </w:t>
            </w:r>
            <w:r w:rsidR="00205034">
              <w:rPr>
                <w:rFonts w:ascii="Book Antiqua" w:hAnsi="Book Antiqua"/>
                <w:color w:val="000000" w:themeColor="text1"/>
              </w:rPr>
              <w:t>95%CI:</w:t>
            </w:r>
            <w:r w:rsidRPr="000C4B7C">
              <w:rPr>
                <w:rFonts w:ascii="Book Antiqua" w:hAnsi="Book Antiqua"/>
                <w:color w:val="000000" w:themeColor="text1"/>
              </w:rPr>
              <w:t xml:space="preserve"> 0.76 to 1.20; </w:t>
            </w:r>
            <w:r w:rsidR="00145FC0" w:rsidRPr="00145FC0">
              <w:rPr>
                <w:rFonts w:ascii="Book Antiqua" w:hAnsi="Book Antiqua"/>
                <w:i/>
                <w:color w:val="000000" w:themeColor="text1"/>
              </w:rPr>
              <w:t>P</w:t>
            </w:r>
            <w:r w:rsidR="00145FC0" w:rsidRPr="000C4B7C">
              <w:rPr>
                <w:rFonts w:ascii="Book Antiqua" w:hAnsi="Book Antiqua"/>
                <w:color w:val="000000" w:themeColor="text1"/>
              </w:rPr>
              <w:t xml:space="preserve"> </w:t>
            </w:r>
            <w:r w:rsidRPr="000C4B7C">
              <w:rPr>
                <w:rFonts w:ascii="Book Antiqua" w:hAnsi="Book Antiqua"/>
                <w:color w:val="000000" w:themeColor="text1"/>
              </w:rPr>
              <w:t>=</w:t>
            </w:r>
            <w:r w:rsidR="00145FC0">
              <w:rPr>
                <w:rFonts w:ascii="Book Antiqua" w:hAnsi="Book Antiqua" w:hint="eastAsia"/>
                <w:color w:val="000000" w:themeColor="text1"/>
                <w:lang w:eastAsia="zh-CN"/>
              </w:rPr>
              <w:t xml:space="preserve"> </w:t>
            </w:r>
            <w:r w:rsidRPr="000C4B7C">
              <w:rPr>
                <w:rFonts w:ascii="Book Antiqua" w:hAnsi="Book Antiqua"/>
                <w:color w:val="000000" w:themeColor="text1"/>
              </w:rPr>
              <w:t>0.70)</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Rash, peripheral edema, </w:t>
            </w:r>
            <w:r w:rsidRPr="000C4B7C">
              <w:rPr>
                <w:rFonts w:ascii="Book Antiqua" w:hAnsi="Book Antiqua"/>
                <w:color w:val="000000" w:themeColor="text1"/>
              </w:rPr>
              <w:lastRenderedPageBreak/>
              <w:t xml:space="preserve">hyperglycemia, and hyperlipidemia were more common in the </w:t>
            </w:r>
            <w:proofErr w:type="gramStart"/>
            <w:r w:rsidRPr="000C4B7C">
              <w:rPr>
                <w:rFonts w:ascii="Book Antiqua" w:hAnsi="Book Antiqua"/>
                <w:color w:val="000000" w:themeColor="text1"/>
              </w:rPr>
              <w:t>temsirolimusgroup,</w:t>
            </w:r>
            <w:proofErr w:type="gramEnd"/>
            <w:r w:rsidRPr="000C4B7C">
              <w:rPr>
                <w:rFonts w:ascii="Book Antiqua" w:hAnsi="Book Antiqua"/>
                <w:color w:val="000000" w:themeColor="text1"/>
              </w:rPr>
              <w:t xml:space="preserve"> asthenia was more common in the interferon group (26% </w:t>
            </w:r>
            <w:r w:rsidR="00205034" w:rsidRPr="00205034">
              <w:rPr>
                <w:rFonts w:ascii="Book Antiqua" w:hAnsi="Book Antiqua"/>
                <w:i/>
                <w:color w:val="000000" w:themeColor="text1"/>
              </w:rPr>
              <w:t>vs</w:t>
            </w:r>
            <w:r w:rsidRPr="000C4B7C">
              <w:rPr>
                <w:rFonts w:ascii="Book Antiqua" w:hAnsi="Book Antiqua"/>
                <w:color w:val="000000" w:themeColor="text1"/>
              </w:rPr>
              <w:t xml:space="preserve"> 11%)</w:t>
            </w:r>
          </w:p>
        </w:tc>
        <w:tc>
          <w:tcPr>
            <w:tcW w:w="1693" w:type="dxa"/>
          </w:tcPr>
          <w:p w:rsidR="00760D17" w:rsidRPr="000C4B7C" w:rsidRDefault="00A470C8"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[33]</w:t>
            </w:r>
          </w:p>
        </w:tc>
      </w:tr>
      <w:tr w:rsidR="000170F9" w:rsidRPr="000C4B7C" w:rsidTr="008B1950">
        <w:trPr>
          <w:trHeight w:val="192"/>
          <w:jc w:val="center"/>
        </w:trPr>
        <w:tc>
          <w:tcPr>
            <w:tcW w:w="1088" w:type="dxa"/>
          </w:tcPr>
          <w:p w:rsidR="00760D17" w:rsidRPr="000C4B7C" w:rsidRDefault="0077738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Temsirolimus</w:t>
            </w:r>
          </w:p>
        </w:tc>
        <w:tc>
          <w:tcPr>
            <w:tcW w:w="1080" w:type="dxa"/>
          </w:tcPr>
          <w:p w:rsidR="00760D17" w:rsidRPr="000C4B7C" w:rsidRDefault="00A80BE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mTOR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Second</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INTORSECT: temsirolimus </w:t>
            </w:r>
            <w:r w:rsidR="00205034" w:rsidRPr="00205034">
              <w:rPr>
                <w:rFonts w:ascii="Book Antiqua" w:hAnsi="Book Antiqua"/>
                <w:i/>
                <w:color w:val="000000" w:themeColor="text1"/>
              </w:rPr>
              <w:t>vs</w:t>
            </w:r>
            <w:r w:rsidRPr="000C4B7C">
              <w:rPr>
                <w:rFonts w:ascii="Book Antiqua" w:hAnsi="Book Antiqua"/>
                <w:color w:val="000000" w:themeColor="text1"/>
              </w:rPr>
              <w:t xml:space="preserve"> </w:t>
            </w:r>
            <w:r w:rsidRPr="000C4B7C">
              <w:rPr>
                <w:rFonts w:ascii="Book Antiqua" w:hAnsi="Book Antiqua"/>
                <w:color w:val="000000" w:themeColor="text1"/>
              </w:rPr>
              <w:lastRenderedPageBreak/>
              <w:t>sorafenib as second line after treatment with sunitinib</w:t>
            </w:r>
            <w:r w:rsidR="00EE121F">
              <w:rPr>
                <w:rFonts w:ascii="Book Antiqua" w:hAnsi="Book Antiqua" w:hint="eastAsia"/>
                <w:color w:val="000000" w:themeColor="text1"/>
                <w:vertAlign w:val="superscript"/>
                <w:lang w:eastAsia="zh-CN"/>
              </w:rPr>
              <w:t xml:space="preserve"> 1</w:t>
            </w:r>
            <w:r w:rsidRPr="000C4B7C">
              <w:rPr>
                <w:rFonts w:ascii="Book Antiqua" w:hAnsi="Book Antiqua"/>
                <w:color w:val="000000" w:themeColor="text1"/>
              </w:rPr>
              <w:t xml:space="preserve">with response duration &lt; 180 </w:t>
            </w:r>
            <w:r w:rsidR="00EE121F">
              <w:rPr>
                <w:rFonts w:ascii="Book Antiqua" w:hAnsi="Book Antiqua" w:hint="eastAsia"/>
                <w:color w:val="000000" w:themeColor="text1"/>
                <w:lang w:eastAsia="zh-CN"/>
              </w:rPr>
              <w:t>d</w:t>
            </w:r>
          </w:p>
        </w:tc>
        <w:tc>
          <w:tcPr>
            <w:tcW w:w="1620" w:type="dxa"/>
          </w:tcPr>
          <w:p w:rsidR="00760D17" w:rsidRPr="003112FD" w:rsidRDefault="00660DF7" w:rsidP="003112FD">
            <w:pPr>
              <w:shd w:val="clear" w:color="auto" w:fill="FFFFFF"/>
              <w:adjustRightInd w:val="0"/>
              <w:snapToGrid w:val="0"/>
              <w:spacing w:line="360" w:lineRule="auto"/>
              <w:jc w:val="both"/>
              <w:rPr>
                <w:rFonts w:ascii="Book Antiqua" w:hAnsi="Book Antiqua"/>
                <w:color w:val="000000" w:themeColor="text1"/>
                <w:lang w:eastAsia="zh-CN"/>
              </w:rPr>
            </w:pPr>
            <w:r w:rsidRPr="00A354AC">
              <w:rPr>
                <w:rFonts w:ascii="Book Antiqua" w:eastAsia="Times New Roman" w:hAnsi="Book Antiqua"/>
                <w:color w:val="000000" w:themeColor="text1"/>
              </w:rPr>
              <w:lastRenderedPageBreak/>
              <w:t>4.3 mo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4 to 5.4) </w:t>
            </w:r>
            <w:r w:rsidR="00205034" w:rsidRPr="00A354AC">
              <w:rPr>
                <w:rFonts w:ascii="Book Antiqua" w:eastAsia="Times New Roman" w:hAnsi="Book Antiqua"/>
                <w:i/>
                <w:color w:val="000000" w:themeColor="text1"/>
              </w:rPr>
              <w:t>vs</w:t>
            </w:r>
            <w:r w:rsidR="00A354AC" w:rsidRPr="00A354AC">
              <w:rPr>
                <w:rFonts w:ascii="Book Antiqua" w:eastAsia="Times New Roman" w:hAnsi="Book Antiqua"/>
                <w:color w:val="000000" w:themeColor="text1"/>
              </w:rPr>
              <w:t xml:space="preserve"> 3.9 mo</w:t>
            </w:r>
            <w:r w:rsidR="00A354AC" w:rsidRPr="00A354AC">
              <w:rPr>
                <w:rFonts w:ascii="Book Antiqua" w:hAnsi="Book Antiqua"/>
                <w:color w:val="000000" w:themeColor="text1"/>
                <w:lang w:eastAsia="zh-CN"/>
              </w:rPr>
              <w:t xml:space="preserve"> </w:t>
            </w:r>
            <w:r w:rsidRPr="00A354AC">
              <w:rPr>
                <w:rFonts w:ascii="Book Antiqua" w:eastAsia="Times New Roman" w:hAnsi="Book Antiqua"/>
                <w:color w:val="000000" w:themeColor="text1"/>
              </w:rPr>
              <w:t>(</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lastRenderedPageBreak/>
              <w:t>2.8 to 4.2)</w:t>
            </w:r>
            <w:r w:rsidR="00A354AC" w:rsidRPr="00A354AC">
              <w:rPr>
                <w:rFonts w:ascii="Book Antiqua" w:hAnsi="Book Antiqua"/>
                <w:color w:val="000000" w:themeColor="text1"/>
                <w:lang w:eastAsia="zh-CN"/>
              </w:rPr>
              <w:t xml:space="preserve">; </w:t>
            </w:r>
            <w:r w:rsidRPr="00A354AC">
              <w:rPr>
                <w:rFonts w:ascii="Book Antiqua" w:eastAsia="Times New Roman" w:hAnsi="Book Antiqua"/>
                <w:color w:val="000000" w:themeColor="text1"/>
              </w:rPr>
              <w:t>Stratified HR</w:t>
            </w:r>
            <w:r w:rsidR="000409F3">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w:t>
            </w:r>
            <w:r w:rsidR="000409F3">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 xml:space="preserve">0.87;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0.71 to 1.07; two-sided </w:t>
            </w:r>
            <w:r w:rsidRPr="003112FD">
              <w:rPr>
                <w:rFonts w:ascii="Book Antiqua" w:eastAsia="Times New Roman" w:hAnsi="Book Antiqua"/>
                <w:i/>
                <w:color w:val="000000" w:themeColor="text1"/>
              </w:rPr>
              <w:t>P</w:t>
            </w:r>
            <w:r w:rsidRPr="00A354AC">
              <w:rPr>
                <w:rFonts w:ascii="Book Antiqua" w:eastAsia="Times New Roman" w:hAnsi="Book Antiqua"/>
                <w:color w:val="000000" w:themeColor="text1"/>
              </w:rPr>
              <w:t xml:space="preserve"> </w:t>
            </w:r>
            <w:r w:rsidR="003112FD">
              <w:rPr>
                <w:rFonts w:ascii="Book Antiqua" w:hAnsi="Book Antiqua" w:hint="eastAsia"/>
                <w:color w:val="000000" w:themeColor="text1"/>
                <w:lang w:eastAsia="zh-CN"/>
              </w:rPr>
              <w:t>= 0</w:t>
            </w:r>
            <w:r w:rsidRPr="00A354AC">
              <w:rPr>
                <w:rFonts w:ascii="Book Antiqua" w:eastAsia="Times New Roman" w:hAnsi="Book Antiqua"/>
                <w:color w:val="000000" w:themeColor="text1"/>
              </w:rPr>
              <w:t>.19</w:t>
            </w:r>
          </w:p>
        </w:tc>
        <w:tc>
          <w:tcPr>
            <w:tcW w:w="1710" w:type="dxa"/>
          </w:tcPr>
          <w:p w:rsidR="00760D17" w:rsidRPr="003112FD" w:rsidRDefault="00660DF7" w:rsidP="000C4B7C">
            <w:pPr>
              <w:shd w:val="clear" w:color="auto" w:fill="FFFFFF"/>
              <w:adjustRightInd w:val="0"/>
              <w:snapToGrid w:val="0"/>
              <w:spacing w:line="360" w:lineRule="auto"/>
              <w:jc w:val="both"/>
              <w:rPr>
                <w:rFonts w:ascii="Book Antiqua" w:hAnsi="Book Antiqua"/>
                <w:color w:val="000000" w:themeColor="text1"/>
                <w:lang w:eastAsia="zh-CN"/>
              </w:rPr>
            </w:pPr>
            <w:r w:rsidRPr="00A354AC">
              <w:rPr>
                <w:rFonts w:ascii="Book Antiqua" w:eastAsia="Times New Roman" w:hAnsi="Book Antiqua"/>
                <w:color w:val="000000" w:themeColor="text1"/>
              </w:rPr>
              <w:lastRenderedPageBreak/>
              <w:t>12.3 mo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10.1 to 14.8) </w:t>
            </w:r>
            <w:r w:rsidR="00205034" w:rsidRPr="00A354AC">
              <w:rPr>
                <w:rFonts w:ascii="Book Antiqua" w:eastAsia="Times New Roman" w:hAnsi="Book Antiqua"/>
                <w:i/>
                <w:color w:val="000000" w:themeColor="text1"/>
              </w:rPr>
              <w:t>vs</w:t>
            </w:r>
            <w:r w:rsidRPr="00A354AC">
              <w:rPr>
                <w:rFonts w:ascii="Book Antiqua" w:eastAsia="Times New Roman" w:hAnsi="Book Antiqua"/>
                <w:color w:val="000000" w:themeColor="text1"/>
              </w:rPr>
              <w:t xml:space="preserve"> 16.6 mo </w:t>
            </w:r>
            <w:r w:rsidRPr="00A354AC">
              <w:rPr>
                <w:rFonts w:ascii="Book Antiqua" w:eastAsia="Times New Roman" w:hAnsi="Book Antiqua"/>
                <w:color w:val="000000" w:themeColor="text1"/>
              </w:rPr>
              <w:lastRenderedPageBreak/>
              <w:t>(</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13.6 to 18.7)</w:t>
            </w:r>
            <w:r w:rsidR="003112FD">
              <w:rPr>
                <w:rFonts w:ascii="Book Antiqua" w:hAnsi="Book Antiqua" w:hint="eastAsia"/>
                <w:color w:val="000000" w:themeColor="text1"/>
                <w:lang w:eastAsia="zh-CN"/>
              </w:rPr>
              <w:t xml:space="preserve">; </w:t>
            </w:r>
            <w:r w:rsidRPr="00A354AC">
              <w:rPr>
                <w:rFonts w:ascii="Book Antiqua" w:eastAsia="Times New Roman" w:hAnsi="Book Antiqua"/>
                <w:color w:val="000000" w:themeColor="text1"/>
              </w:rPr>
              <w:t xml:space="preserve">Stratified HR, 1.31; </w:t>
            </w:r>
            <w:r w:rsidR="00205034" w:rsidRPr="00A354AC">
              <w:rPr>
                <w:rFonts w:ascii="Book Antiqua" w:eastAsia="Times New Roman" w:hAnsi="Book Antiqua"/>
                <w:color w:val="000000" w:themeColor="text1"/>
              </w:rPr>
              <w:t>95%CI:</w:t>
            </w:r>
            <w:r w:rsidRPr="00A354AC">
              <w:rPr>
                <w:rFonts w:ascii="Book Antiqua" w:eastAsia="Times New Roman" w:hAnsi="Book Antiqua"/>
                <w:color w:val="000000" w:themeColor="text1"/>
              </w:rPr>
              <w:t xml:space="preserve"> 1.05 to 1.63, </w:t>
            </w:r>
            <w:r w:rsidR="003112FD" w:rsidRPr="00145FC0">
              <w:rPr>
                <w:rFonts w:ascii="Book Antiqua" w:hAnsi="Book Antiqua"/>
                <w:i/>
                <w:color w:val="000000" w:themeColor="text1"/>
              </w:rPr>
              <w:t>P</w:t>
            </w:r>
            <w:r w:rsidR="003112FD" w:rsidRPr="00A354AC">
              <w:rPr>
                <w:rFonts w:ascii="Book Antiqua" w:eastAsia="Times New Roman" w:hAnsi="Book Antiqua"/>
                <w:color w:val="000000" w:themeColor="text1"/>
              </w:rPr>
              <w:t xml:space="preserve"> </w:t>
            </w:r>
            <w:r w:rsidRPr="00A354AC">
              <w:rPr>
                <w:rFonts w:ascii="Book Antiqua" w:eastAsia="Times New Roman" w:hAnsi="Book Antiqua"/>
                <w:color w:val="000000" w:themeColor="text1"/>
              </w:rPr>
              <w:t>=</w:t>
            </w:r>
            <w:r w:rsidR="003112FD">
              <w:rPr>
                <w:rFonts w:ascii="Book Antiqua" w:hAnsi="Book Antiqua" w:hint="eastAsia"/>
                <w:color w:val="000000" w:themeColor="text1"/>
                <w:lang w:eastAsia="zh-CN"/>
              </w:rPr>
              <w:t xml:space="preserve"> 0</w:t>
            </w:r>
            <w:r w:rsidRPr="00A354AC">
              <w:rPr>
                <w:rFonts w:ascii="Book Antiqua" w:eastAsia="Times New Roman" w:hAnsi="Book Antiqua"/>
                <w:color w:val="000000" w:themeColor="text1"/>
              </w:rPr>
              <w:t>.01 (two sided log-rank)</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8% </w:t>
            </w:r>
            <w:r w:rsidR="00205034" w:rsidRPr="00205034">
              <w:rPr>
                <w:rFonts w:ascii="Book Antiqua" w:hAnsi="Book Antiqua"/>
                <w:i/>
                <w:color w:val="000000" w:themeColor="text1"/>
              </w:rPr>
              <w:t>vs</w:t>
            </w:r>
            <w:r w:rsidR="00A354AC">
              <w:rPr>
                <w:rFonts w:ascii="Book Antiqua" w:hAnsi="Book Antiqua"/>
                <w:color w:val="000000" w:themeColor="text1"/>
              </w:rPr>
              <w:t xml:space="preserve"> 8%</w:t>
            </w: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Rash and fatigue more commonly associated </w:t>
            </w:r>
            <w:r w:rsidRPr="000C4B7C">
              <w:rPr>
                <w:rFonts w:ascii="Book Antiqua" w:hAnsi="Book Antiqua"/>
                <w:color w:val="000000" w:themeColor="text1"/>
              </w:rPr>
              <w:lastRenderedPageBreak/>
              <w:t>with temsirolimus and PPE + diar</w:t>
            </w:r>
            <w:r w:rsidR="003112FD">
              <w:rPr>
                <w:rFonts w:ascii="Book Antiqua" w:hAnsi="Book Antiqua"/>
                <w:color w:val="000000" w:themeColor="text1"/>
              </w:rPr>
              <w:t>rhea higher in sorafenib group</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lastRenderedPageBreak/>
              <w:t>[111]</w:t>
            </w:r>
          </w:p>
        </w:tc>
      </w:tr>
      <w:tr w:rsidR="000170F9" w:rsidRPr="000C4B7C" w:rsidTr="008B1950">
        <w:trPr>
          <w:trHeight w:val="404"/>
          <w:jc w:val="center"/>
        </w:trPr>
        <w:tc>
          <w:tcPr>
            <w:tcW w:w="1088"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Nivolumab</w:t>
            </w:r>
          </w:p>
        </w:tc>
        <w:tc>
          <w:tcPr>
            <w:tcW w:w="108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ICI-</w:t>
            </w:r>
          </w:p>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Anti PD-1 Inhibitor</w:t>
            </w:r>
          </w:p>
        </w:tc>
        <w:tc>
          <w:tcPr>
            <w:tcW w:w="99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Second </w:t>
            </w:r>
          </w:p>
        </w:tc>
        <w:tc>
          <w:tcPr>
            <w:tcW w:w="1440"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Checkmate 025: 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everolimus</w:t>
            </w:r>
          </w:p>
        </w:tc>
        <w:tc>
          <w:tcPr>
            <w:tcW w:w="1620" w:type="dxa"/>
          </w:tcPr>
          <w:p w:rsidR="00760D17" w:rsidRPr="000C4B7C" w:rsidRDefault="00660DF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4.6 mo (</w:t>
            </w:r>
            <w:r w:rsidR="00205034">
              <w:rPr>
                <w:rFonts w:ascii="Book Antiqua" w:hAnsi="Book Antiqua"/>
                <w:color w:val="000000" w:themeColor="text1"/>
              </w:rPr>
              <w:t>95%CI:</w:t>
            </w:r>
            <w:r w:rsidRPr="000C4B7C">
              <w:rPr>
                <w:rFonts w:ascii="Book Antiqua" w:hAnsi="Book Antiqua"/>
                <w:color w:val="000000" w:themeColor="text1"/>
              </w:rPr>
              <w:t xml:space="preserve"> 3.7 to 5.4) </w:t>
            </w:r>
            <w:r w:rsidR="00205034" w:rsidRPr="00205034">
              <w:rPr>
                <w:rFonts w:ascii="Book Antiqua" w:hAnsi="Book Antiqua"/>
                <w:i/>
                <w:color w:val="000000" w:themeColor="text1"/>
              </w:rPr>
              <w:t>vs</w:t>
            </w:r>
            <w:r w:rsidR="00DC3762">
              <w:rPr>
                <w:rFonts w:ascii="Book Antiqua" w:hAnsi="Book Antiqua"/>
                <w:color w:val="000000" w:themeColor="text1"/>
              </w:rPr>
              <w:t xml:space="preserve"> 4.4 mo</w:t>
            </w:r>
            <w:r w:rsidRPr="000C4B7C">
              <w:rPr>
                <w:rFonts w:ascii="Book Antiqua" w:hAnsi="Book Antiqua"/>
                <w:color w:val="000000" w:themeColor="text1"/>
              </w:rPr>
              <w:t xml:space="preserve"> (</w:t>
            </w:r>
            <w:r w:rsidR="00205034">
              <w:rPr>
                <w:rFonts w:ascii="Book Antiqua" w:hAnsi="Book Antiqua"/>
                <w:color w:val="000000" w:themeColor="text1"/>
              </w:rPr>
              <w:t>95%CI:</w:t>
            </w:r>
            <w:r w:rsidR="003112FD">
              <w:rPr>
                <w:rFonts w:ascii="Book Antiqua" w:hAnsi="Book Antiqua"/>
                <w:color w:val="000000" w:themeColor="text1"/>
              </w:rPr>
              <w:t xml:space="preserve"> 3.7 to 5.5)</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HR</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0.88; </w:t>
            </w:r>
            <w:r w:rsidR="00205034">
              <w:rPr>
                <w:rFonts w:ascii="Book Antiqua" w:hAnsi="Book Antiqua"/>
                <w:color w:val="000000" w:themeColor="text1"/>
              </w:rPr>
              <w:t>95%CI:</w:t>
            </w:r>
            <w:r w:rsidRPr="000C4B7C">
              <w:rPr>
                <w:rFonts w:ascii="Book Antiqua" w:hAnsi="Book Antiqua"/>
                <w:color w:val="000000" w:themeColor="text1"/>
              </w:rPr>
              <w:t xml:space="preserve"> 0.75 to 1.03; </w:t>
            </w:r>
            <w:r w:rsidRPr="003112FD">
              <w:rPr>
                <w:rFonts w:ascii="Book Antiqua" w:hAnsi="Book Antiqua"/>
                <w:i/>
                <w:color w:val="000000" w:themeColor="text1"/>
              </w:rPr>
              <w:t>P</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0.11</w:t>
            </w:r>
          </w:p>
        </w:tc>
        <w:tc>
          <w:tcPr>
            <w:tcW w:w="1710" w:type="dxa"/>
          </w:tcPr>
          <w:p w:rsidR="00760D17" w:rsidRPr="000C4B7C" w:rsidRDefault="003D7842"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w:t>
            </w:r>
            <w:r w:rsidR="00660DF7" w:rsidRPr="000C4B7C">
              <w:rPr>
                <w:rFonts w:ascii="Book Antiqua" w:hAnsi="Book Antiqua"/>
                <w:color w:val="000000" w:themeColor="text1"/>
              </w:rPr>
              <w:t>5.0 mo (</w:t>
            </w:r>
            <w:r w:rsidR="00205034">
              <w:rPr>
                <w:rFonts w:ascii="Book Antiqua" w:hAnsi="Book Antiqua"/>
                <w:color w:val="000000" w:themeColor="text1"/>
              </w:rPr>
              <w:t>95%CI:</w:t>
            </w:r>
            <w:r w:rsidR="00660DF7" w:rsidRPr="000C4B7C">
              <w:rPr>
                <w:rFonts w:ascii="Book Antiqua" w:hAnsi="Book Antiqua"/>
                <w:color w:val="000000" w:themeColor="text1"/>
              </w:rPr>
              <w:t xml:space="preserve"> </w:t>
            </w:r>
            <w:r w:rsidR="003112FD">
              <w:rPr>
                <w:rFonts w:ascii="Book Antiqua" w:hAnsi="Book Antiqua"/>
                <w:color w:val="000000" w:themeColor="text1"/>
              </w:rPr>
              <w:t>21.8– NR</w:t>
            </w:r>
            <w:r w:rsidR="00660DF7" w:rsidRPr="000C4B7C">
              <w:rPr>
                <w:rFonts w:ascii="Book Antiqua" w:hAnsi="Book Antiqua"/>
                <w:color w:val="000000" w:themeColor="text1"/>
              </w:rPr>
              <w:t xml:space="preserve"> for nivolumab</w:t>
            </w:r>
            <w:r w:rsidR="00066F08">
              <w:rPr>
                <w:rFonts w:ascii="Book Antiqua" w:hAnsi="Book Antiqua" w:hint="eastAsia"/>
                <w:color w:val="000000" w:themeColor="text1"/>
                <w:lang w:eastAsia="zh-CN"/>
              </w:rPr>
              <w:t>)</w:t>
            </w:r>
            <w:r w:rsidR="00660DF7" w:rsidRPr="000C4B7C">
              <w:rPr>
                <w:rFonts w:ascii="Book Antiqua" w:hAnsi="Book Antiqua"/>
                <w:color w:val="000000" w:themeColor="text1"/>
              </w:rPr>
              <w:t xml:space="preserve"> </w:t>
            </w:r>
            <w:r w:rsidR="00FF43B4" w:rsidRPr="000C4B7C">
              <w:rPr>
                <w:rFonts w:ascii="Book Antiqua" w:hAnsi="Book Antiqua"/>
                <w:i/>
                <w:color w:val="000000" w:themeColor="text1"/>
              </w:rPr>
              <w:t>vs</w:t>
            </w:r>
            <w:r w:rsidR="00660DF7" w:rsidRPr="000C4B7C">
              <w:rPr>
                <w:rFonts w:ascii="Book Antiqua" w:hAnsi="Book Antiqua"/>
                <w:color w:val="000000" w:themeColor="text1"/>
              </w:rPr>
              <w:t xml:space="preserve"> 19.6 mo (</w:t>
            </w:r>
            <w:r w:rsidR="00205034">
              <w:rPr>
                <w:rFonts w:ascii="Book Antiqua" w:hAnsi="Book Antiqua"/>
                <w:color w:val="000000" w:themeColor="text1"/>
              </w:rPr>
              <w:t>95%CI:</w:t>
            </w:r>
            <w:r w:rsidR="00660DF7" w:rsidRPr="000C4B7C">
              <w:rPr>
                <w:rFonts w:ascii="Book Antiqua" w:hAnsi="Book Antiqua"/>
                <w:color w:val="000000" w:themeColor="text1"/>
              </w:rPr>
              <w:t xml:space="preserve"> 17.6–23.1</w:t>
            </w:r>
            <w:r w:rsidR="007423BE">
              <w:rPr>
                <w:rFonts w:ascii="Book Antiqua" w:hAnsi="Book Antiqua" w:hint="eastAsia"/>
                <w:color w:val="000000" w:themeColor="text1"/>
                <w:lang w:eastAsia="zh-CN"/>
              </w:rPr>
              <w:t>)</w:t>
            </w:r>
          </w:p>
        </w:tc>
        <w:tc>
          <w:tcPr>
            <w:tcW w:w="1749"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25% </w:t>
            </w:r>
            <w:r w:rsidR="00205034" w:rsidRPr="00205034">
              <w:rPr>
                <w:rFonts w:ascii="Book Antiqua" w:hAnsi="Book Antiqua"/>
                <w:i/>
                <w:color w:val="000000" w:themeColor="text1"/>
              </w:rPr>
              <w:t>vs</w:t>
            </w:r>
            <w:r w:rsidR="003112FD">
              <w:rPr>
                <w:rFonts w:ascii="Book Antiqua" w:hAnsi="Book Antiqua"/>
                <w:color w:val="000000" w:themeColor="text1"/>
              </w:rPr>
              <w:t xml:space="preserve"> 5%; odds ratio, 5.98 </w:t>
            </w:r>
            <w:r w:rsidR="003112FD">
              <w:rPr>
                <w:rFonts w:ascii="Book Antiqua" w:hAnsi="Book Antiqua" w:hint="eastAsia"/>
                <w:color w:val="000000" w:themeColor="text1"/>
                <w:lang w:eastAsia="zh-CN"/>
              </w:rPr>
              <w:t>(</w:t>
            </w:r>
            <w:r w:rsidR="00205034">
              <w:rPr>
                <w:rFonts w:ascii="Book Antiqua" w:hAnsi="Book Antiqua"/>
                <w:color w:val="000000" w:themeColor="text1"/>
              </w:rPr>
              <w:t>95%CI:</w:t>
            </w:r>
            <w:r w:rsidR="003112FD">
              <w:rPr>
                <w:rFonts w:ascii="Book Antiqua" w:hAnsi="Book Antiqua"/>
                <w:color w:val="000000" w:themeColor="text1"/>
              </w:rPr>
              <w:t xml:space="preserve"> 3.68 to 9.72</w:t>
            </w:r>
            <w:r w:rsidR="003112FD">
              <w:rPr>
                <w:rFonts w:ascii="Book Antiqua" w:hAnsi="Book Antiqua" w:hint="eastAsia"/>
                <w:color w:val="000000" w:themeColor="text1"/>
                <w:lang w:eastAsia="zh-CN"/>
              </w:rPr>
              <w:t>)</w:t>
            </w:r>
            <w:r w:rsidRPr="000C4B7C">
              <w:rPr>
                <w:rFonts w:ascii="Book Antiqua" w:hAnsi="Book Antiqua"/>
                <w:color w:val="000000" w:themeColor="text1"/>
              </w:rPr>
              <w:t xml:space="preserve">; </w:t>
            </w:r>
            <w:r w:rsidR="003112FD" w:rsidRPr="00145FC0">
              <w:rPr>
                <w:rFonts w:ascii="Book Antiqua" w:hAnsi="Book Antiqua"/>
                <w:i/>
                <w:color w:val="000000" w:themeColor="text1"/>
              </w:rPr>
              <w:t>P</w:t>
            </w:r>
            <w:r w:rsidR="003112FD" w:rsidRPr="000C4B7C">
              <w:rPr>
                <w:rFonts w:ascii="Book Antiqua" w:hAnsi="Book Antiqua"/>
                <w:color w:val="000000" w:themeColor="text1"/>
              </w:rPr>
              <w:t xml:space="preserve"> </w:t>
            </w:r>
            <w:r w:rsidRPr="000C4B7C">
              <w:rPr>
                <w:rFonts w:ascii="Book Antiqua" w:hAnsi="Book Antiqua"/>
                <w:color w:val="000000" w:themeColor="text1"/>
              </w:rPr>
              <w:t>&lt;</w:t>
            </w:r>
            <w:r w:rsidR="003112FD">
              <w:rPr>
                <w:rFonts w:ascii="Book Antiqua" w:hAnsi="Book Antiqua" w:hint="eastAsia"/>
                <w:color w:val="000000" w:themeColor="text1"/>
                <w:lang w:eastAsia="zh-CN"/>
              </w:rPr>
              <w:t xml:space="preserve"> </w:t>
            </w:r>
            <w:r w:rsidRPr="000C4B7C">
              <w:rPr>
                <w:rFonts w:ascii="Book Antiqua" w:hAnsi="Book Antiqua"/>
                <w:color w:val="000000" w:themeColor="text1"/>
              </w:rPr>
              <w:t>0.001</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06" w:type="dxa"/>
          </w:tcPr>
          <w:p w:rsidR="00760D17" w:rsidRPr="000C4B7C" w:rsidRDefault="00660DF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Fatigue </w:t>
            </w:r>
          </w:p>
        </w:tc>
        <w:tc>
          <w:tcPr>
            <w:tcW w:w="1693" w:type="dxa"/>
          </w:tcPr>
          <w:p w:rsidR="00760D17" w:rsidRPr="000C4B7C" w:rsidRDefault="00027335" w:rsidP="000C4B7C">
            <w:pPr>
              <w:adjustRightInd w:val="0"/>
              <w:snapToGrid w:val="0"/>
              <w:spacing w:line="360" w:lineRule="auto"/>
              <w:jc w:val="both"/>
              <w:rPr>
                <w:rFonts w:ascii="Book Antiqua" w:hAnsi="Book Antiqua"/>
                <w:color w:val="000000" w:themeColor="text1"/>
              </w:rPr>
            </w:pPr>
            <w:r w:rsidRPr="000C4B7C">
              <w:rPr>
                <w:rFonts w:ascii="Book Antiqua" w:hAnsi="Book Antiqua"/>
                <w:noProof/>
                <w:color w:val="000000" w:themeColor="text1"/>
                <w:vertAlign w:val="superscript"/>
              </w:rPr>
              <w:t>[66, 67]</w:t>
            </w:r>
          </w:p>
        </w:tc>
      </w:tr>
    </w:tbl>
    <w:p w:rsidR="0078360C" w:rsidRDefault="00DC3762" w:rsidP="000C4B7C">
      <w:pPr>
        <w:adjustRightInd w:val="0"/>
        <w:snapToGrid w:val="0"/>
        <w:spacing w:line="360" w:lineRule="auto"/>
        <w:jc w:val="both"/>
        <w:rPr>
          <w:rFonts w:ascii="Book Antiqua" w:hAnsi="Book Antiqua"/>
          <w:color w:val="000000" w:themeColor="text1"/>
          <w:lang w:eastAsia="zh-CN"/>
        </w:rPr>
      </w:pPr>
      <w:proofErr w:type="gramStart"/>
      <w:r w:rsidRPr="00DC3762">
        <w:rPr>
          <w:rFonts w:ascii="Book Antiqua" w:hAnsi="Book Antiqua" w:hint="eastAsia"/>
          <w:color w:val="000000" w:themeColor="text1"/>
          <w:vertAlign w:val="superscript"/>
          <w:lang w:eastAsia="zh-CN"/>
        </w:rPr>
        <w:t>1</w:t>
      </w:r>
      <w:r w:rsidRPr="000C4B7C">
        <w:rPr>
          <w:rFonts w:ascii="Book Antiqua" w:hAnsi="Book Antiqua"/>
          <w:color w:val="000000" w:themeColor="text1"/>
        </w:rPr>
        <w:t>Not statistically significant</w:t>
      </w:r>
      <w:r>
        <w:rPr>
          <w:rFonts w:ascii="Book Antiqua" w:hAnsi="Book Antiqua" w:hint="eastAsia"/>
          <w:color w:val="000000" w:themeColor="text1"/>
          <w:lang w:eastAsia="zh-CN"/>
        </w:rPr>
        <w:t>.</w:t>
      </w:r>
      <w:proofErr w:type="gramEnd"/>
      <w:r>
        <w:rPr>
          <w:rFonts w:ascii="Book Antiqua" w:hAnsi="Book Antiqua" w:hint="eastAsia"/>
          <w:color w:val="000000" w:themeColor="text1"/>
          <w:lang w:eastAsia="zh-CN"/>
        </w:rPr>
        <w:t xml:space="preserve"> </w:t>
      </w:r>
      <w:r w:rsidR="0078360C" w:rsidRPr="000C4B7C">
        <w:rPr>
          <w:rFonts w:ascii="Book Antiqua" w:hAnsi="Book Antiqua"/>
          <w:color w:val="000000" w:themeColor="text1"/>
        </w:rPr>
        <w:t>HR</w:t>
      </w:r>
      <w:r>
        <w:rPr>
          <w:rFonts w:ascii="Book Antiqua" w:hAnsi="Book Antiqua" w:hint="eastAsia"/>
          <w:color w:val="000000" w:themeColor="text1"/>
          <w:lang w:eastAsia="zh-CN"/>
        </w:rPr>
        <w:t xml:space="preserve">: </w:t>
      </w:r>
      <w:r w:rsidR="0078360C" w:rsidRPr="000C4B7C">
        <w:rPr>
          <w:rFonts w:ascii="Book Antiqua" w:hAnsi="Book Antiqua"/>
          <w:color w:val="000000" w:themeColor="text1"/>
        </w:rPr>
        <w:t xml:space="preserve">Hazards Ratio; </w:t>
      </w:r>
      <w:r>
        <w:rPr>
          <w:rFonts w:ascii="Book Antiqua" w:hAnsi="Book Antiqua"/>
          <w:color w:val="000000" w:themeColor="text1"/>
        </w:rPr>
        <w:t>NR</w:t>
      </w:r>
      <w:r>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Not </w:t>
      </w:r>
      <w:r>
        <w:rPr>
          <w:rFonts w:ascii="Book Antiqua" w:hAnsi="Book Antiqua"/>
          <w:color w:val="000000" w:themeColor="text1"/>
        </w:rPr>
        <w:t>reached</w:t>
      </w:r>
      <w:r>
        <w:rPr>
          <w:rFonts w:ascii="Book Antiqua" w:hAnsi="Book Antiqua" w:hint="eastAsia"/>
          <w:color w:val="000000" w:themeColor="text1"/>
          <w:lang w:eastAsia="zh-CN"/>
        </w:rPr>
        <w:t xml:space="preserve">; </w:t>
      </w:r>
      <w:r>
        <w:rPr>
          <w:rFonts w:ascii="Book Antiqua" w:hAnsi="Book Antiqua"/>
          <w:color w:val="000000" w:themeColor="text1"/>
        </w:rPr>
        <w:t>mAb</w:t>
      </w:r>
      <w:r>
        <w:rPr>
          <w:rFonts w:ascii="Book Antiqua" w:hAnsi="Book Antiqua" w:hint="eastAsia"/>
          <w:color w:val="000000" w:themeColor="text1"/>
          <w:lang w:eastAsia="zh-CN"/>
        </w:rPr>
        <w:t xml:space="preserve">: </w:t>
      </w:r>
      <w:r w:rsidRPr="000C4B7C">
        <w:rPr>
          <w:rFonts w:ascii="Book Antiqua" w:hAnsi="Book Antiqua"/>
          <w:color w:val="000000" w:themeColor="text1"/>
        </w:rPr>
        <w:t xml:space="preserve">Monoclonal </w:t>
      </w:r>
      <w:r>
        <w:rPr>
          <w:rFonts w:ascii="Book Antiqua" w:hAnsi="Book Antiqua"/>
          <w:color w:val="000000" w:themeColor="text1"/>
        </w:rPr>
        <w:t>antibody</w:t>
      </w:r>
      <w:r w:rsidR="00322D57">
        <w:rPr>
          <w:rFonts w:ascii="Book Antiqua" w:hAnsi="Book Antiqua" w:hint="eastAsia"/>
          <w:color w:val="000000" w:themeColor="text1"/>
          <w:lang w:eastAsia="zh-CN"/>
        </w:rPr>
        <w:t xml:space="preserve">; </w:t>
      </w:r>
      <w:r w:rsidR="00322D57">
        <w:rPr>
          <w:rFonts w:ascii="Book Antiqua" w:hAnsi="Book Antiqua"/>
          <w:color w:val="000000" w:themeColor="text1"/>
        </w:rPr>
        <w:t>DFS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Disease</w:t>
      </w:r>
      <w:r w:rsidR="00322D57">
        <w:rPr>
          <w:rFonts w:ascii="Book Antiqua" w:hAnsi="Book Antiqua"/>
          <w:color w:val="000000" w:themeColor="text1"/>
        </w:rPr>
        <w:t>-free survival; ORR</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 xml:space="preserve">Objective </w:t>
      </w:r>
      <w:r w:rsidR="00322D57">
        <w:rPr>
          <w:rFonts w:ascii="Book Antiqua" w:hAnsi="Book Antiqua"/>
          <w:color w:val="000000" w:themeColor="text1"/>
        </w:rPr>
        <w:t>response rate; OS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 xml:space="preserve">Overall survival; </w:t>
      </w:r>
      <w:r w:rsidR="00322D57">
        <w:rPr>
          <w:rFonts w:ascii="Book Antiqua" w:hAnsi="Book Antiqua"/>
          <w:color w:val="000000" w:themeColor="text1"/>
        </w:rPr>
        <w:t>PFS</w:t>
      </w:r>
      <w:r w:rsidR="00322D57">
        <w:rPr>
          <w:rFonts w:ascii="Book Antiqua" w:hAnsi="Book Antiqua" w:hint="eastAsia"/>
          <w:color w:val="000000" w:themeColor="text1"/>
          <w:lang w:eastAsia="zh-CN"/>
        </w:rPr>
        <w:t xml:space="preserve">: </w:t>
      </w:r>
      <w:r w:rsidR="00322D57" w:rsidRPr="000C4B7C">
        <w:rPr>
          <w:rFonts w:ascii="Book Antiqua" w:hAnsi="Book Antiqua"/>
          <w:color w:val="000000" w:themeColor="text1"/>
        </w:rPr>
        <w:t>Progression-free survival</w:t>
      </w:r>
      <w:r w:rsidR="00322D57">
        <w:rPr>
          <w:rFonts w:ascii="Book Antiqua" w:hAnsi="Book Antiqua" w:hint="eastAsia"/>
          <w:color w:val="000000" w:themeColor="text1"/>
          <w:lang w:eastAsia="zh-CN"/>
        </w:rPr>
        <w:t>.</w:t>
      </w:r>
    </w:p>
    <w:p w:rsidR="00DC3762" w:rsidRPr="00322D57" w:rsidRDefault="00DC3762" w:rsidP="000C4B7C">
      <w:pPr>
        <w:adjustRightInd w:val="0"/>
        <w:snapToGrid w:val="0"/>
        <w:spacing w:line="360" w:lineRule="auto"/>
        <w:jc w:val="both"/>
        <w:rPr>
          <w:rFonts w:ascii="Book Antiqua" w:eastAsia="Times New Roman" w:hAnsi="Book Antiqua"/>
          <w:b/>
          <w:color w:val="000000" w:themeColor="text1"/>
          <w:lang w:eastAsia="zh-CN"/>
        </w:rPr>
        <w:sectPr w:rsidR="00DC3762" w:rsidRPr="00322D57" w:rsidSect="00FB33EA">
          <w:pgSz w:w="15840" w:h="12240" w:orient="landscape"/>
          <w:pgMar w:top="1440" w:right="1440" w:bottom="1440" w:left="1440" w:header="720" w:footer="720" w:gutter="0"/>
          <w:cols w:space="720"/>
          <w:docGrid w:linePitch="360"/>
        </w:sectPr>
      </w:pPr>
    </w:p>
    <w:p w:rsidR="0076434F" w:rsidRPr="0047185F" w:rsidRDefault="0076434F" w:rsidP="000C4B7C">
      <w:pPr>
        <w:adjustRightInd w:val="0"/>
        <w:snapToGrid w:val="0"/>
        <w:spacing w:line="360" w:lineRule="auto"/>
        <w:jc w:val="both"/>
        <w:rPr>
          <w:rFonts w:ascii="Book Antiqua" w:hAnsi="Book Antiqua"/>
          <w:b/>
          <w:color w:val="000000" w:themeColor="text1"/>
        </w:rPr>
      </w:pPr>
      <w:r w:rsidRPr="0047185F">
        <w:rPr>
          <w:rFonts w:ascii="Book Antiqua" w:hAnsi="Book Antiqua"/>
          <w:b/>
          <w:color w:val="000000" w:themeColor="text1"/>
        </w:rPr>
        <w:lastRenderedPageBreak/>
        <w:t xml:space="preserve">Table </w:t>
      </w:r>
      <w:r w:rsidR="0067058F" w:rsidRPr="0047185F">
        <w:rPr>
          <w:rFonts w:ascii="Book Antiqua" w:hAnsi="Book Antiqua"/>
          <w:b/>
          <w:color w:val="000000" w:themeColor="text1"/>
        </w:rPr>
        <w:t>3</w:t>
      </w:r>
      <w:r w:rsidR="0047185F" w:rsidRPr="0047185F">
        <w:rPr>
          <w:rFonts w:ascii="Book Antiqua" w:hAnsi="Book Antiqua" w:hint="eastAsia"/>
          <w:b/>
          <w:color w:val="000000" w:themeColor="text1"/>
          <w:lang w:eastAsia="zh-CN"/>
        </w:rPr>
        <w:t xml:space="preserve"> </w:t>
      </w:r>
      <w:r w:rsidR="00A96031" w:rsidRPr="0047185F">
        <w:rPr>
          <w:rFonts w:ascii="Book Antiqua" w:hAnsi="Book Antiqua"/>
          <w:b/>
          <w:color w:val="000000" w:themeColor="text1"/>
        </w:rPr>
        <w:t>Unsuccessful</w:t>
      </w:r>
      <w:r w:rsidRPr="0047185F">
        <w:rPr>
          <w:rFonts w:ascii="Book Antiqua" w:hAnsi="Book Antiqua"/>
          <w:b/>
          <w:color w:val="000000" w:themeColor="text1"/>
        </w:rPr>
        <w:t xml:space="preserve"> </w:t>
      </w:r>
      <w:r w:rsidR="0047185F" w:rsidRPr="0047185F">
        <w:rPr>
          <w:rFonts w:ascii="Book Antiqua" w:hAnsi="Book Antiqua"/>
          <w:b/>
          <w:color w:val="000000" w:themeColor="text1"/>
        </w:rPr>
        <w:t>combination therapy trials</w:t>
      </w:r>
    </w:p>
    <w:tbl>
      <w:tblPr>
        <w:tblW w:w="9180" w:type="dxa"/>
        <w:tblInd w:w="198"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411"/>
        <w:gridCol w:w="839"/>
        <w:gridCol w:w="1260"/>
        <w:gridCol w:w="3060"/>
        <w:gridCol w:w="1440"/>
        <w:gridCol w:w="1170"/>
      </w:tblGrid>
      <w:tr w:rsidR="000170F9" w:rsidRPr="000C4B7C" w:rsidTr="00CE2759">
        <w:trPr>
          <w:trHeight w:val="617"/>
        </w:trPr>
        <w:tc>
          <w:tcPr>
            <w:tcW w:w="1411"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 xml:space="preserve">Combination </w:t>
            </w:r>
            <w:r w:rsidR="00F942F7" w:rsidRPr="000C4B7C">
              <w:rPr>
                <w:rFonts w:ascii="Book Antiqua" w:hAnsi="Book Antiqua"/>
                <w:b/>
                <w:bCs/>
                <w:color w:val="000000" w:themeColor="text1"/>
              </w:rPr>
              <w:t>therapy</w:t>
            </w:r>
          </w:p>
        </w:tc>
        <w:tc>
          <w:tcPr>
            <w:tcW w:w="839"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Trial</w:t>
            </w:r>
            <w:r w:rsidR="00104231" w:rsidRPr="000C4B7C">
              <w:rPr>
                <w:rFonts w:ascii="Book Antiqua" w:hAnsi="Book Antiqua"/>
                <w:b/>
                <w:bCs/>
                <w:color w:val="000000" w:themeColor="text1"/>
              </w:rPr>
              <w:t>Phase</w:t>
            </w:r>
          </w:p>
        </w:tc>
        <w:tc>
          <w:tcPr>
            <w:tcW w:w="126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Comparator</w:t>
            </w:r>
          </w:p>
        </w:tc>
        <w:tc>
          <w:tcPr>
            <w:tcW w:w="306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Side-</w:t>
            </w:r>
            <w:r w:rsidR="00AF10D3" w:rsidRPr="000C4B7C">
              <w:rPr>
                <w:rFonts w:ascii="Book Antiqua" w:hAnsi="Book Antiqua"/>
                <w:b/>
                <w:bCs/>
                <w:color w:val="000000" w:themeColor="text1"/>
              </w:rPr>
              <w:t>effect profile</w:t>
            </w:r>
          </w:p>
        </w:tc>
        <w:tc>
          <w:tcPr>
            <w:tcW w:w="1440" w:type="dxa"/>
            <w:tcBorders>
              <w:top w:val="single" w:sz="4" w:space="0" w:color="auto"/>
              <w:bottom w:val="single" w:sz="4" w:space="0" w:color="auto"/>
            </w:tcBorders>
            <w:shd w:val="clear" w:color="auto" w:fill="auto"/>
            <w:tcMar>
              <w:top w:w="12" w:type="dxa"/>
              <w:left w:w="108" w:type="dxa"/>
              <w:bottom w:w="0" w:type="dxa"/>
              <w:right w:w="108" w:type="dxa"/>
            </w:tcMar>
            <w:vAlign w:val="center"/>
            <w:hideMark/>
          </w:tcPr>
          <w:p w:rsidR="00760D17" w:rsidRPr="000C4B7C" w:rsidRDefault="00641B07" w:rsidP="000C4B7C">
            <w:pPr>
              <w:adjustRightInd w:val="0"/>
              <w:snapToGrid w:val="0"/>
              <w:spacing w:line="360" w:lineRule="auto"/>
              <w:jc w:val="both"/>
              <w:rPr>
                <w:rFonts w:ascii="Book Antiqua" w:hAnsi="Book Antiqua"/>
                <w:b/>
                <w:color w:val="000000" w:themeColor="text1"/>
              </w:rPr>
            </w:pPr>
            <w:r w:rsidRPr="000C4B7C">
              <w:rPr>
                <w:rFonts w:ascii="Book Antiqua" w:hAnsi="Book Antiqua"/>
                <w:b/>
                <w:bCs/>
                <w:color w:val="000000" w:themeColor="text1"/>
              </w:rPr>
              <w:t>Comments</w:t>
            </w:r>
          </w:p>
        </w:tc>
        <w:tc>
          <w:tcPr>
            <w:tcW w:w="1170" w:type="dxa"/>
            <w:tcBorders>
              <w:top w:val="single" w:sz="4" w:space="0" w:color="auto"/>
              <w:bottom w:val="single" w:sz="4" w:space="0" w:color="auto"/>
            </w:tcBorders>
            <w:vAlign w:val="center"/>
          </w:tcPr>
          <w:p w:rsidR="00760D17" w:rsidRPr="000C4B7C" w:rsidRDefault="00393357" w:rsidP="000C4B7C">
            <w:pPr>
              <w:adjustRightInd w:val="0"/>
              <w:snapToGrid w:val="0"/>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t>Ref.</w:t>
            </w:r>
          </w:p>
        </w:tc>
      </w:tr>
      <w:tr w:rsidR="000170F9" w:rsidRPr="000C4B7C" w:rsidTr="00CE2759">
        <w:trPr>
          <w:trHeight w:val="933"/>
        </w:trPr>
        <w:tc>
          <w:tcPr>
            <w:tcW w:w="1411"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Bevacizumab </w:t>
            </w:r>
            <w:r w:rsidR="00E6664A" w:rsidRPr="000C4B7C">
              <w:rPr>
                <w:rFonts w:ascii="Book Antiqua" w:hAnsi="Book Antiqua"/>
                <w:color w:val="000000" w:themeColor="text1"/>
              </w:rPr>
              <w:t xml:space="preserve">+ </w:t>
            </w:r>
            <w:r w:rsidRPr="000C4B7C">
              <w:rPr>
                <w:rFonts w:ascii="Book Antiqua" w:hAnsi="Book Antiqua"/>
                <w:color w:val="000000" w:themeColor="text1"/>
              </w:rPr>
              <w:t xml:space="preserve">sunitinib </w:t>
            </w:r>
          </w:p>
        </w:tc>
        <w:tc>
          <w:tcPr>
            <w:tcW w:w="839" w:type="dxa"/>
            <w:tcBorders>
              <w:top w:val="single" w:sz="4" w:space="0" w:color="auto"/>
            </w:tcBorders>
            <w:shd w:val="clear" w:color="auto" w:fill="auto"/>
            <w:tcMar>
              <w:top w:w="12" w:type="dxa"/>
              <w:left w:w="108" w:type="dxa"/>
              <w:bottom w:w="0" w:type="dxa"/>
              <w:right w:w="108" w:type="dxa"/>
            </w:tcMar>
            <w:hideMark/>
          </w:tcPr>
          <w:p w:rsidR="00760D17" w:rsidRPr="000C4B7C" w:rsidRDefault="0010423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3 cohorts of escalating doses of Sunitinib </w:t>
            </w:r>
          </w:p>
        </w:tc>
        <w:tc>
          <w:tcPr>
            <w:tcW w:w="3060" w:type="dxa"/>
            <w:tcBorders>
              <w:top w:val="single" w:sz="4" w:space="0" w:color="auto"/>
            </w:tcBorders>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High degree of hypertension, vascular and hematologic toxicities, leading to discontinuation in 48%</w:t>
            </w:r>
          </w:p>
        </w:tc>
        <w:tc>
          <w:tcPr>
            <w:tcW w:w="1440" w:type="dxa"/>
            <w:tcBorders>
              <w:top w:val="single" w:sz="4" w:space="0" w:color="auto"/>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Borders>
              <w:top w:val="single" w:sz="4" w:space="0" w:color="auto"/>
            </w:tcBorders>
          </w:tcPr>
          <w:p w:rsidR="00760D17" w:rsidRPr="000409F3" w:rsidRDefault="00A470C8" w:rsidP="000C4B7C">
            <w:pPr>
              <w:adjustRightInd w:val="0"/>
              <w:snapToGrid w:val="0"/>
              <w:spacing w:line="360" w:lineRule="auto"/>
              <w:jc w:val="both"/>
              <w:rPr>
                <w:rFonts w:ascii="Book Antiqua" w:hAnsi="Book Antiqua"/>
                <w:color w:val="000000" w:themeColor="text1"/>
              </w:rPr>
            </w:pPr>
            <w:r w:rsidRPr="000409F3">
              <w:rPr>
                <w:rFonts w:ascii="Book Antiqua" w:hAnsi="Book Antiqua"/>
                <w:noProof/>
                <w:color w:val="000000" w:themeColor="text1"/>
              </w:rPr>
              <w:t>[30]</w:t>
            </w:r>
          </w:p>
        </w:tc>
      </w:tr>
      <w:tr w:rsidR="000170F9" w:rsidRPr="000C4B7C" w:rsidTr="00CE2759">
        <w:trPr>
          <w:trHeight w:val="854"/>
        </w:trPr>
        <w:tc>
          <w:tcPr>
            <w:tcW w:w="1411"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Bevacizumab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everolimus</w:t>
            </w:r>
          </w:p>
        </w:tc>
        <w:tc>
          <w:tcPr>
            <w:tcW w:w="839" w:type="dxa"/>
            <w:shd w:val="clear" w:color="auto" w:fill="auto"/>
            <w:tcMar>
              <w:top w:w="12" w:type="dxa"/>
              <w:left w:w="108" w:type="dxa"/>
              <w:bottom w:w="0" w:type="dxa"/>
              <w:right w:w="108" w:type="dxa"/>
            </w:tcMar>
            <w:hideMark/>
          </w:tcPr>
          <w:p w:rsidR="00760D17" w:rsidRPr="000C4B7C" w:rsidRDefault="005F581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Increased proteinuria, pulmonary embolism, stomatitis and anorexia leading to discontinuation in 14%</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Pr>
          <w:p w:rsidR="00760D17" w:rsidRPr="000409F3" w:rsidRDefault="00A470C8" w:rsidP="000C4B7C">
            <w:pPr>
              <w:adjustRightInd w:val="0"/>
              <w:snapToGrid w:val="0"/>
              <w:spacing w:line="360" w:lineRule="auto"/>
              <w:jc w:val="both"/>
              <w:rPr>
                <w:rFonts w:ascii="Book Antiqua" w:hAnsi="Book Antiqua"/>
                <w:color w:val="000000" w:themeColor="text1"/>
              </w:rPr>
            </w:pPr>
            <w:r w:rsidRPr="000409F3">
              <w:rPr>
                <w:rFonts w:ascii="Book Antiqua" w:hAnsi="Book Antiqua"/>
                <w:noProof/>
                <w:color w:val="000000" w:themeColor="text1"/>
              </w:rPr>
              <w:t>[31]</w:t>
            </w:r>
          </w:p>
        </w:tc>
      </w:tr>
      <w:tr w:rsidR="000170F9" w:rsidRPr="000C4B7C" w:rsidTr="00CE2759">
        <w:trPr>
          <w:trHeight w:val="776"/>
        </w:trPr>
        <w:tc>
          <w:tcPr>
            <w:tcW w:w="1411"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Everolimus</w:t>
            </w:r>
            <w:r w:rsidR="00995F9B">
              <w:rPr>
                <w:rFonts w:ascii="Book Antiqua" w:hAnsi="Book Antiqua" w:hint="eastAsia"/>
                <w:color w:val="000000" w:themeColor="text1"/>
                <w:lang w:eastAsia="zh-CN"/>
              </w:rPr>
              <w:t xml:space="preserve">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sorafenib</w:t>
            </w:r>
          </w:p>
        </w:tc>
        <w:tc>
          <w:tcPr>
            <w:tcW w:w="839" w:type="dxa"/>
            <w:shd w:val="clear" w:color="auto" w:fill="auto"/>
            <w:tcMar>
              <w:top w:w="12" w:type="dxa"/>
              <w:left w:w="108" w:type="dxa"/>
              <w:bottom w:w="0" w:type="dxa"/>
              <w:right w:w="108" w:type="dxa"/>
            </w:tcMar>
            <w:hideMark/>
          </w:tcPr>
          <w:p w:rsidR="00760D17" w:rsidRPr="000C4B7C" w:rsidRDefault="00104231"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Discontinuation due to high </w:t>
            </w:r>
            <w:r w:rsidR="00995F9B" w:rsidRPr="00995F9B">
              <w:rPr>
                <w:rFonts w:ascii="Book Antiqua" w:hAnsi="Book Antiqua"/>
                <w:color w:val="000000" w:themeColor="text1"/>
              </w:rPr>
              <w:t xml:space="preserve">gastrointestinal </w:t>
            </w:r>
            <w:r w:rsidRPr="000C4B7C">
              <w:rPr>
                <w:rFonts w:ascii="Book Antiqua" w:hAnsi="Book Antiqua"/>
                <w:color w:val="000000" w:themeColor="text1"/>
              </w:rPr>
              <w:t>toxicity and grade 3 rash</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170" w:type="dxa"/>
          </w:tcPr>
          <w:p w:rsidR="00760D17" w:rsidRPr="000409F3" w:rsidRDefault="00A470C8" w:rsidP="000C4B7C">
            <w:pPr>
              <w:adjustRightInd w:val="0"/>
              <w:snapToGrid w:val="0"/>
              <w:spacing w:line="360" w:lineRule="auto"/>
              <w:jc w:val="both"/>
              <w:rPr>
                <w:rFonts w:ascii="Book Antiqua" w:hAnsi="Book Antiqua"/>
                <w:color w:val="000000" w:themeColor="text1"/>
              </w:rPr>
            </w:pPr>
            <w:r w:rsidRPr="000409F3">
              <w:rPr>
                <w:rFonts w:ascii="Book Antiqua" w:hAnsi="Book Antiqua"/>
                <w:noProof/>
                <w:color w:val="000000" w:themeColor="text1"/>
              </w:rPr>
              <w:t>[32]</w:t>
            </w:r>
          </w:p>
        </w:tc>
      </w:tr>
      <w:tr w:rsidR="000170F9" w:rsidRPr="000C4B7C" w:rsidTr="00CE2759">
        <w:trPr>
          <w:trHeight w:val="750"/>
        </w:trPr>
        <w:tc>
          <w:tcPr>
            <w:tcW w:w="1411" w:type="dxa"/>
            <w:shd w:val="clear" w:color="auto" w:fill="auto"/>
            <w:tcMar>
              <w:top w:w="12" w:type="dxa"/>
              <w:left w:w="108" w:type="dxa"/>
              <w:bottom w:w="0" w:type="dxa"/>
              <w:right w:w="108" w:type="dxa"/>
            </w:tcMar>
            <w:hideMark/>
          </w:tcPr>
          <w:p w:rsidR="00760D17" w:rsidRPr="000C4B7C" w:rsidRDefault="00641B07" w:rsidP="00CE2759">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Temsirolimus</w:t>
            </w:r>
            <w:r w:rsidR="00995F9B">
              <w:rPr>
                <w:rFonts w:ascii="Book Antiqua" w:hAnsi="Book Antiqua" w:hint="eastAsia"/>
                <w:color w:val="000000" w:themeColor="text1"/>
                <w:lang w:eastAsia="zh-CN"/>
              </w:rPr>
              <w:t xml:space="preserve"> </w:t>
            </w:r>
            <w:r w:rsidR="00E6664A" w:rsidRPr="000C4B7C">
              <w:rPr>
                <w:rFonts w:ascii="Book Antiqua" w:hAnsi="Book Antiqua"/>
                <w:color w:val="000000" w:themeColor="text1"/>
              </w:rPr>
              <w:t>+</w:t>
            </w:r>
            <w:r w:rsidR="00995F9B">
              <w:rPr>
                <w:rFonts w:ascii="Book Antiqua" w:hAnsi="Book Antiqua" w:hint="eastAsia"/>
                <w:color w:val="000000" w:themeColor="text1"/>
                <w:lang w:eastAsia="zh-CN"/>
              </w:rPr>
              <w:t xml:space="preserve"> </w:t>
            </w:r>
            <w:r w:rsidRPr="000C4B7C">
              <w:rPr>
                <w:rFonts w:ascii="Book Antiqua" w:hAnsi="Book Antiqua"/>
                <w:color w:val="000000" w:themeColor="text1"/>
              </w:rPr>
              <w:t>IFN-</w:t>
            </w:r>
            <w:r w:rsidR="00CE2759" w:rsidRPr="00CE2759">
              <w:rPr>
                <w:rFonts w:ascii="Book Antiqua" w:hAnsi="Book Antiqua"/>
                <w:color w:val="000000" w:themeColor="text1"/>
              </w:rPr>
              <w:sym w:font="Symbol" w:char="F061"/>
            </w:r>
          </w:p>
        </w:tc>
        <w:tc>
          <w:tcPr>
            <w:tcW w:w="839" w:type="dxa"/>
            <w:shd w:val="clear" w:color="auto" w:fill="auto"/>
            <w:tcMar>
              <w:top w:w="12" w:type="dxa"/>
              <w:left w:w="108" w:type="dxa"/>
              <w:bottom w:w="0" w:type="dxa"/>
              <w:right w:w="108" w:type="dxa"/>
            </w:tcMar>
            <w:hideMark/>
          </w:tcPr>
          <w:p w:rsidR="00760D17" w:rsidRPr="000C4B7C" w:rsidRDefault="00570C8B"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III</w:t>
            </w:r>
          </w:p>
        </w:tc>
        <w:tc>
          <w:tcPr>
            <w:tcW w:w="1260" w:type="dxa"/>
            <w:shd w:val="clear" w:color="auto" w:fill="auto"/>
            <w:tcMar>
              <w:top w:w="12" w:type="dxa"/>
              <w:left w:w="108" w:type="dxa"/>
              <w:bottom w:w="0" w:type="dxa"/>
              <w:right w:w="108" w:type="dxa"/>
            </w:tcMar>
            <w:hideMark/>
          </w:tcPr>
          <w:p w:rsidR="00760D17" w:rsidRPr="000C4B7C" w:rsidRDefault="00641B07" w:rsidP="00995F9B">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995F9B">
              <w:rPr>
                <w:rFonts w:ascii="Book Antiqua" w:hAnsi="Book Antiqua"/>
                <w:color w:val="000000" w:themeColor="text1"/>
              </w:rPr>
              <w:sym w:font="Symbol" w:char="F061"/>
            </w:r>
          </w:p>
        </w:tc>
        <w:tc>
          <w:tcPr>
            <w:tcW w:w="30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440" w:type="dxa"/>
            <w:shd w:val="clear" w:color="auto" w:fill="auto"/>
            <w:tcMar>
              <w:top w:w="12" w:type="dxa"/>
              <w:left w:w="108" w:type="dxa"/>
              <w:bottom w:w="0" w:type="dxa"/>
              <w:right w:w="108" w:type="dxa"/>
            </w:tcMar>
            <w:hideMark/>
          </w:tcPr>
          <w:p w:rsidR="00760D17" w:rsidRPr="000C4B7C" w:rsidRDefault="00641B0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Failed to improve </w:t>
            </w:r>
            <w:r w:rsidR="00995F9B" w:rsidRPr="000C4B7C">
              <w:rPr>
                <w:rFonts w:ascii="Book Antiqua" w:hAnsi="Book Antiqua"/>
                <w:color w:val="000000" w:themeColor="text1"/>
              </w:rPr>
              <w:t>overall survival</w:t>
            </w:r>
          </w:p>
        </w:tc>
        <w:tc>
          <w:tcPr>
            <w:tcW w:w="1170" w:type="dxa"/>
          </w:tcPr>
          <w:p w:rsidR="00760D17" w:rsidRPr="000409F3" w:rsidRDefault="00A470C8" w:rsidP="000C4B7C">
            <w:pPr>
              <w:adjustRightInd w:val="0"/>
              <w:snapToGrid w:val="0"/>
              <w:spacing w:line="360" w:lineRule="auto"/>
              <w:jc w:val="both"/>
              <w:rPr>
                <w:rFonts w:ascii="Book Antiqua" w:hAnsi="Book Antiqua"/>
                <w:color w:val="000000" w:themeColor="text1"/>
              </w:rPr>
            </w:pPr>
            <w:r w:rsidRPr="000409F3">
              <w:rPr>
                <w:rFonts w:ascii="Book Antiqua" w:hAnsi="Book Antiqua"/>
                <w:noProof/>
                <w:color w:val="000000" w:themeColor="text1"/>
              </w:rPr>
              <w:t>[33]</w:t>
            </w:r>
          </w:p>
        </w:tc>
      </w:tr>
      <w:tr w:rsidR="000170F9" w:rsidRPr="000C4B7C" w:rsidTr="00CE2759">
        <w:trPr>
          <w:trHeight w:val="750"/>
        </w:trPr>
        <w:tc>
          <w:tcPr>
            <w:tcW w:w="1411" w:type="dxa"/>
            <w:shd w:val="clear" w:color="auto" w:fill="auto"/>
            <w:tcMar>
              <w:top w:w="12" w:type="dxa"/>
              <w:left w:w="108" w:type="dxa"/>
              <w:bottom w:w="0" w:type="dxa"/>
              <w:right w:w="108" w:type="dxa"/>
            </w:tcMar>
            <w:hideMark/>
          </w:tcPr>
          <w:p w:rsidR="00760D17" w:rsidRPr="000C4B7C" w:rsidRDefault="002F441C"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Tremelimumb + sunitinib</w:t>
            </w:r>
          </w:p>
        </w:tc>
        <w:tc>
          <w:tcPr>
            <w:tcW w:w="839" w:type="dxa"/>
            <w:shd w:val="clear" w:color="auto" w:fill="auto"/>
            <w:tcMar>
              <w:top w:w="12" w:type="dxa"/>
              <w:left w:w="108" w:type="dxa"/>
              <w:bottom w:w="0" w:type="dxa"/>
              <w:right w:w="108" w:type="dxa"/>
            </w:tcMar>
            <w:hideMark/>
          </w:tcPr>
          <w:p w:rsidR="00760D17" w:rsidRPr="000C4B7C" w:rsidRDefault="00570C8B"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w:t>
            </w:r>
          </w:p>
        </w:tc>
        <w:tc>
          <w:tcPr>
            <w:tcW w:w="126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3060" w:type="dxa"/>
            <w:shd w:val="clear" w:color="auto" w:fill="auto"/>
            <w:tcMar>
              <w:top w:w="12" w:type="dxa"/>
              <w:left w:w="108" w:type="dxa"/>
              <w:bottom w:w="0" w:type="dxa"/>
              <w:right w:w="108" w:type="dxa"/>
            </w:tcMar>
            <w:hideMark/>
          </w:tcPr>
          <w:p w:rsidR="00760D17" w:rsidRPr="000C4B7C" w:rsidRDefault="00C37CDD"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Rapid onset renal failure</w:t>
            </w:r>
          </w:p>
        </w:tc>
        <w:tc>
          <w:tcPr>
            <w:tcW w:w="1440" w:type="dxa"/>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lang w:eastAsia="zh-CN"/>
              </w:rPr>
            </w:pPr>
          </w:p>
        </w:tc>
        <w:tc>
          <w:tcPr>
            <w:tcW w:w="1170" w:type="dxa"/>
          </w:tcPr>
          <w:p w:rsidR="00760D17" w:rsidRPr="000409F3" w:rsidRDefault="00A470C8" w:rsidP="000C4B7C">
            <w:pPr>
              <w:adjustRightInd w:val="0"/>
              <w:snapToGrid w:val="0"/>
              <w:spacing w:line="360" w:lineRule="auto"/>
              <w:jc w:val="both"/>
              <w:rPr>
                <w:rFonts w:ascii="Book Antiqua" w:hAnsi="Book Antiqua"/>
                <w:color w:val="000000" w:themeColor="text1"/>
              </w:rPr>
            </w:pPr>
            <w:r w:rsidRPr="000409F3">
              <w:rPr>
                <w:rFonts w:ascii="Book Antiqua" w:hAnsi="Book Antiqua"/>
                <w:noProof/>
                <w:color w:val="000000" w:themeColor="text1"/>
              </w:rPr>
              <w:t>[34]</w:t>
            </w:r>
          </w:p>
        </w:tc>
      </w:tr>
    </w:tbl>
    <w:p w:rsidR="00995F9B" w:rsidRDefault="00995F9B" w:rsidP="000C4B7C">
      <w:pPr>
        <w:adjustRightInd w:val="0"/>
        <w:snapToGrid w:val="0"/>
        <w:spacing w:line="360" w:lineRule="auto"/>
        <w:jc w:val="both"/>
        <w:rPr>
          <w:rFonts w:ascii="Book Antiqua" w:hAnsi="Book Antiqua"/>
          <w:color w:val="000000" w:themeColor="text1"/>
          <w:lang w:eastAsia="zh-CN"/>
        </w:rPr>
      </w:pPr>
    </w:p>
    <w:p w:rsidR="00995F9B" w:rsidRDefault="00995F9B" w:rsidP="000C4B7C">
      <w:pPr>
        <w:adjustRightInd w:val="0"/>
        <w:snapToGrid w:val="0"/>
        <w:spacing w:line="360" w:lineRule="auto"/>
        <w:jc w:val="both"/>
        <w:rPr>
          <w:rFonts w:ascii="Book Antiqua" w:hAnsi="Book Antiqua"/>
          <w:color w:val="000000" w:themeColor="text1"/>
          <w:lang w:eastAsia="zh-CN"/>
        </w:rPr>
      </w:pPr>
    </w:p>
    <w:p w:rsidR="00995F9B" w:rsidRPr="00995F9B" w:rsidRDefault="00995F9B" w:rsidP="000C4B7C">
      <w:pPr>
        <w:adjustRightInd w:val="0"/>
        <w:snapToGrid w:val="0"/>
        <w:spacing w:line="360" w:lineRule="auto"/>
        <w:jc w:val="both"/>
        <w:rPr>
          <w:rFonts w:ascii="Book Antiqua" w:hAnsi="Book Antiqua"/>
          <w:b/>
          <w:color w:val="000000" w:themeColor="text1"/>
          <w:lang w:eastAsia="zh-CN"/>
        </w:rPr>
        <w:sectPr w:rsidR="00995F9B" w:rsidRPr="00995F9B" w:rsidSect="00FB33EA">
          <w:pgSz w:w="12240" w:h="15840"/>
          <w:pgMar w:top="1440" w:right="1440" w:bottom="1440" w:left="1440" w:header="720" w:footer="720" w:gutter="0"/>
          <w:cols w:space="720"/>
          <w:docGrid w:linePitch="360"/>
        </w:sectPr>
      </w:pPr>
    </w:p>
    <w:p w:rsidR="00760D17" w:rsidRPr="006B0321" w:rsidRDefault="0076434F"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color w:val="000000" w:themeColor="text1"/>
        </w:rPr>
        <w:lastRenderedPageBreak/>
        <w:t xml:space="preserve">Table </w:t>
      </w:r>
      <w:r w:rsidR="0067058F" w:rsidRPr="006B0321">
        <w:rPr>
          <w:rFonts w:ascii="Book Antiqua" w:hAnsi="Book Antiqua"/>
          <w:b/>
          <w:color w:val="000000" w:themeColor="text1"/>
        </w:rPr>
        <w:t>4</w:t>
      </w:r>
      <w:r w:rsidRPr="006B0321">
        <w:rPr>
          <w:rFonts w:ascii="Book Antiqua" w:hAnsi="Book Antiqua"/>
          <w:b/>
          <w:color w:val="000000" w:themeColor="text1"/>
        </w:rPr>
        <w:t xml:space="preserve"> Approved </w:t>
      </w:r>
      <w:r w:rsidR="006B0321" w:rsidRPr="006B0321">
        <w:rPr>
          <w:rFonts w:ascii="Book Antiqua" w:hAnsi="Book Antiqua"/>
          <w:b/>
          <w:color w:val="000000" w:themeColor="text1"/>
        </w:rPr>
        <w:t>combination therapies</w:t>
      </w:r>
    </w:p>
    <w:tbl>
      <w:tblPr>
        <w:tblW w:w="130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810"/>
        <w:gridCol w:w="720"/>
        <w:gridCol w:w="810"/>
        <w:gridCol w:w="900"/>
        <w:gridCol w:w="720"/>
        <w:gridCol w:w="720"/>
        <w:gridCol w:w="810"/>
        <w:gridCol w:w="810"/>
        <w:gridCol w:w="810"/>
        <w:gridCol w:w="900"/>
        <w:gridCol w:w="1440"/>
        <w:gridCol w:w="1620"/>
        <w:gridCol w:w="990"/>
      </w:tblGrid>
      <w:tr w:rsidR="000170F9" w:rsidRPr="006B0321" w:rsidTr="00D20D71">
        <w:trPr>
          <w:trHeight w:val="482"/>
        </w:trPr>
        <w:tc>
          <w:tcPr>
            <w:tcW w:w="99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 xml:space="preserve">Combination </w:t>
            </w:r>
            <w:r w:rsidR="00C83ED3" w:rsidRPr="006B0321">
              <w:rPr>
                <w:rFonts w:ascii="Book Antiqua" w:hAnsi="Book Antiqua"/>
                <w:b/>
                <w:bCs/>
                <w:color w:val="000000" w:themeColor="text1"/>
              </w:rPr>
              <w:t>therapy</w:t>
            </w:r>
          </w:p>
        </w:tc>
        <w:tc>
          <w:tcPr>
            <w:tcW w:w="810" w:type="dxa"/>
            <w:vMerge w:val="restart"/>
            <w:tcBorders>
              <w:left w:val="nil"/>
              <w:bottom w:val="single" w:sz="4" w:space="0" w:color="auto"/>
              <w:right w:val="nil"/>
            </w:tcBorders>
            <w:tcMar>
              <w:top w:w="12" w:type="dxa"/>
              <w:left w:w="108" w:type="dxa"/>
              <w:bottom w:w="0" w:type="dxa"/>
              <w:right w:w="108" w:type="dxa"/>
            </w:tcMar>
            <w:vAlign w:val="center"/>
          </w:tcPr>
          <w:p w:rsidR="00760D17" w:rsidRPr="006B0321" w:rsidRDefault="00C3368C" w:rsidP="000C4B7C">
            <w:pPr>
              <w:adjustRightInd w:val="0"/>
              <w:snapToGrid w:val="0"/>
              <w:spacing w:line="360" w:lineRule="auto"/>
              <w:jc w:val="both"/>
              <w:rPr>
                <w:rFonts w:ascii="Book Antiqua" w:hAnsi="Book Antiqua"/>
                <w:b/>
                <w:bCs/>
                <w:color w:val="000000" w:themeColor="text1"/>
              </w:rPr>
            </w:pPr>
            <w:r w:rsidRPr="006B0321">
              <w:rPr>
                <w:rFonts w:ascii="Book Antiqua" w:hAnsi="Book Antiqua"/>
                <w:b/>
                <w:bCs/>
                <w:color w:val="000000" w:themeColor="text1"/>
              </w:rPr>
              <w:t xml:space="preserve">FDA </w:t>
            </w:r>
            <w:r w:rsidR="00C83ED3" w:rsidRPr="006B0321">
              <w:rPr>
                <w:rFonts w:ascii="Book Antiqua" w:hAnsi="Book Antiqua"/>
                <w:b/>
                <w:bCs/>
                <w:color w:val="000000" w:themeColor="text1"/>
              </w:rPr>
              <w:t>approval date</w:t>
            </w:r>
          </w:p>
        </w:tc>
        <w:tc>
          <w:tcPr>
            <w:tcW w:w="720" w:type="dxa"/>
            <w:vMerge w:val="restart"/>
            <w:tcBorders>
              <w:left w:val="nil"/>
              <w:bottom w:val="single" w:sz="4" w:space="0" w:color="auto"/>
              <w:right w:val="nil"/>
            </w:tcBorders>
            <w:tcMar>
              <w:top w:w="12" w:type="dxa"/>
              <w:left w:w="108" w:type="dxa"/>
              <w:bottom w:w="0" w:type="dxa"/>
              <w:right w:w="108" w:type="dxa"/>
            </w:tcMar>
            <w:vAlign w:val="center"/>
          </w:tcPr>
          <w:p w:rsidR="00760D17" w:rsidRPr="006B0321" w:rsidRDefault="00C3368C" w:rsidP="000C4B7C">
            <w:pPr>
              <w:adjustRightInd w:val="0"/>
              <w:snapToGrid w:val="0"/>
              <w:spacing w:line="360" w:lineRule="auto"/>
              <w:jc w:val="both"/>
              <w:rPr>
                <w:rFonts w:ascii="Book Antiqua" w:hAnsi="Book Antiqua"/>
                <w:b/>
                <w:bCs/>
                <w:color w:val="000000" w:themeColor="text1"/>
              </w:rPr>
            </w:pPr>
            <w:r w:rsidRPr="006B0321">
              <w:rPr>
                <w:rFonts w:ascii="Book Antiqua" w:hAnsi="Book Antiqua"/>
                <w:b/>
                <w:bCs/>
                <w:color w:val="000000" w:themeColor="text1"/>
              </w:rPr>
              <w:t xml:space="preserve">Line of </w:t>
            </w:r>
            <w:r w:rsidR="00C83ED3" w:rsidRPr="006B0321">
              <w:rPr>
                <w:rFonts w:ascii="Book Antiqua" w:hAnsi="Book Antiqua"/>
                <w:b/>
                <w:bCs/>
                <w:color w:val="000000" w:themeColor="text1"/>
              </w:rPr>
              <w:t>therapy</w:t>
            </w:r>
          </w:p>
        </w:tc>
        <w:tc>
          <w:tcPr>
            <w:tcW w:w="81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Trial</w:t>
            </w:r>
          </w:p>
        </w:tc>
        <w:tc>
          <w:tcPr>
            <w:tcW w:w="90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Comparator</w:t>
            </w:r>
          </w:p>
        </w:tc>
        <w:tc>
          <w:tcPr>
            <w:tcW w:w="4770" w:type="dxa"/>
            <w:gridSpan w:val="6"/>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 xml:space="preserve">Efficacy </w:t>
            </w:r>
            <w:r w:rsidR="00C83ED3" w:rsidRPr="006B0321">
              <w:rPr>
                <w:rFonts w:ascii="Book Antiqua" w:hAnsi="Book Antiqua"/>
                <w:b/>
                <w:bCs/>
                <w:color w:val="000000" w:themeColor="text1"/>
              </w:rPr>
              <w:t>outcomes</w:t>
            </w:r>
          </w:p>
        </w:tc>
        <w:tc>
          <w:tcPr>
            <w:tcW w:w="144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Side-</w:t>
            </w:r>
            <w:r w:rsidR="00C83ED3" w:rsidRPr="006B0321">
              <w:rPr>
                <w:rFonts w:ascii="Book Antiqua" w:hAnsi="Book Antiqua"/>
                <w:b/>
                <w:bCs/>
                <w:color w:val="000000" w:themeColor="text1"/>
              </w:rPr>
              <w:t>effect profile</w:t>
            </w:r>
          </w:p>
        </w:tc>
        <w:tc>
          <w:tcPr>
            <w:tcW w:w="1620" w:type="dxa"/>
            <w:vMerge w:val="restart"/>
            <w:tcBorders>
              <w:left w:val="nil"/>
              <w:bottom w:val="single" w:sz="4" w:space="0" w:color="auto"/>
              <w:right w:val="nil"/>
            </w:tcBorders>
            <w:shd w:val="clear" w:color="auto" w:fill="auto"/>
            <w:tcMar>
              <w:top w:w="12" w:type="dxa"/>
              <w:left w:w="108" w:type="dxa"/>
              <w:bottom w:w="0" w:type="dxa"/>
              <w:right w:w="108" w:type="dxa"/>
            </w:tcMar>
            <w:vAlign w:val="center"/>
            <w:hideMark/>
          </w:tcPr>
          <w:p w:rsidR="00760D17"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Comments</w:t>
            </w:r>
          </w:p>
        </w:tc>
        <w:tc>
          <w:tcPr>
            <w:tcW w:w="990" w:type="dxa"/>
            <w:vMerge w:val="restart"/>
            <w:tcBorders>
              <w:left w:val="nil"/>
              <w:bottom w:val="single" w:sz="4" w:space="0" w:color="auto"/>
              <w:right w:val="nil"/>
            </w:tcBorders>
            <w:vAlign w:val="center"/>
          </w:tcPr>
          <w:p w:rsidR="00760D17" w:rsidRPr="006B0321" w:rsidRDefault="006B0321" w:rsidP="000C4B7C">
            <w:pPr>
              <w:adjustRightInd w:val="0"/>
              <w:snapToGrid w:val="0"/>
              <w:spacing w:line="360" w:lineRule="auto"/>
              <w:jc w:val="both"/>
              <w:rPr>
                <w:rFonts w:ascii="Book Antiqua" w:hAnsi="Book Antiqua"/>
                <w:b/>
                <w:bCs/>
                <w:color w:val="000000" w:themeColor="text1"/>
                <w:lang w:eastAsia="zh-CN"/>
              </w:rPr>
            </w:pPr>
            <w:r>
              <w:rPr>
                <w:rFonts w:ascii="Book Antiqua" w:hAnsi="Book Antiqua" w:hint="eastAsia"/>
                <w:b/>
                <w:bCs/>
                <w:color w:val="000000" w:themeColor="text1"/>
                <w:lang w:eastAsia="zh-CN"/>
              </w:rPr>
              <w:t>Ref.</w:t>
            </w:r>
          </w:p>
        </w:tc>
      </w:tr>
      <w:tr w:rsidR="000170F9" w:rsidRPr="006B0321" w:rsidTr="00D20D71">
        <w:trPr>
          <w:trHeight w:val="736"/>
        </w:trPr>
        <w:tc>
          <w:tcPr>
            <w:tcW w:w="99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810" w:type="dxa"/>
            <w:vMerge/>
            <w:tcBorders>
              <w:top w:val="single" w:sz="4" w:space="0" w:color="auto"/>
              <w:left w:val="nil"/>
              <w:bottom w:val="single" w:sz="4" w:space="0" w:color="auto"/>
              <w:right w:val="nil"/>
            </w:tcBorders>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720" w:type="dxa"/>
            <w:vMerge/>
            <w:tcBorders>
              <w:top w:val="single" w:sz="4" w:space="0" w:color="auto"/>
              <w:left w:val="nil"/>
              <w:bottom w:val="single" w:sz="4" w:space="0" w:color="auto"/>
              <w:right w:val="nil"/>
            </w:tcBorders>
            <w:vAlign w:val="center"/>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81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90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72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OS (exp) (Mo)</w:t>
            </w:r>
          </w:p>
        </w:tc>
        <w:tc>
          <w:tcPr>
            <w:tcW w:w="72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OS (contr)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PFS (exp)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PFS (contr) (Mo)</w:t>
            </w:r>
          </w:p>
        </w:tc>
        <w:tc>
          <w:tcPr>
            <w:tcW w:w="81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RR (exp) (%)</w:t>
            </w:r>
          </w:p>
        </w:tc>
        <w:tc>
          <w:tcPr>
            <w:tcW w:w="900" w:type="dxa"/>
            <w:tcBorders>
              <w:top w:val="single" w:sz="4" w:space="0" w:color="auto"/>
              <w:left w:val="nil"/>
              <w:bottom w:val="single" w:sz="4" w:space="0" w:color="auto"/>
              <w:right w:val="nil"/>
            </w:tcBorders>
            <w:shd w:val="clear" w:color="auto" w:fill="auto"/>
            <w:tcMar>
              <w:top w:w="12" w:type="dxa"/>
              <w:left w:w="108" w:type="dxa"/>
              <w:bottom w:w="0" w:type="dxa"/>
              <w:right w:w="108" w:type="dxa"/>
            </w:tcMar>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r w:rsidRPr="006B0321">
              <w:rPr>
                <w:rFonts w:ascii="Book Antiqua" w:hAnsi="Book Antiqua"/>
                <w:b/>
                <w:bCs/>
                <w:color w:val="000000" w:themeColor="text1"/>
              </w:rPr>
              <w:t>RR (contr) (%)</w:t>
            </w:r>
          </w:p>
        </w:tc>
        <w:tc>
          <w:tcPr>
            <w:tcW w:w="144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1620" w:type="dxa"/>
            <w:vMerge/>
            <w:tcBorders>
              <w:top w:val="single" w:sz="4" w:space="0" w:color="auto"/>
              <w:left w:val="nil"/>
              <w:bottom w:val="single" w:sz="4" w:space="0" w:color="auto"/>
              <w:right w:val="nil"/>
            </w:tcBorders>
            <w:shd w:val="clear" w:color="auto" w:fill="auto"/>
            <w:vAlign w:val="center"/>
            <w:hideMark/>
          </w:tcPr>
          <w:p w:rsidR="00C3368C" w:rsidRPr="006B0321" w:rsidRDefault="00C3368C" w:rsidP="000C4B7C">
            <w:pPr>
              <w:adjustRightInd w:val="0"/>
              <w:snapToGrid w:val="0"/>
              <w:spacing w:line="360" w:lineRule="auto"/>
              <w:jc w:val="both"/>
              <w:rPr>
                <w:rFonts w:ascii="Book Antiqua" w:hAnsi="Book Antiqua"/>
                <w:b/>
                <w:color w:val="000000" w:themeColor="text1"/>
              </w:rPr>
            </w:pPr>
          </w:p>
        </w:tc>
        <w:tc>
          <w:tcPr>
            <w:tcW w:w="990" w:type="dxa"/>
            <w:vMerge/>
            <w:tcBorders>
              <w:top w:val="single" w:sz="4" w:space="0" w:color="auto"/>
              <w:left w:val="nil"/>
              <w:bottom w:val="single" w:sz="4" w:space="0" w:color="auto"/>
              <w:right w:val="nil"/>
            </w:tcBorders>
          </w:tcPr>
          <w:p w:rsidR="00C3368C" w:rsidRPr="006B0321" w:rsidRDefault="00C3368C" w:rsidP="000C4B7C">
            <w:pPr>
              <w:adjustRightInd w:val="0"/>
              <w:snapToGrid w:val="0"/>
              <w:spacing w:line="360" w:lineRule="auto"/>
              <w:jc w:val="both"/>
              <w:rPr>
                <w:rFonts w:ascii="Book Antiqua" w:hAnsi="Book Antiqua"/>
                <w:b/>
                <w:color w:val="000000" w:themeColor="text1"/>
              </w:rPr>
            </w:pPr>
          </w:p>
        </w:tc>
      </w:tr>
      <w:tr w:rsidR="000170F9" w:rsidRPr="000C4B7C" w:rsidTr="00D20D71">
        <w:trPr>
          <w:trHeight w:val="1686"/>
        </w:trPr>
        <w:tc>
          <w:tcPr>
            <w:tcW w:w="99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C83ED3">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Bevacizumab + IFN-</w:t>
            </w:r>
            <w:r w:rsidR="00C83ED3">
              <w:rPr>
                <w:rFonts w:ascii="Book Antiqua" w:hAnsi="Book Antiqua"/>
                <w:color w:val="000000" w:themeColor="text1"/>
              </w:rPr>
              <w:sym w:font="Symbol" w:char="F061"/>
            </w:r>
          </w:p>
        </w:tc>
        <w:tc>
          <w:tcPr>
            <w:tcW w:w="810" w:type="dxa"/>
            <w:tcBorders>
              <w:top w:val="single" w:sz="4" w:space="0" w:color="auto"/>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2009</w:t>
            </w:r>
          </w:p>
        </w:tc>
        <w:tc>
          <w:tcPr>
            <w:tcW w:w="720" w:type="dxa"/>
            <w:tcBorders>
              <w:top w:val="single" w:sz="4" w:space="0" w:color="auto"/>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154F9B">
              <w:rPr>
                <w:rFonts w:ascii="Book Antiqua" w:hAnsi="Book Antiqua"/>
                <w:color w:val="000000" w:themeColor="text1"/>
                <w:vertAlign w:val="superscript"/>
              </w:rPr>
              <w:t>st</w:t>
            </w:r>
            <w:r w:rsidR="00154F9B">
              <w:rPr>
                <w:rFonts w:ascii="Book Antiqua" w:hAnsi="Book Antiqua" w:hint="eastAsia"/>
                <w:color w:val="000000" w:themeColor="text1"/>
                <w:lang w:eastAsia="zh-CN"/>
              </w:rPr>
              <w:t xml:space="preserve"> </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AVOREN</w:t>
            </w:r>
          </w:p>
        </w:tc>
        <w:tc>
          <w:tcPr>
            <w:tcW w:w="90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C83ED3">
              <w:rPr>
                <w:rFonts w:ascii="Book Antiqua" w:hAnsi="Book Antiqua"/>
                <w:color w:val="000000" w:themeColor="text1"/>
              </w:rPr>
              <w:sym w:font="Symbol" w:char="F061"/>
            </w:r>
          </w:p>
        </w:tc>
        <w:tc>
          <w:tcPr>
            <w:tcW w:w="7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23.3</w:t>
            </w:r>
          </w:p>
        </w:tc>
        <w:tc>
          <w:tcPr>
            <w:tcW w:w="7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21.3</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10.2</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5.4</w:t>
            </w:r>
          </w:p>
        </w:tc>
        <w:tc>
          <w:tcPr>
            <w:tcW w:w="81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30.6</w:t>
            </w:r>
          </w:p>
        </w:tc>
        <w:tc>
          <w:tcPr>
            <w:tcW w:w="90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B2488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12.4</w:t>
            </w:r>
          </w:p>
        </w:tc>
        <w:tc>
          <w:tcPr>
            <w:tcW w:w="144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20" w:type="dxa"/>
            <w:tcBorders>
              <w:top w:val="single" w:sz="4" w:space="0" w:color="auto"/>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No significant increase in SEs in combination </w:t>
            </w:r>
            <w:r w:rsidR="00205034" w:rsidRPr="00205034">
              <w:rPr>
                <w:rFonts w:ascii="Book Antiqua" w:hAnsi="Book Antiqua"/>
                <w:i/>
                <w:color w:val="000000" w:themeColor="text1"/>
              </w:rPr>
              <w:t>vs</w:t>
            </w:r>
            <w:r w:rsidRPr="000C4B7C">
              <w:rPr>
                <w:rFonts w:ascii="Book Antiqua" w:hAnsi="Book Antiqua"/>
                <w:color w:val="000000" w:themeColor="text1"/>
              </w:rPr>
              <w:t xml:space="preserve"> IFN; OS difference  not significant</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single" w:sz="4" w:space="0" w:color="auto"/>
              <w:left w:val="nil"/>
              <w:bottom w:val="nil"/>
              <w:right w:val="nil"/>
            </w:tcBorders>
          </w:tcPr>
          <w:p w:rsidR="00760D17" w:rsidRPr="00595D80" w:rsidRDefault="00A470C8"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t>[35]</w:t>
            </w:r>
          </w:p>
        </w:tc>
      </w:tr>
      <w:tr w:rsidR="000170F9" w:rsidRPr="000C4B7C" w:rsidTr="00D20D71">
        <w:trPr>
          <w:trHeight w:val="1351"/>
        </w:trPr>
        <w:tc>
          <w:tcPr>
            <w:tcW w:w="990" w:type="dxa"/>
            <w:tcBorders>
              <w:top w:val="nil"/>
              <w:left w:val="nil"/>
              <w:bottom w:val="nil"/>
              <w:right w:val="nil"/>
            </w:tcBorders>
            <w:shd w:val="clear" w:color="auto" w:fill="auto"/>
            <w:hideMark/>
          </w:tcPr>
          <w:p w:rsidR="00760D17" w:rsidRPr="000C4B7C" w:rsidRDefault="00154F9B" w:rsidP="000C4B7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Bevacizumab +</w:t>
            </w:r>
            <w:r>
              <w:rPr>
                <w:rFonts w:ascii="Book Antiqua" w:hAnsi="Book Antiqua" w:hint="eastAsia"/>
                <w:color w:val="000000" w:themeColor="text1"/>
                <w:lang w:eastAsia="zh-CN"/>
              </w:rPr>
              <w:t xml:space="preserve"> </w:t>
            </w:r>
            <w:r w:rsidR="007C6487" w:rsidRPr="000C4B7C">
              <w:rPr>
                <w:rFonts w:ascii="Book Antiqua" w:hAnsi="Book Antiqua"/>
                <w:color w:val="000000" w:themeColor="text1"/>
              </w:rPr>
              <w:t>IFN-</w:t>
            </w:r>
            <w:r>
              <w:rPr>
                <w:rFonts w:ascii="Book Antiqua" w:hAnsi="Book Antiqua"/>
                <w:color w:val="000000" w:themeColor="text1"/>
              </w:rPr>
              <w:sym w:font="Symbol" w:char="F061"/>
            </w:r>
          </w:p>
        </w:tc>
        <w:tc>
          <w:tcPr>
            <w:tcW w:w="810" w:type="dxa"/>
            <w:tcBorders>
              <w:top w:val="nil"/>
              <w:left w:val="nil"/>
              <w:bottom w:val="nil"/>
              <w:right w:val="nil"/>
            </w:tcBorders>
          </w:tcPr>
          <w:p w:rsidR="00760D17" w:rsidRPr="000C4B7C" w:rsidRDefault="007C6487"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2009</w:t>
            </w:r>
          </w:p>
        </w:tc>
        <w:tc>
          <w:tcPr>
            <w:tcW w:w="720" w:type="dxa"/>
            <w:tcBorders>
              <w:top w:val="nil"/>
              <w:left w:val="nil"/>
              <w:bottom w:val="nil"/>
              <w:right w:val="nil"/>
            </w:tcBorders>
          </w:tcPr>
          <w:p w:rsidR="00760D17" w:rsidRPr="000C4B7C" w:rsidRDefault="007C6487"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154F9B">
              <w:rPr>
                <w:rFonts w:ascii="Book Antiqua" w:hAnsi="Book Antiqua"/>
                <w:color w:val="000000" w:themeColor="text1"/>
                <w:vertAlign w:val="superscript"/>
              </w:rPr>
              <w:t>st</w:t>
            </w:r>
            <w:r w:rsidR="00154F9B">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CALGB</w:t>
            </w:r>
          </w:p>
        </w:tc>
        <w:tc>
          <w:tcPr>
            <w:tcW w:w="900" w:type="dxa"/>
            <w:tcBorders>
              <w:top w:val="nil"/>
              <w:left w:val="nil"/>
              <w:bottom w:val="nil"/>
              <w:right w:val="nil"/>
            </w:tcBorders>
            <w:shd w:val="clear" w:color="auto" w:fill="auto"/>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IFN-</w:t>
            </w:r>
            <w:r w:rsidR="005E7E7F">
              <w:rPr>
                <w:rFonts w:ascii="Book Antiqua" w:hAnsi="Book Antiqua"/>
                <w:color w:val="000000" w:themeColor="text1"/>
              </w:rPr>
              <w:sym w:font="Symbol" w:char="F061"/>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18.3</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17.4</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8.5</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5.2</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25.5</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13.1</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Increased toxicity in combination; </w:t>
            </w:r>
            <w:r w:rsidRPr="000C4B7C">
              <w:rPr>
                <w:rFonts w:ascii="Book Antiqua" w:hAnsi="Book Antiqua"/>
                <w:color w:val="000000" w:themeColor="text1"/>
              </w:rPr>
              <w:lastRenderedPageBreak/>
              <w:t>No significant increase in OS</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595D80" w:rsidRDefault="00A470C8"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lastRenderedPageBreak/>
              <w:t>[36]</w:t>
            </w:r>
          </w:p>
        </w:tc>
      </w:tr>
      <w:tr w:rsidR="000170F9" w:rsidRPr="000C4B7C" w:rsidTr="00D20D71">
        <w:trPr>
          <w:trHeight w:val="1515"/>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Lenvatinib + Everl</w:t>
            </w:r>
            <w:r w:rsidR="000C4BB6" w:rsidRPr="000C4B7C">
              <w:rPr>
                <w:rFonts w:ascii="Book Antiqua" w:hAnsi="Book Antiqua"/>
                <w:color w:val="000000" w:themeColor="text1"/>
              </w:rPr>
              <w:t>i</w:t>
            </w:r>
            <w:r w:rsidRPr="000C4B7C">
              <w:rPr>
                <w:rFonts w:ascii="Book Antiqua" w:hAnsi="Book Antiqua"/>
                <w:color w:val="000000" w:themeColor="text1"/>
              </w:rPr>
              <w:t>mus</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2016</w:t>
            </w:r>
          </w:p>
        </w:tc>
        <w:tc>
          <w:tcPr>
            <w:tcW w:w="72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2</w:t>
            </w:r>
            <w:r w:rsidRPr="005E7E7F">
              <w:rPr>
                <w:rFonts w:ascii="Book Antiqua" w:hAnsi="Book Antiqua"/>
                <w:color w:val="000000" w:themeColor="text1"/>
                <w:vertAlign w:val="superscript"/>
              </w:rPr>
              <w:t>nd</w:t>
            </w:r>
            <w:r w:rsidR="005E7E7F">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5E7E7F"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Everolimus</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25.5</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15.4</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14.6</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5.5</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Fatigue, mucosal inflammation, proteinuria, diarrhea (20%), vomiting, hypertension, and nausea, Grade 3-4 SEs occurred in 71% </w:t>
            </w:r>
            <w:r w:rsidRPr="000C4B7C">
              <w:rPr>
                <w:rFonts w:ascii="Book Antiqua" w:hAnsi="Book Antiqua"/>
                <w:color w:val="000000" w:themeColor="text1"/>
              </w:rPr>
              <w:lastRenderedPageBreak/>
              <w:t>compa</w:t>
            </w:r>
            <w:r w:rsidR="005E7E7F">
              <w:rPr>
                <w:rFonts w:ascii="Book Antiqua" w:hAnsi="Book Antiqua"/>
                <w:color w:val="000000" w:themeColor="text1"/>
              </w:rPr>
              <w:t>red with 50% in everlimus group</w:t>
            </w: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 xml:space="preserve">Median OS for lenvatinib alone was 18.4 </w:t>
            </w:r>
            <w:r w:rsidR="007167C0" w:rsidRPr="000C4B7C">
              <w:rPr>
                <w:rFonts w:ascii="Book Antiqua" w:hAnsi="Book Antiqua"/>
                <w:color w:val="000000" w:themeColor="text1"/>
              </w:rPr>
              <w:t>mo</w:t>
            </w:r>
          </w:p>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595D80" w:rsidRDefault="00010C0F"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t>[41]</w:t>
            </w:r>
          </w:p>
        </w:tc>
      </w:tr>
      <w:tr w:rsidR="000170F9" w:rsidRPr="000C4B7C" w:rsidTr="00D20D71">
        <w:trPr>
          <w:trHeight w:val="1343"/>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lastRenderedPageBreak/>
              <w:t>Nivolumab + Ipilimumab</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2018</w:t>
            </w:r>
          </w:p>
        </w:tc>
        <w:tc>
          <w:tcPr>
            <w:tcW w:w="720" w:type="dxa"/>
            <w:tcBorders>
              <w:top w:val="nil"/>
              <w:left w:val="nil"/>
              <w:bottom w:val="nil"/>
              <w:right w:val="nil"/>
            </w:tcBorders>
            <w:tcMar>
              <w:top w:w="12" w:type="dxa"/>
              <w:left w:w="108" w:type="dxa"/>
              <w:bottom w:w="0" w:type="dxa"/>
              <w:right w:w="108" w:type="dxa"/>
            </w:tcMar>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AC2E8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214</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DF7B9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Sunitinib</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Not reached</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26</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42</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stheme="minorBidi"/>
                <w:color w:val="000000" w:themeColor="text1"/>
              </w:rPr>
              <w:t>27</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5E7E7F" w:rsidRDefault="00EC6F73" w:rsidP="000C4B7C">
            <w:pPr>
              <w:adjustRightInd w:val="0"/>
              <w:snapToGrid w:val="0"/>
              <w:spacing w:line="360" w:lineRule="auto"/>
              <w:jc w:val="both"/>
              <w:rPr>
                <w:rFonts w:ascii="Book Antiqua" w:hAnsi="Book Antiqua" w:cstheme="minorBidi"/>
                <w:color w:val="000000" w:themeColor="text1"/>
                <w:lang w:eastAsia="zh-CN"/>
              </w:rPr>
            </w:pPr>
            <w:r w:rsidRPr="000C4B7C">
              <w:rPr>
                <w:rFonts w:ascii="Book Antiqua" w:hAnsi="Book Antiqua" w:cstheme="minorBidi"/>
                <w:color w:val="000000" w:themeColor="text1"/>
              </w:rPr>
              <w:t xml:space="preserve">Similar SE profile but discontinuation in 22% </w:t>
            </w:r>
            <w:r w:rsidRPr="005E7E7F">
              <w:rPr>
                <w:rFonts w:ascii="Book Antiqua" w:hAnsi="Book Antiqua" w:cstheme="minorBidi"/>
                <w:i/>
                <w:color w:val="000000" w:themeColor="text1"/>
              </w:rPr>
              <w:t>vs</w:t>
            </w:r>
            <w:r w:rsidRPr="000C4B7C">
              <w:rPr>
                <w:rFonts w:ascii="Book Antiqua" w:hAnsi="Book Antiqua" w:cstheme="minorBidi"/>
                <w:color w:val="000000" w:themeColor="text1"/>
              </w:rPr>
              <w:t xml:space="preserve"> 12% in comparison group</w:t>
            </w: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595D80" w:rsidRDefault="00010C0F"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t>[44]</w:t>
            </w:r>
          </w:p>
        </w:tc>
      </w:tr>
      <w:tr w:rsidR="000170F9" w:rsidRPr="000C4B7C" w:rsidTr="00D20D71">
        <w:trPr>
          <w:trHeight w:val="1343"/>
        </w:trPr>
        <w:tc>
          <w:tcPr>
            <w:tcW w:w="99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Pembrolizumab + axitinib</w:t>
            </w:r>
          </w:p>
        </w:tc>
        <w:tc>
          <w:tcPr>
            <w:tcW w:w="81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2019</w:t>
            </w:r>
          </w:p>
        </w:tc>
        <w:tc>
          <w:tcPr>
            <w:tcW w:w="720" w:type="dxa"/>
            <w:tcBorders>
              <w:top w:val="nil"/>
              <w:left w:val="nil"/>
              <w:bottom w:val="nil"/>
              <w:right w:val="nil"/>
            </w:tcBorders>
            <w:tcMar>
              <w:top w:w="12" w:type="dxa"/>
              <w:left w:w="108" w:type="dxa"/>
              <w:bottom w:w="0" w:type="dxa"/>
              <w:right w:w="108" w:type="dxa"/>
            </w:tcMar>
          </w:tcPr>
          <w:p w:rsidR="00760D17" w:rsidRPr="000C4B7C" w:rsidRDefault="00EC6F7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1</w:t>
            </w:r>
            <w:r w:rsidRPr="00DF7B93">
              <w:rPr>
                <w:rFonts w:ascii="Book Antiqua" w:hAnsi="Book Antiqua"/>
                <w:color w:val="000000" w:themeColor="text1"/>
                <w:vertAlign w:val="superscript"/>
              </w:rPr>
              <w:t>st</w:t>
            </w:r>
            <w:r w:rsidR="00DF7B93">
              <w:rPr>
                <w:rFonts w:ascii="Book Antiqua" w:hAnsi="Book Antiqua" w:hint="eastAsia"/>
                <w:color w:val="000000" w:themeColor="text1"/>
                <w:lang w:eastAsia="zh-CN"/>
              </w:rPr>
              <w:t xml:space="preserve"> </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KEYNOTE-426</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DF7B9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Sunitinib</w:t>
            </w: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7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15.1</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11.1</w:t>
            </w:r>
          </w:p>
        </w:tc>
        <w:tc>
          <w:tcPr>
            <w:tcW w:w="81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59.3</w:t>
            </w:r>
          </w:p>
        </w:tc>
        <w:tc>
          <w:tcPr>
            <w:tcW w:w="90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35.7</w:t>
            </w:r>
          </w:p>
        </w:tc>
        <w:tc>
          <w:tcPr>
            <w:tcW w:w="144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EC6F73" w:rsidP="000C4B7C">
            <w:pPr>
              <w:adjustRightInd w:val="0"/>
              <w:snapToGrid w:val="0"/>
              <w:spacing w:line="360" w:lineRule="auto"/>
              <w:jc w:val="both"/>
              <w:rPr>
                <w:rFonts w:ascii="Book Antiqua" w:eastAsia="Times New Roman" w:hAnsi="Book Antiqua"/>
                <w:color w:val="000000" w:themeColor="text1"/>
              </w:rPr>
            </w:pPr>
            <w:r w:rsidRPr="000C4B7C">
              <w:rPr>
                <w:rFonts w:ascii="Book Antiqua" w:eastAsia="Times New Roman" w:hAnsi="Book Antiqua"/>
                <w:color w:val="000000" w:themeColor="text1"/>
              </w:rPr>
              <w:t xml:space="preserve">Gr3 or higher adverse event of any cause occurred in 75.8% of </w:t>
            </w:r>
            <w:r w:rsidRPr="000C4B7C">
              <w:rPr>
                <w:rFonts w:ascii="Book Antiqua" w:eastAsia="Times New Roman" w:hAnsi="Book Antiqua"/>
                <w:color w:val="000000" w:themeColor="text1"/>
              </w:rPr>
              <w:lastRenderedPageBreak/>
              <w:t>patients in the pembrolizumab-axitinib group and in 70</w:t>
            </w:r>
            <w:r w:rsidR="000C4BB6" w:rsidRPr="000C4B7C">
              <w:rPr>
                <w:rFonts w:ascii="Book Antiqua" w:eastAsia="Times New Roman" w:hAnsi="Book Antiqua"/>
                <w:color w:val="000000" w:themeColor="text1"/>
              </w:rPr>
              <w:t>.</w:t>
            </w:r>
            <w:r w:rsidRPr="000C4B7C">
              <w:rPr>
                <w:rFonts w:ascii="Book Antiqua" w:eastAsia="Times New Roman" w:hAnsi="Book Antiqua"/>
                <w:color w:val="000000" w:themeColor="text1"/>
              </w:rPr>
              <w:t>6% in sunitinib group</w:t>
            </w:r>
          </w:p>
          <w:p w:rsidR="00760D17" w:rsidRPr="000C4B7C" w:rsidRDefault="00760D17" w:rsidP="000C4B7C">
            <w:pPr>
              <w:adjustRightInd w:val="0"/>
              <w:snapToGrid w:val="0"/>
              <w:spacing w:line="360" w:lineRule="auto"/>
              <w:jc w:val="both"/>
              <w:rPr>
                <w:rFonts w:ascii="Book Antiqua" w:hAnsi="Book Antiqua" w:cstheme="minorBidi"/>
                <w:color w:val="000000" w:themeColor="text1"/>
              </w:rPr>
            </w:pPr>
          </w:p>
        </w:tc>
        <w:tc>
          <w:tcPr>
            <w:tcW w:w="1620" w:type="dxa"/>
            <w:tcBorders>
              <w:top w:val="nil"/>
              <w:left w:val="nil"/>
              <w:bottom w:val="nil"/>
              <w:right w:val="nil"/>
            </w:tcBorders>
            <w:shd w:val="clear" w:color="auto" w:fill="auto"/>
            <w:tcMar>
              <w:top w:w="12" w:type="dxa"/>
              <w:left w:w="108" w:type="dxa"/>
              <w:bottom w:w="0" w:type="dxa"/>
              <w:right w:w="108" w:type="dxa"/>
            </w:tcMar>
            <w:hideMark/>
          </w:tcPr>
          <w:p w:rsidR="00760D17" w:rsidRPr="000C4B7C" w:rsidRDefault="00760D17" w:rsidP="000C4B7C">
            <w:pPr>
              <w:adjustRightInd w:val="0"/>
              <w:snapToGrid w:val="0"/>
              <w:spacing w:line="360" w:lineRule="auto"/>
              <w:jc w:val="both"/>
              <w:rPr>
                <w:rFonts w:ascii="Book Antiqua" w:hAnsi="Book Antiqua"/>
                <w:color w:val="000000" w:themeColor="text1"/>
              </w:rPr>
            </w:pPr>
          </w:p>
        </w:tc>
        <w:tc>
          <w:tcPr>
            <w:tcW w:w="990" w:type="dxa"/>
            <w:tcBorders>
              <w:top w:val="nil"/>
              <w:left w:val="nil"/>
              <w:bottom w:val="nil"/>
              <w:right w:val="nil"/>
            </w:tcBorders>
          </w:tcPr>
          <w:p w:rsidR="00760D17" w:rsidRPr="00595D80" w:rsidRDefault="00010C0F"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t>[45]</w:t>
            </w:r>
          </w:p>
        </w:tc>
      </w:tr>
      <w:tr w:rsidR="006B0321" w:rsidRPr="000C4B7C" w:rsidTr="00D20D71">
        <w:trPr>
          <w:trHeight w:val="1343"/>
        </w:trPr>
        <w:tc>
          <w:tcPr>
            <w:tcW w:w="990" w:type="dxa"/>
            <w:tcBorders>
              <w:top w:val="nil"/>
              <w:left w:val="nil"/>
              <w:right w:val="nil"/>
            </w:tcBorders>
            <w:shd w:val="clear" w:color="auto" w:fill="auto"/>
            <w:tcMar>
              <w:top w:w="12" w:type="dxa"/>
              <w:left w:w="108" w:type="dxa"/>
              <w:bottom w:w="0" w:type="dxa"/>
              <w:right w:w="108" w:type="dxa"/>
            </w:tcMar>
            <w:hideMark/>
          </w:tcPr>
          <w:p w:rsidR="00760D17" w:rsidRPr="000C4B7C" w:rsidRDefault="007079CB"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lastRenderedPageBreak/>
              <w:t>Avelumab + axitinib</w:t>
            </w:r>
          </w:p>
        </w:tc>
        <w:tc>
          <w:tcPr>
            <w:tcW w:w="810" w:type="dxa"/>
            <w:tcBorders>
              <w:top w:val="nil"/>
              <w:left w:val="nil"/>
              <w:right w:val="nil"/>
            </w:tcBorders>
            <w:shd w:val="clear" w:color="auto" w:fill="auto"/>
            <w:tcMar>
              <w:top w:w="12" w:type="dxa"/>
              <w:left w:w="108" w:type="dxa"/>
              <w:bottom w:w="0" w:type="dxa"/>
              <w:right w:w="108" w:type="dxa"/>
            </w:tcMar>
          </w:tcPr>
          <w:p w:rsidR="00760D17" w:rsidRPr="000C4B7C" w:rsidRDefault="007079CB"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2019</w:t>
            </w:r>
          </w:p>
        </w:tc>
        <w:tc>
          <w:tcPr>
            <w:tcW w:w="720" w:type="dxa"/>
            <w:tcBorders>
              <w:top w:val="nil"/>
              <w:left w:val="nil"/>
              <w:right w:val="nil"/>
            </w:tcBorders>
            <w:shd w:val="clear" w:color="auto" w:fill="auto"/>
            <w:tcMar>
              <w:top w:w="12" w:type="dxa"/>
              <w:left w:w="108" w:type="dxa"/>
              <w:bottom w:w="0" w:type="dxa"/>
              <w:right w:w="108" w:type="dxa"/>
            </w:tcMar>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1st</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JAVELIN Renal 101</w:t>
            </w:r>
          </w:p>
        </w:tc>
        <w:tc>
          <w:tcPr>
            <w:tcW w:w="90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Sunitinib</w:t>
            </w:r>
          </w:p>
        </w:tc>
        <w:tc>
          <w:tcPr>
            <w:tcW w:w="720" w:type="dxa"/>
            <w:tcBorders>
              <w:top w:val="nil"/>
              <w:left w:val="nil"/>
              <w:right w:val="nil"/>
            </w:tcBorders>
            <w:shd w:val="clear" w:color="auto" w:fill="auto"/>
            <w:tcMar>
              <w:top w:w="12" w:type="dxa"/>
              <w:left w:w="108" w:type="dxa"/>
              <w:bottom w:w="0" w:type="dxa"/>
              <w:right w:w="108" w:type="dxa"/>
            </w:tcMar>
            <w:hideMark/>
          </w:tcPr>
          <w:p w:rsidR="00760D17" w:rsidRPr="000C4B7C" w:rsidRDefault="00AE6521"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ongoing</w:t>
            </w:r>
          </w:p>
        </w:tc>
        <w:tc>
          <w:tcPr>
            <w:tcW w:w="720" w:type="dxa"/>
            <w:tcBorders>
              <w:top w:val="nil"/>
              <w:left w:val="nil"/>
              <w:right w:val="nil"/>
            </w:tcBorders>
            <w:shd w:val="clear" w:color="auto" w:fill="auto"/>
            <w:tcMar>
              <w:top w:w="12" w:type="dxa"/>
              <w:left w:w="108" w:type="dxa"/>
              <w:bottom w:w="0" w:type="dxa"/>
              <w:right w:w="108" w:type="dxa"/>
            </w:tcMar>
            <w:hideMark/>
          </w:tcPr>
          <w:p w:rsidR="00760D17" w:rsidRPr="000C4B7C" w:rsidRDefault="00AE6521"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ongoing</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13.8</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8.4</w:t>
            </w:r>
          </w:p>
        </w:tc>
        <w:tc>
          <w:tcPr>
            <w:tcW w:w="81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51.4</w:t>
            </w:r>
          </w:p>
        </w:tc>
        <w:tc>
          <w:tcPr>
            <w:tcW w:w="900" w:type="dxa"/>
            <w:tcBorders>
              <w:top w:val="nil"/>
              <w:left w:val="nil"/>
              <w:right w:val="nil"/>
            </w:tcBorders>
            <w:shd w:val="clear" w:color="auto" w:fill="auto"/>
            <w:tcMar>
              <w:top w:w="12" w:type="dxa"/>
              <w:left w:w="108" w:type="dxa"/>
              <w:bottom w:w="0" w:type="dxa"/>
              <w:right w:w="108" w:type="dxa"/>
            </w:tcMar>
            <w:hideMark/>
          </w:tcPr>
          <w:p w:rsidR="00760D17" w:rsidRPr="000C4B7C" w:rsidRDefault="00732952" w:rsidP="000C4B7C">
            <w:pPr>
              <w:adjustRightInd w:val="0"/>
              <w:snapToGrid w:val="0"/>
              <w:spacing w:line="360" w:lineRule="auto"/>
              <w:jc w:val="both"/>
              <w:rPr>
                <w:rFonts w:ascii="Book Antiqua" w:hAnsi="Book Antiqua" w:cstheme="minorBidi"/>
                <w:color w:val="000000" w:themeColor="text1"/>
              </w:rPr>
            </w:pPr>
            <w:r w:rsidRPr="000C4B7C">
              <w:rPr>
                <w:rFonts w:ascii="Book Antiqua" w:hAnsi="Book Antiqua" w:cstheme="minorBidi"/>
                <w:color w:val="000000" w:themeColor="text1"/>
              </w:rPr>
              <w:t>25.7</w:t>
            </w:r>
          </w:p>
        </w:tc>
        <w:tc>
          <w:tcPr>
            <w:tcW w:w="1440" w:type="dxa"/>
            <w:tcBorders>
              <w:top w:val="nil"/>
              <w:left w:val="nil"/>
              <w:right w:val="nil"/>
            </w:tcBorders>
            <w:shd w:val="clear" w:color="auto" w:fill="auto"/>
            <w:tcMar>
              <w:top w:w="12" w:type="dxa"/>
              <w:left w:w="108" w:type="dxa"/>
              <w:bottom w:w="0" w:type="dxa"/>
              <w:right w:w="108" w:type="dxa"/>
            </w:tcMar>
            <w:hideMark/>
          </w:tcPr>
          <w:p w:rsidR="00760D17" w:rsidRPr="00A75434" w:rsidRDefault="00732952" w:rsidP="00A75434">
            <w:pPr>
              <w:adjustRightInd w:val="0"/>
              <w:snapToGrid w:val="0"/>
              <w:spacing w:line="360" w:lineRule="auto"/>
              <w:jc w:val="both"/>
              <w:rPr>
                <w:rFonts w:ascii="Book Antiqua" w:hAnsi="Book Antiqua"/>
                <w:color w:val="000000" w:themeColor="text1"/>
                <w:shd w:val="clear" w:color="auto" w:fill="FFFFFF"/>
                <w:lang w:eastAsia="zh-CN"/>
              </w:rPr>
            </w:pPr>
            <w:r w:rsidRPr="000C4B7C">
              <w:rPr>
                <w:rFonts w:ascii="Book Antiqua" w:hAnsi="Book Antiqua"/>
                <w:color w:val="000000" w:themeColor="text1"/>
                <w:shd w:val="clear" w:color="auto" w:fill="FFFFFF"/>
              </w:rPr>
              <w:t>Grade 3 or higher treatment-elated AE</w:t>
            </w:r>
            <w:r w:rsidR="000C4BB6" w:rsidRPr="000C4B7C">
              <w:rPr>
                <w:rFonts w:ascii="Book Antiqua" w:hAnsi="Book Antiqua"/>
                <w:color w:val="000000" w:themeColor="text1"/>
                <w:shd w:val="clear" w:color="auto" w:fill="FFFFFF"/>
              </w:rPr>
              <w:t>s</w:t>
            </w:r>
            <w:r w:rsidRPr="000C4B7C">
              <w:rPr>
                <w:rFonts w:ascii="Book Antiqua" w:hAnsi="Book Antiqua"/>
                <w:color w:val="000000" w:themeColor="text1"/>
                <w:shd w:val="clear" w:color="auto" w:fill="FFFFFF"/>
              </w:rPr>
              <w:t xml:space="preserve"> in the overall population groups, were reported in </w:t>
            </w:r>
            <w:r w:rsidRPr="000C4B7C">
              <w:rPr>
                <w:rFonts w:ascii="Book Antiqua" w:hAnsi="Book Antiqua"/>
                <w:color w:val="000000" w:themeColor="text1"/>
                <w:shd w:val="clear" w:color="auto" w:fill="FFFFFF"/>
              </w:rPr>
              <w:lastRenderedPageBreak/>
              <w:t xml:space="preserve">71.2% of patients in combination arm </w:t>
            </w:r>
            <w:r w:rsidRPr="00A75434">
              <w:rPr>
                <w:rFonts w:ascii="Book Antiqua" w:hAnsi="Book Antiqua"/>
                <w:i/>
                <w:color w:val="000000" w:themeColor="text1"/>
                <w:shd w:val="clear" w:color="auto" w:fill="FFFFFF"/>
              </w:rPr>
              <w:t>vs</w:t>
            </w:r>
            <w:r w:rsidRPr="000C4B7C">
              <w:rPr>
                <w:rFonts w:ascii="Book Antiqua" w:hAnsi="Book Antiqua"/>
                <w:color w:val="000000" w:themeColor="text1"/>
                <w:shd w:val="clear" w:color="auto" w:fill="FFFFFF"/>
              </w:rPr>
              <w:t xml:space="preserve"> 71.5% in sunitinb arm with discontinuation in 7.6% and 13.4% respectively</w:t>
            </w:r>
          </w:p>
        </w:tc>
        <w:tc>
          <w:tcPr>
            <w:tcW w:w="1620" w:type="dxa"/>
            <w:tcBorders>
              <w:top w:val="nil"/>
              <w:left w:val="nil"/>
              <w:right w:val="nil"/>
            </w:tcBorders>
            <w:shd w:val="clear" w:color="auto" w:fill="auto"/>
            <w:tcMar>
              <w:top w:w="12" w:type="dxa"/>
              <w:left w:w="108" w:type="dxa"/>
              <w:bottom w:w="0" w:type="dxa"/>
              <w:right w:w="108" w:type="dxa"/>
            </w:tcMar>
            <w:hideMark/>
          </w:tcPr>
          <w:p w:rsidR="00760D17" w:rsidRPr="000C4B7C" w:rsidRDefault="005C213C"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shd w:val="clear" w:color="auto" w:fill="FFFFFF"/>
              </w:rPr>
              <w:lastRenderedPageBreak/>
              <w:t>Similar responses were obs</w:t>
            </w:r>
            <w:r w:rsidR="00FB0B1D">
              <w:rPr>
                <w:rFonts w:ascii="Book Antiqua" w:hAnsi="Book Antiqua"/>
                <w:color w:val="000000" w:themeColor="text1"/>
                <w:shd w:val="clear" w:color="auto" w:fill="FFFFFF"/>
              </w:rPr>
              <w:t>erved for PFS and ORR in the PD</w:t>
            </w:r>
            <w:r w:rsidR="00FB0B1D">
              <w:rPr>
                <w:rFonts w:ascii="Book Antiqua" w:hAnsi="Book Antiqua" w:hint="eastAsia"/>
                <w:color w:val="000000" w:themeColor="text1"/>
                <w:shd w:val="clear" w:color="auto" w:fill="FFFFFF"/>
                <w:lang w:eastAsia="zh-CN"/>
              </w:rPr>
              <w:t>-</w:t>
            </w:r>
            <w:r w:rsidRPr="000C4B7C">
              <w:rPr>
                <w:rFonts w:ascii="Book Antiqua" w:hAnsi="Book Antiqua"/>
                <w:color w:val="000000" w:themeColor="text1"/>
                <w:shd w:val="clear" w:color="auto" w:fill="FFFFFF"/>
              </w:rPr>
              <w:t>L1positive p</w:t>
            </w:r>
            <w:r w:rsidR="00E62BA5" w:rsidRPr="000C4B7C">
              <w:rPr>
                <w:rFonts w:ascii="Book Antiqua" w:hAnsi="Book Antiqua"/>
                <w:color w:val="000000" w:themeColor="text1"/>
                <w:shd w:val="clear" w:color="auto" w:fill="FFFFFF"/>
              </w:rPr>
              <w:t>atients</w:t>
            </w:r>
          </w:p>
        </w:tc>
        <w:tc>
          <w:tcPr>
            <w:tcW w:w="990" w:type="dxa"/>
            <w:tcBorders>
              <w:top w:val="nil"/>
              <w:left w:val="nil"/>
              <w:right w:val="nil"/>
            </w:tcBorders>
            <w:shd w:val="clear" w:color="auto" w:fill="auto"/>
          </w:tcPr>
          <w:p w:rsidR="00760D17" w:rsidRPr="00595D80" w:rsidRDefault="00010C0F" w:rsidP="000C4B7C">
            <w:pPr>
              <w:adjustRightInd w:val="0"/>
              <w:snapToGrid w:val="0"/>
              <w:spacing w:line="360" w:lineRule="auto"/>
              <w:jc w:val="both"/>
              <w:rPr>
                <w:rFonts w:ascii="Book Antiqua" w:hAnsi="Book Antiqua"/>
                <w:color w:val="000000" w:themeColor="text1"/>
                <w:vertAlign w:val="superscript"/>
              </w:rPr>
            </w:pPr>
            <w:r w:rsidRPr="00595D80">
              <w:rPr>
                <w:rFonts w:ascii="Book Antiqua" w:hAnsi="Book Antiqua"/>
                <w:noProof/>
                <w:color w:val="000000" w:themeColor="text1"/>
                <w:vertAlign w:val="superscript"/>
              </w:rPr>
              <w:t>[46]</w:t>
            </w:r>
          </w:p>
        </w:tc>
      </w:tr>
    </w:tbl>
    <w:p w:rsidR="0076434F" w:rsidRPr="000C4B7C" w:rsidRDefault="00A75434" w:rsidP="000C4B7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lastRenderedPageBreak/>
        <w:t>DFS</w:t>
      </w:r>
      <w:r>
        <w:rPr>
          <w:rFonts w:ascii="Book Antiqua" w:hAnsi="Book Antiqua" w:hint="eastAsia"/>
          <w:color w:val="000000" w:themeColor="text1"/>
          <w:lang w:eastAsia="zh-CN"/>
        </w:rPr>
        <w:t xml:space="preserve">: </w:t>
      </w:r>
      <w:r w:rsidRPr="000C4B7C">
        <w:rPr>
          <w:rFonts w:ascii="Book Antiqua" w:hAnsi="Book Antiqua"/>
          <w:color w:val="000000" w:themeColor="text1"/>
        </w:rPr>
        <w:t>Disease</w:t>
      </w:r>
      <w:r>
        <w:rPr>
          <w:rFonts w:ascii="Book Antiqua" w:hAnsi="Book Antiqua"/>
          <w:color w:val="000000" w:themeColor="text1"/>
        </w:rPr>
        <w:t>-free survival; ORR</w:t>
      </w:r>
      <w:r>
        <w:rPr>
          <w:rFonts w:ascii="Book Antiqua" w:hAnsi="Book Antiqua" w:hint="eastAsia"/>
          <w:color w:val="000000" w:themeColor="text1"/>
          <w:lang w:eastAsia="zh-CN"/>
        </w:rPr>
        <w:t xml:space="preserve">: </w:t>
      </w:r>
      <w:r w:rsidRPr="000C4B7C">
        <w:rPr>
          <w:rFonts w:ascii="Book Antiqua" w:hAnsi="Book Antiqua"/>
          <w:color w:val="000000" w:themeColor="text1"/>
        </w:rPr>
        <w:t>Objective response rate; OS</w:t>
      </w:r>
      <w:r>
        <w:rPr>
          <w:rFonts w:ascii="Book Antiqua" w:hAnsi="Book Antiqua" w:hint="eastAsia"/>
          <w:color w:val="000000" w:themeColor="text1"/>
          <w:lang w:eastAsia="zh-CN"/>
        </w:rPr>
        <w:t>:</w:t>
      </w:r>
      <w:r w:rsidRPr="000C4B7C">
        <w:rPr>
          <w:rFonts w:ascii="Book Antiqua" w:hAnsi="Book Antiqua"/>
          <w:color w:val="000000" w:themeColor="text1"/>
        </w:rPr>
        <w:t xml:space="preserve"> Overall survival; </w:t>
      </w:r>
      <w:r>
        <w:rPr>
          <w:rFonts w:ascii="Book Antiqua" w:hAnsi="Book Antiqua"/>
          <w:color w:val="000000" w:themeColor="text1"/>
        </w:rPr>
        <w:t>PD-L1</w:t>
      </w:r>
      <w:r>
        <w:rPr>
          <w:rFonts w:ascii="Book Antiqua" w:hAnsi="Book Antiqua" w:hint="eastAsia"/>
          <w:color w:val="000000" w:themeColor="text1"/>
          <w:lang w:eastAsia="zh-CN"/>
        </w:rPr>
        <w:t>:</w:t>
      </w:r>
      <w:r w:rsidRPr="000C4B7C">
        <w:rPr>
          <w:rFonts w:ascii="Book Antiqua" w:hAnsi="Book Antiqua"/>
          <w:color w:val="000000" w:themeColor="text1"/>
        </w:rPr>
        <w:t xml:space="preserve"> Programmed </w:t>
      </w:r>
      <w:r>
        <w:rPr>
          <w:rFonts w:ascii="Book Antiqua" w:hAnsi="Book Antiqua"/>
          <w:color w:val="000000" w:themeColor="text1"/>
        </w:rPr>
        <w:t>cell death-ligand 1; PFS</w:t>
      </w:r>
      <w:r>
        <w:rPr>
          <w:rFonts w:ascii="Book Antiqua" w:hAnsi="Book Antiqua" w:hint="eastAsia"/>
          <w:color w:val="000000" w:themeColor="text1"/>
          <w:lang w:eastAsia="zh-CN"/>
        </w:rPr>
        <w:t>:</w:t>
      </w:r>
      <w:r w:rsidRPr="000C4B7C">
        <w:rPr>
          <w:rFonts w:ascii="Book Antiqua" w:hAnsi="Book Antiqua"/>
          <w:color w:val="000000" w:themeColor="text1"/>
        </w:rPr>
        <w:t xml:space="preserve"> Progression-free survival</w:t>
      </w:r>
      <w:r>
        <w:rPr>
          <w:rFonts w:ascii="Book Antiqua" w:hAnsi="Book Antiqua" w:hint="eastAsia"/>
          <w:color w:val="000000" w:themeColor="text1"/>
          <w:lang w:eastAsia="zh-CN"/>
        </w:rPr>
        <w:t>.</w:t>
      </w:r>
    </w:p>
    <w:p w:rsidR="00622B23" w:rsidRPr="000C4B7C" w:rsidRDefault="00622B2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br w:type="page"/>
      </w:r>
    </w:p>
    <w:p w:rsidR="0076434F" w:rsidRPr="000C4B7C" w:rsidRDefault="0076434F" w:rsidP="000C4B7C">
      <w:pPr>
        <w:adjustRightInd w:val="0"/>
        <w:snapToGrid w:val="0"/>
        <w:spacing w:line="360" w:lineRule="auto"/>
        <w:jc w:val="both"/>
        <w:rPr>
          <w:rFonts w:ascii="Book Antiqua" w:hAnsi="Book Antiqua"/>
          <w:color w:val="000000" w:themeColor="text1"/>
        </w:rPr>
        <w:sectPr w:rsidR="0076434F" w:rsidRPr="000C4B7C" w:rsidSect="00FB33EA">
          <w:pgSz w:w="15840" w:h="12240" w:orient="landscape"/>
          <w:pgMar w:top="1440" w:right="1440" w:bottom="1440" w:left="1440" w:header="720" w:footer="720" w:gutter="0"/>
          <w:cols w:space="720"/>
          <w:docGrid w:linePitch="360"/>
        </w:sectPr>
      </w:pPr>
    </w:p>
    <w:p w:rsidR="00D43843" w:rsidRPr="00CB3A47" w:rsidRDefault="0077738F" w:rsidP="000C4B7C">
      <w:pPr>
        <w:adjustRightInd w:val="0"/>
        <w:snapToGrid w:val="0"/>
        <w:spacing w:line="360" w:lineRule="auto"/>
        <w:jc w:val="both"/>
        <w:rPr>
          <w:rFonts w:ascii="Book Antiqua" w:hAnsi="Book Antiqua"/>
          <w:b/>
          <w:color w:val="000000" w:themeColor="text1"/>
          <w:lang w:eastAsia="zh-CN"/>
        </w:rPr>
      </w:pPr>
      <w:r w:rsidRPr="00CB3A47">
        <w:rPr>
          <w:rFonts w:ascii="Book Antiqua" w:hAnsi="Book Antiqua"/>
          <w:b/>
          <w:bCs/>
          <w:color w:val="000000" w:themeColor="text1"/>
        </w:rPr>
        <w:lastRenderedPageBreak/>
        <w:t xml:space="preserve">Table </w:t>
      </w:r>
      <w:r w:rsidR="0067058F" w:rsidRPr="00CB3A47">
        <w:rPr>
          <w:rFonts w:ascii="Book Antiqua" w:hAnsi="Book Antiqua"/>
          <w:b/>
          <w:bCs/>
          <w:color w:val="000000" w:themeColor="text1"/>
        </w:rPr>
        <w:t>5</w:t>
      </w:r>
      <w:r w:rsidRPr="00CB3A47">
        <w:rPr>
          <w:rFonts w:ascii="Book Antiqua" w:hAnsi="Book Antiqua"/>
          <w:b/>
          <w:bCs/>
          <w:color w:val="000000" w:themeColor="text1"/>
        </w:rPr>
        <w:t xml:space="preserve"> Ongoing</w:t>
      </w:r>
      <w:r w:rsidR="00D43843" w:rsidRPr="00CB3A47">
        <w:rPr>
          <w:rFonts w:ascii="Book Antiqua" w:hAnsi="Book Antiqua"/>
          <w:b/>
          <w:color w:val="000000" w:themeColor="text1"/>
        </w:rPr>
        <w:t xml:space="preserve"> </w:t>
      </w:r>
      <w:r w:rsidR="00CB3A47" w:rsidRPr="00CB3A47">
        <w:rPr>
          <w:rFonts w:ascii="Book Antiqua" w:hAnsi="Book Antiqua"/>
          <w:b/>
          <w:color w:val="000000" w:themeColor="text1"/>
        </w:rPr>
        <w:t xml:space="preserve">phase </w:t>
      </w:r>
      <w:r w:rsidR="00D43843" w:rsidRPr="00CB3A47">
        <w:rPr>
          <w:rFonts w:ascii="Book Antiqua" w:hAnsi="Book Antiqua"/>
          <w:b/>
          <w:color w:val="000000" w:themeColor="text1"/>
        </w:rPr>
        <w:t xml:space="preserve">3 </w:t>
      </w:r>
      <w:r w:rsidR="00CB3A47" w:rsidRPr="00CB3A47">
        <w:rPr>
          <w:rFonts w:ascii="Book Antiqua" w:hAnsi="Book Antiqua"/>
          <w:b/>
          <w:color w:val="000000" w:themeColor="text1"/>
        </w:rPr>
        <w:t xml:space="preserve">trials of combination therapy </w:t>
      </w:r>
      <w:r w:rsidR="00D43843" w:rsidRPr="00CB3A47">
        <w:rPr>
          <w:rFonts w:ascii="Book Antiqua" w:hAnsi="Book Antiqua"/>
          <w:b/>
          <w:color w:val="000000" w:themeColor="text1"/>
        </w:rPr>
        <w:t xml:space="preserve">in </w:t>
      </w:r>
      <w:r w:rsidR="00CB3A47" w:rsidRPr="00CB3A47">
        <w:rPr>
          <w:rFonts w:ascii="Book Antiqua" w:hAnsi="Book Antiqua"/>
          <w:b/>
          <w:bCs/>
          <w:color w:val="000000" w:themeColor="text1"/>
        </w:rPr>
        <w:t>renal cell carcinoma</w:t>
      </w:r>
    </w:p>
    <w:tbl>
      <w:tblPr>
        <w:tblStyle w:val="a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418"/>
        <w:gridCol w:w="2176"/>
        <w:gridCol w:w="1452"/>
        <w:gridCol w:w="1212"/>
        <w:gridCol w:w="1410"/>
      </w:tblGrid>
      <w:tr w:rsidR="00CB3A47" w:rsidRPr="000C4B7C" w:rsidTr="00C60377">
        <w:trPr>
          <w:jc w:val="center"/>
        </w:trPr>
        <w:tc>
          <w:tcPr>
            <w:tcW w:w="1908"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Treatment</w:t>
            </w:r>
          </w:p>
        </w:tc>
        <w:tc>
          <w:tcPr>
            <w:tcW w:w="1418"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 xml:space="preserve">Trial </w:t>
            </w:r>
            <w:r w:rsidR="00C60377" w:rsidRPr="00CB3A47">
              <w:rPr>
                <w:rFonts w:ascii="Book Antiqua" w:hAnsi="Book Antiqua"/>
                <w:b/>
                <w:color w:val="000000" w:themeColor="text1"/>
              </w:rPr>
              <w:t>n</w:t>
            </w:r>
            <w:r w:rsidRPr="00CB3A47">
              <w:rPr>
                <w:rFonts w:ascii="Book Antiqua" w:hAnsi="Book Antiqua"/>
                <w:b/>
                <w:color w:val="000000" w:themeColor="text1"/>
              </w:rPr>
              <w:t>ame</w:t>
            </w:r>
          </w:p>
        </w:tc>
        <w:tc>
          <w:tcPr>
            <w:tcW w:w="2176"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ClinicalTrials.gov No.</w:t>
            </w:r>
          </w:p>
        </w:tc>
        <w:tc>
          <w:tcPr>
            <w:tcW w:w="1452"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Enrollment</w:t>
            </w:r>
          </w:p>
        </w:tc>
        <w:tc>
          <w:tcPr>
            <w:tcW w:w="1212"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 xml:space="preserve">Primary </w:t>
            </w:r>
            <w:r w:rsidR="00CB3A47" w:rsidRPr="00CB3A47">
              <w:rPr>
                <w:rFonts w:ascii="Book Antiqua" w:hAnsi="Book Antiqua"/>
                <w:b/>
                <w:color w:val="000000" w:themeColor="text1"/>
              </w:rPr>
              <w:t>endpoint</w:t>
            </w:r>
          </w:p>
        </w:tc>
        <w:tc>
          <w:tcPr>
            <w:tcW w:w="1410" w:type="dxa"/>
            <w:tcBorders>
              <w:top w:val="single" w:sz="4" w:space="0" w:color="auto"/>
              <w:bottom w:val="single" w:sz="4" w:space="0" w:color="auto"/>
            </w:tcBorders>
            <w:shd w:val="clear" w:color="auto" w:fill="auto"/>
            <w:vAlign w:val="center"/>
          </w:tcPr>
          <w:p w:rsidR="00760D17" w:rsidRPr="00CB3A47" w:rsidRDefault="00D43843" w:rsidP="000C4B7C">
            <w:pPr>
              <w:adjustRightInd w:val="0"/>
              <w:snapToGrid w:val="0"/>
              <w:spacing w:line="360" w:lineRule="auto"/>
              <w:jc w:val="both"/>
              <w:rPr>
                <w:rFonts w:ascii="Book Antiqua" w:hAnsi="Book Antiqua"/>
                <w:b/>
                <w:color w:val="000000" w:themeColor="text1"/>
              </w:rPr>
            </w:pPr>
            <w:r w:rsidRPr="00CB3A47">
              <w:rPr>
                <w:rFonts w:ascii="Book Antiqua" w:hAnsi="Book Antiqua"/>
                <w:b/>
                <w:color w:val="000000" w:themeColor="text1"/>
              </w:rPr>
              <w:t>Status</w:t>
            </w:r>
          </w:p>
        </w:tc>
      </w:tr>
      <w:tr w:rsidR="00CB3A47" w:rsidRPr="000C4B7C" w:rsidTr="00C60377">
        <w:trPr>
          <w:jc w:val="center"/>
        </w:trPr>
        <w:tc>
          <w:tcPr>
            <w:tcW w:w="1908"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Nivolumab-cabozantinib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418"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9ER</w:t>
            </w:r>
          </w:p>
        </w:tc>
        <w:tc>
          <w:tcPr>
            <w:tcW w:w="2176"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NCT03141177</w:t>
            </w:r>
          </w:p>
        </w:tc>
        <w:tc>
          <w:tcPr>
            <w:tcW w:w="1452"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630</w:t>
            </w:r>
          </w:p>
        </w:tc>
        <w:tc>
          <w:tcPr>
            <w:tcW w:w="1212" w:type="dxa"/>
            <w:tcBorders>
              <w:top w:val="single" w:sz="4" w:space="0" w:color="auto"/>
            </w:tcBorders>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tcBorders>
              <w:top w:val="single" w:sz="4" w:space="0" w:color="auto"/>
            </w:tcBorders>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0072647C" w:rsidRPr="000C4B7C">
              <w:rPr>
                <w:rFonts w:ascii="Book Antiqua" w:hAnsi="Book Antiqua"/>
                <w:color w:val="000000" w:themeColor="text1"/>
              </w:rPr>
              <w:t>January 2020</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Lenvatinib-everolimus or lenvatinib-pembrolizumab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CLEAR</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NCT02811861</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1050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April 2020</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Nivolumab-ipilimumab followed by 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nivolumab-cabozantinib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NCI-2018-03694</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NCT03793166</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1046</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OS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September 2021</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NKTR-214-nivolumab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sunitinib or cabozantinib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CA045002</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NCT03729245</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600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ORR</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December 2021</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Pazopanib-abexinostat </w:t>
            </w:r>
            <w:r w:rsidR="00205034" w:rsidRPr="00205034">
              <w:rPr>
                <w:rFonts w:ascii="Book Antiqua" w:hAnsi="Book Antiqua"/>
                <w:i/>
                <w:color w:val="000000" w:themeColor="text1"/>
              </w:rPr>
              <w:t>vs</w:t>
            </w:r>
            <w:r w:rsidRPr="000C4B7C">
              <w:rPr>
                <w:rFonts w:ascii="Book Antiqua" w:hAnsi="Book Antiqua"/>
                <w:color w:val="000000" w:themeColor="text1"/>
              </w:rPr>
              <w:t xml:space="preserve"> </w:t>
            </w:r>
            <w:r w:rsidRPr="000C4B7C">
              <w:rPr>
                <w:rFonts w:ascii="Book Antiqua" w:hAnsi="Book Antiqua"/>
                <w:color w:val="000000" w:themeColor="text1"/>
              </w:rPr>
              <w:lastRenderedPageBreak/>
              <w:t>pazopanib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lastRenderedPageBreak/>
              <w:t>XYN-602</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NCT03592472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413</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 xml:space="preserve">Estimated primary </w:t>
            </w:r>
            <w:r w:rsidRPr="000C4B7C">
              <w:rPr>
                <w:rFonts w:ascii="Book Antiqua" w:hAnsi="Book Antiqua"/>
                <w:color w:val="000000" w:themeColor="text1"/>
              </w:rPr>
              <w:lastRenderedPageBreak/>
              <w:t>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January 2022</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lastRenderedPageBreak/>
              <w:t xml:space="preserve">Nivolumab-ipilimumab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placebo</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CheckMate 914</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NCT03138512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800</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DFS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September 2022</w:t>
            </w:r>
          </w:p>
        </w:tc>
      </w:tr>
      <w:tr w:rsidR="00CB3A47" w:rsidRPr="000C4B7C" w:rsidTr="00C60377">
        <w:trPr>
          <w:jc w:val="center"/>
        </w:trPr>
        <w:tc>
          <w:tcPr>
            <w:tcW w:w="190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 xml:space="preserve">Nivolumab-ipilimumab </w:t>
            </w:r>
            <w:r w:rsidR="00205034" w:rsidRPr="00205034">
              <w:rPr>
                <w:rFonts w:ascii="Book Antiqua" w:hAnsi="Book Antiqua"/>
                <w:i/>
                <w:color w:val="000000" w:themeColor="text1"/>
              </w:rPr>
              <w:t>vs</w:t>
            </w:r>
            <w:r w:rsidRPr="000C4B7C">
              <w:rPr>
                <w:rFonts w:ascii="Book Antiqua" w:hAnsi="Book Antiqua"/>
                <w:color w:val="000000" w:themeColor="text1"/>
              </w:rPr>
              <w:t xml:space="preserve"> nivolumab</w:t>
            </w:r>
          </w:p>
        </w:tc>
        <w:tc>
          <w:tcPr>
            <w:tcW w:w="1418"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CA209-8Y8</w:t>
            </w:r>
          </w:p>
        </w:tc>
        <w:tc>
          <w:tcPr>
            <w:tcW w:w="2176"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NCT03873402</w:t>
            </w:r>
          </w:p>
        </w:tc>
        <w:tc>
          <w:tcPr>
            <w:tcW w:w="145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418</w:t>
            </w:r>
          </w:p>
        </w:tc>
        <w:tc>
          <w:tcPr>
            <w:tcW w:w="1212" w:type="dxa"/>
            <w:shd w:val="clear" w:color="auto" w:fill="auto"/>
          </w:tcPr>
          <w:p w:rsidR="00760D17" w:rsidRPr="000C4B7C" w:rsidRDefault="00D43843" w:rsidP="000C4B7C">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PFS</w:t>
            </w:r>
          </w:p>
        </w:tc>
        <w:tc>
          <w:tcPr>
            <w:tcW w:w="1410" w:type="dxa"/>
            <w:shd w:val="clear" w:color="auto" w:fill="auto"/>
          </w:tcPr>
          <w:p w:rsidR="00760D17" w:rsidRPr="000C4B7C" w:rsidRDefault="00D43843" w:rsidP="00CB3A47">
            <w:pPr>
              <w:adjustRightInd w:val="0"/>
              <w:snapToGrid w:val="0"/>
              <w:spacing w:line="360" w:lineRule="auto"/>
              <w:jc w:val="both"/>
              <w:rPr>
                <w:rFonts w:ascii="Book Antiqua" w:hAnsi="Book Antiqua"/>
                <w:color w:val="000000" w:themeColor="text1"/>
              </w:rPr>
            </w:pPr>
            <w:r w:rsidRPr="000C4B7C">
              <w:rPr>
                <w:rFonts w:ascii="Book Antiqua" w:hAnsi="Book Antiqua"/>
                <w:color w:val="000000" w:themeColor="text1"/>
              </w:rPr>
              <w:t>Estimated primary completion date:</w:t>
            </w:r>
            <w:r w:rsidR="00CB3A47">
              <w:rPr>
                <w:rFonts w:ascii="Book Antiqua" w:hAnsi="Book Antiqua" w:hint="eastAsia"/>
                <w:color w:val="000000" w:themeColor="text1"/>
                <w:lang w:eastAsia="zh-CN"/>
              </w:rPr>
              <w:t xml:space="preserve"> </w:t>
            </w:r>
            <w:r w:rsidRPr="000C4B7C">
              <w:rPr>
                <w:rFonts w:ascii="Book Antiqua" w:hAnsi="Book Antiqua"/>
                <w:color w:val="000000" w:themeColor="text1"/>
              </w:rPr>
              <w:t>December 2022</w:t>
            </w:r>
          </w:p>
        </w:tc>
      </w:tr>
    </w:tbl>
    <w:p w:rsidR="002F32F5" w:rsidRPr="000C4B7C" w:rsidRDefault="00CB3A47" w:rsidP="00CB3A47">
      <w:pPr>
        <w:adjustRightInd w:val="0"/>
        <w:snapToGrid w:val="0"/>
        <w:spacing w:line="360" w:lineRule="auto"/>
        <w:jc w:val="both"/>
        <w:rPr>
          <w:rFonts w:ascii="Book Antiqua" w:hAnsi="Book Antiqua"/>
          <w:color w:val="000000" w:themeColor="text1"/>
          <w:lang w:eastAsia="zh-CN"/>
        </w:rPr>
      </w:pPr>
      <w:r w:rsidRPr="000C4B7C">
        <w:rPr>
          <w:rFonts w:ascii="Book Antiqua" w:hAnsi="Book Antiqua"/>
          <w:color w:val="000000" w:themeColor="text1"/>
        </w:rPr>
        <w:t>DFS</w:t>
      </w:r>
      <w:r>
        <w:rPr>
          <w:rFonts w:ascii="Book Antiqua" w:hAnsi="Book Antiqua" w:hint="eastAsia"/>
          <w:color w:val="000000" w:themeColor="text1"/>
          <w:lang w:eastAsia="zh-CN"/>
        </w:rPr>
        <w:t>:</w:t>
      </w:r>
      <w:r w:rsidRPr="000C4B7C">
        <w:rPr>
          <w:rFonts w:ascii="Book Antiqua" w:hAnsi="Book Antiqua"/>
          <w:color w:val="000000" w:themeColor="text1"/>
        </w:rPr>
        <w:t xml:space="preserve"> Disease-free survival; ORR</w:t>
      </w:r>
      <w:r>
        <w:rPr>
          <w:rFonts w:ascii="Book Antiqua" w:hAnsi="Book Antiqua" w:hint="eastAsia"/>
          <w:color w:val="000000" w:themeColor="text1"/>
          <w:lang w:eastAsia="zh-CN"/>
        </w:rPr>
        <w:t>:</w:t>
      </w:r>
      <w:r w:rsidRPr="000C4B7C">
        <w:rPr>
          <w:rFonts w:ascii="Book Antiqua" w:hAnsi="Book Antiqua"/>
          <w:color w:val="000000" w:themeColor="text1"/>
        </w:rPr>
        <w:t xml:space="preserve"> Objective response rate; OS</w:t>
      </w:r>
      <w:r>
        <w:rPr>
          <w:rFonts w:ascii="Book Antiqua" w:hAnsi="Book Antiqua" w:hint="eastAsia"/>
          <w:color w:val="000000" w:themeColor="text1"/>
          <w:lang w:eastAsia="zh-CN"/>
        </w:rPr>
        <w:t>:</w:t>
      </w:r>
      <w:r w:rsidRPr="000C4B7C">
        <w:rPr>
          <w:rFonts w:ascii="Book Antiqua" w:hAnsi="Book Antiqua"/>
          <w:color w:val="000000" w:themeColor="text1"/>
        </w:rPr>
        <w:t xml:space="preserve"> Overall survival; PD-L1</w:t>
      </w:r>
      <w:r>
        <w:rPr>
          <w:rFonts w:ascii="Book Antiqua" w:hAnsi="Book Antiqua" w:hint="eastAsia"/>
          <w:color w:val="000000" w:themeColor="text1"/>
          <w:lang w:eastAsia="zh-CN"/>
        </w:rPr>
        <w:t>:</w:t>
      </w:r>
      <w:r w:rsidRPr="000C4B7C">
        <w:rPr>
          <w:rFonts w:ascii="Book Antiqua" w:hAnsi="Book Antiqua"/>
          <w:color w:val="000000" w:themeColor="text1"/>
        </w:rPr>
        <w:t xml:space="preserve"> Programmed cell death-ligand 1; PFS</w:t>
      </w:r>
      <w:r>
        <w:rPr>
          <w:rFonts w:ascii="Book Antiqua" w:hAnsi="Book Antiqua" w:hint="eastAsia"/>
          <w:color w:val="000000" w:themeColor="text1"/>
          <w:lang w:eastAsia="zh-CN"/>
        </w:rPr>
        <w:t>:</w:t>
      </w:r>
      <w:r w:rsidRPr="000C4B7C">
        <w:rPr>
          <w:rFonts w:ascii="Book Antiqua" w:hAnsi="Book Antiqua"/>
          <w:color w:val="000000" w:themeColor="text1"/>
        </w:rPr>
        <w:t xml:space="preserve"> Progression-free survival</w:t>
      </w:r>
      <w:r>
        <w:rPr>
          <w:rFonts w:ascii="Book Antiqua" w:hAnsi="Book Antiqua" w:hint="eastAsia"/>
          <w:color w:val="000000" w:themeColor="text1"/>
          <w:lang w:eastAsia="zh-CN"/>
        </w:rPr>
        <w:t>.</w:t>
      </w:r>
    </w:p>
    <w:sectPr w:rsidR="002F32F5" w:rsidRPr="000C4B7C" w:rsidSect="009D7C85">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3C554" w16cex:dateUtc="2020-02-03T00:58:53.541Z"/>
  <w16cex:commentExtensible w16cex:durableId="6684D9B1" w16cex:dateUtc="2020-02-03T00:59:21.721Z"/>
  <w16cex:commentExtensible w16cex:durableId="07C8013B" w16cex:dateUtc="2020-02-03T01:00:19.022Z"/>
  <w16cex:commentExtensible w16cex:durableId="11C7EC0E" w16cex:dateUtc="2020-02-03T01:00:46.368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4FD" w:rsidRDefault="000754FD" w:rsidP="00E7294B">
      <w:r>
        <w:separator/>
      </w:r>
    </w:p>
  </w:endnote>
  <w:endnote w:type="continuationSeparator" w:id="0">
    <w:p w:rsidR="000754FD" w:rsidRDefault="000754FD" w:rsidP="00E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yriad Pro">
    <w:altName w:val="Calibri"/>
    <w:panose1 w:val="00000000000000000000"/>
    <w:charset w:val="00"/>
    <w:family w:val="swiss"/>
    <w:notTrueType/>
    <w:pitch w:val="variable"/>
    <w:sig w:usb0="20000287" w:usb1="00000001" w:usb2="00000000" w:usb3="00000000" w:csb0="0000019F" w:csb1="00000000"/>
  </w:font>
  <w:font w:name="Adobe Thai">
    <w:panose1 w:val="00000000000000000000"/>
    <w:charset w:val="00"/>
    <w:family w:val="roman"/>
    <w:notTrueType/>
    <w:pitch w:val="variable"/>
    <w:sig w:usb0="8100002F" w:usb1="0000204A" w:usb2="00000000" w:usb3="00000000" w:csb0="0001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GaramondPro-Regular">
    <w:altName w:val="MS Gothic"/>
    <w:charset w:val="80"/>
    <w:family w:val="roman"/>
    <w:pitch w:val="default"/>
    <w:sig w:usb0="00000000" w:usb1="08070000" w:usb2="00000010" w:usb3="00000000" w:csb0="00020000" w:csb1="00000000"/>
  </w:font>
  <w:font w:name="HelveticaNeueLTStd-Cn">
    <w:altName w:val="Arial Unicode MS"/>
    <w:charset w:val="80"/>
    <w:family w:val="auto"/>
    <w:pitch w:val="default"/>
    <w:sig w:usb0="00000000" w:usb1="08070000" w:usb2="00000010" w:usb3="00000000" w:csb0="0002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F08" w:rsidRDefault="00066F08" w:rsidP="00B20BE9">
    <w:pPr>
      <w:pStyle w:val="ab"/>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66F08" w:rsidRDefault="00066F0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092707"/>
      <w:docPartObj>
        <w:docPartGallery w:val="Page Numbers (Bottom of Page)"/>
        <w:docPartUnique/>
      </w:docPartObj>
    </w:sdtPr>
    <w:sdtEndPr/>
    <w:sdtContent>
      <w:sdt>
        <w:sdtPr>
          <w:id w:val="860082579"/>
          <w:docPartObj>
            <w:docPartGallery w:val="Page Numbers (Top of Page)"/>
            <w:docPartUnique/>
          </w:docPartObj>
        </w:sdtPr>
        <w:sdtEndPr/>
        <w:sdtContent>
          <w:p w:rsidR="00066F08" w:rsidRDefault="00066F08">
            <w:pPr>
              <w:pStyle w:val="ab"/>
              <w:jc w:val="right"/>
            </w:pPr>
            <w:r>
              <w:rPr>
                <w:lang w:val="zh-CN" w:eastAsia="zh-CN"/>
              </w:rPr>
              <w:t xml:space="preserve"> </w:t>
            </w:r>
            <w:r>
              <w:rPr>
                <w:b/>
                <w:bCs/>
              </w:rPr>
              <w:fldChar w:fldCharType="begin"/>
            </w:r>
            <w:r>
              <w:rPr>
                <w:b/>
                <w:bCs/>
              </w:rPr>
              <w:instrText>PAGE</w:instrText>
            </w:r>
            <w:r>
              <w:rPr>
                <w:b/>
                <w:bCs/>
              </w:rPr>
              <w:fldChar w:fldCharType="separate"/>
            </w:r>
            <w:r w:rsidR="00AF6C58">
              <w:rPr>
                <w:b/>
                <w:bCs/>
                <w:noProof/>
              </w:rPr>
              <w:t>3</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AF6C58">
              <w:rPr>
                <w:b/>
                <w:bCs/>
                <w:noProof/>
              </w:rPr>
              <w:t>65</w:t>
            </w:r>
            <w:r>
              <w:rPr>
                <w:b/>
                <w:bCs/>
              </w:rPr>
              <w:fldChar w:fldCharType="end"/>
            </w:r>
          </w:p>
        </w:sdtContent>
      </w:sdt>
    </w:sdtContent>
  </w:sdt>
  <w:p w:rsidR="00066F08" w:rsidRDefault="00066F0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4FD" w:rsidRDefault="000754FD" w:rsidP="00E7294B">
      <w:r>
        <w:separator/>
      </w:r>
    </w:p>
  </w:footnote>
  <w:footnote w:type="continuationSeparator" w:id="0">
    <w:p w:rsidR="000754FD" w:rsidRDefault="000754FD" w:rsidP="00E7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2E6"/>
    <w:multiLevelType w:val="hybridMultilevel"/>
    <w:tmpl w:val="DC0688A0"/>
    <w:lvl w:ilvl="0" w:tplc="8EF012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45AAD"/>
    <w:multiLevelType w:val="hybridMultilevel"/>
    <w:tmpl w:val="18F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C11AA"/>
    <w:multiLevelType w:val="multilevel"/>
    <w:tmpl w:val="A4CE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0323F4"/>
    <w:multiLevelType w:val="hybridMultilevel"/>
    <w:tmpl w:val="1DD84306"/>
    <w:lvl w:ilvl="0" w:tplc="95D44F10">
      <w:start w:val="1"/>
      <w:numFmt w:val="bullet"/>
      <w:lvlText w:val="•"/>
      <w:lvlJc w:val="left"/>
      <w:pPr>
        <w:tabs>
          <w:tab w:val="num" w:pos="720"/>
        </w:tabs>
        <w:ind w:left="720" w:hanging="360"/>
      </w:pPr>
      <w:rPr>
        <w:rFonts w:ascii="Arial" w:hAnsi="Arial" w:hint="default"/>
      </w:rPr>
    </w:lvl>
    <w:lvl w:ilvl="1" w:tplc="9AE6D470">
      <w:start w:val="1426"/>
      <w:numFmt w:val="bullet"/>
      <w:lvlText w:val="o"/>
      <w:lvlJc w:val="left"/>
      <w:pPr>
        <w:tabs>
          <w:tab w:val="num" w:pos="1440"/>
        </w:tabs>
        <w:ind w:left="1440" w:hanging="360"/>
      </w:pPr>
      <w:rPr>
        <w:rFonts w:ascii="Courier New" w:hAnsi="Courier New" w:hint="default"/>
      </w:rPr>
    </w:lvl>
    <w:lvl w:ilvl="2" w:tplc="510A5E6E" w:tentative="1">
      <w:start w:val="1"/>
      <w:numFmt w:val="bullet"/>
      <w:lvlText w:val="•"/>
      <w:lvlJc w:val="left"/>
      <w:pPr>
        <w:tabs>
          <w:tab w:val="num" w:pos="2160"/>
        </w:tabs>
        <w:ind w:left="2160" w:hanging="360"/>
      </w:pPr>
      <w:rPr>
        <w:rFonts w:ascii="Arial" w:hAnsi="Arial" w:hint="default"/>
      </w:rPr>
    </w:lvl>
    <w:lvl w:ilvl="3" w:tplc="2A98865C" w:tentative="1">
      <w:start w:val="1"/>
      <w:numFmt w:val="bullet"/>
      <w:lvlText w:val="•"/>
      <w:lvlJc w:val="left"/>
      <w:pPr>
        <w:tabs>
          <w:tab w:val="num" w:pos="2880"/>
        </w:tabs>
        <w:ind w:left="2880" w:hanging="360"/>
      </w:pPr>
      <w:rPr>
        <w:rFonts w:ascii="Arial" w:hAnsi="Arial" w:hint="default"/>
      </w:rPr>
    </w:lvl>
    <w:lvl w:ilvl="4" w:tplc="E528BCC4" w:tentative="1">
      <w:start w:val="1"/>
      <w:numFmt w:val="bullet"/>
      <w:lvlText w:val="•"/>
      <w:lvlJc w:val="left"/>
      <w:pPr>
        <w:tabs>
          <w:tab w:val="num" w:pos="3600"/>
        </w:tabs>
        <w:ind w:left="3600" w:hanging="360"/>
      </w:pPr>
      <w:rPr>
        <w:rFonts w:ascii="Arial" w:hAnsi="Arial" w:hint="default"/>
      </w:rPr>
    </w:lvl>
    <w:lvl w:ilvl="5" w:tplc="64E04BA0" w:tentative="1">
      <w:start w:val="1"/>
      <w:numFmt w:val="bullet"/>
      <w:lvlText w:val="•"/>
      <w:lvlJc w:val="left"/>
      <w:pPr>
        <w:tabs>
          <w:tab w:val="num" w:pos="4320"/>
        </w:tabs>
        <w:ind w:left="4320" w:hanging="360"/>
      </w:pPr>
      <w:rPr>
        <w:rFonts w:ascii="Arial" w:hAnsi="Arial" w:hint="default"/>
      </w:rPr>
    </w:lvl>
    <w:lvl w:ilvl="6" w:tplc="98D83F10" w:tentative="1">
      <w:start w:val="1"/>
      <w:numFmt w:val="bullet"/>
      <w:lvlText w:val="•"/>
      <w:lvlJc w:val="left"/>
      <w:pPr>
        <w:tabs>
          <w:tab w:val="num" w:pos="5040"/>
        </w:tabs>
        <w:ind w:left="5040" w:hanging="360"/>
      </w:pPr>
      <w:rPr>
        <w:rFonts w:ascii="Arial" w:hAnsi="Arial" w:hint="default"/>
      </w:rPr>
    </w:lvl>
    <w:lvl w:ilvl="7" w:tplc="C4BC0614" w:tentative="1">
      <w:start w:val="1"/>
      <w:numFmt w:val="bullet"/>
      <w:lvlText w:val="•"/>
      <w:lvlJc w:val="left"/>
      <w:pPr>
        <w:tabs>
          <w:tab w:val="num" w:pos="5760"/>
        </w:tabs>
        <w:ind w:left="5760" w:hanging="360"/>
      </w:pPr>
      <w:rPr>
        <w:rFonts w:ascii="Arial" w:hAnsi="Arial" w:hint="default"/>
      </w:rPr>
    </w:lvl>
    <w:lvl w:ilvl="8" w:tplc="A6E67798" w:tentative="1">
      <w:start w:val="1"/>
      <w:numFmt w:val="bullet"/>
      <w:lvlText w:val="•"/>
      <w:lvlJc w:val="left"/>
      <w:pPr>
        <w:tabs>
          <w:tab w:val="num" w:pos="6480"/>
        </w:tabs>
        <w:ind w:left="6480" w:hanging="360"/>
      </w:pPr>
      <w:rPr>
        <w:rFonts w:ascii="Arial" w:hAnsi="Arial" w:hint="default"/>
      </w:rPr>
    </w:lvl>
  </w:abstractNum>
  <w:abstractNum w:abstractNumId="4">
    <w:nsid w:val="3B601B85"/>
    <w:multiLevelType w:val="hybridMultilevel"/>
    <w:tmpl w:val="D65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32A80"/>
    <w:multiLevelType w:val="multilevel"/>
    <w:tmpl w:val="7A6AC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611176"/>
    <w:multiLevelType w:val="hybridMultilevel"/>
    <w:tmpl w:val="C144CE5C"/>
    <w:lvl w:ilvl="0" w:tplc="427C1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460B1"/>
    <w:multiLevelType w:val="multilevel"/>
    <w:tmpl w:val="A822928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DFE4861"/>
    <w:multiLevelType w:val="hybridMultilevel"/>
    <w:tmpl w:val="0BF031DE"/>
    <w:lvl w:ilvl="0" w:tplc="C5443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8434B"/>
    <w:multiLevelType w:val="multilevel"/>
    <w:tmpl w:val="C77ED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FE13AD"/>
    <w:multiLevelType w:val="hybridMultilevel"/>
    <w:tmpl w:val="756AC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92C8A"/>
    <w:multiLevelType w:val="hybridMultilevel"/>
    <w:tmpl w:val="881615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80627"/>
    <w:multiLevelType w:val="hybridMultilevel"/>
    <w:tmpl w:val="C13231F2"/>
    <w:lvl w:ilvl="0" w:tplc="95380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84CDE"/>
    <w:multiLevelType w:val="hybridMultilevel"/>
    <w:tmpl w:val="CB669F30"/>
    <w:lvl w:ilvl="0" w:tplc="EFA0778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E17DC"/>
    <w:multiLevelType w:val="hybridMultilevel"/>
    <w:tmpl w:val="CEB6C5F6"/>
    <w:lvl w:ilvl="0" w:tplc="1A50D1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228B9"/>
    <w:multiLevelType w:val="hybridMultilevel"/>
    <w:tmpl w:val="5B32E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8F377E"/>
    <w:multiLevelType w:val="hybridMultilevel"/>
    <w:tmpl w:val="D848BC1E"/>
    <w:lvl w:ilvl="0" w:tplc="48707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3"/>
  </w:num>
  <w:num w:numId="5">
    <w:abstractNumId w:val="6"/>
  </w:num>
  <w:num w:numId="6">
    <w:abstractNumId w:val="16"/>
  </w:num>
  <w:num w:numId="7">
    <w:abstractNumId w:val="14"/>
  </w:num>
  <w:num w:numId="8">
    <w:abstractNumId w:val="15"/>
  </w:num>
  <w:num w:numId="9">
    <w:abstractNumId w:val="7"/>
  </w:num>
  <w:num w:numId="10">
    <w:abstractNumId w:val="4"/>
  </w:num>
  <w:num w:numId="11">
    <w:abstractNumId w:val="10"/>
  </w:num>
  <w:num w:numId="12">
    <w:abstractNumId w:val="13"/>
  </w:num>
  <w:num w:numId="13">
    <w:abstractNumId w:val="2"/>
  </w:num>
  <w:num w:numId="14">
    <w:abstractNumId w:val="9"/>
  </w:num>
  <w:num w:numId="15">
    <w:abstractNumId w:val="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20481"/>
    <w:rsid w:val="000006D2"/>
    <w:rsid w:val="00000AE0"/>
    <w:rsid w:val="000010B3"/>
    <w:rsid w:val="00001D0E"/>
    <w:rsid w:val="00003391"/>
    <w:rsid w:val="0000372A"/>
    <w:rsid w:val="000056A9"/>
    <w:rsid w:val="00006249"/>
    <w:rsid w:val="00007961"/>
    <w:rsid w:val="000079BB"/>
    <w:rsid w:val="000104F4"/>
    <w:rsid w:val="00010592"/>
    <w:rsid w:val="00010C0F"/>
    <w:rsid w:val="0001119F"/>
    <w:rsid w:val="0001147D"/>
    <w:rsid w:val="000120EF"/>
    <w:rsid w:val="000121DE"/>
    <w:rsid w:val="00013122"/>
    <w:rsid w:val="00013CAD"/>
    <w:rsid w:val="00015AFF"/>
    <w:rsid w:val="000163AB"/>
    <w:rsid w:val="00016FE0"/>
    <w:rsid w:val="000170F9"/>
    <w:rsid w:val="00017FE1"/>
    <w:rsid w:val="0002331A"/>
    <w:rsid w:val="00025157"/>
    <w:rsid w:val="00025CB4"/>
    <w:rsid w:val="00027335"/>
    <w:rsid w:val="00027433"/>
    <w:rsid w:val="00031F45"/>
    <w:rsid w:val="000324A9"/>
    <w:rsid w:val="00033B0E"/>
    <w:rsid w:val="00033FA8"/>
    <w:rsid w:val="000366B0"/>
    <w:rsid w:val="00037F3E"/>
    <w:rsid w:val="000409F3"/>
    <w:rsid w:val="00040BC6"/>
    <w:rsid w:val="000420DC"/>
    <w:rsid w:val="00043346"/>
    <w:rsid w:val="0004570A"/>
    <w:rsid w:val="00046251"/>
    <w:rsid w:val="00050EF6"/>
    <w:rsid w:val="000514FC"/>
    <w:rsid w:val="00051F9D"/>
    <w:rsid w:val="000530C5"/>
    <w:rsid w:val="000533B2"/>
    <w:rsid w:val="00053D0E"/>
    <w:rsid w:val="000547C2"/>
    <w:rsid w:val="000550A7"/>
    <w:rsid w:val="00055DEA"/>
    <w:rsid w:val="00056288"/>
    <w:rsid w:val="0006187F"/>
    <w:rsid w:val="00062C9A"/>
    <w:rsid w:val="0006497F"/>
    <w:rsid w:val="00065443"/>
    <w:rsid w:val="00065506"/>
    <w:rsid w:val="00065C81"/>
    <w:rsid w:val="00066F08"/>
    <w:rsid w:val="00070F63"/>
    <w:rsid w:val="0007114F"/>
    <w:rsid w:val="00072387"/>
    <w:rsid w:val="000726ED"/>
    <w:rsid w:val="00072D7C"/>
    <w:rsid w:val="0007478F"/>
    <w:rsid w:val="000754FD"/>
    <w:rsid w:val="00075835"/>
    <w:rsid w:val="0007716B"/>
    <w:rsid w:val="00077222"/>
    <w:rsid w:val="000777F1"/>
    <w:rsid w:val="0008052B"/>
    <w:rsid w:val="00080CC9"/>
    <w:rsid w:val="00083FB5"/>
    <w:rsid w:val="0008413F"/>
    <w:rsid w:val="00084378"/>
    <w:rsid w:val="00085A2D"/>
    <w:rsid w:val="00085BDF"/>
    <w:rsid w:val="000876E2"/>
    <w:rsid w:val="0009362A"/>
    <w:rsid w:val="00095399"/>
    <w:rsid w:val="00095AF9"/>
    <w:rsid w:val="00096A0C"/>
    <w:rsid w:val="000975FB"/>
    <w:rsid w:val="000977D3"/>
    <w:rsid w:val="00097F24"/>
    <w:rsid w:val="000A0192"/>
    <w:rsid w:val="000A3236"/>
    <w:rsid w:val="000A404C"/>
    <w:rsid w:val="000A557A"/>
    <w:rsid w:val="000B114C"/>
    <w:rsid w:val="000B470D"/>
    <w:rsid w:val="000B7197"/>
    <w:rsid w:val="000C1731"/>
    <w:rsid w:val="000C4504"/>
    <w:rsid w:val="000C4B7C"/>
    <w:rsid w:val="000C4BB6"/>
    <w:rsid w:val="000C54B9"/>
    <w:rsid w:val="000D0ADD"/>
    <w:rsid w:val="000D21E0"/>
    <w:rsid w:val="000D2E21"/>
    <w:rsid w:val="000D3825"/>
    <w:rsid w:val="000D6F48"/>
    <w:rsid w:val="000D7241"/>
    <w:rsid w:val="000D78C8"/>
    <w:rsid w:val="000D7E8F"/>
    <w:rsid w:val="000E06A4"/>
    <w:rsid w:val="000E1214"/>
    <w:rsid w:val="000E1F23"/>
    <w:rsid w:val="000E206D"/>
    <w:rsid w:val="000E30F7"/>
    <w:rsid w:val="000E4820"/>
    <w:rsid w:val="000E4BF0"/>
    <w:rsid w:val="000E5587"/>
    <w:rsid w:val="000E5D78"/>
    <w:rsid w:val="000E6204"/>
    <w:rsid w:val="000E6AEB"/>
    <w:rsid w:val="000E7C5C"/>
    <w:rsid w:val="000F12F3"/>
    <w:rsid w:val="000F17F1"/>
    <w:rsid w:val="000F337D"/>
    <w:rsid w:val="000F4A07"/>
    <w:rsid w:val="000F4B0B"/>
    <w:rsid w:val="000F4D4F"/>
    <w:rsid w:val="000F5809"/>
    <w:rsid w:val="000F6D96"/>
    <w:rsid w:val="000F7694"/>
    <w:rsid w:val="000F7986"/>
    <w:rsid w:val="00101416"/>
    <w:rsid w:val="00104231"/>
    <w:rsid w:val="00106C7D"/>
    <w:rsid w:val="001108EE"/>
    <w:rsid w:val="00110AC1"/>
    <w:rsid w:val="00110FD8"/>
    <w:rsid w:val="00112497"/>
    <w:rsid w:val="00113998"/>
    <w:rsid w:val="0011413F"/>
    <w:rsid w:val="00114A97"/>
    <w:rsid w:val="00114DB8"/>
    <w:rsid w:val="00116628"/>
    <w:rsid w:val="00117F41"/>
    <w:rsid w:val="00120481"/>
    <w:rsid w:val="001207C0"/>
    <w:rsid w:val="00121437"/>
    <w:rsid w:val="00121772"/>
    <w:rsid w:val="001222A7"/>
    <w:rsid w:val="00124E7A"/>
    <w:rsid w:val="00125159"/>
    <w:rsid w:val="001256C9"/>
    <w:rsid w:val="0012571A"/>
    <w:rsid w:val="00125902"/>
    <w:rsid w:val="00125C4E"/>
    <w:rsid w:val="00126602"/>
    <w:rsid w:val="00126D57"/>
    <w:rsid w:val="001270D2"/>
    <w:rsid w:val="001275DF"/>
    <w:rsid w:val="00127D14"/>
    <w:rsid w:val="00131A4F"/>
    <w:rsid w:val="00132B5D"/>
    <w:rsid w:val="00133114"/>
    <w:rsid w:val="0013406E"/>
    <w:rsid w:val="00136F04"/>
    <w:rsid w:val="0014190D"/>
    <w:rsid w:val="00142FD3"/>
    <w:rsid w:val="00143821"/>
    <w:rsid w:val="0014495A"/>
    <w:rsid w:val="0014568E"/>
    <w:rsid w:val="00145FC0"/>
    <w:rsid w:val="00145FCC"/>
    <w:rsid w:val="00146708"/>
    <w:rsid w:val="0014704C"/>
    <w:rsid w:val="00150C24"/>
    <w:rsid w:val="00150D2F"/>
    <w:rsid w:val="0015192F"/>
    <w:rsid w:val="0015299C"/>
    <w:rsid w:val="001529CA"/>
    <w:rsid w:val="00154F9B"/>
    <w:rsid w:val="001576E5"/>
    <w:rsid w:val="00157DDB"/>
    <w:rsid w:val="001624F1"/>
    <w:rsid w:val="00162EAC"/>
    <w:rsid w:val="00164C1D"/>
    <w:rsid w:val="001657E7"/>
    <w:rsid w:val="0017056A"/>
    <w:rsid w:val="00172699"/>
    <w:rsid w:val="00172C3D"/>
    <w:rsid w:val="00173157"/>
    <w:rsid w:val="001750E5"/>
    <w:rsid w:val="00175F3A"/>
    <w:rsid w:val="00176E23"/>
    <w:rsid w:val="001771AC"/>
    <w:rsid w:val="0017775B"/>
    <w:rsid w:val="00181C77"/>
    <w:rsid w:val="00182051"/>
    <w:rsid w:val="001833DD"/>
    <w:rsid w:val="00183980"/>
    <w:rsid w:val="001842BF"/>
    <w:rsid w:val="0018449C"/>
    <w:rsid w:val="00184691"/>
    <w:rsid w:val="00184AEE"/>
    <w:rsid w:val="00190621"/>
    <w:rsid w:val="00192654"/>
    <w:rsid w:val="00193990"/>
    <w:rsid w:val="00195468"/>
    <w:rsid w:val="001970C2"/>
    <w:rsid w:val="001A098C"/>
    <w:rsid w:val="001A0B61"/>
    <w:rsid w:val="001A1D5C"/>
    <w:rsid w:val="001A5590"/>
    <w:rsid w:val="001A5BD1"/>
    <w:rsid w:val="001A60E4"/>
    <w:rsid w:val="001A613A"/>
    <w:rsid w:val="001A6FB8"/>
    <w:rsid w:val="001A757E"/>
    <w:rsid w:val="001A7666"/>
    <w:rsid w:val="001B0B74"/>
    <w:rsid w:val="001B2506"/>
    <w:rsid w:val="001B67F2"/>
    <w:rsid w:val="001C0A17"/>
    <w:rsid w:val="001C263A"/>
    <w:rsid w:val="001C2D89"/>
    <w:rsid w:val="001C3E17"/>
    <w:rsid w:val="001C5C97"/>
    <w:rsid w:val="001C67E0"/>
    <w:rsid w:val="001D0C31"/>
    <w:rsid w:val="001D3B0D"/>
    <w:rsid w:val="001D51C8"/>
    <w:rsid w:val="001D6687"/>
    <w:rsid w:val="001D795A"/>
    <w:rsid w:val="001E1DEA"/>
    <w:rsid w:val="001E2144"/>
    <w:rsid w:val="001E23CA"/>
    <w:rsid w:val="001E56DF"/>
    <w:rsid w:val="001E621A"/>
    <w:rsid w:val="001E6E2E"/>
    <w:rsid w:val="001F0378"/>
    <w:rsid w:val="001F03EB"/>
    <w:rsid w:val="001F0863"/>
    <w:rsid w:val="001F1E85"/>
    <w:rsid w:val="001F3386"/>
    <w:rsid w:val="001F3585"/>
    <w:rsid w:val="001F437B"/>
    <w:rsid w:val="001F4762"/>
    <w:rsid w:val="001F4C76"/>
    <w:rsid w:val="001F7774"/>
    <w:rsid w:val="00200858"/>
    <w:rsid w:val="0020105F"/>
    <w:rsid w:val="0020157F"/>
    <w:rsid w:val="002015D1"/>
    <w:rsid w:val="00202A0B"/>
    <w:rsid w:val="00204EE1"/>
    <w:rsid w:val="00205034"/>
    <w:rsid w:val="00206548"/>
    <w:rsid w:val="0020694F"/>
    <w:rsid w:val="00206B2B"/>
    <w:rsid w:val="00207D0A"/>
    <w:rsid w:val="00207E33"/>
    <w:rsid w:val="002107E9"/>
    <w:rsid w:val="00210FD7"/>
    <w:rsid w:val="00211D5B"/>
    <w:rsid w:val="00211E80"/>
    <w:rsid w:val="00211F85"/>
    <w:rsid w:val="00212EBA"/>
    <w:rsid w:val="0021493F"/>
    <w:rsid w:val="002160FE"/>
    <w:rsid w:val="002163A8"/>
    <w:rsid w:val="00217E8E"/>
    <w:rsid w:val="002203EA"/>
    <w:rsid w:val="002214BA"/>
    <w:rsid w:val="00221DE7"/>
    <w:rsid w:val="002232FE"/>
    <w:rsid w:val="00223302"/>
    <w:rsid w:val="00224CB6"/>
    <w:rsid w:val="0022557F"/>
    <w:rsid w:val="00226940"/>
    <w:rsid w:val="0022711E"/>
    <w:rsid w:val="002323D9"/>
    <w:rsid w:val="002339AD"/>
    <w:rsid w:val="00234AAD"/>
    <w:rsid w:val="002373DE"/>
    <w:rsid w:val="00240154"/>
    <w:rsid w:val="00240D71"/>
    <w:rsid w:val="00241537"/>
    <w:rsid w:val="002437DF"/>
    <w:rsid w:val="0024443E"/>
    <w:rsid w:val="00247035"/>
    <w:rsid w:val="00252589"/>
    <w:rsid w:val="00252E94"/>
    <w:rsid w:val="00254E37"/>
    <w:rsid w:val="002559CC"/>
    <w:rsid w:val="002561B3"/>
    <w:rsid w:val="00256242"/>
    <w:rsid w:val="00256E41"/>
    <w:rsid w:val="002575B1"/>
    <w:rsid w:val="00260524"/>
    <w:rsid w:val="00263144"/>
    <w:rsid w:val="00264471"/>
    <w:rsid w:val="00264E7D"/>
    <w:rsid w:val="002676A0"/>
    <w:rsid w:val="00271B6C"/>
    <w:rsid w:val="00272A51"/>
    <w:rsid w:val="00274FB2"/>
    <w:rsid w:val="00275330"/>
    <w:rsid w:val="00275899"/>
    <w:rsid w:val="00277DC2"/>
    <w:rsid w:val="00281AF9"/>
    <w:rsid w:val="00281B54"/>
    <w:rsid w:val="00282962"/>
    <w:rsid w:val="00283AB6"/>
    <w:rsid w:val="002853F1"/>
    <w:rsid w:val="0028568F"/>
    <w:rsid w:val="00287756"/>
    <w:rsid w:val="00290432"/>
    <w:rsid w:val="00290F03"/>
    <w:rsid w:val="00291DA8"/>
    <w:rsid w:val="00292D31"/>
    <w:rsid w:val="00296E94"/>
    <w:rsid w:val="002A1FB2"/>
    <w:rsid w:val="002A246E"/>
    <w:rsid w:val="002A27D7"/>
    <w:rsid w:val="002A2C5B"/>
    <w:rsid w:val="002A3795"/>
    <w:rsid w:val="002A6FD5"/>
    <w:rsid w:val="002B17BA"/>
    <w:rsid w:val="002B5ADB"/>
    <w:rsid w:val="002B60C0"/>
    <w:rsid w:val="002B678A"/>
    <w:rsid w:val="002C1123"/>
    <w:rsid w:val="002C2BE8"/>
    <w:rsid w:val="002C51FA"/>
    <w:rsid w:val="002C5EAB"/>
    <w:rsid w:val="002C749C"/>
    <w:rsid w:val="002C78DA"/>
    <w:rsid w:val="002D210C"/>
    <w:rsid w:val="002D3376"/>
    <w:rsid w:val="002D68C1"/>
    <w:rsid w:val="002D7E85"/>
    <w:rsid w:val="002E021A"/>
    <w:rsid w:val="002E2050"/>
    <w:rsid w:val="002E3F3A"/>
    <w:rsid w:val="002F1C58"/>
    <w:rsid w:val="002F25B0"/>
    <w:rsid w:val="002F300F"/>
    <w:rsid w:val="002F32F5"/>
    <w:rsid w:val="002F441C"/>
    <w:rsid w:val="002F54FA"/>
    <w:rsid w:val="002F68B7"/>
    <w:rsid w:val="00300324"/>
    <w:rsid w:val="00300601"/>
    <w:rsid w:val="00301192"/>
    <w:rsid w:val="00301822"/>
    <w:rsid w:val="00303E61"/>
    <w:rsid w:val="0030410B"/>
    <w:rsid w:val="00305DB3"/>
    <w:rsid w:val="00306C15"/>
    <w:rsid w:val="00310A56"/>
    <w:rsid w:val="003112FD"/>
    <w:rsid w:val="00311AAF"/>
    <w:rsid w:val="00311E69"/>
    <w:rsid w:val="00312BCA"/>
    <w:rsid w:val="0031422B"/>
    <w:rsid w:val="00314D78"/>
    <w:rsid w:val="0031516E"/>
    <w:rsid w:val="0031602E"/>
    <w:rsid w:val="00317666"/>
    <w:rsid w:val="00317D17"/>
    <w:rsid w:val="00322D57"/>
    <w:rsid w:val="00322E1D"/>
    <w:rsid w:val="00323081"/>
    <w:rsid w:val="0032314E"/>
    <w:rsid w:val="00324210"/>
    <w:rsid w:val="00326B39"/>
    <w:rsid w:val="00327E65"/>
    <w:rsid w:val="0033330A"/>
    <w:rsid w:val="003333AC"/>
    <w:rsid w:val="003362D4"/>
    <w:rsid w:val="0033775C"/>
    <w:rsid w:val="00337D0D"/>
    <w:rsid w:val="00343304"/>
    <w:rsid w:val="00343DF1"/>
    <w:rsid w:val="00345D82"/>
    <w:rsid w:val="00347A0D"/>
    <w:rsid w:val="0035052D"/>
    <w:rsid w:val="00351631"/>
    <w:rsid w:val="00356011"/>
    <w:rsid w:val="00356663"/>
    <w:rsid w:val="003567D9"/>
    <w:rsid w:val="00356D95"/>
    <w:rsid w:val="00360759"/>
    <w:rsid w:val="00360DB8"/>
    <w:rsid w:val="003613F8"/>
    <w:rsid w:val="003636FD"/>
    <w:rsid w:val="00365FB1"/>
    <w:rsid w:val="00366FEB"/>
    <w:rsid w:val="0037214E"/>
    <w:rsid w:val="00375680"/>
    <w:rsid w:val="0037601A"/>
    <w:rsid w:val="00376494"/>
    <w:rsid w:val="00376596"/>
    <w:rsid w:val="003806DE"/>
    <w:rsid w:val="00380B6E"/>
    <w:rsid w:val="00381EA1"/>
    <w:rsid w:val="003826EF"/>
    <w:rsid w:val="00385414"/>
    <w:rsid w:val="00385B1B"/>
    <w:rsid w:val="003872FB"/>
    <w:rsid w:val="00387380"/>
    <w:rsid w:val="00390C12"/>
    <w:rsid w:val="0039141E"/>
    <w:rsid w:val="00391971"/>
    <w:rsid w:val="00392D10"/>
    <w:rsid w:val="00393357"/>
    <w:rsid w:val="0039445C"/>
    <w:rsid w:val="003948F2"/>
    <w:rsid w:val="00395309"/>
    <w:rsid w:val="00395AE9"/>
    <w:rsid w:val="00395F09"/>
    <w:rsid w:val="003A2208"/>
    <w:rsid w:val="003A2255"/>
    <w:rsid w:val="003A262A"/>
    <w:rsid w:val="003A3143"/>
    <w:rsid w:val="003A3163"/>
    <w:rsid w:val="003A4FFE"/>
    <w:rsid w:val="003B001F"/>
    <w:rsid w:val="003B25FD"/>
    <w:rsid w:val="003B3962"/>
    <w:rsid w:val="003B58FD"/>
    <w:rsid w:val="003B688A"/>
    <w:rsid w:val="003B7046"/>
    <w:rsid w:val="003B761D"/>
    <w:rsid w:val="003C0BDE"/>
    <w:rsid w:val="003C12CE"/>
    <w:rsid w:val="003C16A4"/>
    <w:rsid w:val="003C1B4C"/>
    <w:rsid w:val="003C1C12"/>
    <w:rsid w:val="003C2DFB"/>
    <w:rsid w:val="003C3EF4"/>
    <w:rsid w:val="003C3F4F"/>
    <w:rsid w:val="003C5A27"/>
    <w:rsid w:val="003C6057"/>
    <w:rsid w:val="003C6A2C"/>
    <w:rsid w:val="003C79F9"/>
    <w:rsid w:val="003D46DC"/>
    <w:rsid w:val="003D6145"/>
    <w:rsid w:val="003D6804"/>
    <w:rsid w:val="003D7842"/>
    <w:rsid w:val="003D7D57"/>
    <w:rsid w:val="003E01E1"/>
    <w:rsid w:val="003E4074"/>
    <w:rsid w:val="003E43DA"/>
    <w:rsid w:val="003F0CEC"/>
    <w:rsid w:val="003F1736"/>
    <w:rsid w:val="003F2C02"/>
    <w:rsid w:val="003F2DAB"/>
    <w:rsid w:val="003F304F"/>
    <w:rsid w:val="003F4C75"/>
    <w:rsid w:val="003F4D7E"/>
    <w:rsid w:val="003F58A8"/>
    <w:rsid w:val="003F5EB0"/>
    <w:rsid w:val="003F6B9A"/>
    <w:rsid w:val="003F6F2C"/>
    <w:rsid w:val="003F7DED"/>
    <w:rsid w:val="00400080"/>
    <w:rsid w:val="00401188"/>
    <w:rsid w:val="00402389"/>
    <w:rsid w:val="00402468"/>
    <w:rsid w:val="0040683B"/>
    <w:rsid w:val="00407143"/>
    <w:rsid w:val="00407BFA"/>
    <w:rsid w:val="00407D9E"/>
    <w:rsid w:val="00407E6C"/>
    <w:rsid w:val="00410913"/>
    <w:rsid w:val="00411600"/>
    <w:rsid w:val="0041215C"/>
    <w:rsid w:val="00413830"/>
    <w:rsid w:val="00413EC8"/>
    <w:rsid w:val="004156DB"/>
    <w:rsid w:val="00416063"/>
    <w:rsid w:val="00416774"/>
    <w:rsid w:val="00416F03"/>
    <w:rsid w:val="00421AF6"/>
    <w:rsid w:val="004235A4"/>
    <w:rsid w:val="0042382B"/>
    <w:rsid w:val="00423E01"/>
    <w:rsid w:val="0042528D"/>
    <w:rsid w:val="00430233"/>
    <w:rsid w:val="004305BF"/>
    <w:rsid w:val="00430D23"/>
    <w:rsid w:val="00431A54"/>
    <w:rsid w:val="004328D1"/>
    <w:rsid w:val="004330DB"/>
    <w:rsid w:val="00435059"/>
    <w:rsid w:val="00436D06"/>
    <w:rsid w:val="00437B1B"/>
    <w:rsid w:val="00437F79"/>
    <w:rsid w:val="00441524"/>
    <w:rsid w:val="0044312F"/>
    <w:rsid w:val="00445CBB"/>
    <w:rsid w:val="00446669"/>
    <w:rsid w:val="004468BD"/>
    <w:rsid w:val="00446DA1"/>
    <w:rsid w:val="004529E6"/>
    <w:rsid w:val="004531B5"/>
    <w:rsid w:val="004535CE"/>
    <w:rsid w:val="0045386C"/>
    <w:rsid w:val="0045532D"/>
    <w:rsid w:val="00455724"/>
    <w:rsid w:val="00456638"/>
    <w:rsid w:val="0045774B"/>
    <w:rsid w:val="00462E58"/>
    <w:rsid w:val="004645AB"/>
    <w:rsid w:val="00464955"/>
    <w:rsid w:val="0047185F"/>
    <w:rsid w:val="004729DC"/>
    <w:rsid w:val="004735BB"/>
    <w:rsid w:val="004765E3"/>
    <w:rsid w:val="00477015"/>
    <w:rsid w:val="004806F0"/>
    <w:rsid w:val="00484A63"/>
    <w:rsid w:val="004855E4"/>
    <w:rsid w:val="004859F4"/>
    <w:rsid w:val="00485D0B"/>
    <w:rsid w:val="00486203"/>
    <w:rsid w:val="0048632E"/>
    <w:rsid w:val="00487C86"/>
    <w:rsid w:val="004918A2"/>
    <w:rsid w:val="00491B17"/>
    <w:rsid w:val="00492DC6"/>
    <w:rsid w:val="00493459"/>
    <w:rsid w:val="00495B16"/>
    <w:rsid w:val="00496B58"/>
    <w:rsid w:val="004A0AA5"/>
    <w:rsid w:val="004A1AAB"/>
    <w:rsid w:val="004A33F4"/>
    <w:rsid w:val="004A34D0"/>
    <w:rsid w:val="004A4B75"/>
    <w:rsid w:val="004A549E"/>
    <w:rsid w:val="004A569C"/>
    <w:rsid w:val="004A56E1"/>
    <w:rsid w:val="004A6178"/>
    <w:rsid w:val="004A754B"/>
    <w:rsid w:val="004A7B01"/>
    <w:rsid w:val="004A7D09"/>
    <w:rsid w:val="004B2729"/>
    <w:rsid w:val="004B27E5"/>
    <w:rsid w:val="004B299A"/>
    <w:rsid w:val="004B3B3D"/>
    <w:rsid w:val="004B3CDE"/>
    <w:rsid w:val="004B3D73"/>
    <w:rsid w:val="004B64C3"/>
    <w:rsid w:val="004C28BD"/>
    <w:rsid w:val="004C47C0"/>
    <w:rsid w:val="004C482F"/>
    <w:rsid w:val="004D0EC5"/>
    <w:rsid w:val="004D150F"/>
    <w:rsid w:val="004D1634"/>
    <w:rsid w:val="004D1D70"/>
    <w:rsid w:val="004D22A0"/>
    <w:rsid w:val="004D27FC"/>
    <w:rsid w:val="004D2906"/>
    <w:rsid w:val="004D3FE8"/>
    <w:rsid w:val="004D454A"/>
    <w:rsid w:val="004D4E31"/>
    <w:rsid w:val="004D549B"/>
    <w:rsid w:val="004D7B63"/>
    <w:rsid w:val="004E0648"/>
    <w:rsid w:val="004E071D"/>
    <w:rsid w:val="004E0721"/>
    <w:rsid w:val="004E0E73"/>
    <w:rsid w:val="004E3711"/>
    <w:rsid w:val="004E41D2"/>
    <w:rsid w:val="004E51D7"/>
    <w:rsid w:val="004E7F6F"/>
    <w:rsid w:val="004F11D5"/>
    <w:rsid w:val="004F1D53"/>
    <w:rsid w:val="004F597D"/>
    <w:rsid w:val="004F69AA"/>
    <w:rsid w:val="004F7C99"/>
    <w:rsid w:val="005010D9"/>
    <w:rsid w:val="0050242A"/>
    <w:rsid w:val="00503AD4"/>
    <w:rsid w:val="005043DB"/>
    <w:rsid w:val="00505778"/>
    <w:rsid w:val="005108E9"/>
    <w:rsid w:val="00510E90"/>
    <w:rsid w:val="005113D9"/>
    <w:rsid w:val="00515EFE"/>
    <w:rsid w:val="00516CDE"/>
    <w:rsid w:val="00517683"/>
    <w:rsid w:val="005224E7"/>
    <w:rsid w:val="00522580"/>
    <w:rsid w:val="00523B50"/>
    <w:rsid w:val="005240C9"/>
    <w:rsid w:val="00525C22"/>
    <w:rsid w:val="0052631C"/>
    <w:rsid w:val="005268C4"/>
    <w:rsid w:val="0052766D"/>
    <w:rsid w:val="005346F9"/>
    <w:rsid w:val="00535680"/>
    <w:rsid w:val="005359F4"/>
    <w:rsid w:val="00535E5C"/>
    <w:rsid w:val="00537B00"/>
    <w:rsid w:val="005426CE"/>
    <w:rsid w:val="00543C9B"/>
    <w:rsid w:val="00543F15"/>
    <w:rsid w:val="00545069"/>
    <w:rsid w:val="00545C5E"/>
    <w:rsid w:val="00546D34"/>
    <w:rsid w:val="00552079"/>
    <w:rsid w:val="0055573D"/>
    <w:rsid w:val="00556543"/>
    <w:rsid w:val="00557329"/>
    <w:rsid w:val="005575AD"/>
    <w:rsid w:val="00560A9B"/>
    <w:rsid w:val="00560C36"/>
    <w:rsid w:val="00561403"/>
    <w:rsid w:val="00561A25"/>
    <w:rsid w:val="00565A21"/>
    <w:rsid w:val="005670B9"/>
    <w:rsid w:val="00567FAF"/>
    <w:rsid w:val="00570C8B"/>
    <w:rsid w:val="005712B9"/>
    <w:rsid w:val="0057173F"/>
    <w:rsid w:val="00571F55"/>
    <w:rsid w:val="00572B55"/>
    <w:rsid w:val="00573656"/>
    <w:rsid w:val="0057612D"/>
    <w:rsid w:val="00576B6B"/>
    <w:rsid w:val="00577630"/>
    <w:rsid w:val="00580215"/>
    <w:rsid w:val="0058080E"/>
    <w:rsid w:val="0058113D"/>
    <w:rsid w:val="00581789"/>
    <w:rsid w:val="005821AD"/>
    <w:rsid w:val="005822B4"/>
    <w:rsid w:val="005823B6"/>
    <w:rsid w:val="00582F0B"/>
    <w:rsid w:val="005853FC"/>
    <w:rsid w:val="00586635"/>
    <w:rsid w:val="00587C74"/>
    <w:rsid w:val="0059051E"/>
    <w:rsid w:val="005918A1"/>
    <w:rsid w:val="00593ACE"/>
    <w:rsid w:val="00595CA5"/>
    <w:rsid w:val="00595D80"/>
    <w:rsid w:val="005967FD"/>
    <w:rsid w:val="005A1159"/>
    <w:rsid w:val="005A1FB3"/>
    <w:rsid w:val="005A523B"/>
    <w:rsid w:val="005A593D"/>
    <w:rsid w:val="005A7ED7"/>
    <w:rsid w:val="005B2F1D"/>
    <w:rsid w:val="005B4502"/>
    <w:rsid w:val="005B7419"/>
    <w:rsid w:val="005C213C"/>
    <w:rsid w:val="005C34B7"/>
    <w:rsid w:val="005C4617"/>
    <w:rsid w:val="005C4A03"/>
    <w:rsid w:val="005C4F21"/>
    <w:rsid w:val="005C50E2"/>
    <w:rsid w:val="005D06F4"/>
    <w:rsid w:val="005D0E8F"/>
    <w:rsid w:val="005D133F"/>
    <w:rsid w:val="005D2183"/>
    <w:rsid w:val="005D3327"/>
    <w:rsid w:val="005D5286"/>
    <w:rsid w:val="005D5A35"/>
    <w:rsid w:val="005E21B3"/>
    <w:rsid w:val="005E297A"/>
    <w:rsid w:val="005E4993"/>
    <w:rsid w:val="005E70E2"/>
    <w:rsid w:val="005E72D3"/>
    <w:rsid w:val="005E7E7F"/>
    <w:rsid w:val="005F0321"/>
    <w:rsid w:val="005F3312"/>
    <w:rsid w:val="005F3635"/>
    <w:rsid w:val="005F37D3"/>
    <w:rsid w:val="005F47C2"/>
    <w:rsid w:val="005F5813"/>
    <w:rsid w:val="00600E70"/>
    <w:rsid w:val="0060133B"/>
    <w:rsid w:val="00602B69"/>
    <w:rsid w:val="00602E86"/>
    <w:rsid w:val="00605D65"/>
    <w:rsid w:val="00606E59"/>
    <w:rsid w:val="00607F23"/>
    <w:rsid w:val="0061026A"/>
    <w:rsid w:val="006128B2"/>
    <w:rsid w:val="00612BB8"/>
    <w:rsid w:val="00616626"/>
    <w:rsid w:val="00616D3C"/>
    <w:rsid w:val="0062043C"/>
    <w:rsid w:val="00622B23"/>
    <w:rsid w:val="00625121"/>
    <w:rsid w:val="0063303C"/>
    <w:rsid w:val="00634481"/>
    <w:rsid w:val="006344E9"/>
    <w:rsid w:val="00634C25"/>
    <w:rsid w:val="00641B07"/>
    <w:rsid w:val="006439C0"/>
    <w:rsid w:val="00643CC3"/>
    <w:rsid w:val="0064435D"/>
    <w:rsid w:val="0064480C"/>
    <w:rsid w:val="00644AD0"/>
    <w:rsid w:val="00645570"/>
    <w:rsid w:val="006461D2"/>
    <w:rsid w:val="00646367"/>
    <w:rsid w:val="00647F44"/>
    <w:rsid w:val="00651F89"/>
    <w:rsid w:val="006540C3"/>
    <w:rsid w:val="00654463"/>
    <w:rsid w:val="00654573"/>
    <w:rsid w:val="00656BE6"/>
    <w:rsid w:val="00656C37"/>
    <w:rsid w:val="00656C38"/>
    <w:rsid w:val="00656D23"/>
    <w:rsid w:val="00660DF7"/>
    <w:rsid w:val="00661AD1"/>
    <w:rsid w:val="00661F2E"/>
    <w:rsid w:val="00662F2D"/>
    <w:rsid w:val="00663476"/>
    <w:rsid w:val="00663672"/>
    <w:rsid w:val="006644E0"/>
    <w:rsid w:val="00666AB7"/>
    <w:rsid w:val="0067058F"/>
    <w:rsid w:val="00671327"/>
    <w:rsid w:val="006716AD"/>
    <w:rsid w:val="006740F2"/>
    <w:rsid w:val="0067448C"/>
    <w:rsid w:val="00675CF7"/>
    <w:rsid w:val="00681603"/>
    <w:rsid w:val="00681D99"/>
    <w:rsid w:val="0068256B"/>
    <w:rsid w:val="006833D8"/>
    <w:rsid w:val="0068391D"/>
    <w:rsid w:val="00684089"/>
    <w:rsid w:val="0068411E"/>
    <w:rsid w:val="00690A2F"/>
    <w:rsid w:val="00692056"/>
    <w:rsid w:val="00692EAB"/>
    <w:rsid w:val="006948BB"/>
    <w:rsid w:val="00696608"/>
    <w:rsid w:val="006A234E"/>
    <w:rsid w:val="006A290A"/>
    <w:rsid w:val="006A2E57"/>
    <w:rsid w:val="006A4932"/>
    <w:rsid w:val="006B0321"/>
    <w:rsid w:val="006B3369"/>
    <w:rsid w:val="006B4211"/>
    <w:rsid w:val="006B4EDB"/>
    <w:rsid w:val="006B6FCF"/>
    <w:rsid w:val="006B798B"/>
    <w:rsid w:val="006C0578"/>
    <w:rsid w:val="006C073C"/>
    <w:rsid w:val="006C0AE1"/>
    <w:rsid w:val="006C1267"/>
    <w:rsid w:val="006C215A"/>
    <w:rsid w:val="006C32E3"/>
    <w:rsid w:val="006C3602"/>
    <w:rsid w:val="006C3F4B"/>
    <w:rsid w:val="006C574D"/>
    <w:rsid w:val="006C7305"/>
    <w:rsid w:val="006C7A8A"/>
    <w:rsid w:val="006D0534"/>
    <w:rsid w:val="006D0909"/>
    <w:rsid w:val="006D4309"/>
    <w:rsid w:val="006D56AE"/>
    <w:rsid w:val="006D6C54"/>
    <w:rsid w:val="006D72F3"/>
    <w:rsid w:val="006D7934"/>
    <w:rsid w:val="006D7BC9"/>
    <w:rsid w:val="006E2E26"/>
    <w:rsid w:val="006E48A9"/>
    <w:rsid w:val="006E68DA"/>
    <w:rsid w:val="006E72EE"/>
    <w:rsid w:val="006F0DCF"/>
    <w:rsid w:val="006F0DD4"/>
    <w:rsid w:val="006F2774"/>
    <w:rsid w:val="006F278A"/>
    <w:rsid w:val="006F2D3F"/>
    <w:rsid w:val="006F2EBA"/>
    <w:rsid w:val="006F5804"/>
    <w:rsid w:val="006F62FB"/>
    <w:rsid w:val="006F6B37"/>
    <w:rsid w:val="0070076C"/>
    <w:rsid w:val="00701A67"/>
    <w:rsid w:val="007025A2"/>
    <w:rsid w:val="00702CC4"/>
    <w:rsid w:val="00704ADF"/>
    <w:rsid w:val="0070643E"/>
    <w:rsid w:val="00707326"/>
    <w:rsid w:val="007079CB"/>
    <w:rsid w:val="00707DA8"/>
    <w:rsid w:val="00711188"/>
    <w:rsid w:val="00712F11"/>
    <w:rsid w:val="00713524"/>
    <w:rsid w:val="00715614"/>
    <w:rsid w:val="007165F5"/>
    <w:rsid w:val="007167C0"/>
    <w:rsid w:val="00717529"/>
    <w:rsid w:val="0071788F"/>
    <w:rsid w:val="0072012E"/>
    <w:rsid w:val="007222F0"/>
    <w:rsid w:val="00723853"/>
    <w:rsid w:val="00724FEF"/>
    <w:rsid w:val="0072647C"/>
    <w:rsid w:val="00726C58"/>
    <w:rsid w:val="00730DD5"/>
    <w:rsid w:val="00732952"/>
    <w:rsid w:val="00733617"/>
    <w:rsid w:val="00742074"/>
    <w:rsid w:val="007423BE"/>
    <w:rsid w:val="0074411E"/>
    <w:rsid w:val="0074552D"/>
    <w:rsid w:val="00745A63"/>
    <w:rsid w:val="00745ED7"/>
    <w:rsid w:val="0075326C"/>
    <w:rsid w:val="0075445F"/>
    <w:rsid w:val="00754632"/>
    <w:rsid w:val="00755988"/>
    <w:rsid w:val="00756469"/>
    <w:rsid w:val="007566B7"/>
    <w:rsid w:val="00757015"/>
    <w:rsid w:val="0075788A"/>
    <w:rsid w:val="00760D17"/>
    <w:rsid w:val="00760D43"/>
    <w:rsid w:val="00760E39"/>
    <w:rsid w:val="007610D2"/>
    <w:rsid w:val="00761285"/>
    <w:rsid w:val="00762F57"/>
    <w:rsid w:val="007634FA"/>
    <w:rsid w:val="00763A2D"/>
    <w:rsid w:val="00763F19"/>
    <w:rsid w:val="0076434F"/>
    <w:rsid w:val="007650BC"/>
    <w:rsid w:val="007654F6"/>
    <w:rsid w:val="00766A29"/>
    <w:rsid w:val="00766DE8"/>
    <w:rsid w:val="00770536"/>
    <w:rsid w:val="007715AC"/>
    <w:rsid w:val="00772585"/>
    <w:rsid w:val="007740B0"/>
    <w:rsid w:val="00774451"/>
    <w:rsid w:val="007747D3"/>
    <w:rsid w:val="00775ABB"/>
    <w:rsid w:val="00776062"/>
    <w:rsid w:val="00776D9B"/>
    <w:rsid w:val="0077738F"/>
    <w:rsid w:val="0077780B"/>
    <w:rsid w:val="00780084"/>
    <w:rsid w:val="007802F5"/>
    <w:rsid w:val="0078360C"/>
    <w:rsid w:val="00784627"/>
    <w:rsid w:val="007865FE"/>
    <w:rsid w:val="00787D50"/>
    <w:rsid w:val="007905B1"/>
    <w:rsid w:val="0079077C"/>
    <w:rsid w:val="007910DB"/>
    <w:rsid w:val="00791FE2"/>
    <w:rsid w:val="00794B83"/>
    <w:rsid w:val="007955E0"/>
    <w:rsid w:val="00795B92"/>
    <w:rsid w:val="007A4842"/>
    <w:rsid w:val="007A7863"/>
    <w:rsid w:val="007B131B"/>
    <w:rsid w:val="007B3F73"/>
    <w:rsid w:val="007B42E7"/>
    <w:rsid w:val="007B5726"/>
    <w:rsid w:val="007B76D3"/>
    <w:rsid w:val="007C075D"/>
    <w:rsid w:val="007C1477"/>
    <w:rsid w:val="007C1697"/>
    <w:rsid w:val="007C35AB"/>
    <w:rsid w:val="007C388A"/>
    <w:rsid w:val="007C3C7D"/>
    <w:rsid w:val="007C5404"/>
    <w:rsid w:val="007C5D46"/>
    <w:rsid w:val="007C6487"/>
    <w:rsid w:val="007D5345"/>
    <w:rsid w:val="007D6120"/>
    <w:rsid w:val="007E0F0D"/>
    <w:rsid w:val="007E10A0"/>
    <w:rsid w:val="007E3043"/>
    <w:rsid w:val="007E4CAA"/>
    <w:rsid w:val="007E57AE"/>
    <w:rsid w:val="007E6FAD"/>
    <w:rsid w:val="007F07E6"/>
    <w:rsid w:val="007F0D94"/>
    <w:rsid w:val="007F1BAD"/>
    <w:rsid w:val="007F2FB8"/>
    <w:rsid w:val="007F33CE"/>
    <w:rsid w:val="007F4B16"/>
    <w:rsid w:val="007F6C8B"/>
    <w:rsid w:val="007F6F12"/>
    <w:rsid w:val="00800286"/>
    <w:rsid w:val="00803E8F"/>
    <w:rsid w:val="00805076"/>
    <w:rsid w:val="00807144"/>
    <w:rsid w:val="00807B79"/>
    <w:rsid w:val="008113A7"/>
    <w:rsid w:val="00812C6A"/>
    <w:rsid w:val="00812DB1"/>
    <w:rsid w:val="00813362"/>
    <w:rsid w:val="0081375F"/>
    <w:rsid w:val="00814E8C"/>
    <w:rsid w:val="00817AD1"/>
    <w:rsid w:val="008243ED"/>
    <w:rsid w:val="0082466B"/>
    <w:rsid w:val="00824950"/>
    <w:rsid w:val="00826171"/>
    <w:rsid w:val="00827CA5"/>
    <w:rsid w:val="00830D3E"/>
    <w:rsid w:val="008314A9"/>
    <w:rsid w:val="00831573"/>
    <w:rsid w:val="00834B99"/>
    <w:rsid w:val="00835A68"/>
    <w:rsid w:val="00835D7A"/>
    <w:rsid w:val="00836561"/>
    <w:rsid w:val="0083662D"/>
    <w:rsid w:val="008366E4"/>
    <w:rsid w:val="00836F29"/>
    <w:rsid w:val="0083797E"/>
    <w:rsid w:val="008407BE"/>
    <w:rsid w:val="00840FBC"/>
    <w:rsid w:val="008416BB"/>
    <w:rsid w:val="008423A2"/>
    <w:rsid w:val="0084468E"/>
    <w:rsid w:val="008477CC"/>
    <w:rsid w:val="00847CFD"/>
    <w:rsid w:val="00850411"/>
    <w:rsid w:val="0085412B"/>
    <w:rsid w:val="00854414"/>
    <w:rsid w:val="00856FB1"/>
    <w:rsid w:val="008613AC"/>
    <w:rsid w:val="00862060"/>
    <w:rsid w:val="008626E0"/>
    <w:rsid w:val="00862D71"/>
    <w:rsid w:val="008630EF"/>
    <w:rsid w:val="008639DE"/>
    <w:rsid w:val="00863BCF"/>
    <w:rsid w:val="00863F5B"/>
    <w:rsid w:val="00864B9F"/>
    <w:rsid w:val="008673D7"/>
    <w:rsid w:val="008702A8"/>
    <w:rsid w:val="00872EB0"/>
    <w:rsid w:val="00875498"/>
    <w:rsid w:val="008764C2"/>
    <w:rsid w:val="00877A0D"/>
    <w:rsid w:val="0088149D"/>
    <w:rsid w:val="008817CD"/>
    <w:rsid w:val="0088223E"/>
    <w:rsid w:val="00882943"/>
    <w:rsid w:val="008833F3"/>
    <w:rsid w:val="00884E62"/>
    <w:rsid w:val="00885126"/>
    <w:rsid w:val="00887A45"/>
    <w:rsid w:val="0089089F"/>
    <w:rsid w:val="00891A7A"/>
    <w:rsid w:val="00891B84"/>
    <w:rsid w:val="00894A9F"/>
    <w:rsid w:val="0089508F"/>
    <w:rsid w:val="0089517F"/>
    <w:rsid w:val="0089570A"/>
    <w:rsid w:val="00895BDB"/>
    <w:rsid w:val="00895F20"/>
    <w:rsid w:val="00896454"/>
    <w:rsid w:val="0089737E"/>
    <w:rsid w:val="008A13E9"/>
    <w:rsid w:val="008A17C0"/>
    <w:rsid w:val="008A2FD4"/>
    <w:rsid w:val="008A3F0E"/>
    <w:rsid w:val="008A4984"/>
    <w:rsid w:val="008B0478"/>
    <w:rsid w:val="008B08E1"/>
    <w:rsid w:val="008B12D0"/>
    <w:rsid w:val="008B1950"/>
    <w:rsid w:val="008B3545"/>
    <w:rsid w:val="008B5864"/>
    <w:rsid w:val="008C109E"/>
    <w:rsid w:val="008C13E9"/>
    <w:rsid w:val="008C1527"/>
    <w:rsid w:val="008C23EB"/>
    <w:rsid w:val="008C77F0"/>
    <w:rsid w:val="008D1449"/>
    <w:rsid w:val="008D2361"/>
    <w:rsid w:val="008D3E3E"/>
    <w:rsid w:val="008D5060"/>
    <w:rsid w:val="008D5309"/>
    <w:rsid w:val="008D562E"/>
    <w:rsid w:val="008D638A"/>
    <w:rsid w:val="008D6ADC"/>
    <w:rsid w:val="008E06DA"/>
    <w:rsid w:val="008E183F"/>
    <w:rsid w:val="008E30F8"/>
    <w:rsid w:val="008E426D"/>
    <w:rsid w:val="008F0C00"/>
    <w:rsid w:val="008F0F36"/>
    <w:rsid w:val="008F0F55"/>
    <w:rsid w:val="008F1FAD"/>
    <w:rsid w:val="008F2EC0"/>
    <w:rsid w:val="008F46F3"/>
    <w:rsid w:val="008F56F6"/>
    <w:rsid w:val="008F5E59"/>
    <w:rsid w:val="008F6A93"/>
    <w:rsid w:val="008F73CB"/>
    <w:rsid w:val="008F76EF"/>
    <w:rsid w:val="009023DA"/>
    <w:rsid w:val="009034D6"/>
    <w:rsid w:val="009060BD"/>
    <w:rsid w:val="00907A4B"/>
    <w:rsid w:val="00907E02"/>
    <w:rsid w:val="0091094E"/>
    <w:rsid w:val="00910AD2"/>
    <w:rsid w:val="00910E48"/>
    <w:rsid w:val="00914165"/>
    <w:rsid w:val="009147C3"/>
    <w:rsid w:val="009175A1"/>
    <w:rsid w:val="009178F6"/>
    <w:rsid w:val="00920459"/>
    <w:rsid w:val="00920923"/>
    <w:rsid w:val="00921F3E"/>
    <w:rsid w:val="009221C6"/>
    <w:rsid w:val="009254C6"/>
    <w:rsid w:val="00926686"/>
    <w:rsid w:val="0092692F"/>
    <w:rsid w:val="00926DD6"/>
    <w:rsid w:val="00926EB1"/>
    <w:rsid w:val="00927C82"/>
    <w:rsid w:val="00931ED5"/>
    <w:rsid w:val="00931F01"/>
    <w:rsid w:val="00932053"/>
    <w:rsid w:val="009328E5"/>
    <w:rsid w:val="0093399D"/>
    <w:rsid w:val="009339BC"/>
    <w:rsid w:val="00933C3C"/>
    <w:rsid w:val="00933F39"/>
    <w:rsid w:val="00936678"/>
    <w:rsid w:val="00936ECF"/>
    <w:rsid w:val="0093740D"/>
    <w:rsid w:val="00937E63"/>
    <w:rsid w:val="009400C9"/>
    <w:rsid w:val="00941891"/>
    <w:rsid w:val="00941D25"/>
    <w:rsid w:val="009420EE"/>
    <w:rsid w:val="00942593"/>
    <w:rsid w:val="009431FE"/>
    <w:rsid w:val="0094342D"/>
    <w:rsid w:val="009438AD"/>
    <w:rsid w:val="00944002"/>
    <w:rsid w:val="00944DC3"/>
    <w:rsid w:val="00944F17"/>
    <w:rsid w:val="009454FA"/>
    <w:rsid w:val="00945FAD"/>
    <w:rsid w:val="00946963"/>
    <w:rsid w:val="00950BFC"/>
    <w:rsid w:val="009511A5"/>
    <w:rsid w:val="00951964"/>
    <w:rsid w:val="00951EAE"/>
    <w:rsid w:val="00952B33"/>
    <w:rsid w:val="00954598"/>
    <w:rsid w:val="0095478D"/>
    <w:rsid w:val="00955400"/>
    <w:rsid w:val="00957F8C"/>
    <w:rsid w:val="00960D10"/>
    <w:rsid w:val="0096251F"/>
    <w:rsid w:val="0096391B"/>
    <w:rsid w:val="00963A00"/>
    <w:rsid w:val="0096414F"/>
    <w:rsid w:val="00965198"/>
    <w:rsid w:val="009659B5"/>
    <w:rsid w:val="00966007"/>
    <w:rsid w:val="009667BA"/>
    <w:rsid w:val="0096696D"/>
    <w:rsid w:val="00966B3C"/>
    <w:rsid w:val="0096751D"/>
    <w:rsid w:val="009721EF"/>
    <w:rsid w:val="00972E32"/>
    <w:rsid w:val="00974088"/>
    <w:rsid w:val="00975485"/>
    <w:rsid w:val="00976C9A"/>
    <w:rsid w:val="009777A9"/>
    <w:rsid w:val="00977CAE"/>
    <w:rsid w:val="00980654"/>
    <w:rsid w:val="0098101F"/>
    <w:rsid w:val="00981360"/>
    <w:rsid w:val="009823E0"/>
    <w:rsid w:val="0098248E"/>
    <w:rsid w:val="00983C3F"/>
    <w:rsid w:val="00991C2B"/>
    <w:rsid w:val="009924E6"/>
    <w:rsid w:val="009947BC"/>
    <w:rsid w:val="00994AA3"/>
    <w:rsid w:val="00994E9A"/>
    <w:rsid w:val="009956E6"/>
    <w:rsid w:val="00995F9B"/>
    <w:rsid w:val="00996A7C"/>
    <w:rsid w:val="009973FB"/>
    <w:rsid w:val="00997CF8"/>
    <w:rsid w:val="009A1C2E"/>
    <w:rsid w:val="009A31A3"/>
    <w:rsid w:val="009A3C3E"/>
    <w:rsid w:val="009A4F8C"/>
    <w:rsid w:val="009A6712"/>
    <w:rsid w:val="009A6F8E"/>
    <w:rsid w:val="009B0DBA"/>
    <w:rsid w:val="009B11F4"/>
    <w:rsid w:val="009B1A3D"/>
    <w:rsid w:val="009B3E4E"/>
    <w:rsid w:val="009B4030"/>
    <w:rsid w:val="009B600E"/>
    <w:rsid w:val="009B72FA"/>
    <w:rsid w:val="009C27BB"/>
    <w:rsid w:val="009C3374"/>
    <w:rsid w:val="009C36A5"/>
    <w:rsid w:val="009C3A35"/>
    <w:rsid w:val="009C3ADE"/>
    <w:rsid w:val="009C5FAE"/>
    <w:rsid w:val="009C7B7C"/>
    <w:rsid w:val="009D2E3A"/>
    <w:rsid w:val="009D462A"/>
    <w:rsid w:val="009D7C85"/>
    <w:rsid w:val="009E2ADE"/>
    <w:rsid w:val="009E3E68"/>
    <w:rsid w:val="009E5390"/>
    <w:rsid w:val="009E57B4"/>
    <w:rsid w:val="009E75F9"/>
    <w:rsid w:val="009E7E00"/>
    <w:rsid w:val="009F02E9"/>
    <w:rsid w:val="009F478B"/>
    <w:rsid w:val="009F6E61"/>
    <w:rsid w:val="009F7977"/>
    <w:rsid w:val="00A000BF"/>
    <w:rsid w:val="00A01B42"/>
    <w:rsid w:val="00A02882"/>
    <w:rsid w:val="00A03422"/>
    <w:rsid w:val="00A05E78"/>
    <w:rsid w:val="00A06545"/>
    <w:rsid w:val="00A13299"/>
    <w:rsid w:val="00A13D08"/>
    <w:rsid w:val="00A16214"/>
    <w:rsid w:val="00A17090"/>
    <w:rsid w:val="00A2032C"/>
    <w:rsid w:val="00A20CBF"/>
    <w:rsid w:val="00A2131C"/>
    <w:rsid w:val="00A217E5"/>
    <w:rsid w:val="00A21881"/>
    <w:rsid w:val="00A2425E"/>
    <w:rsid w:val="00A3290D"/>
    <w:rsid w:val="00A32A32"/>
    <w:rsid w:val="00A32D89"/>
    <w:rsid w:val="00A354AC"/>
    <w:rsid w:val="00A358B9"/>
    <w:rsid w:val="00A36DE9"/>
    <w:rsid w:val="00A3783B"/>
    <w:rsid w:val="00A37CA9"/>
    <w:rsid w:val="00A40E8E"/>
    <w:rsid w:val="00A41F71"/>
    <w:rsid w:val="00A42C08"/>
    <w:rsid w:val="00A43AF9"/>
    <w:rsid w:val="00A441C0"/>
    <w:rsid w:val="00A457D2"/>
    <w:rsid w:val="00A45ADD"/>
    <w:rsid w:val="00A470C8"/>
    <w:rsid w:val="00A50CAE"/>
    <w:rsid w:val="00A514CF"/>
    <w:rsid w:val="00A5180F"/>
    <w:rsid w:val="00A523EA"/>
    <w:rsid w:val="00A53FA8"/>
    <w:rsid w:val="00A54431"/>
    <w:rsid w:val="00A55DB5"/>
    <w:rsid w:val="00A60850"/>
    <w:rsid w:val="00A613FD"/>
    <w:rsid w:val="00A659D9"/>
    <w:rsid w:val="00A65CCC"/>
    <w:rsid w:val="00A661F8"/>
    <w:rsid w:val="00A669A5"/>
    <w:rsid w:val="00A70358"/>
    <w:rsid w:val="00A71BC1"/>
    <w:rsid w:val="00A74B41"/>
    <w:rsid w:val="00A74D4D"/>
    <w:rsid w:val="00A75434"/>
    <w:rsid w:val="00A755BE"/>
    <w:rsid w:val="00A80BEF"/>
    <w:rsid w:val="00A80C3D"/>
    <w:rsid w:val="00A80DE6"/>
    <w:rsid w:val="00A8154A"/>
    <w:rsid w:val="00A829CA"/>
    <w:rsid w:val="00A82D57"/>
    <w:rsid w:val="00A8480F"/>
    <w:rsid w:val="00A85D0E"/>
    <w:rsid w:val="00A85D67"/>
    <w:rsid w:val="00A86BD7"/>
    <w:rsid w:val="00A901C0"/>
    <w:rsid w:val="00A91279"/>
    <w:rsid w:val="00A91EA6"/>
    <w:rsid w:val="00A941FD"/>
    <w:rsid w:val="00A96031"/>
    <w:rsid w:val="00A965BC"/>
    <w:rsid w:val="00AA01A5"/>
    <w:rsid w:val="00AA2694"/>
    <w:rsid w:val="00AA26D0"/>
    <w:rsid w:val="00AA291D"/>
    <w:rsid w:val="00AA50A9"/>
    <w:rsid w:val="00AA63AE"/>
    <w:rsid w:val="00AA71E9"/>
    <w:rsid w:val="00AB0190"/>
    <w:rsid w:val="00AB03FB"/>
    <w:rsid w:val="00AB21BD"/>
    <w:rsid w:val="00AB268A"/>
    <w:rsid w:val="00AB31BD"/>
    <w:rsid w:val="00AB6B85"/>
    <w:rsid w:val="00AB6E67"/>
    <w:rsid w:val="00AB7060"/>
    <w:rsid w:val="00AB7674"/>
    <w:rsid w:val="00AB7FC5"/>
    <w:rsid w:val="00AC1B44"/>
    <w:rsid w:val="00AC2E83"/>
    <w:rsid w:val="00AC314B"/>
    <w:rsid w:val="00AC3714"/>
    <w:rsid w:val="00AC6529"/>
    <w:rsid w:val="00AD00C0"/>
    <w:rsid w:val="00AD23AB"/>
    <w:rsid w:val="00AD2AEC"/>
    <w:rsid w:val="00AD4FC6"/>
    <w:rsid w:val="00AD5596"/>
    <w:rsid w:val="00AD72FE"/>
    <w:rsid w:val="00AE0900"/>
    <w:rsid w:val="00AE5AFB"/>
    <w:rsid w:val="00AE6521"/>
    <w:rsid w:val="00AE71EF"/>
    <w:rsid w:val="00AF01DB"/>
    <w:rsid w:val="00AF10D3"/>
    <w:rsid w:val="00AF1E13"/>
    <w:rsid w:val="00AF1E60"/>
    <w:rsid w:val="00AF3384"/>
    <w:rsid w:val="00AF368F"/>
    <w:rsid w:val="00AF6517"/>
    <w:rsid w:val="00AF6C58"/>
    <w:rsid w:val="00B002BD"/>
    <w:rsid w:val="00B00645"/>
    <w:rsid w:val="00B01747"/>
    <w:rsid w:val="00B01DB7"/>
    <w:rsid w:val="00B04996"/>
    <w:rsid w:val="00B04C8E"/>
    <w:rsid w:val="00B05577"/>
    <w:rsid w:val="00B06301"/>
    <w:rsid w:val="00B06667"/>
    <w:rsid w:val="00B074BC"/>
    <w:rsid w:val="00B07623"/>
    <w:rsid w:val="00B126FF"/>
    <w:rsid w:val="00B12B9F"/>
    <w:rsid w:val="00B1553C"/>
    <w:rsid w:val="00B16195"/>
    <w:rsid w:val="00B163E2"/>
    <w:rsid w:val="00B165A2"/>
    <w:rsid w:val="00B16E3E"/>
    <w:rsid w:val="00B20678"/>
    <w:rsid w:val="00B20A81"/>
    <w:rsid w:val="00B20BE9"/>
    <w:rsid w:val="00B20E50"/>
    <w:rsid w:val="00B21069"/>
    <w:rsid w:val="00B219A8"/>
    <w:rsid w:val="00B219B6"/>
    <w:rsid w:val="00B21E4A"/>
    <w:rsid w:val="00B23362"/>
    <w:rsid w:val="00B24882"/>
    <w:rsid w:val="00B269A9"/>
    <w:rsid w:val="00B32AC1"/>
    <w:rsid w:val="00B32C4B"/>
    <w:rsid w:val="00B33688"/>
    <w:rsid w:val="00B34110"/>
    <w:rsid w:val="00B35962"/>
    <w:rsid w:val="00B35FB7"/>
    <w:rsid w:val="00B3639A"/>
    <w:rsid w:val="00B36A40"/>
    <w:rsid w:val="00B37203"/>
    <w:rsid w:val="00B4237A"/>
    <w:rsid w:val="00B43396"/>
    <w:rsid w:val="00B457DA"/>
    <w:rsid w:val="00B46982"/>
    <w:rsid w:val="00B473C9"/>
    <w:rsid w:val="00B52939"/>
    <w:rsid w:val="00B539B5"/>
    <w:rsid w:val="00B53E9D"/>
    <w:rsid w:val="00B54344"/>
    <w:rsid w:val="00B54B5F"/>
    <w:rsid w:val="00B558DD"/>
    <w:rsid w:val="00B55D24"/>
    <w:rsid w:val="00B561E8"/>
    <w:rsid w:val="00B56F9D"/>
    <w:rsid w:val="00B60387"/>
    <w:rsid w:val="00B60DBE"/>
    <w:rsid w:val="00B614E8"/>
    <w:rsid w:val="00B61971"/>
    <w:rsid w:val="00B61CB4"/>
    <w:rsid w:val="00B621F7"/>
    <w:rsid w:val="00B62386"/>
    <w:rsid w:val="00B626EB"/>
    <w:rsid w:val="00B64437"/>
    <w:rsid w:val="00B65157"/>
    <w:rsid w:val="00B65271"/>
    <w:rsid w:val="00B65591"/>
    <w:rsid w:val="00B666BA"/>
    <w:rsid w:val="00B70F1E"/>
    <w:rsid w:val="00B71E5E"/>
    <w:rsid w:val="00B72460"/>
    <w:rsid w:val="00B74073"/>
    <w:rsid w:val="00B77369"/>
    <w:rsid w:val="00B7743C"/>
    <w:rsid w:val="00B77DD4"/>
    <w:rsid w:val="00B806F7"/>
    <w:rsid w:val="00B80AEE"/>
    <w:rsid w:val="00B819DD"/>
    <w:rsid w:val="00B81DF6"/>
    <w:rsid w:val="00B82601"/>
    <w:rsid w:val="00B83086"/>
    <w:rsid w:val="00B83239"/>
    <w:rsid w:val="00B834ED"/>
    <w:rsid w:val="00B835E2"/>
    <w:rsid w:val="00B84C77"/>
    <w:rsid w:val="00B87741"/>
    <w:rsid w:val="00B90DCB"/>
    <w:rsid w:val="00B92E06"/>
    <w:rsid w:val="00B92EBB"/>
    <w:rsid w:val="00B9736E"/>
    <w:rsid w:val="00B973C6"/>
    <w:rsid w:val="00BA028B"/>
    <w:rsid w:val="00BA03B8"/>
    <w:rsid w:val="00BA3790"/>
    <w:rsid w:val="00BA5194"/>
    <w:rsid w:val="00BB0C9D"/>
    <w:rsid w:val="00BB0FD8"/>
    <w:rsid w:val="00BB66E6"/>
    <w:rsid w:val="00BB6D19"/>
    <w:rsid w:val="00BB7BC4"/>
    <w:rsid w:val="00BC16AD"/>
    <w:rsid w:val="00BC1CB8"/>
    <w:rsid w:val="00BC1F08"/>
    <w:rsid w:val="00BC49FF"/>
    <w:rsid w:val="00BC70EF"/>
    <w:rsid w:val="00BD1200"/>
    <w:rsid w:val="00BD1AA9"/>
    <w:rsid w:val="00BD2220"/>
    <w:rsid w:val="00BD3589"/>
    <w:rsid w:val="00BD39BA"/>
    <w:rsid w:val="00BD57F4"/>
    <w:rsid w:val="00BD5BB4"/>
    <w:rsid w:val="00BD6E55"/>
    <w:rsid w:val="00BD7B98"/>
    <w:rsid w:val="00BE01F6"/>
    <w:rsid w:val="00BE121E"/>
    <w:rsid w:val="00BE129C"/>
    <w:rsid w:val="00BE3156"/>
    <w:rsid w:val="00BE34FF"/>
    <w:rsid w:val="00BE4ECD"/>
    <w:rsid w:val="00BE50FA"/>
    <w:rsid w:val="00BE57F4"/>
    <w:rsid w:val="00BF0806"/>
    <w:rsid w:val="00BF1910"/>
    <w:rsid w:val="00BF2731"/>
    <w:rsid w:val="00BF379D"/>
    <w:rsid w:val="00BF4948"/>
    <w:rsid w:val="00BF4D49"/>
    <w:rsid w:val="00BF7043"/>
    <w:rsid w:val="00C0042C"/>
    <w:rsid w:val="00C05247"/>
    <w:rsid w:val="00C05CC0"/>
    <w:rsid w:val="00C10B57"/>
    <w:rsid w:val="00C1187E"/>
    <w:rsid w:val="00C11AC4"/>
    <w:rsid w:val="00C1405E"/>
    <w:rsid w:val="00C16023"/>
    <w:rsid w:val="00C24514"/>
    <w:rsid w:val="00C253E9"/>
    <w:rsid w:val="00C257BE"/>
    <w:rsid w:val="00C27578"/>
    <w:rsid w:val="00C27E34"/>
    <w:rsid w:val="00C302CC"/>
    <w:rsid w:val="00C32BB7"/>
    <w:rsid w:val="00C3368C"/>
    <w:rsid w:val="00C35687"/>
    <w:rsid w:val="00C36204"/>
    <w:rsid w:val="00C37CDD"/>
    <w:rsid w:val="00C44D26"/>
    <w:rsid w:val="00C46BD3"/>
    <w:rsid w:val="00C50178"/>
    <w:rsid w:val="00C52AC5"/>
    <w:rsid w:val="00C52AF0"/>
    <w:rsid w:val="00C52F3E"/>
    <w:rsid w:val="00C53563"/>
    <w:rsid w:val="00C54387"/>
    <w:rsid w:val="00C55170"/>
    <w:rsid w:val="00C56E85"/>
    <w:rsid w:val="00C57180"/>
    <w:rsid w:val="00C60377"/>
    <w:rsid w:val="00C61C86"/>
    <w:rsid w:val="00C6268A"/>
    <w:rsid w:val="00C628FB"/>
    <w:rsid w:val="00C6298A"/>
    <w:rsid w:val="00C62AE7"/>
    <w:rsid w:val="00C62BEB"/>
    <w:rsid w:val="00C62ED5"/>
    <w:rsid w:val="00C634E6"/>
    <w:rsid w:val="00C63913"/>
    <w:rsid w:val="00C63B07"/>
    <w:rsid w:val="00C65149"/>
    <w:rsid w:val="00C67301"/>
    <w:rsid w:val="00C674AF"/>
    <w:rsid w:val="00C70D95"/>
    <w:rsid w:val="00C714FF"/>
    <w:rsid w:val="00C727C7"/>
    <w:rsid w:val="00C73B17"/>
    <w:rsid w:val="00C7572F"/>
    <w:rsid w:val="00C820E4"/>
    <w:rsid w:val="00C82D6E"/>
    <w:rsid w:val="00C83ED3"/>
    <w:rsid w:val="00C871CB"/>
    <w:rsid w:val="00C91977"/>
    <w:rsid w:val="00C93E5E"/>
    <w:rsid w:val="00C94D1F"/>
    <w:rsid w:val="00C950C1"/>
    <w:rsid w:val="00C95448"/>
    <w:rsid w:val="00C95C54"/>
    <w:rsid w:val="00C9620C"/>
    <w:rsid w:val="00C96396"/>
    <w:rsid w:val="00C9672A"/>
    <w:rsid w:val="00C96A2B"/>
    <w:rsid w:val="00C97F10"/>
    <w:rsid w:val="00CA18F1"/>
    <w:rsid w:val="00CA3570"/>
    <w:rsid w:val="00CA37E7"/>
    <w:rsid w:val="00CA4ABA"/>
    <w:rsid w:val="00CB100B"/>
    <w:rsid w:val="00CB3576"/>
    <w:rsid w:val="00CB3A47"/>
    <w:rsid w:val="00CB3FED"/>
    <w:rsid w:val="00CB4DA3"/>
    <w:rsid w:val="00CB5368"/>
    <w:rsid w:val="00CB7ADE"/>
    <w:rsid w:val="00CC3AF5"/>
    <w:rsid w:val="00CC4DF4"/>
    <w:rsid w:val="00CC4EE6"/>
    <w:rsid w:val="00CC6EAF"/>
    <w:rsid w:val="00CC72A4"/>
    <w:rsid w:val="00CD07A1"/>
    <w:rsid w:val="00CD18CE"/>
    <w:rsid w:val="00CD3143"/>
    <w:rsid w:val="00CD3EF5"/>
    <w:rsid w:val="00CD43B7"/>
    <w:rsid w:val="00CD64FE"/>
    <w:rsid w:val="00CE06BF"/>
    <w:rsid w:val="00CE06F0"/>
    <w:rsid w:val="00CE26A7"/>
    <w:rsid w:val="00CE2759"/>
    <w:rsid w:val="00CE484D"/>
    <w:rsid w:val="00CE4D2D"/>
    <w:rsid w:val="00CE5DF8"/>
    <w:rsid w:val="00CE697C"/>
    <w:rsid w:val="00CE7459"/>
    <w:rsid w:val="00CF07D1"/>
    <w:rsid w:val="00CF2EF5"/>
    <w:rsid w:val="00CF456A"/>
    <w:rsid w:val="00CF4AFC"/>
    <w:rsid w:val="00CF5DCF"/>
    <w:rsid w:val="00CF5E6D"/>
    <w:rsid w:val="00D002F5"/>
    <w:rsid w:val="00D006FD"/>
    <w:rsid w:val="00D02523"/>
    <w:rsid w:val="00D0492C"/>
    <w:rsid w:val="00D067DD"/>
    <w:rsid w:val="00D070AB"/>
    <w:rsid w:val="00D07D1D"/>
    <w:rsid w:val="00D10815"/>
    <w:rsid w:val="00D11272"/>
    <w:rsid w:val="00D12169"/>
    <w:rsid w:val="00D12290"/>
    <w:rsid w:val="00D13710"/>
    <w:rsid w:val="00D1422A"/>
    <w:rsid w:val="00D14A33"/>
    <w:rsid w:val="00D15C75"/>
    <w:rsid w:val="00D175CB"/>
    <w:rsid w:val="00D20D71"/>
    <w:rsid w:val="00D2155B"/>
    <w:rsid w:val="00D21869"/>
    <w:rsid w:val="00D21F2D"/>
    <w:rsid w:val="00D21FE4"/>
    <w:rsid w:val="00D23C1D"/>
    <w:rsid w:val="00D24348"/>
    <w:rsid w:val="00D252F0"/>
    <w:rsid w:val="00D259BE"/>
    <w:rsid w:val="00D26562"/>
    <w:rsid w:val="00D26D6A"/>
    <w:rsid w:val="00D26F50"/>
    <w:rsid w:val="00D31250"/>
    <w:rsid w:val="00D33525"/>
    <w:rsid w:val="00D359A1"/>
    <w:rsid w:val="00D3655A"/>
    <w:rsid w:val="00D37A05"/>
    <w:rsid w:val="00D409BF"/>
    <w:rsid w:val="00D41023"/>
    <w:rsid w:val="00D4221A"/>
    <w:rsid w:val="00D43843"/>
    <w:rsid w:val="00D4530D"/>
    <w:rsid w:val="00D45E55"/>
    <w:rsid w:val="00D4631B"/>
    <w:rsid w:val="00D52400"/>
    <w:rsid w:val="00D52759"/>
    <w:rsid w:val="00D54A26"/>
    <w:rsid w:val="00D56275"/>
    <w:rsid w:val="00D5671D"/>
    <w:rsid w:val="00D56FB4"/>
    <w:rsid w:val="00D609EC"/>
    <w:rsid w:val="00D62A5D"/>
    <w:rsid w:val="00D63285"/>
    <w:rsid w:val="00D63421"/>
    <w:rsid w:val="00D65569"/>
    <w:rsid w:val="00D65C62"/>
    <w:rsid w:val="00D66136"/>
    <w:rsid w:val="00D70D6B"/>
    <w:rsid w:val="00D70EB2"/>
    <w:rsid w:val="00D70FA3"/>
    <w:rsid w:val="00D71052"/>
    <w:rsid w:val="00D713FE"/>
    <w:rsid w:val="00D7497B"/>
    <w:rsid w:val="00D7569D"/>
    <w:rsid w:val="00D7638B"/>
    <w:rsid w:val="00D77B19"/>
    <w:rsid w:val="00D823FE"/>
    <w:rsid w:val="00D8241B"/>
    <w:rsid w:val="00D83E78"/>
    <w:rsid w:val="00D87791"/>
    <w:rsid w:val="00D93F76"/>
    <w:rsid w:val="00D96ECF"/>
    <w:rsid w:val="00DA2216"/>
    <w:rsid w:val="00DA323E"/>
    <w:rsid w:val="00DA4219"/>
    <w:rsid w:val="00DA4756"/>
    <w:rsid w:val="00DA50C0"/>
    <w:rsid w:val="00DA6091"/>
    <w:rsid w:val="00DA65E2"/>
    <w:rsid w:val="00DA6848"/>
    <w:rsid w:val="00DB0028"/>
    <w:rsid w:val="00DB287D"/>
    <w:rsid w:val="00DB404F"/>
    <w:rsid w:val="00DB4EBA"/>
    <w:rsid w:val="00DC27C3"/>
    <w:rsid w:val="00DC307D"/>
    <w:rsid w:val="00DC33B5"/>
    <w:rsid w:val="00DC3762"/>
    <w:rsid w:val="00DC3EC9"/>
    <w:rsid w:val="00DC55A3"/>
    <w:rsid w:val="00DC6282"/>
    <w:rsid w:val="00DC697A"/>
    <w:rsid w:val="00DC6D58"/>
    <w:rsid w:val="00DC79A4"/>
    <w:rsid w:val="00DC7EBA"/>
    <w:rsid w:val="00DD171D"/>
    <w:rsid w:val="00DD1DB0"/>
    <w:rsid w:val="00DD3F9E"/>
    <w:rsid w:val="00DD4E33"/>
    <w:rsid w:val="00DD5862"/>
    <w:rsid w:val="00DD5DF1"/>
    <w:rsid w:val="00DD6200"/>
    <w:rsid w:val="00DD6536"/>
    <w:rsid w:val="00DD7A92"/>
    <w:rsid w:val="00DD7FBF"/>
    <w:rsid w:val="00DE0FB4"/>
    <w:rsid w:val="00DE5A73"/>
    <w:rsid w:val="00DE7363"/>
    <w:rsid w:val="00DF0062"/>
    <w:rsid w:val="00DF03AE"/>
    <w:rsid w:val="00DF0CBD"/>
    <w:rsid w:val="00DF1E99"/>
    <w:rsid w:val="00DF2814"/>
    <w:rsid w:val="00DF4F50"/>
    <w:rsid w:val="00DF53A0"/>
    <w:rsid w:val="00DF64CB"/>
    <w:rsid w:val="00DF66C0"/>
    <w:rsid w:val="00DF6EBB"/>
    <w:rsid w:val="00DF752D"/>
    <w:rsid w:val="00DF7B93"/>
    <w:rsid w:val="00E01626"/>
    <w:rsid w:val="00E01871"/>
    <w:rsid w:val="00E01C55"/>
    <w:rsid w:val="00E045CA"/>
    <w:rsid w:val="00E05464"/>
    <w:rsid w:val="00E12E05"/>
    <w:rsid w:val="00E1691A"/>
    <w:rsid w:val="00E16D1B"/>
    <w:rsid w:val="00E17BB8"/>
    <w:rsid w:val="00E2012B"/>
    <w:rsid w:val="00E20A7F"/>
    <w:rsid w:val="00E20CC6"/>
    <w:rsid w:val="00E21FC9"/>
    <w:rsid w:val="00E22D51"/>
    <w:rsid w:val="00E23FB0"/>
    <w:rsid w:val="00E25299"/>
    <w:rsid w:val="00E26047"/>
    <w:rsid w:val="00E27D25"/>
    <w:rsid w:val="00E333CC"/>
    <w:rsid w:val="00E33559"/>
    <w:rsid w:val="00E34121"/>
    <w:rsid w:val="00E3560A"/>
    <w:rsid w:val="00E368A4"/>
    <w:rsid w:val="00E37583"/>
    <w:rsid w:val="00E40BD9"/>
    <w:rsid w:val="00E41127"/>
    <w:rsid w:val="00E42E5D"/>
    <w:rsid w:val="00E4364B"/>
    <w:rsid w:val="00E43C36"/>
    <w:rsid w:val="00E465BA"/>
    <w:rsid w:val="00E47C7C"/>
    <w:rsid w:val="00E5082F"/>
    <w:rsid w:val="00E50B98"/>
    <w:rsid w:val="00E51B79"/>
    <w:rsid w:val="00E51C6B"/>
    <w:rsid w:val="00E53B25"/>
    <w:rsid w:val="00E53DBD"/>
    <w:rsid w:val="00E54B19"/>
    <w:rsid w:val="00E5774E"/>
    <w:rsid w:val="00E57FC5"/>
    <w:rsid w:val="00E61985"/>
    <w:rsid w:val="00E625B0"/>
    <w:rsid w:val="00E62720"/>
    <w:rsid w:val="00E62BA5"/>
    <w:rsid w:val="00E6325E"/>
    <w:rsid w:val="00E63FD3"/>
    <w:rsid w:val="00E655ED"/>
    <w:rsid w:val="00E660D5"/>
    <w:rsid w:val="00E6664A"/>
    <w:rsid w:val="00E70508"/>
    <w:rsid w:val="00E72656"/>
    <w:rsid w:val="00E7294B"/>
    <w:rsid w:val="00E7470D"/>
    <w:rsid w:val="00E7675E"/>
    <w:rsid w:val="00E76D13"/>
    <w:rsid w:val="00E7772B"/>
    <w:rsid w:val="00E77D42"/>
    <w:rsid w:val="00E80F94"/>
    <w:rsid w:val="00E81F11"/>
    <w:rsid w:val="00E8417E"/>
    <w:rsid w:val="00E855C9"/>
    <w:rsid w:val="00E859FD"/>
    <w:rsid w:val="00E85A45"/>
    <w:rsid w:val="00E86845"/>
    <w:rsid w:val="00E93DA8"/>
    <w:rsid w:val="00E956D8"/>
    <w:rsid w:val="00E96538"/>
    <w:rsid w:val="00E976DE"/>
    <w:rsid w:val="00E977A7"/>
    <w:rsid w:val="00E97938"/>
    <w:rsid w:val="00EA0B62"/>
    <w:rsid w:val="00EA136A"/>
    <w:rsid w:val="00EA2DDC"/>
    <w:rsid w:val="00EA38D9"/>
    <w:rsid w:val="00EA4EF2"/>
    <w:rsid w:val="00EA64D8"/>
    <w:rsid w:val="00EA6871"/>
    <w:rsid w:val="00EA6B0A"/>
    <w:rsid w:val="00EA7F3F"/>
    <w:rsid w:val="00EB1B99"/>
    <w:rsid w:val="00EB2D1F"/>
    <w:rsid w:val="00EB56D2"/>
    <w:rsid w:val="00EB58F7"/>
    <w:rsid w:val="00EB5E1A"/>
    <w:rsid w:val="00EC1069"/>
    <w:rsid w:val="00EC1DE2"/>
    <w:rsid w:val="00EC2E71"/>
    <w:rsid w:val="00EC2F9F"/>
    <w:rsid w:val="00EC43CA"/>
    <w:rsid w:val="00EC52E8"/>
    <w:rsid w:val="00EC565B"/>
    <w:rsid w:val="00EC6D16"/>
    <w:rsid w:val="00EC6F73"/>
    <w:rsid w:val="00EC76F1"/>
    <w:rsid w:val="00EC7BE0"/>
    <w:rsid w:val="00ED0085"/>
    <w:rsid w:val="00ED12F2"/>
    <w:rsid w:val="00ED4FDC"/>
    <w:rsid w:val="00ED5E54"/>
    <w:rsid w:val="00ED5FDD"/>
    <w:rsid w:val="00ED672B"/>
    <w:rsid w:val="00ED7371"/>
    <w:rsid w:val="00ED762D"/>
    <w:rsid w:val="00EE06DA"/>
    <w:rsid w:val="00EE098B"/>
    <w:rsid w:val="00EE121F"/>
    <w:rsid w:val="00EE2383"/>
    <w:rsid w:val="00EE29CC"/>
    <w:rsid w:val="00EE32AF"/>
    <w:rsid w:val="00EE37A2"/>
    <w:rsid w:val="00EE3EA3"/>
    <w:rsid w:val="00EE47BC"/>
    <w:rsid w:val="00EE5345"/>
    <w:rsid w:val="00EE585C"/>
    <w:rsid w:val="00EF07AD"/>
    <w:rsid w:val="00EF0F52"/>
    <w:rsid w:val="00EF2483"/>
    <w:rsid w:val="00EF2C6B"/>
    <w:rsid w:val="00EF3473"/>
    <w:rsid w:val="00EF443F"/>
    <w:rsid w:val="00F000B3"/>
    <w:rsid w:val="00F000D0"/>
    <w:rsid w:val="00F001D7"/>
    <w:rsid w:val="00F01070"/>
    <w:rsid w:val="00F0114D"/>
    <w:rsid w:val="00F01A80"/>
    <w:rsid w:val="00F02F37"/>
    <w:rsid w:val="00F02F9F"/>
    <w:rsid w:val="00F04A15"/>
    <w:rsid w:val="00F06794"/>
    <w:rsid w:val="00F06D6E"/>
    <w:rsid w:val="00F10F7F"/>
    <w:rsid w:val="00F11F3F"/>
    <w:rsid w:val="00F14276"/>
    <w:rsid w:val="00F14A93"/>
    <w:rsid w:val="00F17473"/>
    <w:rsid w:val="00F174F2"/>
    <w:rsid w:val="00F20BA5"/>
    <w:rsid w:val="00F20BAF"/>
    <w:rsid w:val="00F20DCB"/>
    <w:rsid w:val="00F21753"/>
    <w:rsid w:val="00F22295"/>
    <w:rsid w:val="00F228E8"/>
    <w:rsid w:val="00F23BDD"/>
    <w:rsid w:val="00F23EA7"/>
    <w:rsid w:val="00F25EC2"/>
    <w:rsid w:val="00F27BA6"/>
    <w:rsid w:val="00F30E30"/>
    <w:rsid w:val="00F3283B"/>
    <w:rsid w:val="00F32B80"/>
    <w:rsid w:val="00F35633"/>
    <w:rsid w:val="00F35C8C"/>
    <w:rsid w:val="00F36844"/>
    <w:rsid w:val="00F37CFF"/>
    <w:rsid w:val="00F41AEF"/>
    <w:rsid w:val="00F42F64"/>
    <w:rsid w:val="00F43297"/>
    <w:rsid w:val="00F46B34"/>
    <w:rsid w:val="00F47D27"/>
    <w:rsid w:val="00F50C2C"/>
    <w:rsid w:val="00F51161"/>
    <w:rsid w:val="00F521D6"/>
    <w:rsid w:val="00F530B1"/>
    <w:rsid w:val="00F534BC"/>
    <w:rsid w:val="00F55462"/>
    <w:rsid w:val="00F55477"/>
    <w:rsid w:val="00F55539"/>
    <w:rsid w:val="00F55756"/>
    <w:rsid w:val="00F56D73"/>
    <w:rsid w:val="00F574CA"/>
    <w:rsid w:val="00F57648"/>
    <w:rsid w:val="00F6049C"/>
    <w:rsid w:val="00F61DD1"/>
    <w:rsid w:val="00F6333C"/>
    <w:rsid w:val="00F63845"/>
    <w:rsid w:val="00F643AC"/>
    <w:rsid w:val="00F65FAF"/>
    <w:rsid w:val="00F6615F"/>
    <w:rsid w:val="00F70215"/>
    <w:rsid w:val="00F703BF"/>
    <w:rsid w:val="00F70904"/>
    <w:rsid w:val="00F710B8"/>
    <w:rsid w:val="00F714EC"/>
    <w:rsid w:val="00F716B0"/>
    <w:rsid w:val="00F7310B"/>
    <w:rsid w:val="00F7410E"/>
    <w:rsid w:val="00F754B6"/>
    <w:rsid w:val="00F7570F"/>
    <w:rsid w:val="00F77CB7"/>
    <w:rsid w:val="00F80E1D"/>
    <w:rsid w:val="00F81494"/>
    <w:rsid w:val="00F8224C"/>
    <w:rsid w:val="00F84B51"/>
    <w:rsid w:val="00F84D8D"/>
    <w:rsid w:val="00F863FE"/>
    <w:rsid w:val="00F86D00"/>
    <w:rsid w:val="00F87FAD"/>
    <w:rsid w:val="00F91273"/>
    <w:rsid w:val="00F9144D"/>
    <w:rsid w:val="00F9194F"/>
    <w:rsid w:val="00F91AA1"/>
    <w:rsid w:val="00F91B06"/>
    <w:rsid w:val="00F942F7"/>
    <w:rsid w:val="00F96E30"/>
    <w:rsid w:val="00F97014"/>
    <w:rsid w:val="00FA0B09"/>
    <w:rsid w:val="00FA19DB"/>
    <w:rsid w:val="00FA1BAA"/>
    <w:rsid w:val="00FA4F38"/>
    <w:rsid w:val="00FA4F8D"/>
    <w:rsid w:val="00FA5420"/>
    <w:rsid w:val="00FA7B9A"/>
    <w:rsid w:val="00FB0B1D"/>
    <w:rsid w:val="00FB25B7"/>
    <w:rsid w:val="00FB280F"/>
    <w:rsid w:val="00FB33EA"/>
    <w:rsid w:val="00FB6F54"/>
    <w:rsid w:val="00FC082F"/>
    <w:rsid w:val="00FC32B0"/>
    <w:rsid w:val="00FC3595"/>
    <w:rsid w:val="00FC4038"/>
    <w:rsid w:val="00FC40BC"/>
    <w:rsid w:val="00FC58ED"/>
    <w:rsid w:val="00FC5D56"/>
    <w:rsid w:val="00FC5EB0"/>
    <w:rsid w:val="00FC635D"/>
    <w:rsid w:val="00FC63BD"/>
    <w:rsid w:val="00FC6D84"/>
    <w:rsid w:val="00FD1D5C"/>
    <w:rsid w:val="00FD1E99"/>
    <w:rsid w:val="00FD20D2"/>
    <w:rsid w:val="00FD2295"/>
    <w:rsid w:val="00FD259E"/>
    <w:rsid w:val="00FD27F8"/>
    <w:rsid w:val="00FD4310"/>
    <w:rsid w:val="00FD5940"/>
    <w:rsid w:val="00FE0EF3"/>
    <w:rsid w:val="00FE1F51"/>
    <w:rsid w:val="00FE21EC"/>
    <w:rsid w:val="00FE2AAE"/>
    <w:rsid w:val="00FE3940"/>
    <w:rsid w:val="00FE39C4"/>
    <w:rsid w:val="00FE5B0B"/>
    <w:rsid w:val="00FE76A2"/>
    <w:rsid w:val="00FF0DF7"/>
    <w:rsid w:val="00FF1836"/>
    <w:rsid w:val="00FF24C0"/>
    <w:rsid w:val="00FF262D"/>
    <w:rsid w:val="00FF43B4"/>
    <w:rsid w:val="00FF45E7"/>
    <w:rsid w:val="00FF6B39"/>
    <w:rsid w:val="00FF724C"/>
    <w:rsid w:val="00FF775E"/>
    <w:rsid w:val="3BC9D2CA"/>
    <w:rsid w:val="60E1D0CC"/>
    <w:rsid w:val="76A50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70"/>
    <w:rPr>
      <w:rFonts w:ascii="Times New Roman" w:hAnsi="Times New Roman" w:cs="Times New Roman"/>
    </w:rPr>
  </w:style>
  <w:style w:type="paragraph" w:styleId="1">
    <w:name w:val="heading 1"/>
    <w:basedOn w:val="a"/>
    <w:link w:val="1Char"/>
    <w:uiPriority w:val="9"/>
    <w:qFormat/>
    <w:rsid w:val="004D3FE8"/>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Char"/>
    <w:uiPriority w:val="9"/>
    <w:unhideWhenUsed/>
    <w:qFormat/>
    <w:rsid w:val="00991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2F4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47"/>
    <w:pPr>
      <w:ind w:left="720"/>
      <w:contextualSpacing/>
    </w:pPr>
    <w:rPr>
      <w:rFonts w:asciiTheme="minorHAnsi" w:hAnsiTheme="minorHAnsi" w:cstheme="minorBidi"/>
    </w:rPr>
  </w:style>
  <w:style w:type="paragraph" w:styleId="a4">
    <w:name w:val="Normal (Web)"/>
    <w:basedOn w:val="a"/>
    <w:uiPriority w:val="99"/>
    <w:semiHidden/>
    <w:unhideWhenUsed/>
    <w:rsid w:val="00E51B79"/>
    <w:pPr>
      <w:spacing w:before="100" w:beforeAutospacing="1" w:after="100" w:afterAutospacing="1"/>
    </w:pPr>
    <w:rPr>
      <w:rFonts w:ascii="Times" w:hAnsi="Times"/>
      <w:sz w:val="20"/>
      <w:szCs w:val="20"/>
    </w:rPr>
  </w:style>
  <w:style w:type="character" w:customStyle="1" w:styleId="apple-tab-span">
    <w:name w:val="apple-tab-span"/>
    <w:basedOn w:val="a0"/>
    <w:rsid w:val="00E51B79"/>
  </w:style>
  <w:style w:type="character" w:customStyle="1" w:styleId="hitinf">
    <w:name w:val="hit_inf"/>
    <w:basedOn w:val="a0"/>
    <w:rsid w:val="00CA37E7"/>
  </w:style>
  <w:style w:type="character" w:styleId="a5">
    <w:name w:val="annotation reference"/>
    <w:basedOn w:val="a0"/>
    <w:uiPriority w:val="99"/>
    <w:semiHidden/>
    <w:unhideWhenUsed/>
    <w:rsid w:val="00DA6848"/>
    <w:rPr>
      <w:sz w:val="18"/>
      <w:szCs w:val="18"/>
    </w:rPr>
  </w:style>
  <w:style w:type="paragraph" w:styleId="a6">
    <w:name w:val="annotation text"/>
    <w:basedOn w:val="a"/>
    <w:link w:val="Char"/>
    <w:semiHidden/>
    <w:unhideWhenUsed/>
    <w:rsid w:val="00DA6848"/>
    <w:rPr>
      <w:rFonts w:asciiTheme="minorHAnsi" w:hAnsiTheme="minorHAnsi" w:cstheme="minorBidi"/>
    </w:rPr>
  </w:style>
  <w:style w:type="character" w:customStyle="1" w:styleId="Char">
    <w:name w:val="批注文字 Char"/>
    <w:basedOn w:val="a0"/>
    <w:link w:val="a6"/>
    <w:semiHidden/>
    <w:rsid w:val="00DA6848"/>
  </w:style>
  <w:style w:type="paragraph" w:styleId="a7">
    <w:name w:val="annotation subject"/>
    <w:basedOn w:val="a6"/>
    <w:next w:val="a6"/>
    <w:link w:val="Char0"/>
    <w:uiPriority w:val="99"/>
    <w:semiHidden/>
    <w:unhideWhenUsed/>
    <w:rsid w:val="00DA6848"/>
    <w:rPr>
      <w:b/>
      <w:bCs/>
      <w:sz w:val="20"/>
      <w:szCs w:val="20"/>
    </w:rPr>
  </w:style>
  <w:style w:type="character" w:customStyle="1" w:styleId="Char0">
    <w:name w:val="批注主题 Char"/>
    <w:basedOn w:val="Char"/>
    <w:link w:val="a7"/>
    <w:uiPriority w:val="99"/>
    <w:semiHidden/>
    <w:rsid w:val="00DA6848"/>
    <w:rPr>
      <w:b/>
      <w:bCs/>
      <w:sz w:val="20"/>
      <w:szCs w:val="20"/>
    </w:rPr>
  </w:style>
  <w:style w:type="paragraph" w:styleId="a8">
    <w:name w:val="Balloon Text"/>
    <w:basedOn w:val="a"/>
    <w:link w:val="Char1"/>
    <w:uiPriority w:val="99"/>
    <w:semiHidden/>
    <w:unhideWhenUsed/>
    <w:rsid w:val="00DA6848"/>
    <w:rPr>
      <w:rFonts w:ascii="Lucida Grande" w:hAnsi="Lucida Grande" w:cs="Lucida Grande"/>
      <w:sz w:val="18"/>
      <w:szCs w:val="18"/>
    </w:rPr>
  </w:style>
  <w:style w:type="character" w:customStyle="1" w:styleId="Char1">
    <w:name w:val="批注框文本 Char"/>
    <w:basedOn w:val="a0"/>
    <w:link w:val="a8"/>
    <w:uiPriority w:val="99"/>
    <w:semiHidden/>
    <w:rsid w:val="00DA6848"/>
    <w:rPr>
      <w:rFonts w:ascii="Lucida Grande" w:hAnsi="Lucida Grande" w:cs="Lucida Grande"/>
      <w:sz w:val="18"/>
      <w:szCs w:val="18"/>
    </w:rPr>
  </w:style>
  <w:style w:type="character" w:customStyle="1" w:styleId="1Char">
    <w:name w:val="标题 1 Char"/>
    <w:basedOn w:val="a0"/>
    <w:link w:val="1"/>
    <w:uiPriority w:val="9"/>
    <w:rsid w:val="004D3FE8"/>
    <w:rPr>
      <w:rFonts w:ascii="Times New Roman" w:eastAsia="Times New Roman" w:hAnsi="Times New Roman" w:cs="Times New Roman"/>
      <w:b/>
      <w:bCs/>
      <w:kern w:val="36"/>
      <w:sz w:val="48"/>
      <w:szCs w:val="48"/>
    </w:rPr>
  </w:style>
  <w:style w:type="character" w:styleId="a9">
    <w:name w:val="Hyperlink"/>
    <w:basedOn w:val="a0"/>
    <w:uiPriority w:val="99"/>
    <w:unhideWhenUsed/>
    <w:rsid w:val="004D3FE8"/>
    <w:rPr>
      <w:color w:val="0000FF"/>
      <w:u w:val="single"/>
    </w:rPr>
  </w:style>
  <w:style w:type="paragraph" w:styleId="aa">
    <w:name w:val="Revision"/>
    <w:hidden/>
    <w:uiPriority w:val="99"/>
    <w:semiHidden/>
    <w:rsid w:val="00E7294B"/>
  </w:style>
  <w:style w:type="paragraph" w:styleId="ab">
    <w:name w:val="footer"/>
    <w:basedOn w:val="a"/>
    <w:link w:val="Char2"/>
    <w:uiPriority w:val="99"/>
    <w:unhideWhenUsed/>
    <w:rsid w:val="00E7294B"/>
    <w:pPr>
      <w:tabs>
        <w:tab w:val="center" w:pos="4680"/>
        <w:tab w:val="right" w:pos="9360"/>
      </w:tabs>
    </w:pPr>
    <w:rPr>
      <w:rFonts w:asciiTheme="minorHAnsi" w:hAnsiTheme="minorHAnsi" w:cstheme="minorBidi"/>
    </w:rPr>
  </w:style>
  <w:style w:type="character" w:customStyle="1" w:styleId="Char2">
    <w:name w:val="页脚 Char"/>
    <w:basedOn w:val="a0"/>
    <w:link w:val="ab"/>
    <w:uiPriority w:val="99"/>
    <w:rsid w:val="00E7294B"/>
  </w:style>
  <w:style w:type="character" w:styleId="ac">
    <w:name w:val="page number"/>
    <w:basedOn w:val="a0"/>
    <w:uiPriority w:val="99"/>
    <w:semiHidden/>
    <w:unhideWhenUsed/>
    <w:rsid w:val="00E7294B"/>
  </w:style>
  <w:style w:type="paragraph" w:customStyle="1" w:styleId="EndNoteBibliographyTitle">
    <w:name w:val="EndNote Bibliography Title"/>
    <w:basedOn w:val="a"/>
    <w:rsid w:val="007F1BAD"/>
    <w:pPr>
      <w:jc w:val="center"/>
    </w:pPr>
    <w:rPr>
      <w:rFonts w:ascii="Cambria" w:hAnsi="Cambria" w:cstheme="minorBidi"/>
    </w:rPr>
  </w:style>
  <w:style w:type="paragraph" w:customStyle="1" w:styleId="EndNoteBibliography">
    <w:name w:val="EndNote Bibliography"/>
    <w:basedOn w:val="a"/>
    <w:rsid w:val="007F1BAD"/>
    <w:rPr>
      <w:rFonts w:ascii="Cambria" w:hAnsi="Cambria" w:cstheme="minorBidi"/>
    </w:rPr>
  </w:style>
  <w:style w:type="table" w:styleId="ad">
    <w:name w:val="Table Grid"/>
    <w:basedOn w:val="a1"/>
    <w:uiPriority w:val="39"/>
    <w:rsid w:val="0083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5A1159"/>
    <w:pPr>
      <w:tabs>
        <w:tab w:val="center" w:pos="4680"/>
        <w:tab w:val="right" w:pos="9360"/>
      </w:tabs>
    </w:pPr>
    <w:rPr>
      <w:rFonts w:asciiTheme="minorHAnsi" w:hAnsiTheme="minorHAnsi" w:cstheme="minorBidi"/>
    </w:rPr>
  </w:style>
  <w:style w:type="character" w:customStyle="1" w:styleId="Char3">
    <w:name w:val="页眉 Char"/>
    <w:basedOn w:val="a0"/>
    <w:link w:val="ae"/>
    <w:uiPriority w:val="99"/>
    <w:rsid w:val="005A1159"/>
  </w:style>
  <w:style w:type="character" w:styleId="af">
    <w:name w:val="Placeholder Text"/>
    <w:basedOn w:val="a0"/>
    <w:uiPriority w:val="99"/>
    <w:semiHidden/>
    <w:rsid w:val="00600E70"/>
    <w:rPr>
      <w:color w:val="808080"/>
    </w:rPr>
  </w:style>
  <w:style w:type="character" w:styleId="af0">
    <w:name w:val="FollowedHyperlink"/>
    <w:basedOn w:val="a0"/>
    <w:uiPriority w:val="99"/>
    <w:semiHidden/>
    <w:unhideWhenUsed/>
    <w:rsid w:val="00660DF7"/>
    <w:rPr>
      <w:color w:val="800080" w:themeColor="followedHyperlink"/>
      <w:u w:val="single"/>
    </w:rPr>
  </w:style>
  <w:style w:type="character" w:styleId="af1">
    <w:name w:val="Strong"/>
    <w:basedOn w:val="a0"/>
    <w:uiPriority w:val="22"/>
    <w:qFormat/>
    <w:rsid w:val="00A5180F"/>
    <w:rPr>
      <w:b/>
      <w:bCs/>
    </w:rPr>
  </w:style>
  <w:style w:type="character" w:styleId="af2">
    <w:name w:val="Emphasis"/>
    <w:basedOn w:val="a0"/>
    <w:uiPriority w:val="20"/>
    <w:qFormat/>
    <w:rsid w:val="00D4631B"/>
    <w:rPr>
      <w:i/>
      <w:iCs/>
    </w:rPr>
  </w:style>
  <w:style w:type="character" w:customStyle="1" w:styleId="4Char">
    <w:name w:val="标题 4 Char"/>
    <w:basedOn w:val="a0"/>
    <w:link w:val="4"/>
    <w:uiPriority w:val="9"/>
    <w:semiHidden/>
    <w:rsid w:val="002F441C"/>
    <w:rPr>
      <w:rFonts w:asciiTheme="majorHAnsi" w:eastAsiaTheme="majorEastAsia" w:hAnsiTheme="majorHAnsi" w:cstheme="majorBidi"/>
      <w:b/>
      <w:bCs/>
      <w:i/>
      <w:iCs/>
      <w:color w:val="4F81BD" w:themeColor="accent1"/>
    </w:rPr>
  </w:style>
  <w:style w:type="character" w:customStyle="1" w:styleId="2Char">
    <w:name w:val="标题 2 Char"/>
    <w:basedOn w:val="a0"/>
    <w:link w:val="2"/>
    <w:uiPriority w:val="9"/>
    <w:rsid w:val="00991C2B"/>
    <w:rPr>
      <w:rFonts w:asciiTheme="majorHAnsi" w:eastAsiaTheme="majorEastAsia" w:hAnsiTheme="majorHAnsi" w:cstheme="majorBidi"/>
      <w:b/>
      <w:bCs/>
      <w:color w:val="4F81BD" w:themeColor="accent1"/>
      <w:sz w:val="26"/>
      <w:szCs w:val="26"/>
    </w:rPr>
  </w:style>
  <w:style w:type="character" w:customStyle="1" w:styleId="epub-state">
    <w:name w:val="epub-state"/>
    <w:basedOn w:val="a0"/>
    <w:rsid w:val="00991C2B"/>
  </w:style>
  <w:style w:type="character" w:customStyle="1" w:styleId="epub-date">
    <w:name w:val="epub-date"/>
    <w:basedOn w:val="a0"/>
    <w:rsid w:val="00991C2B"/>
  </w:style>
  <w:style w:type="paragraph" w:customStyle="1" w:styleId="volume-issue">
    <w:name w:val="volume-issue"/>
    <w:basedOn w:val="a"/>
    <w:rsid w:val="00991C2B"/>
    <w:pPr>
      <w:spacing w:before="100" w:beforeAutospacing="1" w:after="100" w:afterAutospacing="1"/>
    </w:pPr>
    <w:rPr>
      <w:rFonts w:eastAsia="Times New Roman"/>
    </w:rPr>
  </w:style>
  <w:style w:type="character" w:customStyle="1" w:styleId="val">
    <w:name w:val="val"/>
    <w:basedOn w:val="a0"/>
    <w:rsid w:val="00991C2B"/>
  </w:style>
  <w:style w:type="paragraph" w:customStyle="1" w:styleId="page-range">
    <w:name w:val="page-range"/>
    <w:basedOn w:val="a"/>
    <w:rsid w:val="00991C2B"/>
    <w:pPr>
      <w:spacing w:before="100" w:beforeAutospacing="1" w:after="100" w:afterAutospacing="1"/>
    </w:pPr>
    <w:rPr>
      <w:rFonts w:eastAsia="Times New Roman"/>
    </w:rPr>
  </w:style>
  <w:style w:type="paragraph" w:customStyle="1" w:styleId="f-body">
    <w:name w:val="f-body"/>
    <w:basedOn w:val="a"/>
    <w:rsid w:val="00F70904"/>
    <w:pPr>
      <w:spacing w:before="100" w:beforeAutospacing="1" w:after="100" w:afterAutospacing="1"/>
    </w:pPr>
    <w:rPr>
      <w:rFonts w:eastAsia="Times New Roman"/>
    </w:rPr>
  </w:style>
  <w:style w:type="paragraph" w:customStyle="1" w:styleId="Default">
    <w:name w:val="Default"/>
    <w:rsid w:val="00C50178"/>
    <w:pPr>
      <w:autoSpaceDE w:val="0"/>
      <w:autoSpaceDN w:val="0"/>
      <w:adjustRightInd w:val="0"/>
    </w:pPr>
    <w:rPr>
      <w:rFonts w:ascii="Arial" w:hAnsi="Arial" w:cs="Arial"/>
      <w:color w:val="000000"/>
    </w:rPr>
  </w:style>
  <w:style w:type="character" w:customStyle="1" w:styleId="A60">
    <w:name w:val="A6"/>
    <w:uiPriority w:val="99"/>
    <w:rsid w:val="006A4932"/>
    <w:rPr>
      <w:rFonts w:cs="Myriad Pro"/>
      <w:b/>
      <w:bCs/>
      <w:color w:val="000000"/>
      <w:sz w:val="12"/>
      <w:szCs w:val="12"/>
    </w:rPr>
  </w:style>
  <w:style w:type="paragraph" w:customStyle="1" w:styleId="Pa1">
    <w:name w:val="Pa1"/>
    <w:basedOn w:val="Default"/>
    <w:next w:val="Default"/>
    <w:uiPriority w:val="99"/>
    <w:rsid w:val="006A4932"/>
    <w:pPr>
      <w:spacing w:line="241" w:lineRule="atLeast"/>
    </w:pPr>
    <w:rPr>
      <w:rFonts w:ascii="Myriad Pro" w:hAnsi="Myriad Pro" w:cstheme="minorBidi"/>
      <w:color w:val="auto"/>
    </w:rPr>
  </w:style>
  <w:style w:type="character" w:customStyle="1" w:styleId="A10">
    <w:name w:val="A1"/>
    <w:uiPriority w:val="99"/>
    <w:rsid w:val="006A4932"/>
    <w:rPr>
      <w:rFonts w:cs="Myriad Pro"/>
      <w:color w:val="000000"/>
      <w:sz w:val="16"/>
      <w:szCs w:val="16"/>
    </w:rPr>
  </w:style>
  <w:style w:type="character" w:customStyle="1" w:styleId="A80">
    <w:name w:val="A8"/>
    <w:uiPriority w:val="99"/>
    <w:rsid w:val="00AE6521"/>
    <w:rPr>
      <w:rFonts w:cs="Adobe Thai"/>
      <w:color w:val="000000"/>
      <w:sz w:val="25"/>
      <w:szCs w:val="25"/>
    </w:rPr>
  </w:style>
  <w:style w:type="character" w:customStyle="1" w:styleId="A90">
    <w:name w:val="A9"/>
    <w:uiPriority w:val="99"/>
    <w:rsid w:val="00AE6521"/>
    <w:rPr>
      <w:rFonts w:cs="Adobe Thai"/>
      <w:b/>
      <w:bCs/>
      <w:color w:val="000000"/>
      <w:sz w:val="15"/>
      <w:szCs w:val="15"/>
    </w:rPr>
  </w:style>
  <w:style w:type="character" w:customStyle="1" w:styleId="cit">
    <w:name w:val="cit"/>
    <w:basedOn w:val="a0"/>
    <w:rsid w:val="00AE6521"/>
  </w:style>
  <w:style w:type="character" w:customStyle="1" w:styleId="fm-vol-iss-date">
    <w:name w:val="fm-vol-iss-date"/>
    <w:basedOn w:val="a0"/>
    <w:rsid w:val="00AE6521"/>
  </w:style>
  <w:style w:type="character" w:customStyle="1" w:styleId="doi">
    <w:name w:val="doi"/>
    <w:basedOn w:val="a0"/>
    <w:rsid w:val="00AE6521"/>
  </w:style>
  <w:style w:type="character" w:customStyle="1" w:styleId="A00">
    <w:name w:val="A0"/>
    <w:uiPriority w:val="99"/>
    <w:rsid w:val="00AE6521"/>
    <w:rPr>
      <w:color w:val="000000"/>
      <w:sz w:val="16"/>
      <w:szCs w:val="16"/>
    </w:rPr>
  </w:style>
  <w:style w:type="character" w:customStyle="1" w:styleId="citationsource-journal">
    <w:name w:val="citation_source-journal"/>
    <w:basedOn w:val="a0"/>
    <w:rsid w:val="00AE6521"/>
  </w:style>
  <w:style w:type="character" w:customStyle="1" w:styleId="nlmyear">
    <w:name w:val="nlm_year"/>
    <w:basedOn w:val="a0"/>
    <w:rsid w:val="00AE6521"/>
  </w:style>
  <w:style w:type="character" w:customStyle="1" w:styleId="nlmfpage">
    <w:name w:val="nlm_fpage"/>
    <w:basedOn w:val="a0"/>
    <w:rsid w:val="00AE6521"/>
  </w:style>
  <w:style w:type="character" w:customStyle="1" w:styleId="nlmlpage">
    <w:name w:val="nlm_lpage"/>
    <w:basedOn w:val="a0"/>
    <w:rsid w:val="00AE6521"/>
  </w:style>
  <w:style w:type="character" w:customStyle="1" w:styleId="A20">
    <w:name w:val="A2"/>
    <w:uiPriority w:val="99"/>
    <w:rsid w:val="00AE6521"/>
    <w:rPr>
      <w:rFonts w:cs="Verdana"/>
      <w:b/>
      <w:bCs/>
      <w:color w:val="000000"/>
      <w:sz w:val="20"/>
      <w:szCs w:val="20"/>
    </w:rPr>
  </w:style>
  <w:style w:type="character" w:customStyle="1" w:styleId="UnresolvedMention1">
    <w:name w:val="Unresolved Mention1"/>
    <w:basedOn w:val="a0"/>
    <w:uiPriority w:val="99"/>
    <w:semiHidden/>
    <w:unhideWhenUsed/>
    <w:rsid w:val="001207C0"/>
    <w:rPr>
      <w:color w:val="605E5C"/>
      <w:shd w:val="clear" w:color="auto" w:fill="E1DFDD"/>
    </w:rPr>
  </w:style>
  <w:style w:type="paragraph" w:styleId="af3">
    <w:name w:val="endnote text"/>
    <w:basedOn w:val="a"/>
    <w:link w:val="Char4"/>
    <w:uiPriority w:val="99"/>
    <w:semiHidden/>
    <w:unhideWhenUsed/>
    <w:rsid w:val="00CF5E6D"/>
    <w:rPr>
      <w:sz w:val="20"/>
      <w:szCs w:val="20"/>
    </w:rPr>
  </w:style>
  <w:style w:type="character" w:customStyle="1" w:styleId="Char4">
    <w:name w:val="尾注文本 Char"/>
    <w:basedOn w:val="a0"/>
    <w:link w:val="af3"/>
    <w:uiPriority w:val="99"/>
    <w:semiHidden/>
    <w:rsid w:val="00CF5E6D"/>
    <w:rPr>
      <w:rFonts w:ascii="Times New Roman" w:hAnsi="Times New Roman" w:cs="Times New Roman"/>
      <w:sz w:val="20"/>
      <w:szCs w:val="20"/>
    </w:rPr>
  </w:style>
  <w:style w:type="character" w:styleId="af4">
    <w:name w:val="endnote reference"/>
    <w:basedOn w:val="a0"/>
    <w:uiPriority w:val="99"/>
    <w:semiHidden/>
    <w:unhideWhenUsed/>
    <w:rsid w:val="00CF5E6D"/>
    <w:rPr>
      <w:vertAlign w:val="superscript"/>
    </w:rPr>
  </w:style>
  <w:style w:type="character" w:customStyle="1" w:styleId="UnresolvedMention2">
    <w:name w:val="Unresolved Mention2"/>
    <w:basedOn w:val="a0"/>
    <w:uiPriority w:val="99"/>
    <w:semiHidden/>
    <w:unhideWhenUsed/>
    <w:rsid w:val="003F4C75"/>
    <w:rPr>
      <w:color w:val="605E5C"/>
      <w:shd w:val="clear" w:color="auto" w:fill="E1DFDD"/>
    </w:rPr>
  </w:style>
  <w:style w:type="paragraph" w:customStyle="1" w:styleId="Title1">
    <w:name w:val="Title1"/>
    <w:basedOn w:val="a"/>
    <w:rsid w:val="00C54387"/>
    <w:pPr>
      <w:spacing w:before="100" w:beforeAutospacing="1" w:after="100" w:afterAutospacing="1"/>
    </w:pPr>
    <w:rPr>
      <w:rFonts w:eastAsia="Times New Roman"/>
    </w:rPr>
  </w:style>
  <w:style w:type="paragraph" w:customStyle="1" w:styleId="desc">
    <w:name w:val="desc"/>
    <w:basedOn w:val="a"/>
    <w:rsid w:val="00C54387"/>
    <w:pPr>
      <w:spacing w:before="100" w:beforeAutospacing="1" w:after="100" w:afterAutospacing="1"/>
    </w:pPr>
    <w:rPr>
      <w:rFonts w:eastAsia="Times New Roman"/>
    </w:rPr>
  </w:style>
  <w:style w:type="paragraph" w:customStyle="1" w:styleId="details">
    <w:name w:val="details"/>
    <w:basedOn w:val="a"/>
    <w:rsid w:val="00C54387"/>
    <w:pPr>
      <w:spacing w:before="100" w:beforeAutospacing="1" w:after="100" w:afterAutospacing="1"/>
    </w:pPr>
    <w:rPr>
      <w:rFonts w:eastAsia="Times New Roman"/>
    </w:rPr>
  </w:style>
  <w:style w:type="character" w:customStyle="1" w:styleId="jrnl">
    <w:name w:val="jrnl"/>
    <w:basedOn w:val="a0"/>
    <w:rsid w:val="00C54387"/>
  </w:style>
  <w:style w:type="paragraph" w:customStyle="1" w:styleId="Title2">
    <w:name w:val="Title2"/>
    <w:basedOn w:val="a"/>
    <w:rsid w:val="0085412B"/>
    <w:pPr>
      <w:spacing w:before="100" w:beforeAutospacing="1" w:after="100" w:afterAutospacing="1"/>
    </w:pPr>
    <w:rPr>
      <w:rFonts w:eastAsia="Times New Roman"/>
    </w:rPr>
  </w:style>
  <w:style w:type="character" w:customStyle="1" w:styleId="UnresolvedMention3">
    <w:name w:val="Unresolved Mention3"/>
    <w:basedOn w:val="a0"/>
    <w:uiPriority w:val="99"/>
    <w:semiHidden/>
    <w:unhideWhenUsed/>
    <w:rsid w:val="001D51C8"/>
    <w:rPr>
      <w:color w:val="605E5C"/>
      <w:shd w:val="clear" w:color="auto" w:fill="E1DFDD"/>
    </w:rPr>
  </w:style>
  <w:style w:type="paragraph" w:customStyle="1" w:styleId="Title3">
    <w:name w:val="Title3"/>
    <w:basedOn w:val="a"/>
    <w:rsid w:val="004C482F"/>
    <w:pPr>
      <w:spacing w:before="100" w:beforeAutospacing="1" w:after="100" w:afterAutospacing="1"/>
    </w:pPr>
    <w:rPr>
      <w:rFonts w:eastAsia="Times New Roman"/>
    </w:rPr>
  </w:style>
  <w:style w:type="character" w:customStyle="1" w:styleId="UnresolvedMention4">
    <w:name w:val="Unresolved Mention4"/>
    <w:basedOn w:val="a0"/>
    <w:uiPriority w:val="99"/>
    <w:semiHidden/>
    <w:unhideWhenUsed/>
    <w:rsid w:val="004E071D"/>
    <w:rPr>
      <w:color w:val="605E5C"/>
      <w:shd w:val="clear" w:color="auto" w:fill="E1DFDD"/>
    </w:rPr>
  </w:style>
  <w:style w:type="character" w:customStyle="1" w:styleId="nlmstring-name">
    <w:name w:val="nlm_string-name"/>
    <w:basedOn w:val="a0"/>
    <w:rsid w:val="00952B33"/>
  </w:style>
  <w:style w:type="character" w:customStyle="1" w:styleId="journalname">
    <w:name w:val="journalname"/>
    <w:basedOn w:val="a0"/>
    <w:rsid w:val="00952B33"/>
  </w:style>
  <w:style w:type="character" w:customStyle="1" w:styleId="year">
    <w:name w:val="year"/>
    <w:basedOn w:val="a0"/>
    <w:rsid w:val="00952B33"/>
  </w:style>
  <w:style w:type="character" w:customStyle="1" w:styleId="volume">
    <w:name w:val="volume"/>
    <w:basedOn w:val="a0"/>
    <w:rsid w:val="00952B33"/>
  </w:style>
  <w:style w:type="character" w:customStyle="1" w:styleId="issue">
    <w:name w:val="issue"/>
    <w:basedOn w:val="a0"/>
    <w:rsid w:val="00952B33"/>
  </w:style>
  <w:style w:type="character" w:customStyle="1" w:styleId="page">
    <w:name w:val="page"/>
    <w:basedOn w:val="a0"/>
    <w:rsid w:val="00952B33"/>
  </w:style>
  <w:style w:type="character" w:customStyle="1" w:styleId="highwire-citation-authors">
    <w:name w:val="highwire-citation-authors"/>
    <w:basedOn w:val="a0"/>
    <w:rsid w:val="000F6D96"/>
  </w:style>
  <w:style w:type="character" w:customStyle="1" w:styleId="highwire-citation-author">
    <w:name w:val="highwire-citation-author"/>
    <w:basedOn w:val="a0"/>
    <w:rsid w:val="000F6D96"/>
  </w:style>
  <w:style w:type="character" w:customStyle="1" w:styleId="nlm-given-names">
    <w:name w:val="nlm-given-names"/>
    <w:basedOn w:val="a0"/>
    <w:rsid w:val="000F6D96"/>
  </w:style>
  <w:style w:type="character" w:customStyle="1" w:styleId="nlm-surname">
    <w:name w:val="nlm-surname"/>
    <w:basedOn w:val="a0"/>
    <w:rsid w:val="000F6D96"/>
  </w:style>
  <w:style w:type="character" w:customStyle="1" w:styleId="highwire-cite-metadata-doi">
    <w:name w:val="highwire-cite-metadata-doi"/>
    <w:basedOn w:val="a0"/>
    <w:rsid w:val="000F6D96"/>
  </w:style>
  <w:style w:type="character" w:customStyle="1" w:styleId="metadata-label">
    <w:name w:val="metadata-label"/>
    <w:basedOn w:val="a0"/>
    <w:rsid w:val="000F6D96"/>
  </w:style>
  <w:style w:type="character" w:styleId="HTML">
    <w:name w:val="HTML Cite"/>
    <w:basedOn w:val="a0"/>
    <w:uiPriority w:val="99"/>
    <w:semiHidden/>
    <w:unhideWhenUsed/>
    <w:rsid w:val="00AB26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70"/>
    <w:rPr>
      <w:rFonts w:ascii="Times New Roman" w:hAnsi="Times New Roman" w:cs="Times New Roman"/>
    </w:rPr>
  </w:style>
  <w:style w:type="paragraph" w:styleId="1">
    <w:name w:val="heading 1"/>
    <w:basedOn w:val="a"/>
    <w:link w:val="1Char"/>
    <w:uiPriority w:val="9"/>
    <w:qFormat/>
    <w:rsid w:val="004D3FE8"/>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Char"/>
    <w:uiPriority w:val="9"/>
    <w:unhideWhenUsed/>
    <w:qFormat/>
    <w:rsid w:val="00991C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
    <w:semiHidden/>
    <w:unhideWhenUsed/>
    <w:qFormat/>
    <w:rsid w:val="002F4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47"/>
    <w:pPr>
      <w:ind w:left="720"/>
      <w:contextualSpacing/>
    </w:pPr>
    <w:rPr>
      <w:rFonts w:asciiTheme="minorHAnsi" w:hAnsiTheme="minorHAnsi" w:cstheme="minorBidi"/>
    </w:rPr>
  </w:style>
  <w:style w:type="paragraph" w:styleId="a4">
    <w:name w:val="Normal (Web)"/>
    <w:basedOn w:val="a"/>
    <w:uiPriority w:val="99"/>
    <w:semiHidden/>
    <w:unhideWhenUsed/>
    <w:rsid w:val="00E51B79"/>
    <w:pPr>
      <w:spacing w:before="100" w:beforeAutospacing="1" w:after="100" w:afterAutospacing="1"/>
    </w:pPr>
    <w:rPr>
      <w:rFonts w:ascii="Times" w:hAnsi="Times"/>
      <w:sz w:val="20"/>
      <w:szCs w:val="20"/>
    </w:rPr>
  </w:style>
  <w:style w:type="character" w:customStyle="1" w:styleId="apple-tab-span">
    <w:name w:val="apple-tab-span"/>
    <w:basedOn w:val="a0"/>
    <w:rsid w:val="00E51B79"/>
  </w:style>
  <w:style w:type="character" w:customStyle="1" w:styleId="hitinf">
    <w:name w:val="hit_inf"/>
    <w:basedOn w:val="a0"/>
    <w:rsid w:val="00CA37E7"/>
  </w:style>
  <w:style w:type="character" w:styleId="a5">
    <w:name w:val="annotation reference"/>
    <w:basedOn w:val="a0"/>
    <w:uiPriority w:val="99"/>
    <w:semiHidden/>
    <w:unhideWhenUsed/>
    <w:rsid w:val="00DA6848"/>
    <w:rPr>
      <w:sz w:val="18"/>
      <w:szCs w:val="18"/>
    </w:rPr>
  </w:style>
  <w:style w:type="paragraph" w:styleId="a6">
    <w:name w:val="annotation text"/>
    <w:basedOn w:val="a"/>
    <w:link w:val="Char"/>
    <w:semiHidden/>
    <w:unhideWhenUsed/>
    <w:rsid w:val="00DA6848"/>
    <w:rPr>
      <w:rFonts w:asciiTheme="minorHAnsi" w:hAnsiTheme="minorHAnsi" w:cstheme="minorBidi"/>
    </w:rPr>
  </w:style>
  <w:style w:type="character" w:customStyle="1" w:styleId="Char">
    <w:name w:val="批注文字 Char"/>
    <w:basedOn w:val="a0"/>
    <w:link w:val="a6"/>
    <w:semiHidden/>
    <w:rsid w:val="00DA6848"/>
  </w:style>
  <w:style w:type="paragraph" w:styleId="a7">
    <w:name w:val="annotation subject"/>
    <w:basedOn w:val="a6"/>
    <w:next w:val="a6"/>
    <w:link w:val="Char0"/>
    <w:uiPriority w:val="99"/>
    <w:semiHidden/>
    <w:unhideWhenUsed/>
    <w:rsid w:val="00DA6848"/>
    <w:rPr>
      <w:b/>
      <w:bCs/>
      <w:sz w:val="20"/>
      <w:szCs w:val="20"/>
    </w:rPr>
  </w:style>
  <w:style w:type="character" w:customStyle="1" w:styleId="Char0">
    <w:name w:val="批注主题 Char"/>
    <w:basedOn w:val="Char"/>
    <w:link w:val="a7"/>
    <w:uiPriority w:val="99"/>
    <w:semiHidden/>
    <w:rsid w:val="00DA6848"/>
    <w:rPr>
      <w:b/>
      <w:bCs/>
      <w:sz w:val="20"/>
      <w:szCs w:val="20"/>
    </w:rPr>
  </w:style>
  <w:style w:type="paragraph" w:styleId="a8">
    <w:name w:val="Balloon Text"/>
    <w:basedOn w:val="a"/>
    <w:link w:val="Char1"/>
    <w:uiPriority w:val="99"/>
    <w:semiHidden/>
    <w:unhideWhenUsed/>
    <w:rsid w:val="00DA6848"/>
    <w:rPr>
      <w:rFonts w:ascii="Lucida Grande" w:hAnsi="Lucida Grande" w:cs="Lucida Grande"/>
      <w:sz w:val="18"/>
      <w:szCs w:val="18"/>
    </w:rPr>
  </w:style>
  <w:style w:type="character" w:customStyle="1" w:styleId="Char1">
    <w:name w:val="批注框文本 Char"/>
    <w:basedOn w:val="a0"/>
    <w:link w:val="a8"/>
    <w:uiPriority w:val="99"/>
    <w:semiHidden/>
    <w:rsid w:val="00DA6848"/>
    <w:rPr>
      <w:rFonts w:ascii="Lucida Grande" w:hAnsi="Lucida Grande" w:cs="Lucida Grande"/>
      <w:sz w:val="18"/>
      <w:szCs w:val="18"/>
    </w:rPr>
  </w:style>
  <w:style w:type="character" w:customStyle="1" w:styleId="1Char">
    <w:name w:val="标题 1 Char"/>
    <w:basedOn w:val="a0"/>
    <w:link w:val="1"/>
    <w:uiPriority w:val="9"/>
    <w:rsid w:val="004D3FE8"/>
    <w:rPr>
      <w:rFonts w:ascii="Times New Roman" w:eastAsia="Times New Roman" w:hAnsi="Times New Roman" w:cs="Times New Roman"/>
      <w:b/>
      <w:bCs/>
      <w:kern w:val="36"/>
      <w:sz w:val="48"/>
      <w:szCs w:val="48"/>
    </w:rPr>
  </w:style>
  <w:style w:type="character" w:styleId="a9">
    <w:name w:val="Hyperlink"/>
    <w:basedOn w:val="a0"/>
    <w:uiPriority w:val="99"/>
    <w:unhideWhenUsed/>
    <w:rsid w:val="004D3FE8"/>
    <w:rPr>
      <w:color w:val="0000FF"/>
      <w:u w:val="single"/>
    </w:rPr>
  </w:style>
  <w:style w:type="paragraph" w:styleId="aa">
    <w:name w:val="Revision"/>
    <w:hidden/>
    <w:uiPriority w:val="99"/>
    <w:semiHidden/>
    <w:rsid w:val="00E7294B"/>
  </w:style>
  <w:style w:type="paragraph" w:styleId="ab">
    <w:name w:val="footer"/>
    <w:basedOn w:val="a"/>
    <w:link w:val="Char2"/>
    <w:uiPriority w:val="99"/>
    <w:unhideWhenUsed/>
    <w:rsid w:val="00E7294B"/>
    <w:pPr>
      <w:tabs>
        <w:tab w:val="center" w:pos="4680"/>
        <w:tab w:val="right" w:pos="9360"/>
      </w:tabs>
    </w:pPr>
    <w:rPr>
      <w:rFonts w:asciiTheme="minorHAnsi" w:hAnsiTheme="minorHAnsi" w:cstheme="minorBidi"/>
    </w:rPr>
  </w:style>
  <w:style w:type="character" w:customStyle="1" w:styleId="Char2">
    <w:name w:val="页脚 Char"/>
    <w:basedOn w:val="a0"/>
    <w:link w:val="ab"/>
    <w:uiPriority w:val="99"/>
    <w:rsid w:val="00E7294B"/>
  </w:style>
  <w:style w:type="character" w:styleId="ac">
    <w:name w:val="page number"/>
    <w:basedOn w:val="a0"/>
    <w:uiPriority w:val="99"/>
    <w:semiHidden/>
    <w:unhideWhenUsed/>
    <w:rsid w:val="00E7294B"/>
  </w:style>
  <w:style w:type="paragraph" w:customStyle="1" w:styleId="EndNoteBibliographyTitle">
    <w:name w:val="EndNote Bibliography Title"/>
    <w:basedOn w:val="a"/>
    <w:rsid w:val="007F1BAD"/>
    <w:pPr>
      <w:jc w:val="center"/>
    </w:pPr>
    <w:rPr>
      <w:rFonts w:ascii="Cambria" w:hAnsi="Cambria" w:cstheme="minorBidi"/>
    </w:rPr>
  </w:style>
  <w:style w:type="paragraph" w:customStyle="1" w:styleId="EndNoteBibliography">
    <w:name w:val="EndNote Bibliography"/>
    <w:basedOn w:val="a"/>
    <w:rsid w:val="007F1BAD"/>
    <w:rPr>
      <w:rFonts w:ascii="Cambria" w:hAnsi="Cambria" w:cstheme="minorBidi"/>
    </w:rPr>
  </w:style>
  <w:style w:type="table" w:styleId="ad">
    <w:name w:val="Table Grid"/>
    <w:basedOn w:val="a1"/>
    <w:uiPriority w:val="39"/>
    <w:rsid w:val="00836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Char3"/>
    <w:uiPriority w:val="99"/>
    <w:unhideWhenUsed/>
    <w:rsid w:val="005A1159"/>
    <w:pPr>
      <w:tabs>
        <w:tab w:val="center" w:pos="4680"/>
        <w:tab w:val="right" w:pos="9360"/>
      </w:tabs>
    </w:pPr>
    <w:rPr>
      <w:rFonts w:asciiTheme="minorHAnsi" w:hAnsiTheme="minorHAnsi" w:cstheme="minorBidi"/>
    </w:rPr>
  </w:style>
  <w:style w:type="character" w:customStyle="1" w:styleId="Char3">
    <w:name w:val="页眉 Char"/>
    <w:basedOn w:val="a0"/>
    <w:link w:val="ae"/>
    <w:uiPriority w:val="99"/>
    <w:rsid w:val="005A1159"/>
  </w:style>
  <w:style w:type="character" w:styleId="af">
    <w:name w:val="Placeholder Text"/>
    <w:basedOn w:val="a0"/>
    <w:uiPriority w:val="99"/>
    <w:semiHidden/>
    <w:rsid w:val="00600E70"/>
    <w:rPr>
      <w:color w:val="808080"/>
    </w:rPr>
  </w:style>
  <w:style w:type="character" w:styleId="af0">
    <w:name w:val="FollowedHyperlink"/>
    <w:basedOn w:val="a0"/>
    <w:uiPriority w:val="99"/>
    <w:semiHidden/>
    <w:unhideWhenUsed/>
    <w:rsid w:val="00660DF7"/>
    <w:rPr>
      <w:color w:val="800080" w:themeColor="followedHyperlink"/>
      <w:u w:val="single"/>
    </w:rPr>
  </w:style>
  <w:style w:type="character" w:styleId="af1">
    <w:name w:val="Strong"/>
    <w:basedOn w:val="a0"/>
    <w:uiPriority w:val="22"/>
    <w:qFormat/>
    <w:rsid w:val="00A5180F"/>
    <w:rPr>
      <w:b/>
      <w:bCs/>
    </w:rPr>
  </w:style>
  <w:style w:type="character" w:styleId="af2">
    <w:name w:val="Emphasis"/>
    <w:basedOn w:val="a0"/>
    <w:uiPriority w:val="20"/>
    <w:qFormat/>
    <w:rsid w:val="00D4631B"/>
    <w:rPr>
      <w:i/>
      <w:iCs/>
    </w:rPr>
  </w:style>
  <w:style w:type="character" w:customStyle="1" w:styleId="4Char">
    <w:name w:val="标题 4 Char"/>
    <w:basedOn w:val="a0"/>
    <w:link w:val="4"/>
    <w:uiPriority w:val="9"/>
    <w:semiHidden/>
    <w:rsid w:val="002F441C"/>
    <w:rPr>
      <w:rFonts w:asciiTheme="majorHAnsi" w:eastAsiaTheme="majorEastAsia" w:hAnsiTheme="majorHAnsi" w:cstheme="majorBidi"/>
      <w:b/>
      <w:bCs/>
      <w:i/>
      <w:iCs/>
      <w:color w:val="4F81BD" w:themeColor="accent1"/>
    </w:rPr>
  </w:style>
  <w:style w:type="character" w:customStyle="1" w:styleId="2Char">
    <w:name w:val="标题 2 Char"/>
    <w:basedOn w:val="a0"/>
    <w:link w:val="2"/>
    <w:uiPriority w:val="9"/>
    <w:rsid w:val="00991C2B"/>
    <w:rPr>
      <w:rFonts w:asciiTheme="majorHAnsi" w:eastAsiaTheme="majorEastAsia" w:hAnsiTheme="majorHAnsi" w:cstheme="majorBidi"/>
      <w:b/>
      <w:bCs/>
      <w:color w:val="4F81BD" w:themeColor="accent1"/>
      <w:sz w:val="26"/>
      <w:szCs w:val="26"/>
    </w:rPr>
  </w:style>
  <w:style w:type="character" w:customStyle="1" w:styleId="epub-state">
    <w:name w:val="epub-state"/>
    <w:basedOn w:val="a0"/>
    <w:rsid w:val="00991C2B"/>
  </w:style>
  <w:style w:type="character" w:customStyle="1" w:styleId="epub-date">
    <w:name w:val="epub-date"/>
    <w:basedOn w:val="a0"/>
    <w:rsid w:val="00991C2B"/>
  </w:style>
  <w:style w:type="paragraph" w:customStyle="1" w:styleId="volume-issue">
    <w:name w:val="volume-issue"/>
    <w:basedOn w:val="a"/>
    <w:rsid w:val="00991C2B"/>
    <w:pPr>
      <w:spacing w:before="100" w:beforeAutospacing="1" w:after="100" w:afterAutospacing="1"/>
    </w:pPr>
    <w:rPr>
      <w:rFonts w:eastAsia="Times New Roman"/>
    </w:rPr>
  </w:style>
  <w:style w:type="character" w:customStyle="1" w:styleId="val">
    <w:name w:val="val"/>
    <w:basedOn w:val="a0"/>
    <w:rsid w:val="00991C2B"/>
  </w:style>
  <w:style w:type="paragraph" w:customStyle="1" w:styleId="page-range">
    <w:name w:val="page-range"/>
    <w:basedOn w:val="a"/>
    <w:rsid w:val="00991C2B"/>
    <w:pPr>
      <w:spacing w:before="100" w:beforeAutospacing="1" w:after="100" w:afterAutospacing="1"/>
    </w:pPr>
    <w:rPr>
      <w:rFonts w:eastAsia="Times New Roman"/>
    </w:rPr>
  </w:style>
  <w:style w:type="paragraph" w:customStyle="1" w:styleId="f-body">
    <w:name w:val="f-body"/>
    <w:basedOn w:val="a"/>
    <w:rsid w:val="00F70904"/>
    <w:pPr>
      <w:spacing w:before="100" w:beforeAutospacing="1" w:after="100" w:afterAutospacing="1"/>
    </w:pPr>
    <w:rPr>
      <w:rFonts w:eastAsia="Times New Roman"/>
    </w:rPr>
  </w:style>
  <w:style w:type="paragraph" w:customStyle="1" w:styleId="Default">
    <w:name w:val="Default"/>
    <w:rsid w:val="00C50178"/>
    <w:pPr>
      <w:autoSpaceDE w:val="0"/>
      <w:autoSpaceDN w:val="0"/>
      <w:adjustRightInd w:val="0"/>
    </w:pPr>
    <w:rPr>
      <w:rFonts w:ascii="Arial" w:hAnsi="Arial" w:cs="Arial"/>
      <w:color w:val="000000"/>
    </w:rPr>
  </w:style>
  <w:style w:type="character" w:customStyle="1" w:styleId="A60">
    <w:name w:val="A6"/>
    <w:uiPriority w:val="99"/>
    <w:rsid w:val="006A4932"/>
    <w:rPr>
      <w:rFonts w:cs="Myriad Pro"/>
      <w:b/>
      <w:bCs/>
      <w:color w:val="000000"/>
      <w:sz w:val="12"/>
      <w:szCs w:val="12"/>
    </w:rPr>
  </w:style>
  <w:style w:type="paragraph" w:customStyle="1" w:styleId="Pa1">
    <w:name w:val="Pa1"/>
    <w:basedOn w:val="Default"/>
    <w:next w:val="Default"/>
    <w:uiPriority w:val="99"/>
    <w:rsid w:val="006A4932"/>
    <w:pPr>
      <w:spacing w:line="241" w:lineRule="atLeast"/>
    </w:pPr>
    <w:rPr>
      <w:rFonts w:ascii="Myriad Pro" w:hAnsi="Myriad Pro" w:cstheme="minorBidi"/>
      <w:color w:val="auto"/>
    </w:rPr>
  </w:style>
  <w:style w:type="character" w:customStyle="1" w:styleId="A10">
    <w:name w:val="A1"/>
    <w:uiPriority w:val="99"/>
    <w:rsid w:val="006A4932"/>
    <w:rPr>
      <w:rFonts w:cs="Myriad Pro"/>
      <w:color w:val="000000"/>
      <w:sz w:val="16"/>
      <w:szCs w:val="16"/>
    </w:rPr>
  </w:style>
  <w:style w:type="character" w:customStyle="1" w:styleId="A80">
    <w:name w:val="A8"/>
    <w:uiPriority w:val="99"/>
    <w:rsid w:val="00AE6521"/>
    <w:rPr>
      <w:rFonts w:cs="Adobe Thai"/>
      <w:color w:val="000000"/>
      <w:sz w:val="25"/>
      <w:szCs w:val="25"/>
    </w:rPr>
  </w:style>
  <w:style w:type="character" w:customStyle="1" w:styleId="A90">
    <w:name w:val="A9"/>
    <w:uiPriority w:val="99"/>
    <w:rsid w:val="00AE6521"/>
    <w:rPr>
      <w:rFonts w:cs="Adobe Thai"/>
      <w:b/>
      <w:bCs/>
      <w:color w:val="000000"/>
      <w:sz w:val="15"/>
      <w:szCs w:val="15"/>
    </w:rPr>
  </w:style>
  <w:style w:type="character" w:customStyle="1" w:styleId="cit">
    <w:name w:val="cit"/>
    <w:basedOn w:val="a0"/>
    <w:rsid w:val="00AE6521"/>
  </w:style>
  <w:style w:type="character" w:customStyle="1" w:styleId="fm-vol-iss-date">
    <w:name w:val="fm-vol-iss-date"/>
    <w:basedOn w:val="a0"/>
    <w:rsid w:val="00AE6521"/>
  </w:style>
  <w:style w:type="character" w:customStyle="1" w:styleId="doi">
    <w:name w:val="doi"/>
    <w:basedOn w:val="a0"/>
    <w:rsid w:val="00AE6521"/>
  </w:style>
  <w:style w:type="character" w:customStyle="1" w:styleId="A00">
    <w:name w:val="A0"/>
    <w:uiPriority w:val="99"/>
    <w:rsid w:val="00AE6521"/>
    <w:rPr>
      <w:color w:val="000000"/>
      <w:sz w:val="16"/>
      <w:szCs w:val="16"/>
    </w:rPr>
  </w:style>
  <w:style w:type="character" w:customStyle="1" w:styleId="citationsource-journal">
    <w:name w:val="citation_source-journal"/>
    <w:basedOn w:val="a0"/>
    <w:rsid w:val="00AE6521"/>
  </w:style>
  <w:style w:type="character" w:customStyle="1" w:styleId="nlmyear">
    <w:name w:val="nlm_year"/>
    <w:basedOn w:val="a0"/>
    <w:rsid w:val="00AE6521"/>
  </w:style>
  <w:style w:type="character" w:customStyle="1" w:styleId="nlmfpage">
    <w:name w:val="nlm_fpage"/>
    <w:basedOn w:val="a0"/>
    <w:rsid w:val="00AE6521"/>
  </w:style>
  <w:style w:type="character" w:customStyle="1" w:styleId="nlmlpage">
    <w:name w:val="nlm_lpage"/>
    <w:basedOn w:val="a0"/>
    <w:rsid w:val="00AE6521"/>
  </w:style>
  <w:style w:type="character" w:customStyle="1" w:styleId="A20">
    <w:name w:val="A2"/>
    <w:uiPriority w:val="99"/>
    <w:rsid w:val="00AE6521"/>
    <w:rPr>
      <w:rFonts w:cs="Verdana"/>
      <w:b/>
      <w:bCs/>
      <w:color w:val="000000"/>
      <w:sz w:val="20"/>
      <w:szCs w:val="20"/>
    </w:rPr>
  </w:style>
  <w:style w:type="character" w:customStyle="1" w:styleId="UnresolvedMention1">
    <w:name w:val="Unresolved Mention1"/>
    <w:basedOn w:val="a0"/>
    <w:uiPriority w:val="99"/>
    <w:semiHidden/>
    <w:unhideWhenUsed/>
    <w:rsid w:val="001207C0"/>
    <w:rPr>
      <w:color w:val="605E5C"/>
      <w:shd w:val="clear" w:color="auto" w:fill="E1DFDD"/>
    </w:rPr>
  </w:style>
  <w:style w:type="paragraph" w:styleId="af3">
    <w:name w:val="endnote text"/>
    <w:basedOn w:val="a"/>
    <w:link w:val="Char4"/>
    <w:uiPriority w:val="99"/>
    <w:semiHidden/>
    <w:unhideWhenUsed/>
    <w:rsid w:val="00CF5E6D"/>
    <w:rPr>
      <w:sz w:val="20"/>
      <w:szCs w:val="20"/>
    </w:rPr>
  </w:style>
  <w:style w:type="character" w:customStyle="1" w:styleId="Char4">
    <w:name w:val="尾注文本 Char"/>
    <w:basedOn w:val="a0"/>
    <w:link w:val="af3"/>
    <w:uiPriority w:val="99"/>
    <w:semiHidden/>
    <w:rsid w:val="00CF5E6D"/>
    <w:rPr>
      <w:rFonts w:ascii="Times New Roman" w:hAnsi="Times New Roman" w:cs="Times New Roman"/>
      <w:sz w:val="20"/>
      <w:szCs w:val="20"/>
    </w:rPr>
  </w:style>
  <w:style w:type="character" w:styleId="af4">
    <w:name w:val="endnote reference"/>
    <w:basedOn w:val="a0"/>
    <w:uiPriority w:val="99"/>
    <w:semiHidden/>
    <w:unhideWhenUsed/>
    <w:rsid w:val="00CF5E6D"/>
    <w:rPr>
      <w:vertAlign w:val="superscript"/>
    </w:rPr>
  </w:style>
  <w:style w:type="character" w:customStyle="1" w:styleId="UnresolvedMention2">
    <w:name w:val="Unresolved Mention2"/>
    <w:basedOn w:val="a0"/>
    <w:uiPriority w:val="99"/>
    <w:semiHidden/>
    <w:unhideWhenUsed/>
    <w:rsid w:val="003F4C75"/>
    <w:rPr>
      <w:color w:val="605E5C"/>
      <w:shd w:val="clear" w:color="auto" w:fill="E1DFDD"/>
    </w:rPr>
  </w:style>
  <w:style w:type="paragraph" w:customStyle="1" w:styleId="Title1">
    <w:name w:val="Title1"/>
    <w:basedOn w:val="a"/>
    <w:rsid w:val="00C54387"/>
    <w:pPr>
      <w:spacing w:before="100" w:beforeAutospacing="1" w:after="100" w:afterAutospacing="1"/>
    </w:pPr>
    <w:rPr>
      <w:rFonts w:eastAsia="Times New Roman"/>
    </w:rPr>
  </w:style>
  <w:style w:type="paragraph" w:customStyle="1" w:styleId="desc">
    <w:name w:val="desc"/>
    <w:basedOn w:val="a"/>
    <w:rsid w:val="00C54387"/>
    <w:pPr>
      <w:spacing w:before="100" w:beforeAutospacing="1" w:after="100" w:afterAutospacing="1"/>
    </w:pPr>
    <w:rPr>
      <w:rFonts w:eastAsia="Times New Roman"/>
    </w:rPr>
  </w:style>
  <w:style w:type="paragraph" w:customStyle="1" w:styleId="details">
    <w:name w:val="details"/>
    <w:basedOn w:val="a"/>
    <w:rsid w:val="00C54387"/>
    <w:pPr>
      <w:spacing w:before="100" w:beforeAutospacing="1" w:after="100" w:afterAutospacing="1"/>
    </w:pPr>
    <w:rPr>
      <w:rFonts w:eastAsia="Times New Roman"/>
    </w:rPr>
  </w:style>
  <w:style w:type="character" w:customStyle="1" w:styleId="jrnl">
    <w:name w:val="jrnl"/>
    <w:basedOn w:val="a0"/>
    <w:rsid w:val="00C54387"/>
  </w:style>
  <w:style w:type="paragraph" w:customStyle="1" w:styleId="Title2">
    <w:name w:val="Title2"/>
    <w:basedOn w:val="a"/>
    <w:rsid w:val="0085412B"/>
    <w:pPr>
      <w:spacing w:before="100" w:beforeAutospacing="1" w:after="100" w:afterAutospacing="1"/>
    </w:pPr>
    <w:rPr>
      <w:rFonts w:eastAsia="Times New Roman"/>
    </w:rPr>
  </w:style>
  <w:style w:type="character" w:customStyle="1" w:styleId="UnresolvedMention3">
    <w:name w:val="Unresolved Mention3"/>
    <w:basedOn w:val="a0"/>
    <w:uiPriority w:val="99"/>
    <w:semiHidden/>
    <w:unhideWhenUsed/>
    <w:rsid w:val="001D51C8"/>
    <w:rPr>
      <w:color w:val="605E5C"/>
      <w:shd w:val="clear" w:color="auto" w:fill="E1DFDD"/>
    </w:rPr>
  </w:style>
  <w:style w:type="paragraph" w:customStyle="1" w:styleId="Title3">
    <w:name w:val="Title3"/>
    <w:basedOn w:val="a"/>
    <w:rsid w:val="004C482F"/>
    <w:pPr>
      <w:spacing w:before="100" w:beforeAutospacing="1" w:after="100" w:afterAutospacing="1"/>
    </w:pPr>
    <w:rPr>
      <w:rFonts w:eastAsia="Times New Roman"/>
    </w:rPr>
  </w:style>
  <w:style w:type="character" w:customStyle="1" w:styleId="UnresolvedMention4">
    <w:name w:val="Unresolved Mention4"/>
    <w:basedOn w:val="a0"/>
    <w:uiPriority w:val="99"/>
    <w:semiHidden/>
    <w:unhideWhenUsed/>
    <w:rsid w:val="004E071D"/>
    <w:rPr>
      <w:color w:val="605E5C"/>
      <w:shd w:val="clear" w:color="auto" w:fill="E1DFDD"/>
    </w:rPr>
  </w:style>
  <w:style w:type="character" w:customStyle="1" w:styleId="nlmstring-name">
    <w:name w:val="nlm_string-name"/>
    <w:basedOn w:val="a0"/>
    <w:rsid w:val="00952B33"/>
  </w:style>
  <w:style w:type="character" w:customStyle="1" w:styleId="journalname">
    <w:name w:val="journalname"/>
    <w:basedOn w:val="a0"/>
    <w:rsid w:val="00952B33"/>
  </w:style>
  <w:style w:type="character" w:customStyle="1" w:styleId="year">
    <w:name w:val="year"/>
    <w:basedOn w:val="a0"/>
    <w:rsid w:val="00952B33"/>
  </w:style>
  <w:style w:type="character" w:customStyle="1" w:styleId="volume">
    <w:name w:val="volume"/>
    <w:basedOn w:val="a0"/>
    <w:rsid w:val="00952B33"/>
  </w:style>
  <w:style w:type="character" w:customStyle="1" w:styleId="issue">
    <w:name w:val="issue"/>
    <w:basedOn w:val="a0"/>
    <w:rsid w:val="00952B33"/>
  </w:style>
  <w:style w:type="character" w:customStyle="1" w:styleId="page">
    <w:name w:val="page"/>
    <w:basedOn w:val="a0"/>
    <w:rsid w:val="00952B33"/>
  </w:style>
  <w:style w:type="character" w:customStyle="1" w:styleId="highwire-citation-authors">
    <w:name w:val="highwire-citation-authors"/>
    <w:basedOn w:val="a0"/>
    <w:rsid w:val="000F6D96"/>
  </w:style>
  <w:style w:type="character" w:customStyle="1" w:styleId="highwire-citation-author">
    <w:name w:val="highwire-citation-author"/>
    <w:basedOn w:val="a0"/>
    <w:rsid w:val="000F6D96"/>
  </w:style>
  <w:style w:type="character" w:customStyle="1" w:styleId="nlm-given-names">
    <w:name w:val="nlm-given-names"/>
    <w:basedOn w:val="a0"/>
    <w:rsid w:val="000F6D96"/>
  </w:style>
  <w:style w:type="character" w:customStyle="1" w:styleId="nlm-surname">
    <w:name w:val="nlm-surname"/>
    <w:basedOn w:val="a0"/>
    <w:rsid w:val="000F6D96"/>
  </w:style>
  <w:style w:type="character" w:customStyle="1" w:styleId="highwire-cite-metadata-doi">
    <w:name w:val="highwire-cite-metadata-doi"/>
    <w:basedOn w:val="a0"/>
    <w:rsid w:val="000F6D96"/>
  </w:style>
  <w:style w:type="character" w:customStyle="1" w:styleId="metadata-label">
    <w:name w:val="metadata-label"/>
    <w:basedOn w:val="a0"/>
    <w:rsid w:val="000F6D96"/>
  </w:style>
  <w:style w:type="character" w:styleId="HTML">
    <w:name w:val="HTML Cite"/>
    <w:basedOn w:val="a0"/>
    <w:uiPriority w:val="99"/>
    <w:semiHidden/>
    <w:unhideWhenUsed/>
    <w:rsid w:val="00AB2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167">
      <w:bodyDiv w:val="1"/>
      <w:marLeft w:val="0"/>
      <w:marRight w:val="0"/>
      <w:marTop w:val="0"/>
      <w:marBottom w:val="0"/>
      <w:divBdr>
        <w:top w:val="none" w:sz="0" w:space="0" w:color="auto"/>
        <w:left w:val="none" w:sz="0" w:space="0" w:color="auto"/>
        <w:bottom w:val="none" w:sz="0" w:space="0" w:color="auto"/>
        <w:right w:val="none" w:sz="0" w:space="0" w:color="auto"/>
      </w:divBdr>
    </w:div>
    <w:div w:id="99489885">
      <w:bodyDiv w:val="1"/>
      <w:marLeft w:val="0"/>
      <w:marRight w:val="0"/>
      <w:marTop w:val="0"/>
      <w:marBottom w:val="0"/>
      <w:divBdr>
        <w:top w:val="none" w:sz="0" w:space="0" w:color="auto"/>
        <w:left w:val="none" w:sz="0" w:space="0" w:color="auto"/>
        <w:bottom w:val="none" w:sz="0" w:space="0" w:color="auto"/>
        <w:right w:val="none" w:sz="0" w:space="0" w:color="auto"/>
      </w:divBdr>
    </w:div>
    <w:div w:id="167060277">
      <w:bodyDiv w:val="1"/>
      <w:marLeft w:val="0"/>
      <w:marRight w:val="0"/>
      <w:marTop w:val="0"/>
      <w:marBottom w:val="0"/>
      <w:divBdr>
        <w:top w:val="none" w:sz="0" w:space="0" w:color="auto"/>
        <w:left w:val="none" w:sz="0" w:space="0" w:color="auto"/>
        <w:bottom w:val="none" w:sz="0" w:space="0" w:color="auto"/>
        <w:right w:val="none" w:sz="0" w:space="0" w:color="auto"/>
      </w:divBdr>
      <w:divsChild>
        <w:div w:id="1390611404">
          <w:marLeft w:val="0"/>
          <w:marRight w:val="0"/>
          <w:marTop w:val="150"/>
          <w:marBottom w:val="270"/>
          <w:divBdr>
            <w:top w:val="none" w:sz="0" w:space="0" w:color="auto"/>
            <w:left w:val="none" w:sz="0" w:space="0" w:color="auto"/>
            <w:bottom w:val="none" w:sz="0" w:space="0" w:color="auto"/>
            <w:right w:val="none" w:sz="0" w:space="0" w:color="auto"/>
          </w:divBdr>
        </w:div>
      </w:divsChild>
    </w:div>
    <w:div w:id="216207058">
      <w:bodyDiv w:val="1"/>
      <w:marLeft w:val="0"/>
      <w:marRight w:val="0"/>
      <w:marTop w:val="0"/>
      <w:marBottom w:val="0"/>
      <w:divBdr>
        <w:top w:val="none" w:sz="0" w:space="0" w:color="auto"/>
        <w:left w:val="none" w:sz="0" w:space="0" w:color="auto"/>
        <w:bottom w:val="none" w:sz="0" w:space="0" w:color="auto"/>
        <w:right w:val="none" w:sz="0" w:space="0" w:color="auto"/>
      </w:divBdr>
    </w:div>
    <w:div w:id="296372717">
      <w:bodyDiv w:val="1"/>
      <w:marLeft w:val="0"/>
      <w:marRight w:val="0"/>
      <w:marTop w:val="0"/>
      <w:marBottom w:val="0"/>
      <w:divBdr>
        <w:top w:val="none" w:sz="0" w:space="0" w:color="auto"/>
        <w:left w:val="none" w:sz="0" w:space="0" w:color="auto"/>
        <w:bottom w:val="none" w:sz="0" w:space="0" w:color="auto"/>
        <w:right w:val="none" w:sz="0" w:space="0" w:color="auto"/>
      </w:divBdr>
    </w:div>
    <w:div w:id="298919354">
      <w:bodyDiv w:val="1"/>
      <w:marLeft w:val="0"/>
      <w:marRight w:val="0"/>
      <w:marTop w:val="0"/>
      <w:marBottom w:val="0"/>
      <w:divBdr>
        <w:top w:val="none" w:sz="0" w:space="0" w:color="auto"/>
        <w:left w:val="none" w:sz="0" w:space="0" w:color="auto"/>
        <w:bottom w:val="none" w:sz="0" w:space="0" w:color="auto"/>
        <w:right w:val="none" w:sz="0" w:space="0" w:color="auto"/>
      </w:divBdr>
    </w:div>
    <w:div w:id="315377951">
      <w:bodyDiv w:val="1"/>
      <w:marLeft w:val="0"/>
      <w:marRight w:val="0"/>
      <w:marTop w:val="0"/>
      <w:marBottom w:val="0"/>
      <w:divBdr>
        <w:top w:val="none" w:sz="0" w:space="0" w:color="auto"/>
        <w:left w:val="none" w:sz="0" w:space="0" w:color="auto"/>
        <w:bottom w:val="none" w:sz="0" w:space="0" w:color="auto"/>
        <w:right w:val="none" w:sz="0" w:space="0" w:color="auto"/>
      </w:divBdr>
    </w:div>
    <w:div w:id="365452011">
      <w:bodyDiv w:val="1"/>
      <w:marLeft w:val="0"/>
      <w:marRight w:val="0"/>
      <w:marTop w:val="0"/>
      <w:marBottom w:val="0"/>
      <w:divBdr>
        <w:top w:val="none" w:sz="0" w:space="0" w:color="auto"/>
        <w:left w:val="none" w:sz="0" w:space="0" w:color="auto"/>
        <w:bottom w:val="none" w:sz="0" w:space="0" w:color="auto"/>
        <w:right w:val="none" w:sz="0" w:space="0" w:color="auto"/>
      </w:divBdr>
    </w:div>
    <w:div w:id="428044225">
      <w:bodyDiv w:val="1"/>
      <w:marLeft w:val="0"/>
      <w:marRight w:val="0"/>
      <w:marTop w:val="0"/>
      <w:marBottom w:val="0"/>
      <w:divBdr>
        <w:top w:val="none" w:sz="0" w:space="0" w:color="auto"/>
        <w:left w:val="none" w:sz="0" w:space="0" w:color="auto"/>
        <w:bottom w:val="none" w:sz="0" w:space="0" w:color="auto"/>
        <w:right w:val="none" w:sz="0" w:space="0" w:color="auto"/>
      </w:divBdr>
    </w:div>
    <w:div w:id="434789048">
      <w:bodyDiv w:val="1"/>
      <w:marLeft w:val="0"/>
      <w:marRight w:val="0"/>
      <w:marTop w:val="0"/>
      <w:marBottom w:val="0"/>
      <w:divBdr>
        <w:top w:val="none" w:sz="0" w:space="0" w:color="auto"/>
        <w:left w:val="none" w:sz="0" w:space="0" w:color="auto"/>
        <w:bottom w:val="none" w:sz="0" w:space="0" w:color="auto"/>
        <w:right w:val="none" w:sz="0" w:space="0" w:color="auto"/>
      </w:divBdr>
    </w:div>
    <w:div w:id="442115875">
      <w:bodyDiv w:val="1"/>
      <w:marLeft w:val="0"/>
      <w:marRight w:val="0"/>
      <w:marTop w:val="0"/>
      <w:marBottom w:val="0"/>
      <w:divBdr>
        <w:top w:val="none" w:sz="0" w:space="0" w:color="auto"/>
        <w:left w:val="none" w:sz="0" w:space="0" w:color="auto"/>
        <w:bottom w:val="none" w:sz="0" w:space="0" w:color="auto"/>
        <w:right w:val="none" w:sz="0" w:space="0" w:color="auto"/>
      </w:divBdr>
    </w:div>
    <w:div w:id="444930325">
      <w:bodyDiv w:val="1"/>
      <w:marLeft w:val="0"/>
      <w:marRight w:val="0"/>
      <w:marTop w:val="0"/>
      <w:marBottom w:val="0"/>
      <w:divBdr>
        <w:top w:val="none" w:sz="0" w:space="0" w:color="auto"/>
        <w:left w:val="none" w:sz="0" w:space="0" w:color="auto"/>
        <w:bottom w:val="none" w:sz="0" w:space="0" w:color="auto"/>
        <w:right w:val="none" w:sz="0" w:space="0" w:color="auto"/>
      </w:divBdr>
    </w:div>
    <w:div w:id="456030777">
      <w:bodyDiv w:val="1"/>
      <w:marLeft w:val="0"/>
      <w:marRight w:val="0"/>
      <w:marTop w:val="0"/>
      <w:marBottom w:val="0"/>
      <w:divBdr>
        <w:top w:val="none" w:sz="0" w:space="0" w:color="auto"/>
        <w:left w:val="none" w:sz="0" w:space="0" w:color="auto"/>
        <w:bottom w:val="none" w:sz="0" w:space="0" w:color="auto"/>
        <w:right w:val="none" w:sz="0" w:space="0" w:color="auto"/>
      </w:divBdr>
    </w:div>
    <w:div w:id="519902729">
      <w:bodyDiv w:val="1"/>
      <w:marLeft w:val="0"/>
      <w:marRight w:val="0"/>
      <w:marTop w:val="0"/>
      <w:marBottom w:val="0"/>
      <w:divBdr>
        <w:top w:val="none" w:sz="0" w:space="0" w:color="auto"/>
        <w:left w:val="none" w:sz="0" w:space="0" w:color="auto"/>
        <w:bottom w:val="none" w:sz="0" w:space="0" w:color="auto"/>
        <w:right w:val="none" w:sz="0" w:space="0" w:color="auto"/>
      </w:divBdr>
      <w:divsChild>
        <w:div w:id="449982229">
          <w:marLeft w:val="0"/>
          <w:marRight w:val="0"/>
          <w:marTop w:val="34"/>
          <w:marBottom w:val="34"/>
          <w:divBdr>
            <w:top w:val="none" w:sz="0" w:space="0" w:color="auto"/>
            <w:left w:val="none" w:sz="0" w:space="0" w:color="auto"/>
            <w:bottom w:val="none" w:sz="0" w:space="0" w:color="auto"/>
            <w:right w:val="none" w:sz="0" w:space="0" w:color="auto"/>
          </w:divBdr>
        </w:div>
        <w:div w:id="1422214239">
          <w:marLeft w:val="0"/>
          <w:marRight w:val="0"/>
          <w:marTop w:val="0"/>
          <w:marBottom w:val="0"/>
          <w:divBdr>
            <w:top w:val="none" w:sz="0" w:space="0" w:color="auto"/>
            <w:left w:val="none" w:sz="0" w:space="0" w:color="auto"/>
            <w:bottom w:val="none" w:sz="0" w:space="0" w:color="auto"/>
            <w:right w:val="none" w:sz="0" w:space="0" w:color="auto"/>
          </w:divBdr>
        </w:div>
      </w:divsChild>
    </w:div>
    <w:div w:id="529799196">
      <w:bodyDiv w:val="1"/>
      <w:marLeft w:val="0"/>
      <w:marRight w:val="0"/>
      <w:marTop w:val="0"/>
      <w:marBottom w:val="0"/>
      <w:divBdr>
        <w:top w:val="none" w:sz="0" w:space="0" w:color="auto"/>
        <w:left w:val="none" w:sz="0" w:space="0" w:color="auto"/>
        <w:bottom w:val="none" w:sz="0" w:space="0" w:color="auto"/>
        <w:right w:val="none" w:sz="0" w:space="0" w:color="auto"/>
      </w:divBdr>
    </w:div>
    <w:div w:id="545801194">
      <w:bodyDiv w:val="1"/>
      <w:marLeft w:val="0"/>
      <w:marRight w:val="0"/>
      <w:marTop w:val="0"/>
      <w:marBottom w:val="0"/>
      <w:divBdr>
        <w:top w:val="none" w:sz="0" w:space="0" w:color="auto"/>
        <w:left w:val="none" w:sz="0" w:space="0" w:color="auto"/>
        <w:bottom w:val="none" w:sz="0" w:space="0" w:color="auto"/>
        <w:right w:val="none" w:sz="0" w:space="0" w:color="auto"/>
      </w:divBdr>
    </w:div>
    <w:div w:id="558708068">
      <w:bodyDiv w:val="1"/>
      <w:marLeft w:val="0"/>
      <w:marRight w:val="0"/>
      <w:marTop w:val="0"/>
      <w:marBottom w:val="0"/>
      <w:divBdr>
        <w:top w:val="none" w:sz="0" w:space="0" w:color="auto"/>
        <w:left w:val="none" w:sz="0" w:space="0" w:color="auto"/>
        <w:bottom w:val="none" w:sz="0" w:space="0" w:color="auto"/>
        <w:right w:val="none" w:sz="0" w:space="0" w:color="auto"/>
      </w:divBdr>
    </w:div>
    <w:div w:id="640309559">
      <w:bodyDiv w:val="1"/>
      <w:marLeft w:val="0"/>
      <w:marRight w:val="0"/>
      <w:marTop w:val="0"/>
      <w:marBottom w:val="0"/>
      <w:divBdr>
        <w:top w:val="none" w:sz="0" w:space="0" w:color="auto"/>
        <w:left w:val="none" w:sz="0" w:space="0" w:color="auto"/>
        <w:bottom w:val="none" w:sz="0" w:space="0" w:color="auto"/>
        <w:right w:val="none" w:sz="0" w:space="0" w:color="auto"/>
      </w:divBdr>
    </w:div>
    <w:div w:id="702941856">
      <w:bodyDiv w:val="1"/>
      <w:marLeft w:val="0"/>
      <w:marRight w:val="0"/>
      <w:marTop w:val="0"/>
      <w:marBottom w:val="0"/>
      <w:divBdr>
        <w:top w:val="none" w:sz="0" w:space="0" w:color="auto"/>
        <w:left w:val="none" w:sz="0" w:space="0" w:color="auto"/>
        <w:bottom w:val="none" w:sz="0" w:space="0" w:color="auto"/>
        <w:right w:val="none" w:sz="0" w:space="0" w:color="auto"/>
      </w:divBdr>
    </w:div>
    <w:div w:id="746532764">
      <w:bodyDiv w:val="1"/>
      <w:marLeft w:val="0"/>
      <w:marRight w:val="0"/>
      <w:marTop w:val="0"/>
      <w:marBottom w:val="0"/>
      <w:divBdr>
        <w:top w:val="none" w:sz="0" w:space="0" w:color="auto"/>
        <w:left w:val="none" w:sz="0" w:space="0" w:color="auto"/>
        <w:bottom w:val="none" w:sz="0" w:space="0" w:color="auto"/>
        <w:right w:val="none" w:sz="0" w:space="0" w:color="auto"/>
      </w:divBdr>
      <w:divsChild>
        <w:div w:id="987442566">
          <w:marLeft w:val="0"/>
          <w:marRight w:val="0"/>
          <w:marTop w:val="34"/>
          <w:marBottom w:val="34"/>
          <w:divBdr>
            <w:top w:val="none" w:sz="0" w:space="0" w:color="auto"/>
            <w:left w:val="none" w:sz="0" w:space="0" w:color="auto"/>
            <w:bottom w:val="none" w:sz="0" w:space="0" w:color="auto"/>
            <w:right w:val="none" w:sz="0" w:space="0" w:color="auto"/>
          </w:divBdr>
        </w:div>
        <w:div w:id="1955600650">
          <w:marLeft w:val="0"/>
          <w:marRight w:val="0"/>
          <w:marTop w:val="0"/>
          <w:marBottom w:val="0"/>
          <w:divBdr>
            <w:top w:val="none" w:sz="0" w:space="0" w:color="auto"/>
            <w:left w:val="none" w:sz="0" w:space="0" w:color="auto"/>
            <w:bottom w:val="none" w:sz="0" w:space="0" w:color="auto"/>
            <w:right w:val="none" w:sz="0" w:space="0" w:color="auto"/>
          </w:divBdr>
        </w:div>
      </w:divsChild>
    </w:div>
    <w:div w:id="814178728">
      <w:bodyDiv w:val="1"/>
      <w:marLeft w:val="0"/>
      <w:marRight w:val="0"/>
      <w:marTop w:val="0"/>
      <w:marBottom w:val="0"/>
      <w:divBdr>
        <w:top w:val="none" w:sz="0" w:space="0" w:color="auto"/>
        <w:left w:val="none" w:sz="0" w:space="0" w:color="auto"/>
        <w:bottom w:val="none" w:sz="0" w:space="0" w:color="auto"/>
        <w:right w:val="none" w:sz="0" w:space="0" w:color="auto"/>
      </w:divBdr>
    </w:div>
    <w:div w:id="831260625">
      <w:bodyDiv w:val="1"/>
      <w:marLeft w:val="0"/>
      <w:marRight w:val="0"/>
      <w:marTop w:val="0"/>
      <w:marBottom w:val="0"/>
      <w:divBdr>
        <w:top w:val="none" w:sz="0" w:space="0" w:color="auto"/>
        <w:left w:val="none" w:sz="0" w:space="0" w:color="auto"/>
        <w:bottom w:val="none" w:sz="0" w:space="0" w:color="auto"/>
        <w:right w:val="none" w:sz="0" w:space="0" w:color="auto"/>
      </w:divBdr>
    </w:div>
    <w:div w:id="831674567">
      <w:bodyDiv w:val="1"/>
      <w:marLeft w:val="0"/>
      <w:marRight w:val="0"/>
      <w:marTop w:val="0"/>
      <w:marBottom w:val="0"/>
      <w:divBdr>
        <w:top w:val="none" w:sz="0" w:space="0" w:color="auto"/>
        <w:left w:val="none" w:sz="0" w:space="0" w:color="auto"/>
        <w:bottom w:val="none" w:sz="0" w:space="0" w:color="auto"/>
        <w:right w:val="none" w:sz="0" w:space="0" w:color="auto"/>
      </w:divBdr>
    </w:div>
    <w:div w:id="852644869">
      <w:bodyDiv w:val="1"/>
      <w:marLeft w:val="0"/>
      <w:marRight w:val="0"/>
      <w:marTop w:val="0"/>
      <w:marBottom w:val="0"/>
      <w:divBdr>
        <w:top w:val="none" w:sz="0" w:space="0" w:color="auto"/>
        <w:left w:val="none" w:sz="0" w:space="0" w:color="auto"/>
        <w:bottom w:val="none" w:sz="0" w:space="0" w:color="auto"/>
        <w:right w:val="none" w:sz="0" w:space="0" w:color="auto"/>
      </w:divBdr>
    </w:div>
    <w:div w:id="859852887">
      <w:bodyDiv w:val="1"/>
      <w:marLeft w:val="0"/>
      <w:marRight w:val="0"/>
      <w:marTop w:val="0"/>
      <w:marBottom w:val="0"/>
      <w:divBdr>
        <w:top w:val="none" w:sz="0" w:space="0" w:color="auto"/>
        <w:left w:val="none" w:sz="0" w:space="0" w:color="auto"/>
        <w:bottom w:val="none" w:sz="0" w:space="0" w:color="auto"/>
        <w:right w:val="none" w:sz="0" w:space="0" w:color="auto"/>
      </w:divBdr>
    </w:div>
    <w:div w:id="1022780722">
      <w:bodyDiv w:val="1"/>
      <w:marLeft w:val="0"/>
      <w:marRight w:val="0"/>
      <w:marTop w:val="0"/>
      <w:marBottom w:val="0"/>
      <w:divBdr>
        <w:top w:val="none" w:sz="0" w:space="0" w:color="auto"/>
        <w:left w:val="none" w:sz="0" w:space="0" w:color="auto"/>
        <w:bottom w:val="none" w:sz="0" w:space="0" w:color="auto"/>
        <w:right w:val="none" w:sz="0" w:space="0" w:color="auto"/>
      </w:divBdr>
      <w:divsChild>
        <w:div w:id="1191846092">
          <w:marLeft w:val="0"/>
          <w:marRight w:val="0"/>
          <w:marTop w:val="34"/>
          <w:marBottom w:val="34"/>
          <w:divBdr>
            <w:top w:val="none" w:sz="0" w:space="0" w:color="auto"/>
            <w:left w:val="none" w:sz="0" w:space="0" w:color="auto"/>
            <w:bottom w:val="none" w:sz="0" w:space="0" w:color="auto"/>
            <w:right w:val="none" w:sz="0" w:space="0" w:color="auto"/>
          </w:divBdr>
        </w:div>
      </w:divsChild>
    </w:div>
    <w:div w:id="1045375762">
      <w:bodyDiv w:val="1"/>
      <w:marLeft w:val="0"/>
      <w:marRight w:val="0"/>
      <w:marTop w:val="0"/>
      <w:marBottom w:val="0"/>
      <w:divBdr>
        <w:top w:val="none" w:sz="0" w:space="0" w:color="auto"/>
        <w:left w:val="none" w:sz="0" w:space="0" w:color="auto"/>
        <w:bottom w:val="none" w:sz="0" w:space="0" w:color="auto"/>
        <w:right w:val="none" w:sz="0" w:space="0" w:color="auto"/>
      </w:divBdr>
      <w:divsChild>
        <w:div w:id="1750155211">
          <w:marLeft w:val="0"/>
          <w:marRight w:val="0"/>
          <w:marTop w:val="34"/>
          <w:marBottom w:val="34"/>
          <w:divBdr>
            <w:top w:val="none" w:sz="0" w:space="0" w:color="auto"/>
            <w:left w:val="none" w:sz="0" w:space="0" w:color="auto"/>
            <w:bottom w:val="none" w:sz="0" w:space="0" w:color="auto"/>
            <w:right w:val="none" w:sz="0" w:space="0" w:color="auto"/>
          </w:divBdr>
        </w:div>
        <w:div w:id="1932351115">
          <w:marLeft w:val="0"/>
          <w:marRight w:val="0"/>
          <w:marTop w:val="0"/>
          <w:marBottom w:val="0"/>
          <w:divBdr>
            <w:top w:val="none" w:sz="0" w:space="0" w:color="auto"/>
            <w:left w:val="none" w:sz="0" w:space="0" w:color="auto"/>
            <w:bottom w:val="none" w:sz="0" w:space="0" w:color="auto"/>
            <w:right w:val="none" w:sz="0" w:space="0" w:color="auto"/>
          </w:divBdr>
        </w:div>
      </w:divsChild>
    </w:div>
    <w:div w:id="1063025679">
      <w:bodyDiv w:val="1"/>
      <w:marLeft w:val="0"/>
      <w:marRight w:val="0"/>
      <w:marTop w:val="0"/>
      <w:marBottom w:val="0"/>
      <w:divBdr>
        <w:top w:val="none" w:sz="0" w:space="0" w:color="auto"/>
        <w:left w:val="none" w:sz="0" w:space="0" w:color="auto"/>
        <w:bottom w:val="none" w:sz="0" w:space="0" w:color="auto"/>
        <w:right w:val="none" w:sz="0" w:space="0" w:color="auto"/>
      </w:divBdr>
      <w:divsChild>
        <w:div w:id="87776678">
          <w:marLeft w:val="0"/>
          <w:marRight w:val="0"/>
          <w:marTop w:val="166"/>
          <w:marBottom w:val="166"/>
          <w:divBdr>
            <w:top w:val="none" w:sz="0" w:space="0" w:color="auto"/>
            <w:left w:val="none" w:sz="0" w:space="0" w:color="auto"/>
            <w:bottom w:val="none" w:sz="0" w:space="0" w:color="auto"/>
            <w:right w:val="none" w:sz="0" w:space="0" w:color="auto"/>
          </w:divBdr>
        </w:div>
      </w:divsChild>
    </w:div>
    <w:div w:id="1068263289">
      <w:bodyDiv w:val="1"/>
      <w:marLeft w:val="0"/>
      <w:marRight w:val="0"/>
      <w:marTop w:val="0"/>
      <w:marBottom w:val="0"/>
      <w:divBdr>
        <w:top w:val="none" w:sz="0" w:space="0" w:color="auto"/>
        <w:left w:val="none" w:sz="0" w:space="0" w:color="auto"/>
        <w:bottom w:val="none" w:sz="0" w:space="0" w:color="auto"/>
        <w:right w:val="none" w:sz="0" w:space="0" w:color="auto"/>
      </w:divBdr>
      <w:divsChild>
        <w:div w:id="583299485">
          <w:marLeft w:val="0"/>
          <w:marRight w:val="0"/>
          <w:marTop w:val="204"/>
          <w:marBottom w:val="204"/>
          <w:divBdr>
            <w:top w:val="none" w:sz="0" w:space="0" w:color="auto"/>
            <w:left w:val="none" w:sz="0" w:space="0" w:color="auto"/>
            <w:bottom w:val="none" w:sz="0" w:space="0" w:color="auto"/>
            <w:right w:val="none" w:sz="0" w:space="0" w:color="auto"/>
          </w:divBdr>
          <w:divsChild>
            <w:div w:id="984967066">
              <w:marLeft w:val="0"/>
              <w:marRight w:val="0"/>
              <w:marTop w:val="0"/>
              <w:marBottom w:val="0"/>
              <w:divBdr>
                <w:top w:val="none" w:sz="0" w:space="0" w:color="auto"/>
                <w:left w:val="none" w:sz="0" w:space="0" w:color="auto"/>
                <w:bottom w:val="none" w:sz="0" w:space="0" w:color="auto"/>
                <w:right w:val="none" w:sz="0" w:space="0" w:color="auto"/>
              </w:divBdr>
            </w:div>
            <w:div w:id="1445923288">
              <w:marLeft w:val="0"/>
              <w:marRight w:val="0"/>
              <w:marTop w:val="0"/>
              <w:marBottom w:val="0"/>
              <w:divBdr>
                <w:top w:val="none" w:sz="0" w:space="0" w:color="auto"/>
                <w:left w:val="none" w:sz="0" w:space="0" w:color="auto"/>
                <w:bottom w:val="none" w:sz="0" w:space="0" w:color="auto"/>
                <w:right w:val="none" w:sz="0" w:space="0" w:color="auto"/>
              </w:divBdr>
            </w:div>
          </w:divsChild>
        </w:div>
        <w:div w:id="2089230464">
          <w:marLeft w:val="0"/>
          <w:marRight w:val="0"/>
          <w:marTop w:val="204"/>
          <w:marBottom w:val="204"/>
          <w:divBdr>
            <w:top w:val="none" w:sz="0" w:space="0" w:color="auto"/>
            <w:left w:val="none" w:sz="0" w:space="0" w:color="auto"/>
            <w:bottom w:val="none" w:sz="0" w:space="0" w:color="auto"/>
            <w:right w:val="none" w:sz="0" w:space="0" w:color="auto"/>
          </w:divBdr>
          <w:divsChild>
            <w:div w:id="2143844087">
              <w:marLeft w:val="0"/>
              <w:marRight w:val="0"/>
              <w:marTop w:val="0"/>
              <w:marBottom w:val="0"/>
              <w:divBdr>
                <w:top w:val="none" w:sz="0" w:space="0" w:color="auto"/>
                <w:left w:val="none" w:sz="0" w:space="0" w:color="auto"/>
                <w:bottom w:val="none" w:sz="0" w:space="0" w:color="auto"/>
                <w:right w:val="none" w:sz="0" w:space="0" w:color="auto"/>
              </w:divBdr>
              <w:divsChild>
                <w:div w:id="2054770176">
                  <w:marLeft w:val="0"/>
                  <w:marRight w:val="0"/>
                  <w:marTop w:val="0"/>
                  <w:marBottom w:val="0"/>
                  <w:divBdr>
                    <w:top w:val="none" w:sz="0" w:space="0" w:color="auto"/>
                    <w:left w:val="none" w:sz="0" w:space="0" w:color="auto"/>
                    <w:bottom w:val="none" w:sz="0" w:space="0" w:color="auto"/>
                    <w:right w:val="none" w:sz="0" w:space="0" w:color="auto"/>
                  </w:divBdr>
                  <w:divsChild>
                    <w:div w:id="9988044">
                      <w:marLeft w:val="0"/>
                      <w:marRight w:val="0"/>
                      <w:marTop w:val="0"/>
                      <w:marBottom w:val="0"/>
                      <w:divBdr>
                        <w:top w:val="none" w:sz="0" w:space="0" w:color="auto"/>
                        <w:left w:val="none" w:sz="0" w:space="0" w:color="auto"/>
                        <w:bottom w:val="none" w:sz="0" w:space="0" w:color="auto"/>
                        <w:right w:val="none" w:sz="0" w:space="0" w:color="auto"/>
                      </w:divBdr>
                    </w:div>
                    <w:div w:id="307438659">
                      <w:marLeft w:val="0"/>
                      <w:marRight w:val="0"/>
                      <w:marTop w:val="0"/>
                      <w:marBottom w:val="0"/>
                      <w:divBdr>
                        <w:top w:val="none" w:sz="0" w:space="0" w:color="auto"/>
                        <w:left w:val="none" w:sz="0" w:space="0" w:color="auto"/>
                        <w:bottom w:val="none" w:sz="0" w:space="0" w:color="auto"/>
                        <w:right w:val="none" w:sz="0" w:space="0" w:color="auto"/>
                      </w:divBdr>
                    </w:div>
                    <w:div w:id="388458240">
                      <w:marLeft w:val="0"/>
                      <w:marRight w:val="0"/>
                      <w:marTop w:val="0"/>
                      <w:marBottom w:val="0"/>
                      <w:divBdr>
                        <w:top w:val="none" w:sz="0" w:space="0" w:color="auto"/>
                        <w:left w:val="none" w:sz="0" w:space="0" w:color="auto"/>
                        <w:bottom w:val="none" w:sz="0" w:space="0" w:color="auto"/>
                        <w:right w:val="none" w:sz="0" w:space="0" w:color="auto"/>
                      </w:divBdr>
                    </w:div>
                    <w:div w:id="537011108">
                      <w:marLeft w:val="0"/>
                      <w:marRight w:val="0"/>
                      <w:marTop w:val="0"/>
                      <w:marBottom w:val="0"/>
                      <w:divBdr>
                        <w:top w:val="none" w:sz="0" w:space="0" w:color="auto"/>
                        <w:left w:val="none" w:sz="0" w:space="0" w:color="auto"/>
                        <w:bottom w:val="none" w:sz="0" w:space="0" w:color="auto"/>
                        <w:right w:val="none" w:sz="0" w:space="0" w:color="auto"/>
                      </w:divBdr>
                    </w:div>
                    <w:div w:id="588124616">
                      <w:marLeft w:val="0"/>
                      <w:marRight w:val="0"/>
                      <w:marTop w:val="0"/>
                      <w:marBottom w:val="0"/>
                      <w:divBdr>
                        <w:top w:val="none" w:sz="0" w:space="0" w:color="auto"/>
                        <w:left w:val="none" w:sz="0" w:space="0" w:color="auto"/>
                        <w:bottom w:val="none" w:sz="0" w:space="0" w:color="auto"/>
                        <w:right w:val="none" w:sz="0" w:space="0" w:color="auto"/>
                      </w:divBdr>
                    </w:div>
                    <w:div w:id="772819816">
                      <w:marLeft w:val="0"/>
                      <w:marRight w:val="0"/>
                      <w:marTop w:val="0"/>
                      <w:marBottom w:val="0"/>
                      <w:divBdr>
                        <w:top w:val="none" w:sz="0" w:space="0" w:color="auto"/>
                        <w:left w:val="none" w:sz="0" w:space="0" w:color="auto"/>
                        <w:bottom w:val="none" w:sz="0" w:space="0" w:color="auto"/>
                        <w:right w:val="none" w:sz="0" w:space="0" w:color="auto"/>
                      </w:divBdr>
                    </w:div>
                    <w:div w:id="807431475">
                      <w:marLeft w:val="0"/>
                      <w:marRight w:val="0"/>
                      <w:marTop w:val="0"/>
                      <w:marBottom w:val="0"/>
                      <w:divBdr>
                        <w:top w:val="none" w:sz="0" w:space="0" w:color="auto"/>
                        <w:left w:val="none" w:sz="0" w:space="0" w:color="auto"/>
                        <w:bottom w:val="none" w:sz="0" w:space="0" w:color="auto"/>
                        <w:right w:val="none" w:sz="0" w:space="0" w:color="auto"/>
                      </w:divBdr>
                    </w:div>
                    <w:div w:id="1855806581">
                      <w:marLeft w:val="0"/>
                      <w:marRight w:val="0"/>
                      <w:marTop w:val="0"/>
                      <w:marBottom w:val="0"/>
                      <w:divBdr>
                        <w:top w:val="none" w:sz="0" w:space="0" w:color="auto"/>
                        <w:left w:val="none" w:sz="0" w:space="0" w:color="auto"/>
                        <w:bottom w:val="none" w:sz="0" w:space="0" w:color="auto"/>
                        <w:right w:val="none" w:sz="0" w:space="0" w:color="auto"/>
                      </w:divBdr>
                    </w:div>
                    <w:div w:id="1868786509">
                      <w:marLeft w:val="0"/>
                      <w:marRight w:val="0"/>
                      <w:marTop w:val="0"/>
                      <w:marBottom w:val="0"/>
                      <w:divBdr>
                        <w:top w:val="none" w:sz="0" w:space="0" w:color="auto"/>
                        <w:left w:val="none" w:sz="0" w:space="0" w:color="auto"/>
                        <w:bottom w:val="none" w:sz="0" w:space="0" w:color="auto"/>
                        <w:right w:val="none" w:sz="0" w:space="0" w:color="auto"/>
                      </w:divBdr>
                    </w:div>
                    <w:div w:id="20853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40253">
      <w:bodyDiv w:val="1"/>
      <w:marLeft w:val="0"/>
      <w:marRight w:val="0"/>
      <w:marTop w:val="0"/>
      <w:marBottom w:val="0"/>
      <w:divBdr>
        <w:top w:val="none" w:sz="0" w:space="0" w:color="auto"/>
        <w:left w:val="none" w:sz="0" w:space="0" w:color="auto"/>
        <w:bottom w:val="none" w:sz="0" w:space="0" w:color="auto"/>
        <w:right w:val="none" w:sz="0" w:space="0" w:color="auto"/>
      </w:divBdr>
      <w:divsChild>
        <w:div w:id="2081554882">
          <w:marLeft w:val="0"/>
          <w:marRight w:val="0"/>
          <w:marTop w:val="0"/>
          <w:marBottom w:val="0"/>
          <w:divBdr>
            <w:top w:val="none" w:sz="0" w:space="0" w:color="auto"/>
            <w:left w:val="none" w:sz="0" w:space="0" w:color="auto"/>
            <w:bottom w:val="none" w:sz="0" w:space="0" w:color="auto"/>
            <w:right w:val="none" w:sz="0" w:space="0" w:color="auto"/>
          </w:divBdr>
          <w:divsChild>
            <w:div w:id="474836035">
              <w:marLeft w:val="0"/>
              <w:marRight w:val="0"/>
              <w:marTop w:val="0"/>
              <w:marBottom w:val="0"/>
              <w:divBdr>
                <w:top w:val="none" w:sz="0" w:space="0" w:color="auto"/>
                <w:left w:val="none" w:sz="0" w:space="0" w:color="auto"/>
                <w:bottom w:val="none" w:sz="0" w:space="0" w:color="auto"/>
                <w:right w:val="none" w:sz="0" w:space="0" w:color="auto"/>
              </w:divBdr>
              <w:divsChild>
                <w:div w:id="595207798">
                  <w:marLeft w:val="0"/>
                  <w:marRight w:val="0"/>
                  <w:marTop w:val="0"/>
                  <w:marBottom w:val="0"/>
                  <w:divBdr>
                    <w:top w:val="none" w:sz="0" w:space="0" w:color="auto"/>
                    <w:left w:val="none" w:sz="0" w:space="0" w:color="auto"/>
                    <w:bottom w:val="none" w:sz="0" w:space="0" w:color="auto"/>
                    <w:right w:val="none" w:sz="0" w:space="0" w:color="auto"/>
                  </w:divBdr>
                  <w:divsChild>
                    <w:div w:id="1145389472">
                      <w:marLeft w:val="0"/>
                      <w:marRight w:val="0"/>
                      <w:marTop w:val="0"/>
                      <w:marBottom w:val="0"/>
                      <w:divBdr>
                        <w:top w:val="none" w:sz="0" w:space="0" w:color="auto"/>
                        <w:left w:val="none" w:sz="0" w:space="0" w:color="auto"/>
                        <w:bottom w:val="none" w:sz="0" w:space="0" w:color="auto"/>
                        <w:right w:val="none" w:sz="0" w:space="0" w:color="auto"/>
                      </w:divBdr>
                      <w:divsChild>
                        <w:div w:id="1250850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1709187">
          <w:marLeft w:val="0"/>
          <w:marRight w:val="0"/>
          <w:marTop w:val="0"/>
          <w:marBottom w:val="300"/>
          <w:divBdr>
            <w:top w:val="none" w:sz="0" w:space="0" w:color="auto"/>
            <w:left w:val="none" w:sz="0" w:space="0" w:color="auto"/>
            <w:bottom w:val="none" w:sz="0" w:space="0" w:color="auto"/>
            <w:right w:val="none" w:sz="0" w:space="0" w:color="auto"/>
          </w:divBdr>
          <w:divsChild>
            <w:div w:id="258488401">
              <w:marLeft w:val="0"/>
              <w:marRight w:val="0"/>
              <w:marTop w:val="0"/>
              <w:marBottom w:val="0"/>
              <w:divBdr>
                <w:top w:val="none" w:sz="0" w:space="0" w:color="auto"/>
                <w:left w:val="none" w:sz="0" w:space="0" w:color="auto"/>
                <w:bottom w:val="none" w:sz="0" w:space="0" w:color="auto"/>
                <w:right w:val="none" w:sz="0" w:space="0" w:color="auto"/>
              </w:divBdr>
              <w:divsChild>
                <w:div w:id="1014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486">
      <w:bodyDiv w:val="1"/>
      <w:marLeft w:val="0"/>
      <w:marRight w:val="0"/>
      <w:marTop w:val="0"/>
      <w:marBottom w:val="0"/>
      <w:divBdr>
        <w:top w:val="none" w:sz="0" w:space="0" w:color="auto"/>
        <w:left w:val="none" w:sz="0" w:space="0" w:color="auto"/>
        <w:bottom w:val="none" w:sz="0" w:space="0" w:color="auto"/>
        <w:right w:val="none" w:sz="0" w:space="0" w:color="auto"/>
      </w:divBdr>
      <w:divsChild>
        <w:div w:id="40248173">
          <w:marLeft w:val="1454"/>
          <w:marRight w:val="0"/>
          <w:marTop w:val="0"/>
          <w:marBottom w:val="0"/>
          <w:divBdr>
            <w:top w:val="none" w:sz="0" w:space="0" w:color="auto"/>
            <w:left w:val="none" w:sz="0" w:space="0" w:color="auto"/>
            <w:bottom w:val="none" w:sz="0" w:space="0" w:color="auto"/>
            <w:right w:val="none" w:sz="0" w:space="0" w:color="auto"/>
          </w:divBdr>
        </w:div>
        <w:div w:id="280847014">
          <w:marLeft w:val="1454"/>
          <w:marRight w:val="0"/>
          <w:marTop w:val="0"/>
          <w:marBottom w:val="0"/>
          <w:divBdr>
            <w:top w:val="none" w:sz="0" w:space="0" w:color="auto"/>
            <w:left w:val="none" w:sz="0" w:space="0" w:color="auto"/>
            <w:bottom w:val="none" w:sz="0" w:space="0" w:color="auto"/>
            <w:right w:val="none" w:sz="0" w:space="0" w:color="auto"/>
          </w:divBdr>
        </w:div>
        <w:div w:id="521359467">
          <w:marLeft w:val="1454"/>
          <w:marRight w:val="0"/>
          <w:marTop w:val="0"/>
          <w:marBottom w:val="0"/>
          <w:divBdr>
            <w:top w:val="none" w:sz="0" w:space="0" w:color="auto"/>
            <w:left w:val="none" w:sz="0" w:space="0" w:color="auto"/>
            <w:bottom w:val="none" w:sz="0" w:space="0" w:color="auto"/>
            <w:right w:val="none" w:sz="0" w:space="0" w:color="auto"/>
          </w:divBdr>
        </w:div>
        <w:div w:id="1161849643">
          <w:marLeft w:val="720"/>
          <w:marRight w:val="0"/>
          <w:marTop w:val="0"/>
          <w:marBottom w:val="0"/>
          <w:divBdr>
            <w:top w:val="none" w:sz="0" w:space="0" w:color="auto"/>
            <w:left w:val="none" w:sz="0" w:space="0" w:color="auto"/>
            <w:bottom w:val="none" w:sz="0" w:space="0" w:color="auto"/>
            <w:right w:val="none" w:sz="0" w:space="0" w:color="auto"/>
          </w:divBdr>
        </w:div>
        <w:div w:id="1934774938">
          <w:marLeft w:val="1454"/>
          <w:marRight w:val="0"/>
          <w:marTop w:val="0"/>
          <w:marBottom w:val="0"/>
          <w:divBdr>
            <w:top w:val="none" w:sz="0" w:space="0" w:color="auto"/>
            <w:left w:val="none" w:sz="0" w:space="0" w:color="auto"/>
            <w:bottom w:val="none" w:sz="0" w:space="0" w:color="auto"/>
            <w:right w:val="none" w:sz="0" w:space="0" w:color="auto"/>
          </w:divBdr>
        </w:div>
      </w:divsChild>
    </w:div>
    <w:div w:id="1100564868">
      <w:bodyDiv w:val="1"/>
      <w:marLeft w:val="0"/>
      <w:marRight w:val="0"/>
      <w:marTop w:val="0"/>
      <w:marBottom w:val="0"/>
      <w:divBdr>
        <w:top w:val="none" w:sz="0" w:space="0" w:color="auto"/>
        <w:left w:val="none" w:sz="0" w:space="0" w:color="auto"/>
        <w:bottom w:val="none" w:sz="0" w:space="0" w:color="auto"/>
        <w:right w:val="none" w:sz="0" w:space="0" w:color="auto"/>
      </w:divBdr>
    </w:div>
    <w:div w:id="1118332976">
      <w:bodyDiv w:val="1"/>
      <w:marLeft w:val="0"/>
      <w:marRight w:val="0"/>
      <w:marTop w:val="0"/>
      <w:marBottom w:val="0"/>
      <w:divBdr>
        <w:top w:val="none" w:sz="0" w:space="0" w:color="auto"/>
        <w:left w:val="none" w:sz="0" w:space="0" w:color="auto"/>
        <w:bottom w:val="none" w:sz="0" w:space="0" w:color="auto"/>
        <w:right w:val="none" w:sz="0" w:space="0" w:color="auto"/>
      </w:divBdr>
    </w:div>
    <w:div w:id="1134325787">
      <w:bodyDiv w:val="1"/>
      <w:marLeft w:val="0"/>
      <w:marRight w:val="0"/>
      <w:marTop w:val="0"/>
      <w:marBottom w:val="0"/>
      <w:divBdr>
        <w:top w:val="none" w:sz="0" w:space="0" w:color="auto"/>
        <w:left w:val="none" w:sz="0" w:space="0" w:color="auto"/>
        <w:bottom w:val="none" w:sz="0" w:space="0" w:color="auto"/>
        <w:right w:val="none" w:sz="0" w:space="0" w:color="auto"/>
      </w:divBdr>
    </w:div>
    <w:div w:id="1170608109">
      <w:bodyDiv w:val="1"/>
      <w:marLeft w:val="0"/>
      <w:marRight w:val="0"/>
      <w:marTop w:val="0"/>
      <w:marBottom w:val="0"/>
      <w:divBdr>
        <w:top w:val="none" w:sz="0" w:space="0" w:color="auto"/>
        <w:left w:val="none" w:sz="0" w:space="0" w:color="auto"/>
        <w:bottom w:val="none" w:sz="0" w:space="0" w:color="auto"/>
        <w:right w:val="none" w:sz="0" w:space="0" w:color="auto"/>
      </w:divBdr>
    </w:div>
    <w:div w:id="1189298572">
      <w:bodyDiv w:val="1"/>
      <w:marLeft w:val="0"/>
      <w:marRight w:val="0"/>
      <w:marTop w:val="0"/>
      <w:marBottom w:val="0"/>
      <w:divBdr>
        <w:top w:val="none" w:sz="0" w:space="0" w:color="auto"/>
        <w:left w:val="none" w:sz="0" w:space="0" w:color="auto"/>
        <w:bottom w:val="none" w:sz="0" w:space="0" w:color="auto"/>
        <w:right w:val="none" w:sz="0" w:space="0" w:color="auto"/>
      </w:divBdr>
    </w:div>
    <w:div w:id="1272199802">
      <w:bodyDiv w:val="1"/>
      <w:marLeft w:val="0"/>
      <w:marRight w:val="0"/>
      <w:marTop w:val="0"/>
      <w:marBottom w:val="0"/>
      <w:divBdr>
        <w:top w:val="none" w:sz="0" w:space="0" w:color="auto"/>
        <w:left w:val="none" w:sz="0" w:space="0" w:color="auto"/>
        <w:bottom w:val="none" w:sz="0" w:space="0" w:color="auto"/>
        <w:right w:val="none" w:sz="0" w:space="0" w:color="auto"/>
      </w:divBdr>
    </w:div>
    <w:div w:id="1276133337">
      <w:bodyDiv w:val="1"/>
      <w:marLeft w:val="0"/>
      <w:marRight w:val="0"/>
      <w:marTop w:val="0"/>
      <w:marBottom w:val="0"/>
      <w:divBdr>
        <w:top w:val="none" w:sz="0" w:space="0" w:color="auto"/>
        <w:left w:val="none" w:sz="0" w:space="0" w:color="auto"/>
        <w:bottom w:val="none" w:sz="0" w:space="0" w:color="auto"/>
        <w:right w:val="none" w:sz="0" w:space="0" w:color="auto"/>
      </w:divBdr>
      <w:divsChild>
        <w:div w:id="292954403">
          <w:marLeft w:val="0"/>
          <w:marRight w:val="0"/>
          <w:marTop w:val="34"/>
          <w:marBottom w:val="34"/>
          <w:divBdr>
            <w:top w:val="none" w:sz="0" w:space="0" w:color="auto"/>
            <w:left w:val="none" w:sz="0" w:space="0" w:color="auto"/>
            <w:bottom w:val="none" w:sz="0" w:space="0" w:color="auto"/>
            <w:right w:val="none" w:sz="0" w:space="0" w:color="auto"/>
          </w:divBdr>
        </w:div>
      </w:divsChild>
    </w:div>
    <w:div w:id="1282105897">
      <w:bodyDiv w:val="1"/>
      <w:marLeft w:val="0"/>
      <w:marRight w:val="0"/>
      <w:marTop w:val="0"/>
      <w:marBottom w:val="0"/>
      <w:divBdr>
        <w:top w:val="none" w:sz="0" w:space="0" w:color="auto"/>
        <w:left w:val="none" w:sz="0" w:space="0" w:color="auto"/>
        <w:bottom w:val="none" w:sz="0" w:space="0" w:color="auto"/>
        <w:right w:val="none" w:sz="0" w:space="0" w:color="auto"/>
      </w:divBdr>
      <w:divsChild>
        <w:div w:id="248195387">
          <w:marLeft w:val="0"/>
          <w:marRight w:val="0"/>
          <w:marTop w:val="34"/>
          <w:marBottom w:val="34"/>
          <w:divBdr>
            <w:top w:val="none" w:sz="0" w:space="0" w:color="auto"/>
            <w:left w:val="none" w:sz="0" w:space="0" w:color="auto"/>
            <w:bottom w:val="none" w:sz="0" w:space="0" w:color="auto"/>
            <w:right w:val="none" w:sz="0" w:space="0" w:color="auto"/>
          </w:divBdr>
        </w:div>
      </w:divsChild>
    </w:div>
    <w:div w:id="1285582295">
      <w:bodyDiv w:val="1"/>
      <w:marLeft w:val="0"/>
      <w:marRight w:val="0"/>
      <w:marTop w:val="0"/>
      <w:marBottom w:val="0"/>
      <w:divBdr>
        <w:top w:val="none" w:sz="0" w:space="0" w:color="auto"/>
        <w:left w:val="none" w:sz="0" w:space="0" w:color="auto"/>
        <w:bottom w:val="none" w:sz="0" w:space="0" w:color="auto"/>
        <w:right w:val="none" w:sz="0" w:space="0" w:color="auto"/>
      </w:divBdr>
    </w:div>
    <w:div w:id="1294869095">
      <w:bodyDiv w:val="1"/>
      <w:marLeft w:val="0"/>
      <w:marRight w:val="0"/>
      <w:marTop w:val="0"/>
      <w:marBottom w:val="0"/>
      <w:divBdr>
        <w:top w:val="none" w:sz="0" w:space="0" w:color="auto"/>
        <w:left w:val="none" w:sz="0" w:space="0" w:color="auto"/>
        <w:bottom w:val="none" w:sz="0" w:space="0" w:color="auto"/>
        <w:right w:val="none" w:sz="0" w:space="0" w:color="auto"/>
      </w:divBdr>
      <w:divsChild>
        <w:div w:id="1355694056">
          <w:marLeft w:val="0"/>
          <w:marRight w:val="0"/>
          <w:marTop w:val="34"/>
          <w:marBottom w:val="34"/>
          <w:divBdr>
            <w:top w:val="none" w:sz="0" w:space="0" w:color="auto"/>
            <w:left w:val="none" w:sz="0" w:space="0" w:color="auto"/>
            <w:bottom w:val="none" w:sz="0" w:space="0" w:color="auto"/>
            <w:right w:val="none" w:sz="0" w:space="0" w:color="auto"/>
          </w:divBdr>
        </w:div>
      </w:divsChild>
    </w:div>
    <w:div w:id="1351759078">
      <w:bodyDiv w:val="1"/>
      <w:marLeft w:val="0"/>
      <w:marRight w:val="0"/>
      <w:marTop w:val="0"/>
      <w:marBottom w:val="0"/>
      <w:divBdr>
        <w:top w:val="none" w:sz="0" w:space="0" w:color="auto"/>
        <w:left w:val="none" w:sz="0" w:space="0" w:color="auto"/>
        <w:bottom w:val="none" w:sz="0" w:space="0" w:color="auto"/>
        <w:right w:val="none" w:sz="0" w:space="0" w:color="auto"/>
      </w:divBdr>
    </w:div>
    <w:div w:id="1500542338">
      <w:bodyDiv w:val="1"/>
      <w:marLeft w:val="0"/>
      <w:marRight w:val="0"/>
      <w:marTop w:val="0"/>
      <w:marBottom w:val="0"/>
      <w:divBdr>
        <w:top w:val="none" w:sz="0" w:space="0" w:color="auto"/>
        <w:left w:val="none" w:sz="0" w:space="0" w:color="auto"/>
        <w:bottom w:val="none" w:sz="0" w:space="0" w:color="auto"/>
        <w:right w:val="none" w:sz="0" w:space="0" w:color="auto"/>
      </w:divBdr>
    </w:div>
    <w:div w:id="1508596099">
      <w:bodyDiv w:val="1"/>
      <w:marLeft w:val="0"/>
      <w:marRight w:val="0"/>
      <w:marTop w:val="0"/>
      <w:marBottom w:val="0"/>
      <w:divBdr>
        <w:top w:val="none" w:sz="0" w:space="0" w:color="auto"/>
        <w:left w:val="none" w:sz="0" w:space="0" w:color="auto"/>
        <w:bottom w:val="none" w:sz="0" w:space="0" w:color="auto"/>
        <w:right w:val="none" w:sz="0" w:space="0" w:color="auto"/>
      </w:divBdr>
    </w:div>
    <w:div w:id="1512647093">
      <w:bodyDiv w:val="1"/>
      <w:marLeft w:val="0"/>
      <w:marRight w:val="0"/>
      <w:marTop w:val="0"/>
      <w:marBottom w:val="0"/>
      <w:divBdr>
        <w:top w:val="none" w:sz="0" w:space="0" w:color="auto"/>
        <w:left w:val="none" w:sz="0" w:space="0" w:color="auto"/>
        <w:bottom w:val="none" w:sz="0" w:space="0" w:color="auto"/>
        <w:right w:val="none" w:sz="0" w:space="0" w:color="auto"/>
      </w:divBdr>
    </w:div>
    <w:div w:id="1519349093">
      <w:bodyDiv w:val="1"/>
      <w:marLeft w:val="0"/>
      <w:marRight w:val="0"/>
      <w:marTop w:val="0"/>
      <w:marBottom w:val="0"/>
      <w:divBdr>
        <w:top w:val="none" w:sz="0" w:space="0" w:color="auto"/>
        <w:left w:val="none" w:sz="0" w:space="0" w:color="auto"/>
        <w:bottom w:val="none" w:sz="0" w:space="0" w:color="auto"/>
        <w:right w:val="none" w:sz="0" w:space="0" w:color="auto"/>
      </w:divBdr>
      <w:divsChild>
        <w:div w:id="1896313272">
          <w:marLeft w:val="0"/>
          <w:marRight w:val="0"/>
          <w:marTop w:val="150"/>
          <w:marBottom w:val="270"/>
          <w:divBdr>
            <w:top w:val="none" w:sz="0" w:space="0" w:color="auto"/>
            <w:left w:val="none" w:sz="0" w:space="0" w:color="auto"/>
            <w:bottom w:val="none" w:sz="0" w:space="0" w:color="auto"/>
            <w:right w:val="none" w:sz="0" w:space="0" w:color="auto"/>
          </w:divBdr>
        </w:div>
      </w:divsChild>
    </w:div>
    <w:div w:id="1523125007">
      <w:bodyDiv w:val="1"/>
      <w:marLeft w:val="0"/>
      <w:marRight w:val="0"/>
      <w:marTop w:val="0"/>
      <w:marBottom w:val="0"/>
      <w:divBdr>
        <w:top w:val="none" w:sz="0" w:space="0" w:color="auto"/>
        <w:left w:val="none" w:sz="0" w:space="0" w:color="auto"/>
        <w:bottom w:val="none" w:sz="0" w:space="0" w:color="auto"/>
        <w:right w:val="none" w:sz="0" w:space="0" w:color="auto"/>
      </w:divBdr>
    </w:div>
    <w:div w:id="1523322716">
      <w:bodyDiv w:val="1"/>
      <w:marLeft w:val="0"/>
      <w:marRight w:val="0"/>
      <w:marTop w:val="0"/>
      <w:marBottom w:val="0"/>
      <w:divBdr>
        <w:top w:val="none" w:sz="0" w:space="0" w:color="auto"/>
        <w:left w:val="none" w:sz="0" w:space="0" w:color="auto"/>
        <w:bottom w:val="none" w:sz="0" w:space="0" w:color="auto"/>
        <w:right w:val="none" w:sz="0" w:space="0" w:color="auto"/>
      </w:divBdr>
    </w:div>
    <w:div w:id="1527332846">
      <w:bodyDiv w:val="1"/>
      <w:marLeft w:val="0"/>
      <w:marRight w:val="0"/>
      <w:marTop w:val="0"/>
      <w:marBottom w:val="0"/>
      <w:divBdr>
        <w:top w:val="none" w:sz="0" w:space="0" w:color="auto"/>
        <w:left w:val="none" w:sz="0" w:space="0" w:color="auto"/>
        <w:bottom w:val="none" w:sz="0" w:space="0" w:color="auto"/>
        <w:right w:val="none" w:sz="0" w:space="0" w:color="auto"/>
      </w:divBdr>
    </w:div>
    <w:div w:id="1579561868">
      <w:bodyDiv w:val="1"/>
      <w:marLeft w:val="0"/>
      <w:marRight w:val="0"/>
      <w:marTop w:val="0"/>
      <w:marBottom w:val="0"/>
      <w:divBdr>
        <w:top w:val="none" w:sz="0" w:space="0" w:color="auto"/>
        <w:left w:val="none" w:sz="0" w:space="0" w:color="auto"/>
        <w:bottom w:val="none" w:sz="0" w:space="0" w:color="auto"/>
        <w:right w:val="none" w:sz="0" w:space="0" w:color="auto"/>
      </w:divBdr>
    </w:div>
    <w:div w:id="1750612331">
      <w:bodyDiv w:val="1"/>
      <w:marLeft w:val="0"/>
      <w:marRight w:val="0"/>
      <w:marTop w:val="0"/>
      <w:marBottom w:val="0"/>
      <w:divBdr>
        <w:top w:val="none" w:sz="0" w:space="0" w:color="auto"/>
        <w:left w:val="none" w:sz="0" w:space="0" w:color="auto"/>
        <w:bottom w:val="none" w:sz="0" w:space="0" w:color="auto"/>
        <w:right w:val="none" w:sz="0" w:space="0" w:color="auto"/>
      </w:divBdr>
    </w:div>
    <w:div w:id="1812479468">
      <w:bodyDiv w:val="1"/>
      <w:marLeft w:val="0"/>
      <w:marRight w:val="0"/>
      <w:marTop w:val="0"/>
      <w:marBottom w:val="0"/>
      <w:divBdr>
        <w:top w:val="none" w:sz="0" w:space="0" w:color="auto"/>
        <w:left w:val="none" w:sz="0" w:space="0" w:color="auto"/>
        <w:bottom w:val="none" w:sz="0" w:space="0" w:color="auto"/>
        <w:right w:val="none" w:sz="0" w:space="0" w:color="auto"/>
      </w:divBdr>
    </w:div>
    <w:div w:id="1863467591">
      <w:bodyDiv w:val="1"/>
      <w:marLeft w:val="0"/>
      <w:marRight w:val="0"/>
      <w:marTop w:val="0"/>
      <w:marBottom w:val="0"/>
      <w:divBdr>
        <w:top w:val="none" w:sz="0" w:space="0" w:color="auto"/>
        <w:left w:val="none" w:sz="0" w:space="0" w:color="auto"/>
        <w:bottom w:val="none" w:sz="0" w:space="0" w:color="auto"/>
        <w:right w:val="none" w:sz="0" w:space="0" w:color="auto"/>
      </w:divBdr>
    </w:div>
    <w:div w:id="1886718882">
      <w:bodyDiv w:val="1"/>
      <w:marLeft w:val="0"/>
      <w:marRight w:val="0"/>
      <w:marTop w:val="0"/>
      <w:marBottom w:val="0"/>
      <w:divBdr>
        <w:top w:val="none" w:sz="0" w:space="0" w:color="auto"/>
        <w:left w:val="none" w:sz="0" w:space="0" w:color="auto"/>
        <w:bottom w:val="none" w:sz="0" w:space="0" w:color="auto"/>
        <w:right w:val="none" w:sz="0" w:space="0" w:color="auto"/>
      </w:divBdr>
    </w:div>
    <w:div w:id="1897087507">
      <w:bodyDiv w:val="1"/>
      <w:marLeft w:val="0"/>
      <w:marRight w:val="0"/>
      <w:marTop w:val="0"/>
      <w:marBottom w:val="0"/>
      <w:divBdr>
        <w:top w:val="none" w:sz="0" w:space="0" w:color="auto"/>
        <w:left w:val="none" w:sz="0" w:space="0" w:color="auto"/>
        <w:bottom w:val="none" w:sz="0" w:space="0" w:color="auto"/>
        <w:right w:val="none" w:sz="0" w:space="0" w:color="auto"/>
      </w:divBdr>
      <w:divsChild>
        <w:div w:id="782727783">
          <w:marLeft w:val="0"/>
          <w:marRight w:val="0"/>
          <w:marTop w:val="34"/>
          <w:marBottom w:val="34"/>
          <w:divBdr>
            <w:top w:val="none" w:sz="0" w:space="0" w:color="auto"/>
            <w:left w:val="none" w:sz="0" w:space="0" w:color="auto"/>
            <w:bottom w:val="none" w:sz="0" w:space="0" w:color="auto"/>
            <w:right w:val="none" w:sz="0" w:space="0" w:color="auto"/>
          </w:divBdr>
        </w:div>
        <w:div w:id="1616135286">
          <w:marLeft w:val="0"/>
          <w:marRight w:val="0"/>
          <w:marTop w:val="0"/>
          <w:marBottom w:val="0"/>
          <w:divBdr>
            <w:top w:val="none" w:sz="0" w:space="0" w:color="auto"/>
            <w:left w:val="none" w:sz="0" w:space="0" w:color="auto"/>
            <w:bottom w:val="none" w:sz="0" w:space="0" w:color="auto"/>
            <w:right w:val="none" w:sz="0" w:space="0" w:color="auto"/>
          </w:divBdr>
        </w:div>
      </w:divsChild>
    </w:div>
    <w:div w:id="1897400561">
      <w:bodyDiv w:val="1"/>
      <w:marLeft w:val="0"/>
      <w:marRight w:val="0"/>
      <w:marTop w:val="0"/>
      <w:marBottom w:val="0"/>
      <w:divBdr>
        <w:top w:val="none" w:sz="0" w:space="0" w:color="auto"/>
        <w:left w:val="none" w:sz="0" w:space="0" w:color="auto"/>
        <w:bottom w:val="none" w:sz="0" w:space="0" w:color="auto"/>
        <w:right w:val="none" w:sz="0" w:space="0" w:color="auto"/>
      </w:divBdr>
    </w:div>
    <w:div w:id="1996520238">
      <w:bodyDiv w:val="1"/>
      <w:marLeft w:val="0"/>
      <w:marRight w:val="0"/>
      <w:marTop w:val="0"/>
      <w:marBottom w:val="0"/>
      <w:divBdr>
        <w:top w:val="none" w:sz="0" w:space="0" w:color="auto"/>
        <w:left w:val="none" w:sz="0" w:space="0" w:color="auto"/>
        <w:bottom w:val="none" w:sz="0" w:space="0" w:color="auto"/>
        <w:right w:val="none" w:sz="0" w:space="0" w:color="auto"/>
      </w:divBdr>
    </w:div>
    <w:div w:id="1998923687">
      <w:bodyDiv w:val="1"/>
      <w:marLeft w:val="0"/>
      <w:marRight w:val="0"/>
      <w:marTop w:val="0"/>
      <w:marBottom w:val="0"/>
      <w:divBdr>
        <w:top w:val="none" w:sz="0" w:space="0" w:color="auto"/>
        <w:left w:val="none" w:sz="0" w:space="0" w:color="auto"/>
        <w:bottom w:val="none" w:sz="0" w:space="0" w:color="auto"/>
        <w:right w:val="none" w:sz="0" w:space="0" w:color="auto"/>
      </w:divBdr>
    </w:div>
    <w:div w:id="2002078955">
      <w:bodyDiv w:val="1"/>
      <w:marLeft w:val="0"/>
      <w:marRight w:val="0"/>
      <w:marTop w:val="0"/>
      <w:marBottom w:val="0"/>
      <w:divBdr>
        <w:top w:val="none" w:sz="0" w:space="0" w:color="auto"/>
        <w:left w:val="none" w:sz="0" w:space="0" w:color="auto"/>
        <w:bottom w:val="none" w:sz="0" w:space="0" w:color="auto"/>
        <w:right w:val="none" w:sz="0" w:space="0" w:color="auto"/>
      </w:divBdr>
    </w:div>
    <w:div w:id="2033022463">
      <w:bodyDiv w:val="1"/>
      <w:marLeft w:val="0"/>
      <w:marRight w:val="0"/>
      <w:marTop w:val="0"/>
      <w:marBottom w:val="0"/>
      <w:divBdr>
        <w:top w:val="none" w:sz="0" w:space="0" w:color="auto"/>
        <w:left w:val="none" w:sz="0" w:space="0" w:color="auto"/>
        <w:bottom w:val="none" w:sz="0" w:space="0" w:color="auto"/>
        <w:right w:val="none" w:sz="0" w:space="0" w:color="auto"/>
      </w:divBdr>
    </w:div>
    <w:div w:id="2082828202">
      <w:bodyDiv w:val="1"/>
      <w:marLeft w:val="0"/>
      <w:marRight w:val="0"/>
      <w:marTop w:val="0"/>
      <w:marBottom w:val="0"/>
      <w:divBdr>
        <w:top w:val="none" w:sz="0" w:space="0" w:color="auto"/>
        <w:left w:val="none" w:sz="0" w:space="0" w:color="auto"/>
        <w:bottom w:val="none" w:sz="0" w:space="0" w:color="auto"/>
        <w:right w:val="none" w:sz="0" w:space="0" w:color="auto"/>
      </w:divBdr>
      <w:divsChild>
        <w:div w:id="154077729">
          <w:marLeft w:val="0"/>
          <w:marRight w:val="0"/>
          <w:marTop w:val="34"/>
          <w:marBottom w:val="34"/>
          <w:divBdr>
            <w:top w:val="none" w:sz="0" w:space="0" w:color="auto"/>
            <w:left w:val="none" w:sz="0" w:space="0" w:color="auto"/>
            <w:bottom w:val="none" w:sz="0" w:space="0" w:color="auto"/>
            <w:right w:val="none" w:sz="0" w:space="0" w:color="auto"/>
          </w:divBdr>
        </w:div>
        <w:div w:id="768963889">
          <w:marLeft w:val="0"/>
          <w:marRight w:val="0"/>
          <w:marTop w:val="0"/>
          <w:marBottom w:val="0"/>
          <w:divBdr>
            <w:top w:val="none" w:sz="0" w:space="0" w:color="auto"/>
            <w:left w:val="none" w:sz="0" w:space="0" w:color="auto"/>
            <w:bottom w:val="none" w:sz="0" w:space="0" w:color="auto"/>
            <w:right w:val="none" w:sz="0" w:space="0" w:color="auto"/>
          </w:divBdr>
        </w:div>
      </w:divsChild>
    </w:div>
    <w:div w:id="2120903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ic.singer@rutgers.edu" TargetMode="External"/><Relationship Id="R4cbf9f1e199b44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4CC0B6-9695-4AC4-8EA9-83FA6B1EF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65</Pages>
  <Words>16291</Words>
  <Characters>92865</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Viraj Khetani</dc:creator>
  <cp:lastModifiedBy>China</cp:lastModifiedBy>
  <cp:revision>14</cp:revision>
  <cp:lastPrinted>2020-01-13T14:11:00Z</cp:lastPrinted>
  <dcterms:created xsi:type="dcterms:W3CDTF">2020-07-18T23:29:00Z</dcterms:created>
  <dcterms:modified xsi:type="dcterms:W3CDTF">2020-08-18T06:13:00Z</dcterms:modified>
</cp:coreProperties>
</file>