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61176</w:t>
      </w:r>
    </w:p>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bookmarkStart w:id="0" w:name="OLE_LINK2580"/>
      <w:r>
        <w:rPr>
          <w:rFonts w:ascii="Book Antiqua" w:eastAsia="Book Antiqua" w:hAnsi="Book Antiqua" w:cs="Book Antiqua"/>
          <w:b/>
          <w:color w:val="000000"/>
        </w:rPr>
        <w:t>Overview of recent advances in metastatic triple negative breast cancer</w:t>
      </w:r>
    </w:p>
    <w:bookmarkEnd w:id="0"/>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color w:val="000000"/>
        </w:rPr>
        <w:t xml:space="preserve">O'Reilly D </w:t>
      </w:r>
      <w:r>
        <w:rPr>
          <w:rFonts w:ascii="Book Antiqua" w:eastAsia="Book Antiqua" w:hAnsi="Book Antiqua" w:cs="Book Antiqua"/>
          <w:i/>
          <w:iCs/>
          <w:color w:val="000000"/>
        </w:rPr>
        <w:t>et al</w:t>
      </w:r>
      <w:r>
        <w:rPr>
          <w:rFonts w:ascii="Book Antiqua" w:eastAsia="Book Antiqua" w:hAnsi="Book Antiqua" w:cs="Book Antiqua"/>
          <w:color w:val="000000"/>
        </w:rPr>
        <w:t>. Advances in TNBC</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color w:val="000000"/>
        </w:rPr>
        <w:t xml:space="preserve">David O'Reilly, Maha Al Sendi, Catherine M </w:t>
      </w:r>
      <w:r>
        <w:rPr>
          <w:rFonts w:ascii="Book Antiqua" w:eastAsia="Book Antiqua" w:hAnsi="Book Antiqua" w:cs="Book Antiqua"/>
          <w:color w:val="000000"/>
        </w:rPr>
        <w:t>Kelly</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David O'Reilly, Maha Al Sendi, Catherine M Kelly, </w:t>
      </w:r>
      <w:r>
        <w:rPr>
          <w:rFonts w:ascii="Book Antiqua" w:eastAsia="Book Antiqua" w:hAnsi="Book Antiqua" w:cs="Book Antiqua"/>
          <w:color w:val="000000"/>
        </w:rPr>
        <w:t>Department of Medical Oncology, Mater Misericordiae University Hospital, Dublin 1, Ireland</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O'Reilly D wrote the main body of the manuscript; Sendi MA wrote the section on targe</w:t>
      </w:r>
      <w:r>
        <w:rPr>
          <w:rFonts w:ascii="Book Antiqua" w:eastAsia="Book Antiqua" w:hAnsi="Book Antiqua" w:cs="Book Antiqua"/>
          <w:color w:val="000000"/>
        </w:rPr>
        <w:t>ted therapies and reviewed the manuscript; Kelly CM provided guidance in the structure of the manuscript and reviewed the manuscript as the senior author.</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Corresponding author: David O'Reilly, MBChB, MRCP, Academic Fellow, </w:t>
      </w:r>
      <w:r>
        <w:rPr>
          <w:rFonts w:ascii="Book Antiqua" w:eastAsia="Book Antiqua" w:hAnsi="Book Antiqua" w:cs="Book Antiqua"/>
          <w:color w:val="000000"/>
        </w:rPr>
        <w:t xml:space="preserve">Department of Medical Oncology, </w:t>
      </w:r>
      <w:r>
        <w:rPr>
          <w:rFonts w:ascii="Book Antiqua" w:eastAsia="Book Antiqua" w:hAnsi="Book Antiqua" w:cs="Book Antiqua"/>
          <w:color w:val="000000"/>
        </w:rPr>
        <w:t>Mater Misericordiae University Hospital, Eccles St, Dublin 1, Ireland. oreilld8@tcd.ie</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26, 2020</w:t>
      </w: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 2021</w:t>
      </w: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 2021</w:t>
      </w: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March 24, 2021</w:t>
      </w:r>
    </w:p>
    <w:p w:rsidR="00DD33E9" w:rsidRDefault="00DD33E9">
      <w:pPr>
        <w:spacing w:line="360" w:lineRule="auto"/>
        <w:jc w:val="both"/>
        <w:rPr>
          <w:rFonts w:ascii="Book Antiqua" w:hAnsi="Book Antiqua"/>
        </w:rPr>
        <w:sectPr w:rsidR="00DD33E9">
          <w:footerReference w:type="default" r:id="rId8"/>
          <w:pgSz w:w="12240" w:h="15840"/>
          <w:pgMar w:top="1440" w:right="1440" w:bottom="1440" w:left="1440" w:header="720" w:footer="720" w:gutter="0"/>
          <w:cols w:space="720"/>
          <w:docGrid w:linePitch="360"/>
        </w:sectPr>
      </w:pPr>
    </w:p>
    <w:p w:rsidR="00DD33E9" w:rsidRDefault="00C061FA">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DD33E9" w:rsidRDefault="00C061FA">
      <w:pPr>
        <w:spacing w:line="360" w:lineRule="auto"/>
        <w:jc w:val="both"/>
        <w:rPr>
          <w:rFonts w:ascii="Book Antiqua" w:hAnsi="Book Antiqua"/>
        </w:rPr>
      </w:pPr>
      <w:r>
        <w:rPr>
          <w:rFonts w:ascii="Book Antiqua" w:eastAsia="Book Antiqua" w:hAnsi="Book Antiqua" w:cs="Book Antiqua"/>
          <w:color w:val="000000"/>
        </w:rPr>
        <w:t xml:space="preserve">Metastatic triple negative breast cancer (TNBC) has an aggressive phenotype with a predilection for visceral organs and brain. Best responses to </w:t>
      </w:r>
      <w:r>
        <w:rPr>
          <w:rFonts w:ascii="Book Antiqua" w:eastAsia="Book Antiqua" w:hAnsi="Book Antiqua" w:cs="Book Antiqua"/>
          <w:color w:val="000000"/>
        </w:rPr>
        <w:t>chemotherapy are predominately in the first line. Recent studies have demonstrated improved progression free survival with the combination of atezolizumab/pembrolizumab and chemotherapy in programmed death-ligand 1 positive metastatic TNBC. However, a rece</w:t>
      </w:r>
      <w:r>
        <w:rPr>
          <w:rFonts w:ascii="Book Antiqua" w:eastAsia="Book Antiqua" w:hAnsi="Book Antiqua" w:cs="Book Antiqua"/>
          <w:color w:val="000000"/>
        </w:rPr>
        <w:t>nt trial in a similar population showed no benefit for atezoli</w:t>
      </w:r>
      <w:r>
        <w:rPr>
          <w:rFonts w:ascii="Book Antiqua" w:eastAsia="宋体" w:hAnsi="Book Antiqua" w:cs="Book Antiqua" w:hint="eastAsia"/>
          <w:color w:val="000000"/>
          <w:lang w:eastAsia="zh-CN"/>
        </w:rPr>
        <w:t>-</w:t>
      </w:r>
      <w:r>
        <w:rPr>
          <w:rFonts w:ascii="Book Antiqua" w:eastAsia="Book Antiqua" w:hAnsi="Book Antiqua" w:cs="Book Antiqua"/>
          <w:color w:val="000000"/>
        </w:rPr>
        <w:t>zumab and paclitaxel which led to a Food and Drug Administration alert. Two phase III trials (OLYMPIAD and BROCADE3) demonstrated a benefit in progression free survival (PFS) but not overall su</w:t>
      </w:r>
      <w:r>
        <w:rPr>
          <w:rFonts w:ascii="Book Antiqua" w:eastAsia="Book Antiqua" w:hAnsi="Book Antiqua" w:cs="Book Antiqua"/>
          <w:color w:val="000000"/>
        </w:rPr>
        <w:t xml:space="preserve">rvival in patients with BRCA-associated metastatic TNBC treated with Olaparib or </w:t>
      </w:r>
      <w:bookmarkStart w:id="1" w:name="OLE_LINK2581"/>
      <w:r>
        <w:rPr>
          <w:rFonts w:ascii="Book Antiqua" w:eastAsia="Book Antiqua" w:hAnsi="Book Antiqua" w:cs="Book Antiqua"/>
          <w:color w:val="000000"/>
        </w:rPr>
        <w:t>Talazoparib</w:t>
      </w:r>
      <w:bookmarkEnd w:id="1"/>
      <w:r>
        <w:rPr>
          <w:rFonts w:ascii="Book Antiqua" w:eastAsia="Book Antiqua" w:hAnsi="Book Antiqua" w:cs="Book Antiqua"/>
          <w:color w:val="000000"/>
        </w:rPr>
        <w:t xml:space="preserve"> respectively. For those treated with Talazoparib, the time to deterioration in health related-quality of life was also longer compared to chemotherapy. The BROCADE</w:t>
      </w:r>
      <w:r>
        <w:rPr>
          <w:rFonts w:ascii="Book Antiqua" w:eastAsia="Book Antiqua" w:hAnsi="Book Antiqua" w:cs="Book Antiqua"/>
          <w:color w:val="000000"/>
        </w:rPr>
        <w:t xml:space="preserve">3 trial demonstrated that the combination of a platinum and veliparib increased PFS in first-line metastatic TNBC but at the cost of increased toxicity. There are no head-to-head comparisons </w:t>
      </w:r>
      <w:proofErr w:type="gramStart"/>
      <w:r>
        <w:rPr>
          <w:rFonts w:ascii="Book Antiqua" w:eastAsia="Book Antiqua" w:hAnsi="Book Antiqua" w:cs="Book Antiqua"/>
          <w:color w:val="000000"/>
        </w:rPr>
        <w:t>of a</w:t>
      </w:r>
      <w:proofErr w:type="gramEnd"/>
      <w:r>
        <w:rPr>
          <w:rFonts w:ascii="Book Antiqua" w:eastAsia="Book Antiqua" w:hAnsi="Book Antiqua" w:cs="Book Antiqua"/>
          <w:color w:val="000000"/>
        </w:rPr>
        <w:t xml:space="preserve"> poly (adenosine diphosphate-ribose) polymerase inhibitors (P</w:t>
      </w:r>
      <w:r>
        <w:rPr>
          <w:rFonts w:ascii="Book Antiqua" w:eastAsia="Book Antiqua" w:hAnsi="Book Antiqua" w:cs="Book Antiqua"/>
          <w:color w:val="000000"/>
        </w:rPr>
        <w:t xml:space="preserve">ARPi) and platinums. There are unanswered questions regarding the role of PARPi maintenance after platinum therapy as is standard of care in BRCA-associated ovarian cancer. Other areas of therapeutic interest include targeting aberrations in the </w:t>
      </w:r>
      <w:r>
        <w:rPr>
          <w:rFonts w:ascii="Book Antiqua" w:eastAsia="Book Antiqua" w:hAnsi="Book Antiqua" w:cs="Book Antiqua"/>
          <w:color w:val="000000"/>
          <w:shd w:val="clear" w:color="auto" w:fill="FFFFFF"/>
        </w:rPr>
        <w:t>phosphoino</w:t>
      </w:r>
      <w:r>
        <w:rPr>
          <w:rFonts w:ascii="Book Antiqua" w:eastAsia="Book Antiqua" w:hAnsi="Book Antiqua" w:cs="Book Antiqua"/>
          <w:color w:val="000000"/>
          <w:shd w:val="clear" w:color="auto" w:fill="FFFFFF"/>
        </w:rPr>
        <w:t>sitide 3-kinase</w:t>
      </w:r>
      <w:r>
        <w:rPr>
          <w:rFonts w:ascii="Book Antiqua" w:eastAsia="Book Antiqua" w:hAnsi="Book Antiqua" w:cs="Book Antiqua"/>
          <w:color w:val="000000"/>
        </w:rPr>
        <w:t xml:space="preserve"> pathway, protein kinase B, mammalian target of rapamycin or utilising antibody drug conjugates. This review focusses on recent and emerging therapeutic options in metastatic TNBC. We searched PubMed, clinicaltrials.gov and recent internatio</w:t>
      </w:r>
      <w:r>
        <w:rPr>
          <w:rFonts w:ascii="Book Antiqua" w:eastAsia="Book Antiqua" w:hAnsi="Book Antiqua" w:cs="Book Antiqua"/>
          <w:color w:val="000000"/>
        </w:rPr>
        <w:t xml:space="preserve">nal meetings from American Society of Clinical Oncology, San Antonio Breast Cancer Conference and the European Society of Medical Oncology. </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Triple negative breast cancer; Immunotherapy; Poly (adenosine diphosphate-ribose) polymerase inhibitors</w:t>
      </w:r>
      <w:r>
        <w:rPr>
          <w:rFonts w:ascii="Book Antiqua" w:eastAsia="Book Antiqua" w:hAnsi="Book Antiqua" w:cs="Book Antiqua"/>
          <w:color w:val="000000"/>
        </w:rPr>
        <w:t xml:space="preserve">; </w:t>
      </w:r>
      <w:r>
        <w:rPr>
          <w:rFonts w:ascii="Book Antiqua" w:eastAsia="Book Antiqua" w:hAnsi="Book Antiqua" w:cs="Book Antiqua"/>
          <w:bCs/>
          <w:color w:val="000000"/>
        </w:rPr>
        <w:t>Breast cancer</w:t>
      </w:r>
    </w:p>
    <w:p w:rsidR="00DD33E9" w:rsidRDefault="00DD33E9">
      <w:pPr>
        <w:spacing w:line="360" w:lineRule="auto"/>
        <w:jc w:val="both"/>
        <w:rPr>
          <w:rFonts w:ascii="Book Antiqua" w:hAnsi="Book Antiqua" w:hint="eastAsia"/>
          <w:lang w:eastAsia="zh-CN"/>
        </w:rPr>
      </w:pPr>
    </w:p>
    <w:p w:rsidR="002D0BD3" w:rsidRDefault="002D0BD3" w:rsidP="002D0BD3">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rsidR="002D0BD3" w:rsidRDefault="002D0BD3">
      <w:pPr>
        <w:spacing w:line="360" w:lineRule="auto"/>
        <w:jc w:val="both"/>
        <w:rPr>
          <w:rFonts w:ascii="Book Antiqua" w:hAnsi="Book Antiqua" w:hint="eastAsia"/>
          <w:lang w:eastAsia="zh-CN"/>
        </w:rPr>
      </w:pPr>
    </w:p>
    <w:p w:rsidR="002D0BD3" w:rsidRPr="002D0BD3" w:rsidRDefault="002D0BD3">
      <w:pPr>
        <w:spacing w:line="360" w:lineRule="auto"/>
        <w:jc w:val="both"/>
        <w:rPr>
          <w:rFonts w:ascii="Book Antiqua" w:hAnsi="Book Antiqua" w:cs="Book Antiqua" w:hint="eastAsia"/>
          <w:color w:val="000000"/>
          <w:lang w:eastAsia="zh-CN"/>
        </w:rPr>
      </w:pPr>
      <w:r w:rsidRPr="002D0BD3">
        <w:rPr>
          <w:rFonts w:ascii="Book Antiqua" w:hAnsi="Book Antiqua" w:cs="Book Antiqua" w:hint="eastAsia"/>
          <w:b/>
          <w:color w:val="000000"/>
          <w:lang w:eastAsia="zh-CN"/>
        </w:rPr>
        <w:t xml:space="preserve">Citation: </w:t>
      </w:r>
      <w:r w:rsidR="00C061FA">
        <w:rPr>
          <w:rFonts w:ascii="Book Antiqua" w:eastAsia="Book Antiqua" w:hAnsi="Book Antiqua" w:cs="Book Antiqua"/>
          <w:color w:val="000000"/>
        </w:rPr>
        <w:t xml:space="preserve">O'Reilly D, Sendi MA, Kelly CM. Overview of recent advances in metastatic triple negative breast cancer. </w:t>
      </w:r>
      <w:r w:rsidR="00C061FA">
        <w:rPr>
          <w:rFonts w:ascii="Book Antiqua" w:eastAsia="Book Antiqua" w:hAnsi="Book Antiqua" w:cs="Book Antiqua"/>
          <w:i/>
          <w:iCs/>
          <w:color w:val="000000"/>
        </w:rPr>
        <w:t>World J Clin Oncol</w:t>
      </w:r>
      <w:r w:rsidR="00C061FA">
        <w:rPr>
          <w:rFonts w:ascii="Book Antiqua" w:eastAsia="Book Antiqua" w:hAnsi="Book Antiqua" w:cs="Book Antiqua"/>
          <w:color w:val="000000"/>
        </w:rPr>
        <w:t xml:space="preserve"> 2021;</w:t>
      </w:r>
      <w:r w:rsidR="00C061FA">
        <w:rPr>
          <w:rFonts w:ascii="Book Antiqua" w:eastAsia="Book Antiqua" w:hAnsi="Book Antiqua" w:cs="Book Antiqua" w:hint="eastAsia"/>
          <w:color w:val="000000"/>
        </w:rPr>
        <w:t xml:space="preserve"> 12(3): </w:t>
      </w:r>
      <w:r>
        <w:rPr>
          <w:rFonts w:ascii="Book Antiqua" w:hAnsi="Book Antiqua" w:cs="Book Antiqua" w:hint="eastAsia"/>
          <w:color w:val="000000"/>
          <w:lang w:eastAsia="zh-CN"/>
        </w:rPr>
        <w:t>164</w:t>
      </w:r>
      <w:r w:rsidR="00C061FA">
        <w:rPr>
          <w:rFonts w:ascii="Book Antiqua" w:eastAsia="Book Antiqua" w:hAnsi="Book Antiqua" w:cs="Book Antiqua" w:hint="eastAsia"/>
          <w:color w:val="000000"/>
        </w:rPr>
        <w:t>-</w:t>
      </w:r>
      <w:r>
        <w:rPr>
          <w:rFonts w:ascii="Book Antiqua" w:hAnsi="Book Antiqua" w:cs="Book Antiqua" w:hint="eastAsia"/>
          <w:color w:val="000000"/>
          <w:lang w:eastAsia="zh-CN"/>
        </w:rPr>
        <w:t>182</w:t>
      </w:r>
    </w:p>
    <w:p w:rsidR="002D0BD3" w:rsidRDefault="00C061FA">
      <w:pPr>
        <w:spacing w:line="360" w:lineRule="auto"/>
        <w:jc w:val="both"/>
        <w:rPr>
          <w:rFonts w:ascii="Book Antiqua" w:hAnsi="Book Antiqua" w:cs="Book Antiqua" w:hint="eastAsia"/>
          <w:color w:val="000000"/>
          <w:lang w:eastAsia="zh-CN"/>
        </w:rPr>
      </w:pPr>
      <w:r w:rsidRPr="002D0BD3">
        <w:rPr>
          <w:rFonts w:ascii="Book Antiqua" w:hAnsi="Book Antiqua" w:cs="Book Antiqua" w:hint="eastAsia"/>
          <w:b/>
          <w:color w:val="000000"/>
          <w:lang w:eastAsia="zh-CN"/>
        </w:rPr>
        <w:t>URL:</w:t>
      </w:r>
      <w:r>
        <w:rPr>
          <w:rFonts w:ascii="Book Antiqua" w:eastAsia="Book Antiqua" w:hAnsi="Book Antiqua" w:cs="Book Antiqua" w:hint="eastAsia"/>
          <w:color w:val="000000"/>
        </w:rPr>
        <w:t xml:space="preserve"> https://www.wjgnet.com/2218-4333/full/v12/i3/</w:t>
      </w:r>
      <w:r w:rsidR="002D0BD3">
        <w:rPr>
          <w:rFonts w:ascii="Book Antiqua" w:hAnsi="Book Antiqua" w:cs="Book Antiqua" w:hint="eastAsia"/>
          <w:color w:val="000000"/>
          <w:lang w:eastAsia="zh-CN"/>
        </w:rPr>
        <w:t>164</w:t>
      </w:r>
      <w:r>
        <w:rPr>
          <w:rFonts w:ascii="Book Antiqua" w:eastAsia="Book Antiqua" w:hAnsi="Book Antiqua" w:cs="Book Antiqua" w:hint="eastAsia"/>
          <w:color w:val="000000"/>
        </w:rPr>
        <w:t xml:space="preserve">.htm  </w:t>
      </w:r>
    </w:p>
    <w:p w:rsidR="00DD33E9" w:rsidRPr="002D0BD3" w:rsidRDefault="00C061FA">
      <w:pPr>
        <w:spacing w:line="360" w:lineRule="auto"/>
        <w:jc w:val="both"/>
        <w:rPr>
          <w:rFonts w:ascii="Book Antiqua" w:hAnsi="Book Antiqua" w:cs="Book Antiqua"/>
          <w:color w:val="000000"/>
          <w:lang w:eastAsia="zh-CN"/>
        </w:rPr>
      </w:pPr>
      <w:r w:rsidRPr="002D0BD3">
        <w:rPr>
          <w:rFonts w:ascii="Book Antiqua" w:hAnsi="Book Antiqua" w:cs="Book Antiqua" w:hint="eastAsia"/>
          <w:b/>
          <w:color w:val="000000"/>
          <w:lang w:eastAsia="zh-CN"/>
        </w:rPr>
        <w:t>DOI:</w:t>
      </w:r>
      <w:r>
        <w:rPr>
          <w:rFonts w:ascii="Book Antiqua" w:eastAsia="Book Antiqua" w:hAnsi="Book Antiqua" w:cs="Book Antiqua" w:hint="eastAsia"/>
          <w:color w:val="000000"/>
        </w:rPr>
        <w:t xml:space="preserve"> https://dx.doi.org/10.5306</w:t>
      </w:r>
      <w:r>
        <w:rPr>
          <w:rFonts w:ascii="Book Antiqua" w:eastAsia="Book Antiqua" w:hAnsi="Book Antiqua" w:cs="Book Antiqua" w:hint="eastAsia"/>
          <w:color w:val="000000"/>
        </w:rPr>
        <w:t>/wjco.v12.i3.</w:t>
      </w:r>
      <w:r w:rsidR="002D0BD3">
        <w:rPr>
          <w:rFonts w:ascii="Book Antiqua" w:hAnsi="Book Antiqua" w:cs="Book Antiqua" w:hint="eastAsia"/>
          <w:color w:val="000000"/>
          <w:lang w:eastAsia="zh-CN"/>
        </w:rPr>
        <w:t>164</w:t>
      </w:r>
    </w:p>
    <w:p w:rsidR="00DD33E9" w:rsidRDefault="00DD33E9">
      <w:pPr>
        <w:spacing w:line="360" w:lineRule="auto"/>
        <w:jc w:val="both"/>
        <w:rPr>
          <w:rFonts w:ascii="Book Antiqua" w:eastAsia="Book Antiqua" w:hAnsi="Book Antiqua" w:cs="Book Antiqua"/>
          <w:color w:val="000000"/>
        </w:rPr>
      </w:pP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Despite recent advances, chemotherapy remains integral to the management of advanced </w:t>
      </w:r>
      <w:r>
        <w:rPr>
          <w:rFonts w:ascii="Book Antiqua" w:eastAsia="Book Antiqua" w:hAnsi="Book Antiqua" w:cs="Book Antiqua"/>
          <w:color w:val="000000"/>
        </w:rPr>
        <w:t>triple negative breast cancer</w:t>
      </w:r>
      <w:r>
        <w:rPr>
          <w:rFonts w:ascii="Book Antiqua" w:eastAsia="Book Antiqua" w:hAnsi="Book Antiqua" w:cs="Book Antiqua"/>
          <w:color w:val="000000"/>
          <w:shd w:val="clear" w:color="auto" w:fill="FFFFFF"/>
        </w:rPr>
        <w:t>.</w:t>
      </w:r>
      <w:r>
        <w:rPr>
          <w:rFonts w:ascii="Book Antiqua" w:hAnsi="Book Antiqua" w:hint="eastAsia"/>
          <w:lang w:eastAsia="zh-CN"/>
        </w:rPr>
        <w:t xml:space="preserve"> </w:t>
      </w:r>
      <w:r>
        <w:rPr>
          <w:rFonts w:ascii="Book Antiqua" w:eastAsia="Book Antiqua" w:hAnsi="Book Antiqua" w:cs="Book Antiqua"/>
          <w:color w:val="000000"/>
          <w:shd w:val="clear" w:color="auto" w:fill="FFFFFF"/>
        </w:rPr>
        <w:t xml:space="preserve">Immunotherapy and </w:t>
      </w:r>
      <w:r>
        <w:rPr>
          <w:rFonts w:ascii="Book Antiqua" w:eastAsia="Book Antiqua" w:hAnsi="Book Antiqua" w:cs="Book Antiqua"/>
          <w:color w:val="000000"/>
        </w:rPr>
        <w:t>poly (adenosine diphosphate-ribose) polymerase inhibitors</w:t>
      </w:r>
      <w:r>
        <w:rPr>
          <w:rFonts w:ascii="Book Antiqua" w:eastAsia="Book Antiqua" w:hAnsi="Book Antiqua" w:cs="Book Antiqua"/>
          <w:color w:val="000000"/>
          <w:shd w:val="clear" w:color="auto" w:fill="FFFFFF"/>
        </w:rPr>
        <w:t xml:space="preserve"> have shown much promise but have yet to demonstrate a proven </w:t>
      </w:r>
      <w:r>
        <w:rPr>
          <w:rFonts w:ascii="Book Antiqua" w:eastAsia="Book Antiqua" w:hAnsi="Book Antiqua" w:cs="Book Antiqua"/>
          <w:color w:val="000000"/>
        </w:rPr>
        <w:t>overall survival</w:t>
      </w:r>
      <w:r>
        <w:rPr>
          <w:rFonts w:ascii="Book Antiqua" w:eastAsia="Book Antiqua" w:hAnsi="Book Antiqua" w:cs="Book Antiqua"/>
          <w:color w:val="000000"/>
          <w:shd w:val="clear" w:color="auto" w:fill="FFFFFF"/>
        </w:rPr>
        <w:t xml:space="preserve"> benefit in this disease.</w:t>
      </w:r>
      <w:r>
        <w:rPr>
          <w:rFonts w:ascii="Book Antiqua" w:hAnsi="Book Antiqua" w:hint="eastAsia"/>
          <w:lang w:eastAsia="zh-CN"/>
        </w:rPr>
        <w:t xml:space="preserve"> </w:t>
      </w:r>
      <w:r>
        <w:rPr>
          <w:rFonts w:ascii="Book Antiqua" w:eastAsia="Book Antiqua" w:hAnsi="Book Antiqua" w:cs="Book Antiqua"/>
          <w:color w:val="000000"/>
          <w:shd w:val="clear" w:color="auto" w:fill="FFFFFF"/>
        </w:rPr>
        <w:t>Antibody drug conjugates and other targeted therapies may ultimately prove to be the next frontier in treating this illness.</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DD33E9" w:rsidRDefault="00C061FA">
      <w:pPr>
        <w:spacing w:line="360" w:lineRule="auto"/>
        <w:jc w:val="both"/>
        <w:rPr>
          <w:rFonts w:ascii="Book Antiqua" w:hAnsi="Book Antiqua"/>
        </w:rPr>
      </w:pPr>
      <w:r>
        <w:rPr>
          <w:rFonts w:ascii="Book Antiqua" w:eastAsia="Book Antiqua" w:hAnsi="Book Antiqua" w:cs="Book Antiqua"/>
          <w:color w:val="000000"/>
        </w:rPr>
        <w:t>Triple negat</w:t>
      </w:r>
      <w:r>
        <w:rPr>
          <w:rFonts w:ascii="Book Antiqua" w:eastAsia="Book Antiqua" w:hAnsi="Book Antiqua" w:cs="Book Antiqua"/>
          <w:color w:val="000000"/>
        </w:rPr>
        <w:t xml:space="preserve">ive breast cancer (TNBC) accounts for approximately 15% of breast cancers and is characterised by the absence of expression of the estrogen receptor (ER), progesterone receptor (PR) and human epidermal growth factor 2 receptor (HER2)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Trip</w:t>
      </w:r>
      <w:r>
        <w:rPr>
          <w:rFonts w:ascii="Book Antiqua" w:eastAsia="Book Antiqua" w:hAnsi="Book Antiqua" w:cs="Book Antiqua"/>
          <w:color w:val="000000"/>
        </w:rPr>
        <w:t>le negative breast cancers are most often high grade invasive ductal carcinomas which are characterised by an aggressive clinical phenotype. There are some rarer histological subtypes such as adenoid cystic carcinoma of the breast that is associated with a</w:t>
      </w:r>
      <w:r>
        <w:rPr>
          <w:rFonts w:ascii="Book Antiqua" w:eastAsia="Book Antiqua" w:hAnsi="Book Antiqua" w:cs="Book Antiqua"/>
          <w:color w:val="000000"/>
        </w:rPr>
        <w:t>n excellent prognosis.</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Even for those with localised disease, approximately 25% of patients will relapse with distant metastasis. For patients with advanced or stage IV disease, the median overall survival (OS) is in the region of 12 mo with fewer than 20 </w:t>
      </w:r>
      <w:r>
        <w:rPr>
          <w:rFonts w:ascii="Book Antiqua" w:eastAsia="Book Antiqua" w:hAnsi="Book Antiqua" w:cs="Book Antiqua"/>
          <w:color w:val="000000"/>
        </w:rPr>
        <w:t>% of patients alive at four-years. This is in stark contrast to ER-positive/PR-positive/HER2-negative (ER +/PR +/HER2-) disease where the median OS is closer to 36 mo and an estimated 40% of patients are alive at four years.</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TNBC disproportionately effects</w:t>
      </w:r>
      <w:r>
        <w:rPr>
          <w:rFonts w:ascii="Book Antiqua" w:eastAsia="Book Antiqua" w:hAnsi="Book Antiqua" w:cs="Book Antiqua"/>
          <w:color w:val="000000"/>
        </w:rPr>
        <w:t xml:space="preserve"> younger women and black women, with these groups three-times as likely to be diagnosed with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It has been estimated that 170000 women worldwide are diagnosed with TNBC each year of a total of 1 million breast cancer </w:t>
      </w:r>
      <w:proofErr w:type="gramStart"/>
      <w:r>
        <w:rPr>
          <w:rFonts w:ascii="Book Antiqua" w:eastAsia="Book Antiqua" w:hAnsi="Book Antiqua" w:cs="Book Antiqua"/>
          <w:color w:val="000000"/>
        </w:rPr>
        <w:t>diagnoses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It is also the m</w:t>
      </w:r>
      <w:r>
        <w:rPr>
          <w:rFonts w:ascii="Book Antiqua" w:eastAsia="Book Antiqua" w:hAnsi="Book Antiqua" w:cs="Book Antiqua"/>
          <w:color w:val="000000"/>
        </w:rPr>
        <w:t xml:space="preserve">ost common breast cancer subtype in patients who carry a mutation in the </w:t>
      </w:r>
      <w:r>
        <w:rPr>
          <w:rFonts w:ascii="Book Antiqua" w:eastAsia="Book Antiqua" w:hAnsi="Book Antiqua" w:cs="Book Antiqua"/>
          <w:i/>
          <w:iCs/>
          <w:color w:val="000000"/>
        </w:rPr>
        <w:t>BRCA1</w:t>
      </w:r>
      <w:r>
        <w:rPr>
          <w:rFonts w:ascii="Book Antiqua" w:eastAsia="Book Antiqua" w:hAnsi="Book Antiqua" w:cs="Book Antiqua"/>
          <w:color w:val="000000"/>
        </w:rPr>
        <w:t xml:space="preserve"> gene.</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Advances in the treatment of HER2-positive breast cancer have resulted in clinical outcomes similar to those with ER+/PR+/HER2- disease however advances in triple negative</w:t>
      </w:r>
      <w:r>
        <w:rPr>
          <w:rFonts w:ascii="Book Antiqua" w:eastAsia="Book Antiqua" w:hAnsi="Book Antiqua" w:cs="Book Antiqua"/>
          <w:color w:val="000000"/>
        </w:rPr>
        <w:t xml:space="preserve"> breast cancer have been much </w:t>
      </w:r>
      <w:proofErr w:type="gramStart"/>
      <w:r>
        <w:rPr>
          <w:rFonts w:ascii="Book Antiqua" w:eastAsia="Book Antiqua" w:hAnsi="Book Antiqua" w:cs="Book Antiqua"/>
          <w:color w:val="000000"/>
        </w:rPr>
        <w:t>slower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In this article, we will review the biological features of advanced TNBC and explore the expanding treatment options for this aggressive disease.</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Clinical features of metastatic TNBC</w:t>
      </w:r>
    </w:p>
    <w:p w:rsidR="00DD33E9" w:rsidRDefault="00C061FA">
      <w:pPr>
        <w:spacing w:line="360" w:lineRule="auto"/>
        <w:jc w:val="both"/>
        <w:rPr>
          <w:rFonts w:ascii="Book Antiqua" w:hAnsi="Book Antiqua"/>
        </w:rPr>
      </w:pPr>
      <w:r>
        <w:rPr>
          <w:rFonts w:ascii="Book Antiqua" w:eastAsia="Book Antiqua" w:hAnsi="Book Antiqua" w:cs="Book Antiqua"/>
          <w:color w:val="000000"/>
        </w:rPr>
        <w:t xml:space="preserve">Only 5% of patients with TNBC present with </w:t>
      </w:r>
      <w:r>
        <w:rPr>
          <w:rFonts w:ascii="Book Antiqua" w:eastAsia="Book Antiqua" w:hAnsi="Book Antiqua" w:cs="Book Antiqua"/>
          <w:i/>
          <w:iCs/>
          <w:color w:val="000000"/>
        </w:rPr>
        <w:t>de novo</w:t>
      </w:r>
      <w:r>
        <w:rPr>
          <w:rFonts w:ascii="Book Antiqua" w:eastAsia="Book Antiqua" w:hAnsi="Book Antiqua" w:cs="Book Antiqua"/>
          <w:color w:val="000000"/>
        </w:rPr>
        <w:t xml:space="preserve">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majority of patients unfortunately relapse following treatment with curative intent. The </w:t>
      </w:r>
      <w:r>
        <w:rPr>
          <w:rFonts w:ascii="Book Antiqua" w:eastAsia="Book Antiqua" w:hAnsi="Book Antiqua" w:cs="Book Antiqua"/>
          <w:color w:val="000000"/>
        </w:rPr>
        <w:lastRenderedPageBreak/>
        <w:t>biological features of TNBC result in a unique clinical phenotype. It is characterized by</w:t>
      </w:r>
      <w:r>
        <w:rPr>
          <w:rFonts w:ascii="Book Antiqua" w:eastAsia="Book Antiqua" w:hAnsi="Book Antiqua" w:cs="Book Antiqua"/>
          <w:color w:val="000000"/>
        </w:rPr>
        <w:t xml:space="preserve"> a propensity for visceral and brain metastases, absence of bone metastases and typically early relapse (&lt; 3 years).</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Data from a Canadian breast cancer cohort with 180 TNBC (1601 in total cohort) patients showed that these patients were much more likely to</w:t>
      </w:r>
      <w:r>
        <w:rPr>
          <w:rFonts w:ascii="Book Antiqua" w:eastAsia="Book Antiqua" w:hAnsi="Book Antiqua" w:cs="Book Antiqua"/>
          <w:color w:val="000000"/>
        </w:rPr>
        <w:t xml:space="preserve"> develop distant recurrence (HR = 2.6,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or death (HR 3.2,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0.00001) compared to other breast cancer subtypes. The risk of distant recurrence peaked at three years and declined rapidly </w:t>
      </w:r>
      <w:proofErr w:type="gramStart"/>
      <w:r>
        <w:rPr>
          <w:rFonts w:ascii="Book Antiqua" w:eastAsia="Book Antiqua" w:hAnsi="Book Antiqua" w:cs="Book Antiqua"/>
          <w:color w:val="000000"/>
        </w:rPr>
        <w:t>thereafter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 large cohort study from MD Anderson Cance</w:t>
      </w:r>
      <w:r>
        <w:rPr>
          <w:rFonts w:ascii="Book Antiqua" w:eastAsia="Book Antiqua" w:hAnsi="Book Antiqua" w:cs="Book Antiqua"/>
          <w:color w:val="000000"/>
        </w:rPr>
        <w:t xml:space="preserve">r Centre identified similar patterns of distant recurrence and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TNBC is most commonly associated with visceral metastases including lung, liver and brain. Jin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identified 433 women with metastatic TNBC and found that 29% of them had 1 or</w:t>
      </w:r>
      <w:r>
        <w:rPr>
          <w:rFonts w:ascii="Book Antiqua" w:eastAsia="Book Antiqua" w:hAnsi="Book Antiqua" w:cs="Book Antiqua"/>
          <w:color w:val="000000"/>
        </w:rPr>
        <w:t xml:space="preserve"> greater brain metastases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Median survival from time of diagnosis of brain metastases in this study was just 7.3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highlighting the significant mortality associated with intracranial disease.</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The Biology of TNBC</w:t>
      </w:r>
    </w:p>
    <w:p w:rsidR="00DD33E9" w:rsidRDefault="00C061FA">
      <w:pPr>
        <w:spacing w:line="360" w:lineRule="auto"/>
        <w:jc w:val="both"/>
        <w:rPr>
          <w:rFonts w:ascii="Book Antiqua" w:hAnsi="Book Antiqua"/>
          <w:i/>
          <w:iCs/>
        </w:rPr>
      </w:pPr>
      <w:r>
        <w:rPr>
          <w:rFonts w:ascii="Book Antiqua" w:eastAsia="Book Antiqua" w:hAnsi="Book Antiqua" w:cs="Book Antiqua"/>
          <w:b/>
          <w:bCs/>
          <w:i/>
          <w:iCs/>
          <w:color w:val="000000"/>
        </w:rPr>
        <w:t xml:space="preserve">Genomic features of TNBC </w:t>
      </w:r>
    </w:p>
    <w:p w:rsidR="00DD33E9" w:rsidRDefault="00C061FA">
      <w:pPr>
        <w:spacing w:line="360" w:lineRule="auto"/>
        <w:jc w:val="both"/>
        <w:rPr>
          <w:rFonts w:ascii="Book Antiqua" w:hAnsi="Book Antiqua"/>
        </w:rPr>
      </w:pPr>
      <w:r>
        <w:rPr>
          <w:rFonts w:ascii="Book Antiqua" w:eastAsia="Book Antiqua" w:hAnsi="Book Antiqua" w:cs="Book Antiqua"/>
          <w:color w:val="000000"/>
        </w:rPr>
        <w:t xml:space="preserve">Triple </w:t>
      </w:r>
      <w:r>
        <w:rPr>
          <w:rFonts w:ascii="Book Antiqua" w:eastAsia="Book Antiqua" w:hAnsi="Book Antiqua" w:cs="Book Antiqua"/>
          <w:color w:val="000000"/>
        </w:rPr>
        <w:t>negative breast cancer is characterised by the absence of expression of ER/PR/HER2. Almost 20 years ago breast cancer was classified using gene expression profiling into four main subtypes; Luminal A (ER+/PR+ with a low proliferation index), Luminal B (ER+</w:t>
      </w:r>
      <w:r>
        <w:rPr>
          <w:rFonts w:ascii="Book Antiqua" w:eastAsia="Book Antiqua" w:hAnsi="Book Antiqua" w:cs="Book Antiqua"/>
          <w:color w:val="000000"/>
        </w:rPr>
        <w:t xml:space="preserve">/PR + with a high proliferation index), HER2-overexpressing (HER2+ disease) and basal-like. Although basal-like broadly corresponds to TNBC, the terms are not </w:t>
      </w:r>
      <w:proofErr w:type="gramStart"/>
      <w:r>
        <w:rPr>
          <w:rFonts w:ascii="Book Antiqua" w:eastAsia="Book Antiqua" w:hAnsi="Book Antiqua" w:cs="Book Antiqua"/>
          <w:color w:val="000000"/>
        </w:rPr>
        <w:t>synomonous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1,3,12]</w:t>
      </w:r>
      <w:r>
        <w:rPr>
          <w:rFonts w:ascii="Book Antiqua" w:eastAsia="Book Antiqua" w:hAnsi="Book Antiqua" w:cs="Book Antiqua"/>
          <w:color w:val="000000"/>
        </w:rPr>
        <w:t>. In one study, 70% of TNBC belonged to the basal subtype and 76% of basal-type</w:t>
      </w:r>
      <w:r>
        <w:rPr>
          <w:rFonts w:ascii="Book Antiqua" w:eastAsia="Book Antiqua" w:hAnsi="Book Antiqua" w:cs="Book Antiqua"/>
          <w:color w:val="000000"/>
        </w:rPr>
        <w:t xml:space="preserve"> tumours would be classified as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 small proportion of basal-like tumours express ER or express </w:t>
      </w:r>
      <w:proofErr w:type="gramStart"/>
      <w:r>
        <w:rPr>
          <w:rFonts w:ascii="Book Antiqua" w:eastAsia="Book Antiqua" w:hAnsi="Book Antiqua" w:cs="Book Antiqua"/>
          <w:color w:val="000000"/>
        </w:rPr>
        <w:t>HER2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Importantly, basal-like tumours express cytokeratins such as CK5/6, cadherin as well as epidermal like growth factor (EGFR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Contrary t</w:t>
      </w:r>
      <w:r>
        <w:rPr>
          <w:rFonts w:ascii="Book Antiqua" w:eastAsia="Book Antiqua" w:hAnsi="Book Antiqua" w:cs="Book Antiqua"/>
          <w:color w:val="000000"/>
        </w:rPr>
        <w:t xml:space="preserve">o previous doctrine, it appears that basal-like tumours do not arise from normal breast tissue (basal cells) but instead arise from luminal progenitor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w:t>
      </w:r>
    </w:p>
    <w:p w:rsidR="00DD33E9" w:rsidRDefault="00C061FA">
      <w:pPr>
        <w:spacing w:line="360" w:lineRule="auto"/>
        <w:ind w:left="-1" w:firstLineChars="200" w:firstLine="480"/>
        <w:jc w:val="both"/>
        <w:rPr>
          <w:rFonts w:ascii="Book Antiqua" w:hAnsi="Book Antiqua"/>
        </w:rPr>
      </w:pPr>
      <w:r>
        <w:rPr>
          <w:rFonts w:ascii="Book Antiqua" w:eastAsia="Book Antiqua" w:hAnsi="Book Antiqua" w:cs="Book Antiqua"/>
          <w:color w:val="000000"/>
        </w:rPr>
        <w:lastRenderedPageBreak/>
        <w:t>Mutations in</w:t>
      </w:r>
      <w:r>
        <w:rPr>
          <w:rFonts w:ascii="Book Antiqua" w:eastAsia="Book Antiqua" w:hAnsi="Book Antiqua" w:cs="Book Antiqua"/>
          <w:i/>
          <w:iCs/>
          <w:color w:val="000000"/>
        </w:rPr>
        <w:t xml:space="preserve"> BRCA1/BRCA2</w:t>
      </w:r>
      <w:r>
        <w:rPr>
          <w:rFonts w:ascii="Book Antiqua" w:eastAsia="Book Antiqua" w:hAnsi="Book Antiqua" w:cs="Book Antiqua"/>
          <w:color w:val="000000"/>
        </w:rPr>
        <w:t xml:space="preserve"> are commonly associated with the basal-like subtype of breast canc</w:t>
      </w:r>
      <w:r>
        <w:rPr>
          <w:rFonts w:ascii="Book Antiqua" w:eastAsia="Book Antiqua" w:hAnsi="Book Antiqua" w:cs="Book Antiqua"/>
          <w:color w:val="000000"/>
        </w:rPr>
        <w:t xml:space="preserve">er on a genomic </w:t>
      </w:r>
      <w:proofErr w:type="gramStart"/>
      <w:r>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Of course, </w:t>
      </w:r>
      <w:r>
        <w:rPr>
          <w:rFonts w:ascii="Book Antiqua" w:eastAsia="Book Antiqua" w:hAnsi="Book Antiqua" w:cs="Book Antiqua"/>
          <w:i/>
          <w:iCs/>
          <w:color w:val="000000"/>
        </w:rPr>
        <w:t xml:space="preserve">BRCA1/BRCA2 </w:t>
      </w:r>
      <w:r>
        <w:rPr>
          <w:rFonts w:ascii="Book Antiqua" w:eastAsia="Book Antiqua" w:hAnsi="Book Antiqua" w:cs="Book Antiqua"/>
          <w:color w:val="000000"/>
        </w:rPr>
        <w:t xml:space="preserve">is associated with a high lifetime incidence of all breast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However, the highest incidence of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is found within the triple negative subgroup. It is estimated that approximately 20% of patients with TNBC may harbour a germline defect in </w:t>
      </w:r>
      <w:r>
        <w:rPr>
          <w:rFonts w:ascii="Book Antiqua" w:eastAsia="Book Antiqua" w:hAnsi="Book Antiqua" w:cs="Book Antiqua"/>
          <w:i/>
          <w:iCs/>
          <w:color w:val="000000"/>
        </w:rPr>
        <w:t>BRCA1/</w:t>
      </w:r>
      <w:proofErr w:type="gramStart"/>
      <w:r>
        <w:rPr>
          <w:rFonts w:ascii="Book Antiqua" w:eastAsia="Book Antiqua" w:hAnsi="Book Antiqua" w:cs="Book Antiqua"/>
          <w:i/>
          <w:iCs/>
          <w:color w:val="000000"/>
        </w:rPr>
        <w:t>BRCA2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As a consequence, it is now recommended that all patients with TNBC should have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testin</w:t>
      </w:r>
      <w:r>
        <w:rPr>
          <w:rFonts w:ascii="Book Antiqua" w:eastAsia="Book Antiqua" w:hAnsi="Book Antiqua" w:cs="Book Antiqua"/>
          <w:color w:val="000000"/>
        </w:rPr>
        <w:t>g particularly if they are under 50 years old</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It is hypothesised that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results in the suppression of basal-like genes thus a pathogenic mutation acts as an oncogene specifically within the basal </w:t>
      </w:r>
      <w:proofErr w:type="gramStart"/>
      <w:r>
        <w:rPr>
          <w:rFonts w:ascii="Book Antiqua" w:eastAsia="Book Antiqua" w:hAnsi="Book Antiqua" w:cs="Book Antiqua"/>
          <w:color w:val="000000"/>
        </w:rPr>
        <w:t>subtype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Conversely, basal-like breast ca</w:t>
      </w:r>
      <w:r>
        <w:rPr>
          <w:rFonts w:ascii="Book Antiqua" w:eastAsia="Book Antiqua" w:hAnsi="Book Antiqua" w:cs="Book Antiqua"/>
          <w:color w:val="000000"/>
        </w:rPr>
        <w:t xml:space="preserve">ncers may be a surrogate for cancers which behave biologically similar to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-mutated disease. These cancers are considered under the term </w:t>
      </w:r>
      <w:proofErr w:type="gramStart"/>
      <w:r>
        <w:rPr>
          <w:rFonts w:ascii="Book Antiqua" w:eastAsia="Book Antiqua" w:hAnsi="Book Antiqua" w:cs="Book Antiqua"/>
          <w:color w:val="000000"/>
        </w:rPr>
        <w:t>‘BRCAness’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‘BRCAness’ refers to cancers without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mutations but have other causes of homologou</w:t>
      </w:r>
      <w:r>
        <w:rPr>
          <w:rFonts w:ascii="Book Antiqua" w:eastAsia="Book Antiqua" w:hAnsi="Book Antiqua" w:cs="Book Antiqua"/>
          <w:color w:val="000000"/>
        </w:rPr>
        <w:t>s recombination deficiency (HRD) rendering susceptibility to poly adenosine diphosphate (ADP) ribose polymerase inhibitors (PARPi)</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Basal-like tumours associated with a </w:t>
      </w:r>
      <w:r>
        <w:rPr>
          <w:rFonts w:ascii="Book Antiqua" w:eastAsia="Book Antiqua" w:hAnsi="Book Antiqua" w:cs="Book Antiqua"/>
          <w:i/>
          <w:iCs/>
          <w:color w:val="000000"/>
        </w:rPr>
        <w:t>BRCAness</w:t>
      </w:r>
      <w:r>
        <w:rPr>
          <w:rFonts w:ascii="Book Antiqua" w:eastAsia="Book Antiqua" w:hAnsi="Book Antiqua" w:cs="Book Antiqua"/>
          <w:color w:val="000000"/>
        </w:rPr>
        <w:t xml:space="preserve"> phenotype are characterized by high tumour grade, lymphocytic infiltrate, </w:t>
      </w:r>
      <w:r>
        <w:rPr>
          <w:rFonts w:ascii="Book Antiqua" w:eastAsia="Book Antiqua" w:hAnsi="Book Antiqua" w:cs="Book Antiqua"/>
          <w:color w:val="000000"/>
        </w:rPr>
        <w:t xml:space="preserve">pushing margins, ER and HER2-negativity, an association with TP53 mutations, c-myc amplification, and multiple chromosome </w:t>
      </w:r>
      <w:proofErr w:type="gramStart"/>
      <w:r>
        <w:rPr>
          <w:rFonts w:ascii="Book Antiqua" w:eastAsia="Book Antiqua" w:hAnsi="Book Antiqua" w:cs="Book Antiqua"/>
          <w:color w:val="000000"/>
        </w:rPr>
        <w:t>abnormalities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Candidate genes which may result in a </w:t>
      </w:r>
      <w:r>
        <w:rPr>
          <w:rFonts w:ascii="Book Antiqua" w:eastAsia="Book Antiqua" w:hAnsi="Book Antiqua" w:cs="Book Antiqua"/>
          <w:i/>
          <w:iCs/>
          <w:color w:val="000000"/>
        </w:rPr>
        <w:t>BRCA-like</w:t>
      </w:r>
      <w:r>
        <w:rPr>
          <w:rFonts w:ascii="Book Antiqua" w:eastAsia="Book Antiqua" w:hAnsi="Book Antiqua" w:cs="Book Antiqua"/>
          <w:color w:val="000000"/>
        </w:rPr>
        <w:t xml:space="preserve"> phenotype include </w:t>
      </w:r>
      <w:r>
        <w:rPr>
          <w:rFonts w:ascii="Book Antiqua" w:eastAsia="Book Antiqua" w:hAnsi="Book Antiqua" w:cs="Book Antiqua"/>
          <w:i/>
          <w:iCs/>
          <w:color w:val="000000"/>
        </w:rPr>
        <w:t xml:space="preserve">ATM, CDK1/2, PALB2 </w:t>
      </w:r>
      <w:r>
        <w:rPr>
          <w:rFonts w:ascii="Book Antiqua" w:eastAsia="Book Antiqua" w:hAnsi="Book Antiqua" w:cs="Book Antiqua"/>
          <w:color w:val="000000"/>
        </w:rPr>
        <w:t xml:space="preserve">and many others. However, the </w:t>
      </w:r>
      <w:r>
        <w:rPr>
          <w:rFonts w:ascii="Book Antiqua" w:eastAsia="Book Antiqua" w:hAnsi="Book Antiqua" w:cs="Book Antiqua"/>
          <w:color w:val="000000"/>
        </w:rPr>
        <w:t xml:space="preserve">clinical significance of these and their sensitivity to PARPi has generally been significantly less compared to patients with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Recent presentations at American Society of Clinical Oncology (ASCO) showed objective responses similar</w:t>
      </w:r>
      <w:r>
        <w:rPr>
          <w:rFonts w:ascii="Book Antiqua" w:eastAsia="Book Antiqua" w:hAnsi="Book Antiqua" w:cs="Book Antiqua"/>
          <w:color w:val="000000"/>
        </w:rPr>
        <w:t xml:space="preserve"> to those seen in germline </w:t>
      </w:r>
      <w:r>
        <w:rPr>
          <w:rFonts w:ascii="Book Antiqua" w:eastAsia="Book Antiqua" w:hAnsi="Book Antiqua" w:cs="Book Antiqua"/>
          <w:i/>
          <w:iCs/>
          <w:color w:val="000000"/>
        </w:rPr>
        <w:t>BRCA</w:t>
      </w:r>
      <w:r>
        <w:rPr>
          <w:rFonts w:ascii="Book Antiqua" w:eastAsia="Book Antiqua" w:hAnsi="Book Antiqua" w:cs="Book Antiqua"/>
          <w:color w:val="000000"/>
        </w:rPr>
        <w:t xml:space="preserve">-mutation associated breast cancer in patients with somatic </w:t>
      </w:r>
      <w:r>
        <w:rPr>
          <w:rFonts w:ascii="Book Antiqua" w:eastAsia="Book Antiqua" w:hAnsi="Book Antiqua" w:cs="Book Antiqua"/>
          <w:i/>
          <w:iCs/>
          <w:color w:val="000000"/>
        </w:rPr>
        <w:t>BRCA</w:t>
      </w:r>
      <w:r>
        <w:rPr>
          <w:rFonts w:ascii="Book Antiqua" w:eastAsia="Book Antiqua" w:hAnsi="Book Antiqua" w:cs="Book Antiqua"/>
          <w:color w:val="000000"/>
        </w:rPr>
        <w:t xml:space="preserve"> gene mutations and with </w:t>
      </w:r>
      <w:r>
        <w:rPr>
          <w:rFonts w:ascii="Book Antiqua" w:eastAsia="Book Antiqua" w:hAnsi="Book Antiqua" w:cs="Book Antiqua"/>
          <w:i/>
          <w:iCs/>
          <w:color w:val="000000"/>
        </w:rPr>
        <w:t>PALB2</w:t>
      </w:r>
      <w:r>
        <w:rPr>
          <w:rFonts w:ascii="Book Antiqua" w:eastAsia="Book Antiqua" w:hAnsi="Book Antiqua" w:cs="Book Antiqua"/>
          <w:color w:val="000000"/>
        </w:rPr>
        <w:t xml:space="preserve"> mutations which are discussed later in this article.</w:t>
      </w:r>
    </w:p>
    <w:p w:rsidR="00DD33E9" w:rsidRDefault="00DD33E9">
      <w:pPr>
        <w:spacing w:line="360" w:lineRule="auto"/>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Immunogenic potential of TNBC</w:t>
      </w:r>
    </w:p>
    <w:p w:rsidR="00DD33E9" w:rsidRDefault="00C061FA">
      <w:pPr>
        <w:spacing w:line="360" w:lineRule="auto"/>
        <w:jc w:val="both"/>
        <w:rPr>
          <w:rFonts w:ascii="Book Antiqua" w:hAnsi="Book Antiqua"/>
        </w:rPr>
      </w:pPr>
      <w:r>
        <w:rPr>
          <w:rFonts w:ascii="Book Antiqua" w:eastAsia="Book Antiqua" w:hAnsi="Book Antiqua" w:cs="Book Antiqua"/>
          <w:color w:val="000000"/>
        </w:rPr>
        <w:t>The tumour microenvironment (TME) plays an imp</w:t>
      </w:r>
      <w:r>
        <w:rPr>
          <w:rFonts w:ascii="Book Antiqua" w:eastAsia="Book Antiqua" w:hAnsi="Book Antiqua" w:cs="Book Antiqua"/>
          <w:color w:val="000000"/>
        </w:rPr>
        <w:t xml:space="preserve">ortant role in defining the interaction of our immune system with tumours. In TNBC, the TME is characterized by </w:t>
      </w:r>
      <w:r>
        <w:rPr>
          <w:rFonts w:ascii="Book Antiqua" w:eastAsia="Book Antiqua" w:hAnsi="Book Antiqua" w:cs="Book Antiqua"/>
          <w:color w:val="000000"/>
        </w:rPr>
        <w:lastRenderedPageBreak/>
        <w:t>higher levels of vascular endothelial like growth factor (VEGF), tumour infiltrating lymphocytes (TILs) and tumour associated macrophages in con</w:t>
      </w:r>
      <w:r>
        <w:rPr>
          <w:rFonts w:ascii="Book Antiqua" w:eastAsia="Book Antiqua" w:hAnsi="Book Antiqua" w:cs="Book Antiqua"/>
          <w:color w:val="000000"/>
        </w:rPr>
        <w:t>trast to other types of breast cancer</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Additionally, there is a high level of expression of TILs in patients with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24-29]</w:t>
      </w:r>
      <w:r>
        <w:rPr>
          <w:rFonts w:ascii="Book Antiqua" w:eastAsia="Book Antiqua" w:hAnsi="Book Antiqua" w:cs="Book Antiqua"/>
          <w:color w:val="000000"/>
        </w:rPr>
        <w:t xml:space="preserve">. These have been shown to be a useful prognostic indicator across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TNBC has been shown to have consistently e</w:t>
      </w:r>
      <w:r>
        <w:rPr>
          <w:rFonts w:ascii="Book Antiqua" w:eastAsia="Book Antiqua" w:hAnsi="Book Antiqua" w:cs="Book Antiqua"/>
          <w:color w:val="000000"/>
        </w:rPr>
        <w:t xml:space="preserve">levated TILs in contrast to other subtypes and TILs have been shown to be associated with improved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Ibrahim</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found that patients with lymphocyte-predominant breast cancer had a 40% pathological complete response rate compared to 7% of</w:t>
      </w:r>
      <w:r>
        <w:rPr>
          <w:rFonts w:ascii="Book Antiqua" w:eastAsia="Book Antiqua" w:hAnsi="Book Antiqua" w:cs="Book Antiqua"/>
          <w:color w:val="000000"/>
        </w:rPr>
        <w:t xml:space="preserve"> those patients without</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High TILS are more frequent in TNBC (30%) compared to HER2-positive (19%) and luminal tumours (13%) and are associated with improved disease free survival and OS in early stage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27,31,32]</w:t>
      </w:r>
      <w:r>
        <w:rPr>
          <w:rFonts w:ascii="Book Antiqua" w:eastAsia="Book Antiqua" w:hAnsi="Book Antiqua" w:cs="Book Antiqua"/>
          <w:color w:val="000000"/>
        </w:rPr>
        <w:t>. This is consistent with f</w:t>
      </w:r>
      <w:r>
        <w:rPr>
          <w:rFonts w:ascii="Book Antiqua" w:eastAsia="Book Antiqua" w:hAnsi="Book Antiqua" w:cs="Book Antiqua"/>
          <w:color w:val="000000"/>
        </w:rPr>
        <w:t>indings in other malignancies demonstrating the important role of the immune system in cancer biology and prognostication. All of these features demonstrate that the TME of TNBC is highly immunogenic.</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recognised that TNBC typically has higher levels </w:t>
      </w:r>
      <w:r>
        <w:rPr>
          <w:rFonts w:ascii="Book Antiqua" w:eastAsia="Book Antiqua" w:hAnsi="Book Antiqua" w:cs="Book Antiqua"/>
          <w:color w:val="000000"/>
        </w:rPr>
        <w:t xml:space="preserve">of programmed cell death ligand [programmed death-ligand 1 (PD-L1)] expression in contrast to other subtypes of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rPr>
        <w:t>. PD-L1 has an important role in regulating our immune system, preventing overactivation of T cells and promoting the differ</w:t>
      </w:r>
      <w:r>
        <w:rPr>
          <w:rFonts w:ascii="Book Antiqua" w:eastAsia="Book Antiqua" w:hAnsi="Book Antiqua" w:cs="Book Antiqua"/>
          <w:color w:val="000000"/>
        </w:rPr>
        <w:t xml:space="preserve">entiation of regulatory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PD-L1 is the most agnostic and clinically utilised biomarker of response to checkpoint inhibition in patients with advanced malignancies. However, </w:t>
      </w:r>
      <w:proofErr w:type="gramStart"/>
      <w:r>
        <w:rPr>
          <w:rFonts w:ascii="Book Antiqua" w:eastAsia="Book Antiqua" w:hAnsi="Book Antiqua" w:cs="Book Antiqua"/>
          <w:color w:val="000000"/>
        </w:rPr>
        <w:t>it’s</w:t>
      </w:r>
      <w:proofErr w:type="gramEnd"/>
      <w:r>
        <w:rPr>
          <w:rFonts w:ascii="Book Antiqua" w:eastAsia="Book Antiqua" w:hAnsi="Book Antiqua" w:cs="Book Antiqua"/>
          <w:color w:val="000000"/>
        </w:rPr>
        <w:t xml:space="preserve"> sensitivity and specificity as an iodine oxide (IO) biomarker is va</w:t>
      </w:r>
      <w:r>
        <w:rPr>
          <w:rFonts w:ascii="Book Antiqua" w:eastAsia="Book Antiqua" w:hAnsi="Book Antiqua" w:cs="Book Antiqua"/>
          <w:color w:val="000000"/>
        </w:rPr>
        <w:t>riable across malignancies. There are several different antibodies used to detect it and there are also different staining algorithms adopted to measure it. This will be discussed in greater detail below (See PD-L1 assays).</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TNBC has a relatively high </w:t>
      </w:r>
      <w:r>
        <w:rPr>
          <w:rFonts w:ascii="Book Antiqua" w:eastAsia="Book Antiqua" w:hAnsi="Book Antiqua" w:cs="Book Antiqua"/>
          <w:color w:val="000000"/>
        </w:rPr>
        <w:t xml:space="preserve">tumour mutational burden (TMB) in contrast to other histological subtypes of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On average, TNBCs carry 1.68 somatic mutations per Mb of coding regions (approximately 60 somatic mutations in each tumour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mutation burden is not unif</w:t>
      </w:r>
      <w:r>
        <w:rPr>
          <w:rFonts w:ascii="Book Antiqua" w:eastAsia="Book Antiqua" w:hAnsi="Book Antiqua" w:cs="Book Antiqua"/>
          <w:color w:val="000000"/>
        </w:rPr>
        <w:t xml:space="preserve">orm across TNBC, and some tumours have a high mutation burden (more than 4.68 somatic mutations per Mb) and a frequent </w:t>
      </w:r>
      <w:r>
        <w:rPr>
          <w:rFonts w:ascii="Book Antiqua" w:eastAsia="Book Antiqua" w:hAnsi="Book Antiqua" w:cs="Book Antiqua"/>
          <w:color w:val="000000"/>
        </w:rPr>
        <w:lastRenderedPageBreak/>
        <w:t>occurrence of multiple copy-number aberrations involving genes that lead to multiple pathway alterations. TMB has been identified as a po</w:t>
      </w:r>
      <w:r>
        <w:rPr>
          <w:rFonts w:ascii="Book Antiqua" w:eastAsia="Book Antiqua" w:hAnsi="Book Antiqua" w:cs="Book Antiqua"/>
          <w:color w:val="000000"/>
        </w:rPr>
        <w:t xml:space="preserve">tential biomarker of IO response across </w:t>
      </w:r>
      <w:proofErr w:type="gramStart"/>
      <w:r>
        <w:rPr>
          <w:rFonts w:ascii="Book Antiqua" w:eastAsia="Book Antiqua" w:hAnsi="Book Antiqua" w:cs="Book Antiqua"/>
          <w:color w:val="000000"/>
        </w:rPr>
        <w:t>malignancies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There is a strong biological rationale for the use of TMB. </w:t>
      </w:r>
      <w:proofErr w:type="gramStart"/>
      <w:r>
        <w:rPr>
          <w:rFonts w:ascii="Book Antiqua" w:eastAsia="Book Antiqua" w:hAnsi="Book Antiqua" w:cs="Book Antiqua"/>
          <w:color w:val="000000"/>
        </w:rPr>
        <w:t>Higher levels of TMB results in greater neoantigen expression and presentation to our immune cells enhancing our immune response.</w:t>
      </w:r>
      <w:proofErr w:type="gramEnd"/>
      <w:r>
        <w:rPr>
          <w:rFonts w:ascii="Book Antiqua" w:eastAsia="Book Antiqua" w:hAnsi="Book Antiqua" w:cs="Book Antiqua"/>
          <w:color w:val="000000"/>
        </w:rPr>
        <w:t xml:space="preserve"> However, </w:t>
      </w:r>
      <w:r>
        <w:rPr>
          <w:rFonts w:ascii="Book Antiqua" w:eastAsia="Book Antiqua" w:hAnsi="Book Antiqua" w:cs="Book Antiqua"/>
          <w:color w:val="000000"/>
        </w:rPr>
        <w:t xml:space="preserve">the clinical utility of TMB has not been fully demonstrated and it has failed to enter routine practice in most disease </w:t>
      </w:r>
      <w:proofErr w:type="gramStart"/>
      <w:r>
        <w:rPr>
          <w:rFonts w:ascii="Book Antiqua" w:eastAsia="Book Antiqua" w:hAnsi="Book Antiqua" w:cs="Book Antiqua"/>
          <w:color w:val="000000"/>
        </w:rPr>
        <w:t>subtypes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The Food and Drug Administration (FDA) has recently licensed pembrolizumab for the treatment of high TMB tumours (&gt; 10 mut</w:t>
      </w:r>
      <w:r>
        <w:rPr>
          <w:rFonts w:ascii="Book Antiqua" w:eastAsia="Book Antiqua" w:hAnsi="Book Antiqua" w:cs="Book Antiqua"/>
          <w:color w:val="000000"/>
        </w:rPr>
        <w:t xml:space="preserve">ations/Megabase) with the FoundationCDx assay as a companion </w:t>
      </w:r>
      <w:proofErr w:type="gramStart"/>
      <w:r>
        <w:rPr>
          <w:rFonts w:ascii="Book Antiqua" w:eastAsia="Book Antiqua" w:hAnsi="Book Antiqua" w:cs="Book Antiqua"/>
          <w:color w:val="000000"/>
        </w:rPr>
        <w:t>diagnostic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Therapies in Metastatic TNBC</w:t>
      </w:r>
    </w:p>
    <w:p w:rsidR="00DD33E9" w:rsidRDefault="00C061FA">
      <w:pPr>
        <w:spacing w:line="360" w:lineRule="auto"/>
        <w:jc w:val="both"/>
        <w:rPr>
          <w:rFonts w:ascii="Book Antiqua" w:hAnsi="Book Antiqua"/>
          <w:i/>
          <w:iCs/>
        </w:rPr>
      </w:pPr>
      <w:r>
        <w:rPr>
          <w:rFonts w:ascii="Book Antiqua" w:eastAsia="Book Antiqua" w:hAnsi="Book Antiqua" w:cs="Book Antiqua"/>
          <w:b/>
          <w:bCs/>
          <w:i/>
          <w:iCs/>
          <w:color w:val="000000"/>
        </w:rPr>
        <w:t>Chemotherapy</w:t>
      </w:r>
    </w:p>
    <w:p w:rsidR="00DD33E9" w:rsidRDefault="00C061FA">
      <w:pPr>
        <w:spacing w:line="360" w:lineRule="auto"/>
        <w:jc w:val="both"/>
        <w:rPr>
          <w:rFonts w:ascii="Book Antiqua" w:hAnsi="Book Antiqua"/>
        </w:rPr>
      </w:pPr>
      <w:r>
        <w:rPr>
          <w:rFonts w:ascii="Book Antiqua" w:eastAsia="Book Antiqua" w:hAnsi="Book Antiqua" w:cs="Book Antiqua"/>
          <w:color w:val="000000"/>
        </w:rPr>
        <w:t>Chemotherapy remains the cornerstone of therapy in the treatment of metastatic TNBC (Table 1). It is well recognised that TNBC is intrin</w:t>
      </w:r>
      <w:r>
        <w:rPr>
          <w:rFonts w:ascii="Book Antiqua" w:eastAsia="Book Antiqua" w:hAnsi="Book Antiqua" w:cs="Book Antiqua"/>
          <w:color w:val="000000"/>
        </w:rPr>
        <w:t xml:space="preserve">sically chemo-sensitive but unfortunately prone to rapid relapse and resistance, this is referred to as the triple negative </w:t>
      </w:r>
      <w:proofErr w:type="gramStart"/>
      <w:r>
        <w:rPr>
          <w:rFonts w:ascii="Book Antiqua" w:eastAsia="Book Antiqua" w:hAnsi="Book Antiqua" w:cs="Book Antiqua"/>
          <w:color w:val="000000"/>
        </w:rPr>
        <w:t>paradox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Most guidelines recommend a first-line anthracycline or taxane-based regimen for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wild-type patients who hav</w:t>
      </w:r>
      <w:r>
        <w:rPr>
          <w:rFonts w:ascii="Book Antiqua" w:eastAsia="Book Antiqua" w:hAnsi="Book Antiqua" w:cs="Book Antiqua"/>
          <w:color w:val="000000"/>
        </w:rPr>
        <w:t xml:space="preserve">e not received these agents in the neoadjuvant or adjuvant </w:t>
      </w:r>
      <w:proofErr w:type="gramStart"/>
      <w:r>
        <w:rPr>
          <w:rFonts w:ascii="Book Antiqua" w:eastAsia="Book Antiqua" w:hAnsi="Book Antiqua" w:cs="Book Antiqua"/>
          <w:color w:val="000000"/>
        </w:rPr>
        <w:t>settings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42,43]</w:t>
      </w:r>
      <w:r>
        <w:rPr>
          <w:rFonts w:ascii="Book Antiqua" w:eastAsia="Book Antiqua" w:hAnsi="Book Antiqua" w:cs="Book Antiqua"/>
          <w:color w:val="000000"/>
        </w:rPr>
        <w:t>. There is evidence that patients may respond to re-challenge with these agents however most physician’s would favour avoiding this in the case of anthracyclines due to the cumulativ</w:t>
      </w:r>
      <w:r>
        <w:rPr>
          <w:rFonts w:ascii="Book Antiqua" w:eastAsia="Book Antiqua" w:hAnsi="Book Antiqua" w:cs="Book Antiqua"/>
          <w:color w:val="000000"/>
        </w:rPr>
        <w:t xml:space="preserve">e cardiac </w:t>
      </w:r>
      <w:proofErr w:type="gramStart"/>
      <w:r>
        <w:rPr>
          <w:rFonts w:ascii="Book Antiqua" w:eastAsia="Book Antiqua" w:hAnsi="Book Antiqua" w:cs="Book Antiqua"/>
          <w:color w:val="000000"/>
        </w:rPr>
        <w:t>toxicity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Much debate over the years has focused on the benefits of single-agent </w:t>
      </w:r>
      <w:r>
        <w:rPr>
          <w:rFonts w:ascii="Book Antiqua" w:eastAsia="Book Antiqua" w:hAnsi="Book Antiqua" w:cs="Book Antiqua"/>
          <w:i/>
          <w:iCs/>
          <w:color w:val="000000"/>
        </w:rPr>
        <w:t>vs</w:t>
      </w:r>
      <w:r>
        <w:rPr>
          <w:rFonts w:ascii="Book Antiqua" w:eastAsia="Book Antiqua" w:hAnsi="Book Antiqua" w:cs="Book Antiqua"/>
          <w:color w:val="000000"/>
        </w:rPr>
        <w:t xml:space="preserve"> combination regimens. Combination regimens are now generally reserved for patients who are at-risk of or in visceral </w:t>
      </w:r>
      <w:proofErr w:type="gramStart"/>
      <w:r>
        <w:rPr>
          <w:rFonts w:ascii="Book Antiqua" w:eastAsia="Book Antiqua" w:hAnsi="Book Antiqua" w:cs="Book Antiqua"/>
          <w:color w:val="000000"/>
        </w:rPr>
        <w:t>crisis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Platinum-based regimens have </w:t>
      </w:r>
      <w:r>
        <w:rPr>
          <w:rFonts w:ascii="Book Antiqua" w:eastAsia="Book Antiqua" w:hAnsi="Book Antiqua" w:cs="Book Antiqua"/>
          <w:color w:val="000000"/>
        </w:rPr>
        <w:t xml:space="preserve">demonstrated significant efficacy for patients with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mutant TNBC and other deficiencies in homologous </w:t>
      </w:r>
      <w:proofErr w:type="gramStart"/>
      <w:r>
        <w:rPr>
          <w:rFonts w:ascii="Book Antiqua" w:eastAsia="Book Antiqua" w:hAnsi="Book Antiqua" w:cs="Book Antiqua"/>
          <w:color w:val="000000"/>
        </w:rPr>
        <w:t>recombination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46-48]</w:t>
      </w:r>
      <w:r>
        <w:rPr>
          <w:rFonts w:ascii="Book Antiqua" w:eastAsia="Book Antiqua" w:hAnsi="Book Antiqua" w:cs="Book Antiqua"/>
          <w:color w:val="000000"/>
        </w:rPr>
        <w:t>. The TNT study</w:t>
      </w:r>
      <w:r>
        <w:rPr>
          <w:rFonts w:ascii="Book Antiqua" w:hAnsi="Book Antiqua"/>
          <w:lang w:eastAsia="zh-CN"/>
        </w:rPr>
        <w:t xml:space="preserve"> </w:t>
      </w:r>
      <w:r>
        <w:rPr>
          <w:rFonts w:ascii="Book Antiqua" w:eastAsia="Book Antiqua" w:hAnsi="Book Antiqua" w:cs="Book Antiqua"/>
          <w:color w:val="000000"/>
        </w:rPr>
        <w:t>directly studied platinum therapy responses in comparison to standard of care in</w:t>
      </w:r>
      <w:r>
        <w:rPr>
          <w:rFonts w:ascii="Book Antiqua" w:hAnsi="Book Antiqua"/>
          <w:lang w:eastAsia="zh-CN"/>
        </w:rPr>
        <w:t xml:space="preserve"> </w:t>
      </w:r>
      <w:r>
        <w:rPr>
          <w:rFonts w:ascii="Book Antiqua" w:eastAsia="Book Antiqua" w:hAnsi="Book Antiqua" w:cs="Book Antiqua"/>
          <w:color w:val="000000"/>
        </w:rPr>
        <w:t xml:space="preserve">advanced unselected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 study, which randomised 376 patients to docetaxel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carboplatin, found no evidence of a difference between carboplatin and docetaxel in objective response rate, progression free- or OS in the overall population. However, a prespecified subgroup an</w:t>
      </w:r>
      <w:r>
        <w:rPr>
          <w:rFonts w:ascii="Book Antiqua" w:eastAsia="Book Antiqua" w:hAnsi="Book Antiqua" w:cs="Book Antiqua"/>
          <w:color w:val="000000"/>
        </w:rPr>
        <w:t xml:space="preserve">alyses of </w:t>
      </w:r>
      <w:r>
        <w:rPr>
          <w:rFonts w:ascii="Book Antiqua" w:eastAsia="Book Antiqua" w:hAnsi="Book Antiqua" w:cs="Book Antiqua"/>
          <w:color w:val="000000"/>
        </w:rPr>
        <w:lastRenderedPageBreak/>
        <w:t xml:space="preserve">patients with germline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mutations demonstrated improved </w:t>
      </w:r>
      <w:r>
        <w:rPr>
          <w:rFonts w:ascii="Book Antiqua" w:eastAsia="Times New Roman" w:hAnsi="Book Antiqua" w:cs="Arial"/>
          <w:kern w:val="24"/>
          <w:lang w:val="en-GB" w:eastAsia="en-IE"/>
        </w:rPr>
        <w:t>Overall response rate</w:t>
      </w:r>
      <w:r>
        <w:rPr>
          <w:rFonts w:ascii="Book Antiqua" w:eastAsia="Book Antiqua" w:hAnsi="Book Antiqua" w:cs="Book Antiqua"/>
          <w:color w:val="000000"/>
        </w:rPr>
        <w:t xml:space="preserve"> (ORR) (68% </w:t>
      </w:r>
      <w:r>
        <w:rPr>
          <w:rFonts w:ascii="Book Antiqua" w:eastAsia="Book Antiqua" w:hAnsi="Book Antiqua" w:cs="Book Antiqua"/>
          <w:i/>
          <w:iCs/>
          <w:color w:val="000000"/>
        </w:rPr>
        <w:t>vs</w:t>
      </w:r>
      <w:r>
        <w:rPr>
          <w:rFonts w:ascii="Book Antiqua" w:eastAsia="Book Antiqua" w:hAnsi="Book Antiqua" w:cs="Book Antiqua"/>
          <w:color w:val="000000"/>
        </w:rPr>
        <w:t xml:space="preserve"> 33%) and progression free survival (PFS) (6.8 mo</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4.4 mo) but there was no OS advantage observed. The interpretation of OS is complex by the protocol specified planned cross over at progression.</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Finally, a variety of other cytotoxic can be used in later lines of treatments including gemcitabine, capecita</w:t>
      </w:r>
      <w:r>
        <w:rPr>
          <w:rFonts w:ascii="Book Antiqua" w:eastAsia="Book Antiqua" w:hAnsi="Book Antiqua" w:cs="Book Antiqua"/>
          <w:color w:val="000000"/>
        </w:rPr>
        <w:t>bine and the more recent addition-</w:t>
      </w:r>
      <w:proofErr w:type="gramStart"/>
      <w:r>
        <w:rPr>
          <w:rFonts w:ascii="Book Antiqua" w:eastAsia="Book Antiqua" w:hAnsi="Book Antiqua" w:cs="Book Antiqua"/>
          <w:color w:val="000000"/>
        </w:rPr>
        <w:t>eribulin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However, 30 years of experimentation with a variety of chemotherapeutics has yielded overall disappointing results. There is a significant unmet clinical need for newer more effective treatments which results</w:t>
      </w:r>
      <w:r>
        <w:rPr>
          <w:rFonts w:ascii="Book Antiqua" w:eastAsia="Book Antiqua" w:hAnsi="Book Antiqua" w:cs="Book Antiqua"/>
          <w:color w:val="000000"/>
        </w:rPr>
        <w:t xml:space="preserve"> in durable remissions for this patient population.</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Targeted agents such as PARPi, drugs targeting the </w:t>
      </w:r>
      <w:r>
        <w:rPr>
          <w:rFonts w:ascii="Book Antiqua" w:eastAsia="Book Antiqua" w:hAnsi="Book Antiqua" w:cs="Book Antiqua"/>
          <w:color w:val="000000"/>
          <w:shd w:val="clear" w:color="auto" w:fill="FFFFFF"/>
        </w:rPr>
        <w:t>phosphoinositide 3-kinase (PI3K)</w:t>
      </w:r>
      <w:r>
        <w:rPr>
          <w:rFonts w:ascii="Book Antiqua" w:eastAsia="Book Antiqua" w:hAnsi="Book Antiqua" w:cs="Book Antiqua"/>
          <w:color w:val="000000"/>
        </w:rPr>
        <w:t xml:space="preserve"> pathway, immunotherapy and antibody drug conjugates are being incor</w:t>
      </w:r>
      <w:r>
        <w:rPr>
          <w:rFonts w:ascii="Book Antiqua" w:eastAsia="宋体" w:hAnsi="Book Antiqua" w:cs="Book Antiqua" w:hint="eastAsia"/>
          <w:color w:val="000000"/>
          <w:lang w:eastAsia="zh-CN"/>
        </w:rPr>
        <w:t>-</w:t>
      </w:r>
      <w:r>
        <w:rPr>
          <w:rFonts w:ascii="Book Antiqua" w:eastAsia="Book Antiqua" w:hAnsi="Book Antiqua" w:cs="Book Antiqua"/>
          <w:color w:val="000000"/>
        </w:rPr>
        <w:t>porated alone or in combination with chemotherapy in</w:t>
      </w:r>
      <w:r>
        <w:rPr>
          <w:rFonts w:ascii="Book Antiqua" w:eastAsia="Book Antiqua" w:hAnsi="Book Antiqua" w:cs="Book Antiqua"/>
          <w:color w:val="000000"/>
        </w:rPr>
        <w:t xml:space="preserve"> treatment approaches.</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Immunotherapy in Metastatic TNBC</w:t>
      </w:r>
    </w:p>
    <w:p w:rsidR="00DD33E9" w:rsidRDefault="00C061FA">
      <w:pPr>
        <w:spacing w:line="360" w:lineRule="auto"/>
        <w:jc w:val="both"/>
        <w:rPr>
          <w:rFonts w:ascii="Book Antiqua" w:hAnsi="Book Antiqua"/>
          <w:i/>
          <w:iCs/>
        </w:rPr>
      </w:pPr>
      <w:r>
        <w:rPr>
          <w:rFonts w:ascii="Book Antiqua" w:eastAsia="Book Antiqua" w:hAnsi="Book Antiqua" w:cs="Book Antiqua"/>
          <w:b/>
          <w:bCs/>
          <w:i/>
          <w:iCs/>
          <w:color w:val="000000"/>
        </w:rPr>
        <w:t>Monotherapy trials</w:t>
      </w:r>
    </w:p>
    <w:p w:rsidR="00DD33E9" w:rsidRDefault="00C061FA">
      <w:pPr>
        <w:spacing w:line="360" w:lineRule="auto"/>
        <w:jc w:val="both"/>
        <w:rPr>
          <w:rFonts w:ascii="Book Antiqua" w:hAnsi="Book Antiqua"/>
        </w:rPr>
      </w:pPr>
      <w:r>
        <w:rPr>
          <w:rFonts w:ascii="Book Antiqua" w:eastAsia="Book Antiqua" w:hAnsi="Book Antiqua" w:cs="Book Antiqua"/>
          <w:color w:val="000000"/>
        </w:rPr>
        <w:t xml:space="preserve">In the Phase 1b KEYNOTE- 012 trial, published in 2016, patients with pre-treated TNBC were treated with pembrolizumab (Table 2) TNBC population as part of a larger basket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A modest response rate of 18% (5/27) was seen with a further 25.9% of patients having stable disease. There was a suggestion of increased likelihood of response for patients with a higher PD-L1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0.028).</w:t>
      </w:r>
    </w:p>
    <w:p w:rsidR="00DD33E9" w:rsidRDefault="00C061FA">
      <w:pPr>
        <w:spacing w:line="360" w:lineRule="auto"/>
        <w:ind w:left="-1" w:firstLineChars="200" w:firstLine="480"/>
        <w:jc w:val="both"/>
        <w:rPr>
          <w:rFonts w:ascii="Book Antiqua" w:hAnsi="Book Antiqua"/>
        </w:rPr>
      </w:pPr>
      <w:r>
        <w:rPr>
          <w:rFonts w:ascii="Book Antiqua" w:eastAsia="Book Antiqua" w:hAnsi="Book Antiqua" w:cs="Book Antiqua"/>
          <w:color w:val="000000"/>
        </w:rPr>
        <w:t>In the JAVELIN Phase 1b trial, authors’ i</w:t>
      </w:r>
      <w:r>
        <w:rPr>
          <w:rFonts w:ascii="Book Antiqua" w:eastAsia="Book Antiqua" w:hAnsi="Book Antiqua" w:cs="Book Antiqua"/>
          <w:color w:val="000000"/>
        </w:rPr>
        <w:t xml:space="preserve">nvestigated the use of avelumab in patients with metastatic, heavily pre-treated breast cancer with 58 patients in the group having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The response rate within the TNBC cohort was disappointing at 5.2% with stable disease in a further 25.9% of patie</w:t>
      </w:r>
      <w:r>
        <w:rPr>
          <w:rFonts w:ascii="Book Antiqua" w:eastAsia="Book Antiqua" w:hAnsi="Book Antiqua" w:cs="Book Antiqua"/>
          <w:color w:val="000000"/>
        </w:rPr>
        <w:t xml:space="preserve">nts. The combined positive score (CPS) was associated with higher likelihood of response (22.2% </w:t>
      </w:r>
      <w:r>
        <w:rPr>
          <w:rFonts w:ascii="Book Antiqua" w:eastAsia="Book Antiqua" w:hAnsi="Book Antiqua" w:cs="Book Antiqua"/>
          <w:i/>
          <w:iCs/>
          <w:color w:val="000000"/>
        </w:rPr>
        <w:t>vs</w:t>
      </w:r>
      <w:r>
        <w:rPr>
          <w:rFonts w:ascii="Book Antiqua" w:eastAsia="Book Antiqua" w:hAnsi="Book Antiqua" w:cs="Book Antiqua"/>
          <w:color w:val="000000"/>
        </w:rPr>
        <w:t xml:space="preserve"> 2.2% within the TNBC population).</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 Phase 1a trial of atezolizumab in TNBC, authors’ investigated the use of atezolizumab in TNBC in both the first line </w:t>
      </w:r>
      <w:r>
        <w:rPr>
          <w:rFonts w:ascii="Book Antiqua" w:eastAsia="Book Antiqua" w:hAnsi="Book Antiqua" w:cs="Book Antiqua"/>
          <w:color w:val="000000"/>
        </w:rPr>
        <w:t xml:space="preserve">and second line </w:t>
      </w:r>
      <w:proofErr w:type="gramStart"/>
      <w:r>
        <w:rPr>
          <w:rFonts w:ascii="Book Antiqua" w:eastAsia="Book Antiqua" w:hAnsi="Book Antiqua" w:cs="Book Antiqua"/>
          <w:color w:val="000000"/>
        </w:rPr>
        <w:t>setting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Overall response rates were significantly higher in the first-line setting in contrast to the second-line </w:t>
      </w:r>
      <w:r>
        <w:rPr>
          <w:rFonts w:ascii="Book Antiqua" w:eastAsia="Book Antiqua" w:hAnsi="Book Antiqua" w:cs="Book Antiqua"/>
          <w:color w:val="000000"/>
        </w:rPr>
        <w:lastRenderedPageBreak/>
        <w:t xml:space="preserve">setting (24% </w:t>
      </w:r>
      <w:r>
        <w:rPr>
          <w:rFonts w:ascii="Book Antiqua" w:eastAsia="Book Antiqua" w:hAnsi="Book Antiqua" w:cs="Book Antiqua"/>
          <w:i/>
          <w:iCs/>
          <w:color w:val="000000"/>
        </w:rPr>
        <w:t>vs</w:t>
      </w:r>
      <w:r>
        <w:rPr>
          <w:rFonts w:ascii="Book Antiqua" w:eastAsia="Book Antiqua" w:hAnsi="Book Antiqua" w:cs="Book Antiqua"/>
          <w:color w:val="000000"/>
        </w:rPr>
        <w:t xml:space="preserve"> 6%) with a median duration of response of 21 mo. Patients with a higher immune cell (IC) PD-L1 score had </w:t>
      </w:r>
      <w:r>
        <w:rPr>
          <w:rFonts w:ascii="Book Antiqua" w:eastAsia="Book Antiqua" w:hAnsi="Book Antiqua" w:cs="Book Antiqua"/>
          <w:color w:val="000000"/>
        </w:rPr>
        <w:t>improved clinical outcomes in contrast to patients with a negative PD-L1 IC.</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KEYNOTE-086 study, authors’ investigated pembrolizumab monotherapy in patients with heavily pretreated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They included 170 patients in a single-arm phase 2 study. T</w:t>
      </w:r>
      <w:r>
        <w:rPr>
          <w:rFonts w:ascii="Book Antiqua" w:eastAsia="Book Antiqua" w:hAnsi="Book Antiqua" w:cs="Book Antiqua"/>
          <w:color w:val="000000"/>
        </w:rPr>
        <w:t>he majority of patients (61.8%) had PD-L1 positive tumours. Almost half of patients have received 3 or more prior lines of therapy. Median PFS was modest at 2 mo with 6 mo and 12 mo PFS of 14.9% and 6.2% respectively.</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These early phase studies culminated i</w:t>
      </w:r>
      <w:r>
        <w:rPr>
          <w:rFonts w:ascii="Book Antiqua" w:eastAsia="Book Antiqua" w:hAnsi="Book Antiqua" w:cs="Book Antiqua"/>
          <w:color w:val="000000"/>
        </w:rPr>
        <w:t xml:space="preserve">n the phase III KEYNOTE-119 study which investigated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in patients who had received 1-2 prior lines of systemic therapy for patients with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Patients had received at least one anthracycline or taxane based treatment and w</w:t>
      </w:r>
      <w:r>
        <w:rPr>
          <w:rFonts w:ascii="Book Antiqua" w:eastAsia="Book Antiqua" w:hAnsi="Book Antiqua" w:cs="Book Antiqua"/>
          <w:color w:val="000000"/>
        </w:rPr>
        <w:t>ere randomised to either pembro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lizumab or physician’s choice of gemcitabine/eribulin/capecitabine. This study was adequately powered for OS in the intention-to-treat (ITT) population. The PD-L1 </w:t>
      </w:r>
      <w:r>
        <w:rPr>
          <w:rFonts w:ascii="Book Antiqua" w:hAnsi="Book Antiqua" w:cs="Arial"/>
          <w:kern w:val="24"/>
          <w:lang w:val="en-GB"/>
        </w:rPr>
        <w:t>immunohistochemistry</w:t>
      </w:r>
      <w:r>
        <w:rPr>
          <w:rFonts w:ascii="Book Antiqua" w:eastAsia="Book Antiqua" w:hAnsi="Book Antiqua" w:cs="Book Antiqua"/>
          <w:color w:val="000000"/>
        </w:rPr>
        <w:t xml:space="preserve"> (IHC) 22C3 pharmDX assay was used to det</w:t>
      </w:r>
      <w:r>
        <w:rPr>
          <w:rFonts w:ascii="Book Antiqua" w:eastAsia="Book Antiqua" w:hAnsi="Book Antiqua" w:cs="Book Antiqua"/>
          <w:color w:val="000000"/>
        </w:rPr>
        <w:t>ermine the CPS on a specimen from a site of metastatic disease. Patients were randomised in a 1:1 manner between pembrolizumab and physician’s choice of chemotherapy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611). The majority of patients (61 %) had a CPS &gt; 1. Pembrolizumab did not improve OS</w:t>
      </w:r>
      <w:r>
        <w:rPr>
          <w:rFonts w:ascii="Book Antiqua" w:eastAsia="Book Antiqua" w:hAnsi="Book Antiqua" w:cs="Book Antiqua"/>
          <w:color w:val="000000"/>
        </w:rPr>
        <w:t xml:space="preserve"> in patients with a CPS &gt; 10 or CPS &gt; 1 with a median OS of 9.6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for pembrolizumab and 10.6 mo for chemotherapy in the overall population. In an exploratory analysis, they did find that patients with a CPS &gt; 20 had an improved OS with pembrolizumab (14.9</w:t>
      </w:r>
      <w:r>
        <w:rPr>
          <w:rFonts w:ascii="Book Antiqua" w:eastAsia="Book Antiqua" w:hAnsi="Book Antiqua" w:cs="Book Antiqua"/>
          <w:color w:val="000000"/>
        </w:rPr>
        <w:t xml:space="preserve"> mo compared to 12.5 mo, HR 0.58). Grade 3-5 adverse events were significantly higher in the chemotherapy group compared to the pembrolizumab arm (49% </w:t>
      </w:r>
      <w:r>
        <w:rPr>
          <w:rFonts w:ascii="Book Antiqua" w:eastAsia="Book Antiqua" w:hAnsi="Book Antiqua" w:cs="Book Antiqua"/>
          <w:i/>
          <w:iCs/>
          <w:color w:val="000000"/>
        </w:rPr>
        <w:t>vs</w:t>
      </w:r>
      <w:r>
        <w:rPr>
          <w:rFonts w:ascii="Book Antiqua" w:eastAsia="Book Antiqua" w:hAnsi="Book Antiqua" w:cs="Book Antiqua"/>
          <w:color w:val="000000"/>
        </w:rPr>
        <w:t xml:space="preserve"> 34.9%). Although results only showed modest activity, it did suggest a relationship between efficacy a</w:t>
      </w:r>
      <w:r>
        <w:rPr>
          <w:rFonts w:ascii="Book Antiqua" w:eastAsia="Book Antiqua" w:hAnsi="Book Antiqua" w:cs="Book Antiqua"/>
          <w:color w:val="000000"/>
        </w:rPr>
        <w:t>nd PD-L1 expression.</w:t>
      </w:r>
    </w:p>
    <w:p w:rsidR="00DD33E9" w:rsidRDefault="00DD33E9">
      <w:pPr>
        <w:spacing w:line="360" w:lineRule="auto"/>
        <w:ind w:hanging="1"/>
        <w:jc w:val="both"/>
        <w:rPr>
          <w:rFonts w:ascii="Book Antiqua" w:hAnsi="Book Antiqua"/>
        </w:rPr>
      </w:pPr>
    </w:p>
    <w:p w:rsidR="00DD33E9" w:rsidRDefault="00C061FA">
      <w:pPr>
        <w:spacing w:line="360" w:lineRule="auto"/>
        <w:jc w:val="both"/>
        <w:rPr>
          <w:rFonts w:ascii="Book Antiqua" w:hAnsi="Book Antiqua"/>
          <w:i/>
          <w:iCs/>
        </w:rPr>
      </w:pPr>
      <w:r>
        <w:rPr>
          <w:rFonts w:ascii="Book Antiqua" w:eastAsia="Book Antiqua" w:hAnsi="Book Antiqua" w:cs="Book Antiqua"/>
          <w:b/>
          <w:bCs/>
          <w:i/>
          <w:iCs/>
          <w:color w:val="000000"/>
        </w:rPr>
        <w:t>Combination studies-immunotherapy and chemotherapy</w:t>
      </w:r>
    </w:p>
    <w:p w:rsidR="00DD33E9" w:rsidRDefault="00C061FA">
      <w:pPr>
        <w:spacing w:line="360" w:lineRule="auto"/>
        <w:jc w:val="both"/>
        <w:rPr>
          <w:rFonts w:ascii="Book Antiqua" w:hAnsi="Book Antiqua"/>
        </w:rPr>
      </w:pPr>
      <w:r>
        <w:rPr>
          <w:rFonts w:ascii="Book Antiqua" w:eastAsia="Book Antiqua" w:hAnsi="Book Antiqua" w:cs="Book Antiqua"/>
          <w:color w:val="000000"/>
        </w:rPr>
        <w:lastRenderedPageBreak/>
        <w:t xml:space="preserve">The early phase studies in metastatic TNBC indicated that treating patients with IO at earlier time points in their disease before exposure to multiple lines of treatment is </w:t>
      </w:r>
      <w:r>
        <w:rPr>
          <w:rFonts w:ascii="Book Antiqua" w:eastAsia="Book Antiqua" w:hAnsi="Book Antiqua" w:cs="Book Antiqua"/>
          <w:color w:val="000000"/>
        </w:rPr>
        <w:t>associated with improved response (Table 2).</w:t>
      </w:r>
    </w:p>
    <w:p w:rsidR="00DD33E9" w:rsidRDefault="00C061F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There was subsequently a shift of focus to combination chemotherapy and IO in TNBC (Table 3 and 4). In the phase 1a trial of atezolizumab and nab-paclitaxel, 33 patients were treated with the combination approac</w:t>
      </w:r>
      <w:r>
        <w:rPr>
          <w:rFonts w:ascii="Book Antiqua" w:eastAsia="Book Antiqua" w:hAnsi="Book Antiqua" w:cs="Book Antiqua"/>
          <w:color w:val="000000"/>
        </w:rPr>
        <w:t>h. The response rate was 39.1 % with a median duration of response of 9.1 mo. PD-L1 status did not stratify for responders. However, patients in the first-line setting had significantly higher response rates than those in the second-line setting or later (</w:t>
      </w:r>
      <w:r>
        <w:rPr>
          <w:rFonts w:ascii="Book Antiqua" w:eastAsia="Book Antiqua" w:hAnsi="Book Antiqua" w:cs="Book Antiqua"/>
          <w:color w:val="000000"/>
        </w:rPr>
        <w:t xml:space="preserve">53.8% </w:t>
      </w:r>
      <w:r>
        <w:rPr>
          <w:rFonts w:ascii="Book Antiqua" w:eastAsia="Book Antiqua" w:hAnsi="Book Antiqua" w:cs="Book Antiqua"/>
          <w:i/>
          <w:iCs/>
          <w:color w:val="000000"/>
        </w:rPr>
        <w:t>vs</w:t>
      </w:r>
      <w:r>
        <w:rPr>
          <w:rFonts w:ascii="Book Antiqua" w:eastAsia="Book Antiqua" w:hAnsi="Book Antiqua" w:cs="Book Antiqua"/>
          <w:color w:val="000000"/>
        </w:rPr>
        <w:t xml:space="preserve"> 30.0%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rsidR="00DD33E9" w:rsidRDefault="00DD33E9">
      <w:pPr>
        <w:spacing w:line="360" w:lineRule="auto"/>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Phase III IMpassion 130 trial</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rPr>
        <w:t xml:space="preserve">This led to the pivotal IMpassion-130 study which was a phase 3, first-line study investigating atezolizumab + nab-paclitaxel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nab-paclitaxel/placebo in 902 patients with advanced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The trial wa</w:t>
      </w:r>
      <w:r>
        <w:rPr>
          <w:rFonts w:ascii="Book Antiqua" w:eastAsia="Book Antiqua" w:hAnsi="Book Antiqua" w:cs="Book Antiqua"/>
          <w:color w:val="000000"/>
        </w:rPr>
        <w:t>s initially due to enrol 300 patients but the primary endpoint was expanded to include OS. The PD-L1 SP142 assay was used for PD-L1 assessment. Patients were excluded if they had completed treatment with curative intent &lt; 12 mo before registration or if th</w:t>
      </w:r>
      <w:r>
        <w:rPr>
          <w:rFonts w:ascii="Book Antiqua" w:eastAsia="Book Antiqua" w:hAnsi="Book Antiqua" w:cs="Book Antiqua"/>
          <w:color w:val="000000"/>
        </w:rPr>
        <w:t xml:space="preserve">ey had untreated or symptomatic brain metastases. The median PFS in the ITT population favoured the group receiving atezolizumab with a PFS of 7.2 mo </w:t>
      </w:r>
      <w:r>
        <w:rPr>
          <w:rFonts w:ascii="Book Antiqua" w:eastAsia="Book Antiqua" w:hAnsi="Book Antiqua" w:cs="Book Antiqua"/>
          <w:i/>
          <w:iCs/>
          <w:color w:val="000000"/>
        </w:rPr>
        <w:t>vs</w:t>
      </w:r>
      <w:r>
        <w:rPr>
          <w:rFonts w:ascii="Book Antiqua" w:eastAsia="Book Antiqua" w:hAnsi="Book Antiqua" w:cs="Book Antiqua"/>
          <w:color w:val="000000"/>
        </w:rPr>
        <w:t xml:space="preserve"> 5.5 mo (HR = 0.80; 9,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However, within the PD-L1 positive subgroup (PD-L1 &gt; 1%) the median P</w:t>
      </w:r>
      <w:r>
        <w:rPr>
          <w:rFonts w:ascii="Book Antiqua" w:eastAsia="Book Antiqua" w:hAnsi="Book Antiqua" w:cs="Book Antiqua"/>
          <w:color w:val="000000"/>
        </w:rPr>
        <w:t>FS benefit was greater favouring the atezolizumab group with a PFS of 7.5 mo</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5 mo (HR 0.62;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Book Antiqua" w:hAnsi="Book Antiqua" w:cs="Book Antiqua"/>
          <w:color w:val="000000"/>
        </w:rPr>
        <w:t xml:space="preserve"> 0.001). Final OS was presented at the European Society of Medical Oncology (ESMO) congress in 2020. In the ITT population, the median OS was 21 mo in the atezolizumab/nab-paclitaxel arm and 18.7 mo in the nab-paclitaxel arm (HR = 0.87; </w:t>
      </w:r>
      <w:r>
        <w:rPr>
          <w:rFonts w:ascii="Book Antiqua" w:eastAsia="Book Antiqua" w:hAnsi="Book Antiqua" w:cs="Book Antiqua"/>
          <w:i/>
          <w:iCs/>
          <w:color w:val="000000"/>
        </w:rPr>
        <w:t>P</w:t>
      </w:r>
      <w:r>
        <w:rPr>
          <w:rFonts w:ascii="Book Antiqua" w:eastAsia="Book Antiqua" w:hAnsi="Book Antiqua" w:cs="Book Antiqua"/>
          <w:color w:val="000000"/>
        </w:rPr>
        <w:t xml:space="preserve"> = 0.07). The medi</w:t>
      </w:r>
      <w:r>
        <w:rPr>
          <w:rFonts w:ascii="Book Antiqua" w:eastAsia="Book Antiqua" w:hAnsi="Book Antiqua" w:cs="Book Antiqua"/>
          <w:color w:val="000000"/>
        </w:rPr>
        <w:t xml:space="preserve">an OS in the PD-L1 positive group reached 25.4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in the atezolizumab arm </w:t>
      </w:r>
      <w:r>
        <w:rPr>
          <w:rFonts w:ascii="Book Antiqua" w:eastAsia="Book Antiqua" w:hAnsi="Book Antiqua" w:cs="Book Antiqua"/>
          <w:i/>
          <w:iCs/>
          <w:color w:val="000000"/>
        </w:rPr>
        <w:t>vs</w:t>
      </w:r>
      <w:r>
        <w:rPr>
          <w:rFonts w:ascii="Book Antiqua" w:eastAsia="Book Antiqua" w:hAnsi="Book Antiqua" w:cs="Book Antiqua"/>
          <w:color w:val="000000"/>
        </w:rPr>
        <w:t xml:space="preserve"> 17.9 mo (HR 0.67; 95%CI: 0.53-0.86). However, this benefit was not statistically significant as the prespecified statistical hierarchical testing required a benefit to be seen in </w:t>
      </w:r>
      <w:r>
        <w:rPr>
          <w:rFonts w:ascii="Book Antiqua" w:eastAsia="Book Antiqua" w:hAnsi="Book Antiqua" w:cs="Book Antiqua"/>
          <w:color w:val="000000"/>
        </w:rPr>
        <w:t xml:space="preserve">the ITT population to allow formal statistical analysis of the PD-L1 positive subgroup. No new safety signals emerged. </w:t>
      </w:r>
      <w:r>
        <w:rPr>
          <w:rFonts w:ascii="Book Antiqua" w:eastAsia="Book Antiqua" w:hAnsi="Book Antiqua" w:cs="Book Antiqua"/>
          <w:color w:val="000000"/>
          <w:shd w:val="clear" w:color="auto" w:fill="FFFFFF"/>
        </w:rPr>
        <w:t xml:space="preserve">Toxicity with combination approaches appears to be </w:t>
      </w:r>
      <w:r>
        <w:rPr>
          <w:rFonts w:ascii="Book Antiqua" w:eastAsia="Book Antiqua" w:hAnsi="Book Antiqua" w:cs="Book Antiqua"/>
          <w:color w:val="000000"/>
          <w:shd w:val="clear" w:color="auto" w:fill="FFFFFF"/>
        </w:rPr>
        <w:lastRenderedPageBreak/>
        <w:t>representative of the toxicity of each individual drug without evidence of synergistic</w:t>
      </w:r>
      <w:r>
        <w:rPr>
          <w:rFonts w:ascii="Book Antiqua" w:eastAsia="Book Antiqua" w:hAnsi="Book Antiqua" w:cs="Book Antiqua"/>
          <w:color w:val="000000"/>
          <w:shd w:val="clear" w:color="auto" w:fill="FFFFFF"/>
        </w:rPr>
        <w:t xml:space="preserve"> effects thus far. </w:t>
      </w:r>
      <w:r>
        <w:rPr>
          <w:rFonts w:ascii="Book Antiqua" w:eastAsia="Book Antiqua" w:hAnsi="Book Antiqua" w:cs="Book Antiqua"/>
          <w:color w:val="000000"/>
        </w:rPr>
        <w:t xml:space="preserve">The incidence of grade 3/grade 4 adverse events was higher in the atezolizumab arm (42% </w:t>
      </w:r>
      <w:r>
        <w:rPr>
          <w:rFonts w:ascii="Book Antiqua" w:eastAsia="Book Antiqua" w:hAnsi="Book Antiqua" w:cs="Book Antiqua"/>
          <w:i/>
          <w:iCs/>
          <w:color w:val="000000"/>
        </w:rPr>
        <w:t>vs</w:t>
      </w:r>
      <w:r>
        <w:rPr>
          <w:rFonts w:ascii="Book Antiqua" w:eastAsia="Book Antiqua" w:hAnsi="Book Antiqua" w:cs="Book Antiqua"/>
          <w:color w:val="000000"/>
        </w:rPr>
        <w:t xml:space="preserve"> 32%). However, there was similar numbers of serious adverse events in each group (24% in the atezolizumab arm </w:t>
      </w:r>
      <w:r>
        <w:rPr>
          <w:rFonts w:ascii="Book Antiqua" w:eastAsia="Book Antiqua" w:hAnsi="Book Antiqua" w:cs="Book Antiqua"/>
          <w:i/>
          <w:iCs/>
          <w:color w:val="000000"/>
        </w:rPr>
        <w:t>vs</w:t>
      </w:r>
      <w:r>
        <w:rPr>
          <w:rFonts w:ascii="Book Antiqua" w:eastAsia="Book Antiqua" w:hAnsi="Book Antiqua" w:cs="Book Antiqua"/>
          <w:color w:val="000000"/>
        </w:rPr>
        <w:t xml:space="preserve"> 19% in the placebo arm).</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Phase I</w:t>
      </w:r>
      <w:r>
        <w:rPr>
          <w:rFonts w:ascii="Book Antiqua" w:eastAsia="Book Antiqua" w:hAnsi="Book Antiqua" w:cs="Book Antiqua"/>
          <w:b/>
          <w:bCs/>
          <w:i/>
          <w:iCs/>
          <w:color w:val="000000"/>
        </w:rPr>
        <w:t>II IMpassion 131</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rPr>
        <w:t>The IMpassion-131 study investigated if nab-paclitaxel could be replaced with paclitaxel in combination with atezolizumab in the first-line setting of advanced TNBC. Inclusion criteria were identical to the IMpassion130 trial, but the prim</w:t>
      </w:r>
      <w:r>
        <w:rPr>
          <w:rFonts w:ascii="Book Antiqua" w:eastAsia="Book Antiqua" w:hAnsi="Book Antiqua" w:cs="Book Antiqua"/>
          <w:color w:val="000000"/>
        </w:rPr>
        <w:t xml:space="preserve">ary endpoint pertained to investigator-assessed PFS/OS tested first in the PD-L1 positive population. Patients were randomised in a 2:1 ratio to atezolizumab/paclitaxel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placebo/paclitaxel (</w:t>
      </w:r>
      <w:r>
        <w:rPr>
          <w:rFonts w:ascii="Book Antiqua" w:eastAsia="Book Antiqua" w:hAnsi="Book Antiqua" w:cs="Book Antiqua"/>
          <w:i/>
          <w:iCs/>
          <w:color w:val="000000"/>
        </w:rPr>
        <w:t>n</w:t>
      </w:r>
      <w:r>
        <w:rPr>
          <w:rFonts w:ascii="Book Antiqua" w:eastAsia="Book Antiqua" w:hAnsi="Book Antiqua" w:cs="Book Antiqua"/>
          <w:color w:val="000000"/>
        </w:rPr>
        <w:t xml:space="preserve"> = 651). In the PD-L1 positive population, there was no signifi</w:t>
      </w:r>
      <w:r>
        <w:rPr>
          <w:rFonts w:ascii="Book Antiqua" w:eastAsia="Book Antiqua" w:hAnsi="Book Antiqua" w:cs="Book Antiqua"/>
          <w:color w:val="000000"/>
        </w:rPr>
        <w:t xml:space="preserve">cant improvement in the atezolizumab arm with a PFS of 6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compared to 5.7 in the placebo arm (HR 0.82, 95%CI: 0.6-1.12). There were also no significant differences in PFS in the overall population (5.7 mo</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5.6 mo). In an interim OS analysis, there was </w:t>
      </w:r>
      <w:r>
        <w:rPr>
          <w:rFonts w:ascii="Book Antiqua" w:eastAsia="Book Antiqua" w:hAnsi="Book Antiqua" w:cs="Book Antiqua"/>
          <w:color w:val="000000"/>
        </w:rPr>
        <w:t xml:space="preserve">no significant differences in OS in the PD-L1 population (28.3 mo with placebo </w:t>
      </w:r>
      <w:r>
        <w:rPr>
          <w:rFonts w:ascii="Book Antiqua" w:eastAsia="Book Antiqua" w:hAnsi="Book Antiqua" w:cs="Book Antiqua"/>
          <w:i/>
          <w:iCs/>
          <w:color w:val="000000"/>
        </w:rPr>
        <w:t>vs</w:t>
      </w:r>
      <w:r>
        <w:rPr>
          <w:rFonts w:ascii="Book Antiqua" w:eastAsia="Book Antiqua" w:hAnsi="Book Antiqua" w:cs="Book Antiqua"/>
          <w:color w:val="000000"/>
        </w:rPr>
        <w:t xml:space="preserve"> 22.1 mo with atezolizumab, HR 1.12, 95%CI: 0.76-1.65) or the ITT population (22.8 mo </w:t>
      </w:r>
      <w:r>
        <w:rPr>
          <w:rFonts w:ascii="Book Antiqua" w:eastAsia="Book Antiqua" w:hAnsi="Book Antiqua" w:cs="Book Antiqua"/>
          <w:i/>
          <w:iCs/>
          <w:color w:val="000000"/>
        </w:rPr>
        <w:t>vs</w:t>
      </w:r>
      <w:r>
        <w:rPr>
          <w:rFonts w:ascii="Book Antiqua" w:eastAsia="Book Antiqua" w:hAnsi="Book Antiqua" w:cs="Book Antiqua"/>
          <w:color w:val="000000"/>
        </w:rPr>
        <w:t xml:space="preserve"> 19.2 mo, HR 1.11, 95%CI: 0.87-1.42). The trend towards an improvement in OS was somewh</w:t>
      </w:r>
      <w:r>
        <w:rPr>
          <w:rFonts w:ascii="Book Antiqua" w:eastAsia="Book Antiqua" w:hAnsi="Book Antiqua" w:cs="Book Antiqua"/>
          <w:color w:val="000000"/>
        </w:rPr>
        <w:t>at of a concern for investigators and the medical oncology community. Further analysis demonstrated that patients in both arm had an equivalent exposure to paclitaxel. The reasons for this trend however remain unclear. Speculation includes the potential im</w:t>
      </w:r>
      <w:r>
        <w:rPr>
          <w:rFonts w:ascii="Book Antiqua" w:eastAsia="Book Antiqua" w:hAnsi="Book Antiqua" w:cs="Book Antiqua"/>
          <w:color w:val="000000"/>
        </w:rPr>
        <w:t>mune mitigating effects of dexamethasone usage for paclitaxel treatment. This trial resulted in an FDA alert warning against the use of paclitaxel in combination with atezolizumab in TNBC. No new safety signals emerged.</w:t>
      </w:r>
    </w:p>
    <w:p w:rsidR="00DD33E9" w:rsidRDefault="00C061FA">
      <w:pPr>
        <w:spacing w:line="360" w:lineRule="auto"/>
        <w:ind w:left="-1" w:firstLineChars="200" w:firstLine="480"/>
        <w:jc w:val="both"/>
        <w:rPr>
          <w:rFonts w:ascii="Book Antiqua" w:hAnsi="Book Antiqua"/>
        </w:rPr>
      </w:pPr>
      <w:r>
        <w:rPr>
          <w:rFonts w:ascii="Book Antiqua" w:eastAsia="Book Antiqua" w:hAnsi="Book Antiqua" w:cs="Book Antiqua"/>
          <w:color w:val="000000"/>
        </w:rPr>
        <w:t>Pembrolizumab and eribulin were stud</w:t>
      </w:r>
      <w:r>
        <w:rPr>
          <w:rFonts w:ascii="Book Antiqua" w:eastAsia="Book Antiqua" w:hAnsi="Book Antiqua" w:cs="Book Antiqua"/>
          <w:color w:val="000000"/>
        </w:rPr>
        <w:t xml:space="preserve">ied in a phase 1b study which enrolled 81 patients who had 0-2 Lines of previous treatment with advanced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Overall response rate was disappointing-25.6%. Median PFS was again disappointing at 4.1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Another phase 1b study investigated (Table 3) th</w:t>
      </w:r>
      <w:r>
        <w:rPr>
          <w:rFonts w:ascii="Book Antiqua" w:eastAsia="Book Antiqua" w:hAnsi="Book Antiqua" w:cs="Book Antiqua"/>
          <w:color w:val="000000"/>
        </w:rPr>
        <w:t>e combination of pembro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lizumab/capecitabine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pembrolizumab/paclitaxel in the first-line setting in TNBC (</w:t>
      </w:r>
      <w:r>
        <w:rPr>
          <w:rFonts w:ascii="Book Antiqua" w:eastAsia="Book Antiqua" w:hAnsi="Book Antiqua" w:cs="Book Antiqua"/>
          <w:i/>
          <w:iCs/>
          <w:color w:val="000000"/>
        </w:rPr>
        <w:t>n</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28). Response rates were higher in the capecitabine cohort (ORR = 43%) compared to the paclitaxel cohort (ORR = 25%). Overall response rates wer</w:t>
      </w:r>
      <w:r>
        <w:rPr>
          <w:rFonts w:ascii="Book Antiqua" w:eastAsia="Book Antiqua" w:hAnsi="Book Antiqua" w:cs="Book Antiqua"/>
          <w:color w:val="000000"/>
        </w:rPr>
        <w:t xml:space="preserve">e higher in those treated greater than &gt; 12 mo from primary treatment (ORR 45% </w:t>
      </w:r>
      <w:r>
        <w:rPr>
          <w:rFonts w:ascii="Book Antiqua" w:eastAsia="Book Antiqua" w:hAnsi="Book Antiqua" w:cs="Book Antiqua"/>
          <w:i/>
          <w:iCs/>
          <w:color w:val="000000"/>
        </w:rPr>
        <w:t>vs</w:t>
      </w:r>
      <w:r>
        <w:rPr>
          <w:rFonts w:ascii="Book Antiqua" w:eastAsia="Book Antiqua" w:hAnsi="Book Antiqua" w:cs="Book Antiqua"/>
          <w:color w:val="000000"/>
        </w:rPr>
        <w:t xml:space="preserve"> 27%).</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Phase III KEYNOTE 355 trial</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rPr>
        <w:t>The much anticipated KEYNOTE-355 trial was presented at the inaugural virtual ASCO in June 2020. This trial investigated pembrolizumab/chem</w:t>
      </w:r>
      <w:r>
        <w:rPr>
          <w:rFonts w:ascii="Book Antiqua" w:eastAsia="Book Antiqua" w:hAnsi="Book Antiqua" w:cs="Book Antiqua"/>
          <w:color w:val="000000"/>
        </w:rPr>
        <w:t xml:space="preserve">o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 (taxane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gemcitabine/carboplatin) in patients with treatment-naïve, metastatic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Patients were excluded if they had active brain metastases or recurrence of disease &lt;</w:t>
      </w:r>
      <w:r>
        <w:rPr>
          <w:rFonts w:ascii="Book Antiqua" w:eastAsia="Book Antiqua" w:hAnsi="Book Antiqua" w:cs="Book Antiqua"/>
          <w:color w:val="000000"/>
        </w:rPr>
        <w:t xml:space="preserve"> 6 mo prior to disease recurrence. PD-L1 was assessed with the IHC 22C3 pharmDx CPS assay in a central laboratory. The primary outcome measure was pre-defined as OS and PFS in the PD-L1 positive population (CPS &gt; 1/CPS &gt; 10) and the ITT population. In this</w:t>
      </w:r>
      <w:r>
        <w:rPr>
          <w:rFonts w:ascii="Book Antiqua" w:eastAsia="Book Antiqua" w:hAnsi="Book Antiqua" w:cs="Book Antiqua"/>
          <w:color w:val="000000"/>
        </w:rPr>
        <w:t xml:space="preserve"> trial, a hierarchial statistical testing method involved statistical testing of OS and PFS in the CPS &gt; 10 group initially, followed by CPS &gt; 1 and then the ITT population. The trial included 566 patients in the chemotherapy/IO arm </w:t>
      </w:r>
      <w:r>
        <w:rPr>
          <w:rFonts w:ascii="Book Antiqua" w:eastAsia="Book Antiqua" w:hAnsi="Book Antiqua" w:cs="Book Antiqua"/>
          <w:i/>
          <w:iCs/>
          <w:color w:val="000000"/>
        </w:rPr>
        <w:t>vs</w:t>
      </w:r>
      <w:r>
        <w:rPr>
          <w:rFonts w:ascii="Book Antiqua" w:eastAsia="Book Antiqua" w:hAnsi="Book Antiqua" w:cs="Book Antiqua"/>
          <w:color w:val="000000"/>
        </w:rPr>
        <w:t xml:space="preserve"> 281 in the chemother</w:t>
      </w:r>
      <w:r>
        <w:rPr>
          <w:rFonts w:ascii="Book Antiqua" w:eastAsia="Book Antiqua" w:hAnsi="Book Antiqua" w:cs="Book Antiqua"/>
          <w:color w:val="000000"/>
        </w:rPr>
        <w:t xml:space="preserve">apy arm. In patients with a CPS score of 10 or greater, the median PFS favoured pembrolizumab with a PFS of 9.6 mo </w:t>
      </w:r>
      <w:r>
        <w:rPr>
          <w:rFonts w:ascii="Book Antiqua" w:eastAsia="Book Antiqua" w:hAnsi="Book Antiqua" w:cs="Book Antiqua"/>
          <w:i/>
          <w:iCs/>
          <w:color w:val="000000"/>
        </w:rPr>
        <w:t>vs</w:t>
      </w:r>
      <w:r>
        <w:rPr>
          <w:rFonts w:ascii="Book Antiqua" w:eastAsia="Book Antiqua" w:hAnsi="Book Antiqua" w:cs="Book Antiqua"/>
          <w:color w:val="000000"/>
        </w:rPr>
        <w:t xml:space="preserve"> 5.6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0.0012, HR = 0.65). In patients with a CPS score of 1 or greater, the median PFS favoured the pembrolizumab arm with a PFS of </w:t>
      </w:r>
      <w:r>
        <w:rPr>
          <w:rFonts w:ascii="Book Antiqua" w:eastAsia="Book Antiqua" w:hAnsi="Book Antiqua" w:cs="Book Antiqua"/>
          <w:color w:val="000000"/>
        </w:rPr>
        <w:t xml:space="preserve">7.6 mo </w:t>
      </w:r>
      <w:r>
        <w:rPr>
          <w:rFonts w:ascii="Book Antiqua" w:eastAsia="Book Antiqua" w:hAnsi="Book Antiqua" w:cs="Book Antiqua"/>
          <w:i/>
          <w:iCs/>
          <w:color w:val="000000"/>
        </w:rPr>
        <w:t>vs</w:t>
      </w:r>
      <w:r>
        <w:rPr>
          <w:rFonts w:ascii="Book Antiqua" w:eastAsia="Book Antiqua" w:hAnsi="Book Antiqua" w:cs="Book Antiqua"/>
          <w:color w:val="000000"/>
        </w:rPr>
        <w:t xml:space="preserve"> 5.6 mo (</w:t>
      </w:r>
      <w:r>
        <w:rPr>
          <w:rFonts w:ascii="Book Antiqua" w:eastAsia="Book Antiqua" w:hAnsi="Book Antiqua" w:cs="Book Antiqua"/>
          <w:i/>
          <w:iCs/>
          <w:color w:val="000000"/>
        </w:rPr>
        <w:t>P</w:t>
      </w:r>
      <w:r>
        <w:rPr>
          <w:rFonts w:ascii="Book Antiqua" w:eastAsia="Book Antiqua" w:hAnsi="Book Antiqua" w:cs="Book Antiqua"/>
          <w:color w:val="000000"/>
        </w:rPr>
        <w:t xml:space="preserve"> = 0.0014, HR = 0.74). This was not statistically significant. This was similar to the ITT population where the PFS was 7.5 mo in the pembrolizumab arm and 5.6 mo in the placebo arm (HR = 0.82). OS data is awaited. This progression free </w:t>
      </w:r>
      <w:r>
        <w:rPr>
          <w:rFonts w:ascii="Book Antiqua" w:eastAsia="Book Antiqua" w:hAnsi="Book Antiqua" w:cs="Book Antiqua"/>
          <w:color w:val="000000"/>
        </w:rPr>
        <w:t>survival improvement led to accelerated FDA approval for pembrolizumab in combination with chemotherapy in the first-line setting in November of 2020.</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PD-L1 assays</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rPr>
        <w:t>A major challenge in IO trials is defining appropriate biomarkers to aid patient selection.</w:t>
      </w:r>
      <w:r>
        <w:rPr>
          <w:rFonts w:ascii="Book Antiqua" w:eastAsia="Book Antiqua" w:hAnsi="Book Antiqua" w:cs="Book Antiqua"/>
          <w:color w:val="000000"/>
        </w:rPr>
        <w:t xml:space="preserve"> However even within PD-L1, not all assays are </w:t>
      </w:r>
      <w:proofErr w:type="gramStart"/>
      <w:r>
        <w:rPr>
          <w:rFonts w:ascii="Book Antiqua" w:eastAsia="Book Antiqua" w:hAnsi="Book Antiqua" w:cs="Book Antiqua"/>
          <w:color w:val="000000"/>
        </w:rPr>
        <w:t>equal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The CPS utilises staining of both tumour and immune cells to reach a combined score which is thought to be enhance clinical utility of PD-</w:t>
      </w:r>
      <w:proofErr w:type="gramStart"/>
      <w:r>
        <w:rPr>
          <w:rFonts w:ascii="Book Antiqua" w:eastAsia="Book Antiqua" w:hAnsi="Book Antiqua" w:cs="Book Antiqua"/>
          <w:color w:val="000000"/>
        </w:rPr>
        <w:t>L1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Rugo</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performed a post-hoc analysis of the </w:t>
      </w:r>
      <w:r>
        <w:rPr>
          <w:rFonts w:ascii="Book Antiqua" w:eastAsia="Book Antiqua" w:hAnsi="Book Antiqua" w:cs="Book Antiqua"/>
          <w:color w:val="000000"/>
        </w:rPr>
        <w:lastRenderedPageBreak/>
        <w:t>IMpassion130 study investigating three PD-L1 assays; SP142, VENTANA SP263 IHC assay (IC ≥ 1%) and Dako 22C3</w:t>
      </w:r>
      <w:r>
        <w:rPr>
          <w:rFonts w:ascii="Book Antiqua" w:eastAsia="Book Antiqua" w:hAnsi="Book Antiqua" w:cs="Book Antiqua"/>
          <w:color w:val="000000"/>
          <w:vertAlign w:val="superscript"/>
        </w:rPr>
        <w:t>A</w:t>
      </w:r>
      <w:r>
        <w:rPr>
          <w:rFonts w:ascii="Book Antiqua" w:eastAsia="Book Antiqua" w:hAnsi="Book Antiqua" w:cs="Book Antiqua"/>
          <w:color w:val="000000"/>
        </w:rPr>
        <w:t xml:space="preserve"> assay (CPS ≥ 1, 22C3+)</w:t>
      </w:r>
      <w:r>
        <w:rPr>
          <w:rFonts w:ascii="Book Antiqua" w:eastAsia="Book Antiqua" w:hAnsi="Book Antiqua" w:cs="Book Antiqua"/>
          <w:color w:val="000000"/>
          <w:vertAlign w:val="superscript"/>
        </w:rPr>
        <w:t>[59]</w:t>
      </w:r>
      <w:r>
        <w:rPr>
          <w:rFonts w:ascii="Book Antiqua" w:eastAsia="Book Antiqua" w:hAnsi="Book Antiqua" w:cs="Book Antiqua"/>
          <w:color w:val="000000"/>
        </w:rPr>
        <w:t>. They found that the clinical benefit seen in patients with positive PD-L1 scores using the Dako 22C3</w:t>
      </w:r>
      <w:r>
        <w:rPr>
          <w:rFonts w:ascii="Book Antiqua" w:eastAsia="Book Antiqua" w:hAnsi="Book Antiqua" w:cs="Book Antiqua"/>
          <w:color w:val="000000"/>
          <w:vertAlign w:val="superscript"/>
        </w:rPr>
        <w:t>A</w:t>
      </w:r>
      <w:r>
        <w:rPr>
          <w:rFonts w:ascii="Book Antiqua" w:eastAsia="Book Antiqua" w:hAnsi="Book Antiqua" w:cs="Book Antiqua"/>
          <w:color w:val="000000"/>
        </w:rPr>
        <w:t xml:space="preserve"> and SP263 subgrou</w:t>
      </w:r>
      <w:r>
        <w:rPr>
          <w:rFonts w:ascii="Book Antiqua" w:eastAsia="Book Antiqua" w:hAnsi="Book Antiqua" w:cs="Book Antiqua"/>
          <w:color w:val="000000"/>
        </w:rPr>
        <w:t>ps was driven by the SP142 PD-L1 subgroup. This study demonstrates that greater collaboration is needed to harmonise the assays utilised for PD-L1 scoring in clinical trials and clinical practice. The FDA appropriately has linked licensing approval of regi</w:t>
      </w:r>
      <w:r>
        <w:rPr>
          <w:rFonts w:ascii="Book Antiqua" w:eastAsia="Book Antiqua" w:hAnsi="Book Antiqua" w:cs="Book Antiqua"/>
          <w:color w:val="000000"/>
        </w:rPr>
        <w:t>mens with biomarker assays but this practice has not yet occurred in Europe.</w:t>
      </w:r>
    </w:p>
    <w:p w:rsidR="00DD33E9" w:rsidRDefault="00C061F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KEYNOTE-522, patients were randomised to receive chemotherapy +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 </w:t>
      </w:r>
      <w:proofErr w:type="gramStart"/>
      <w:r>
        <w:rPr>
          <w:rFonts w:ascii="Book Antiqua" w:eastAsia="Book Antiqua" w:hAnsi="Book Antiqua" w:cs="Book Antiqua"/>
          <w:color w:val="000000"/>
        </w:rPr>
        <w:t>placebo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Patients with PD-L1 positive and negative TNBC had an improvement i</w:t>
      </w:r>
      <w:r>
        <w:rPr>
          <w:rFonts w:ascii="Book Antiqua" w:eastAsia="Book Antiqua" w:hAnsi="Book Antiqua" w:cs="Book Antiqua"/>
          <w:color w:val="000000"/>
        </w:rPr>
        <w:t>n pathological complete response (pCR) with the addition of pembrolizumab. This is in contrast to the metastatic setting (in IMpassion130 and KEYNOTE-355)</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patients with high PD-L1 expression derived the benefit from the addition of IO. This would indicate</w:t>
      </w:r>
      <w:r>
        <w:rPr>
          <w:rFonts w:ascii="Book Antiqua" w:eastAsia="Book Antiqua" w:hAnsi="Book Antiqua" w:cs="Book Antiqua"/>
          <w:color w:val="000000"/>
        </w:rPr>
        <w:t xml:space="preserve"> that in the metastatic setting PD-L1 expression is required for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56,58]</w:t>
      </w:r>
      <w:r>
        <w:rPr>
          <w:rFonts w:ascii="Book Antiqua" w:eastAsia="Book Antiqua" w:hAnsi="Book Antiqua" w:cs="Book Antiqua"/>
          <w:color w:val="000000"/>
        </w:rPr>
        <w:t>.</w:t>
      </w:r>
    </w:p>
    <w:p w:rsidR="00DD33E9" w:rsidRDefault="00DD33E9">
      <w:pPr>
        <w:spacing w:line="360" w:lineRule="auto"/>
        <w:ind w:firstLineChars="200" w:firstLine="480"/>
        <w:jc w:val="both"/>
        <w:rPr>
          <w:rFonts w:ascii="Book Antiqua" w:hAnsi="Book Antiqua"/>
        </w:rPr>
      </w:pPr>
    </w:p>
    <w:p w:rsidR="00DD33E9" w:rsidRDefault="00C061FA">
      <w:pPr>
        <w:spacing w:line="360" w:lineRule="auto"/>
        <w:jc w:val="both"/>
        <w:rPr>
          <w:rFonts w:ascii="Book Antiqua" w:hAnsi="Book Antiqua"/>
          <w:i/>
          <w:iCs/>
        </w:rPr>
      </w:pPr>
      <w:r>
        <w:rPr>
          <w:rFonts w:ascii="Book Antiqua" w:eastAsia="Book Antiqua" w:hAnsi="Book Antiqua" w:cs="Book Antiqua"/>
          <w:b/>
          <w:bCs/>
          <w:i/>
          <w:iCs/>
          <w:color w:val="000000"/>
        </w:rPr>
        <w:t xml:space="preserve">Adoptive immunotherapy approaches </w:t>
      </w:r>
    </w:p>
    <w:p w:rsidR="00DD33E9" w:rsidRDefault="00C061FA">
      <w:pPr>
        <w:spacing w:line="360" w:lineRule="auto"/>
        <w:jc w:val="both"/>
        <w:rPr>
          <w:rFonts w:ascii="Book Antiqua" w:hAnsi="Book Antiqua"/>
        </w:rPr>
      </w:pPr>
      <w:r>
        <w:rPr>
          <w:rFonts w:ascii="Book Antiqua" w:eastAsia="Book Antiqua" w:hAnsi="Book Antiqua" w:cs="Book Antiqua"/>
          <w:color w:val="000000"/>
        </w:rPr>
        <w:t>Much of our focus in clinical practice involves utilising checkpoint inhibitors to enhance our immune response to malignancies. Adoptive i</w:t>
      </w:r>
      <w:r>
        <w:rPr>
          <w:rFonts w:ascii="Book Antiqua" w:eastAsia="Book Antiqua" w:hAnsi="Book Antiqua" w:cs="Book Antiqua"/>
          <w:color w:val="000000"/>
        </w:rPr>
        <w:t xml:space="preserve">mmunotherapy involves infusing or adopting T cells or other immune cells in order to enhance the host </w:t>
      </w:r>
      <w:r>
        <w:rPr>
          <w:rFonts w:ascii="Book Antiqua" w:eastAsia="Book Antiqua" w:hAnsi="Book Antiqua" w:cs="Book Antiqua"/>
          <w:i/>
          <w:iCs/>
          <w:color w:val="000000"/>
        </w:rPr>
        <w:t>vs</w:t>
      </w:r>
      <w:r>
        <w:rPr>
          <w:rFonts w:ascii="Book Antiqua" w:eastAsia="Book Antiqua" w:hAnsi="Book Antiqua" w:cs="Book Antiqua"/>
          <w:color w:val="000000"/>
        </w:rPr>
        <w:t xml:space="preserve"> malignancy response. Such approaches have been demonstrated to be effective in specific clinical circumstances. For example, tumor infiltrating lymphoc</w:t>
      </w:r>
      <w:r>
        <w:rPr>
          <w:rFonts w:ascii="Book Antiqua" w:eastAsia="Book Antiqua" w:hAnsi="Book Antiqua" w:cs="Book Antiqua"/>
          <w:color w:val="000000"/>
        </w:rPr>
        <w:t>ytes have been used in melanoma and chimeric antigen receptor T cell therapies have demonstrated efficacy in leukaemia. There has been limited application of these treatments to TNBC thus far. Studies are limited to small numbers (&lt; 10) of patients with li</w:t>
      </w:r>
      <w:r>
        <w:rPr>
          <w:rFonts w:ascii="Book Antiqua" w:eastAsia="Book Antiqua" w:hAnsi="Book Antiqua" w:cs="Book Antiqua"/>
          <w:color w:val="000000"/>
        </w:rPr>
        <w:t xml:space="preserve">mited evidence of activity. However, these treatments do offer a compelling rationale for harnessing the power of our immune system and it is likely they will be part of the treatment paradigm in years to </w:t>
      </w:r>
      <w:proofErr w:type="gramStart"/>
      <w:r>
        <w:rPr>
          <w:rFonts w:ascii="Book Antiqua" w:eastAsia="Book Antiqua" w:hAnsi="Book Antiqua" w:cs="Book Antiqua"/>
          <w:color w:val="000000"/>
        </w:rPr>
        <w:t>come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rsidR="00DD33E9" w:rsidRDefault="00DD33E9">
      <w:pPr>
        <w:spacing w:line="360" w:lineRule="auto"/>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Take home message</w:t>
      </w:r>
    </w:p>
    <w:p w:rsidR="00DD33E9" w:rsidRDefault="00C061FA">
      <w:pPr>
        <w:spacing w:line="360" w:lineRule="auto"/>
        <w:jc w:val="both"/>
        <w:rPr>
          <w:rFonts w:ascii="Book Antiqua" w:hAnsi="Book Antiqua"/>
        </w:rPr>
      </w:pPr>
      <w:r>
        <w:rPr>
          <w:rFonts w:ascii="Book Antiqua" w:eastAsia="Book Antiqua" w:hAnsi="Book Antiqua" w:cs="Book Antiqua"/>
          <w:color w:val="000000"/>
        </w:rPr>
        <w:lastRenderedPageBreak/>
        <w:t xml:space="preserve">Targeting PD-L1 in </w:t>
      </w:r>
      <w:r>
        <w:rPr>
          <w:rFonts w:ascii="Book Antiqua" w:eastAsia="Book Antiqua" w:hAnsi="Book Antiqua" w:cs="Book Antiqua"/>
          <w:color w:val="000000"/>
        </w:rPr>
        <w:t>first-line, treatment naïve metastatic TNBC has resulted in the demonstration of clinical activity. The combination of atezolizumab and nab-paclitaxel has demonstrated an impressive 6 mo’ OS advantage in the PD-L1 positive subgroup, however due to the hier</w:t>
      </w:r>
      <w:r>
        <w:rPr>
          <w:rFonts w:ascii="Book Antiqua" w:eastAsia="Book Antiqua" w:hAnsi="Book Antiqua" w:cs="Book Antiqua"/>
          <w:color w:val="000000"/>
        </w:rPr>
        <w:t xml:space="preserve">archial testing model, formal significance testing was not conducted. The second phase III trial KEYNOTE-355 to report also demonstrated an improvement in PFS in patients with a CPS &gt; 10 but OS data is awaited. The recently presented IMpassion-131 did not </w:t>
      </w:r>
      <w:r>
        <w:rPr>
          <w:rFonts w:ascii="Book Antiqua" w:eastAsia="Book Antiqua" w:hAnsi="Book Antiqua" w:cs="Book Antiqua"/>
          <w:color w:val="000000"/>
        </w:rPr>
        <w:t>demonstrate any improvement in PFS and has led to an FDA alert cautioning against the use of this combination due to lack of efficacy and potentially increased toxicity. Further results will be needed to confirm the activity of IO in this setting.</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It is im</w:t>
      </w:r>
      <w:r>
        <w:rPr>
          <w:rFonts w:ascii="Book Antiqua" w:eastAsia="Book Antiqua" w:hAnsi="Book Antiqua" w:cs="Book Antiqua"/>
          <w:color w:val="000000"/>
        </w:rPr>
        <w:t>portant to note that all of these trials excluded patients that relapsed within either 6 or 12 mo of primary treatment. It is important that we do not extrapolate these clinical trial outcomes to our entire TNBC population.</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i/>
          <w:iCs/>
        </w:rPr>
      </w:pPr>
      <w:r>
        <w:rPr>
          <w:rFonts w:ascii="Book Antiqua" w:eastAsia="Book Antiqua" w:hAnsi="Book Antiqua" w:cs="Book Antiqua"/>
          <w:b/>
          <w:bCs/>
          <w:i/>
          <w:iCs/>
          <w:color w:val="000000"/>
        </w:rPr>
        <w:t>Targeting homologous recombinat</w:t>
      </w:r>
      <w:r>
        <w:rPr>
          <w:rFonts w:ascii="Book Antiqua" w:eastAsia="Book Antiqua" w:hAnsi="Book Antiqua" w:cs="Book Antiqua"/>
          <w:b/>
          <w:bCs/>
          <w:i/>
          <w:iCs/>
          <w:color w:val="000000"/>
        </w:rPr>
        <w:t>ion deficiency in TNBC</w:t>
      </w:r>
    </w:p>
    <w:p w:rsidR="00DD33E9" w:rsidRDefault="00C061FA">
      <w:pPr>
        <w:spacing w:line="360" w:lineRule="auto"/>
        <w:ind w:hanging="1"/>
        <w:jc w:val="both"/>
        <w:rPr>
          <w:rFonts w:ascii="Book Antiqua" w:eastAsia="Book Antiqua" w:hAnsi="Book Antiqua" w:cs="Book Antiqua"/>
          <w:color w:val="000000"/>
        </w:rPr>
      </w:pPr>
      <w:r>
        <w:rPr>
          <w:rFonts w:ascii="Book Antiqua" w:eastAsia="Book Antiqua" w:hAnsi="Book Antiqua" w:cs="Book Antiqua"/>
          <w:color w:val="000000"/>
        </w:rPr>
        <w:t>PARPi offer a biologically appealing treatment for patients with intrinsic HRD. HRD renders cells vulnerable to neoplastic transformation. However, this vulnerability to neoplastic changes also renders tumour cells vulnerable to geno</w:t>
      </w:r>
      <w:r>
        <w:rPr>
          <w:rFonts w:ascii="Book Antiqua" w:eastAsia="Book Antiqua" w:hAnsi="Book Antiqua" w:cs="Book Antiqua"/>
          <w:color w:val="000000"/>
        </w:rPr>
        <w:t xml:space="preserve">toxic cell death </w:t>
      </w:r>
      <w:r>
        <w:rPr>
          <w:rFonts w:ascii="Book Antiqua" w:eastAsia="Book Antiqua" w:hAnsi="Book Antiqua" w:cs="Book Antiqua"/>
          <w:i/>
          <w:iCs/>
          <w:color w:val="000000"/>
        </w:rPr>
        <w:t>via</w:t>
      </w:r>
      <w:r>
        <w:rPr>
          <w:rFonts w:ascii="Book Antiqua" w:eastAsia="Book Antiqua" w:hAnsi="Book Antiqua" w:cs="Book Antiqua"/>
          <w:color w:val="000000"/>
        </w:rPr>
        <w:t xml:space="preserve"> PARP inhibition as cells are reliant on base excision repair by PARP so it represents an ‘Achilles Heel’. By inhibiting two pathways of DNA repair, the tumour cells have impaired DNA replication. The combination of PARP inhibition and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mutations is termed synthetic lethality.</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 xml:space="preserve">Germline </w:t>
      </w:r>
      <w:r>
        <w:rPr>
          <w:rFonts w:ascii="Book Antiqua" w:eastAsia="Book Antiqua" w:hAnsi="Book Antiqua" w:cs="Book Antiqua"/>
          <w:b/>
          <w:i/>
          <w:iCs/>
          <w:caps/>
          <w:color w:val="000000"/>
          <w:u w:val="single"/>
        </w:rPr>
        <w:t>BRCA1/BRCA2</w:t>
      </w:r>
      <w:r>
        <w:rPr>
          <w:rFonts w:ascii="Book Antiqua" w:eastAsia="Book Antiqua" w:hAnsi="Book Antiqua" w:cs="Book Antiqua"/>
          <w:b/>
          <w:caps/>
          <w:color w:val="000000"/>
          <w:u w:val="single"/>
        </w:rPr>
        <w:t xml:space="preserve"> mutations</w:t>
      </w: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Early stage clinical trials</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rPr>
        <w:t xml:space="preserve">In a proof of concept study published in the Lancet, authors’ investigated olaparib in patients with advanced metastatic breast cancer (MBC) with germline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(gBRCA) mutations. They investigated two doses of olaparib at 400 mg BD and 100 mg BD. Ap</w:t>
      </w:r>
      <w:r>
        <w:rPr>
          <w:rFonts w:ascii="Book Antiqua" w:eastAsia="Book Antiqua" w:hAnsi="Book Antiqua" w:cs="Book Antiqua"/>
          <w:color w:val="000000"/>
        </w:rPr>
        <w:t xml:space="preserve">proximately half of patients in this study (26 of 51 patients) had TNBC with the </w:t>
      </w:r>
      <w:r>
        <w:rPr>
          <w:rFonts w:ascii="Book Antiqua" w:eastAsia="Book Antiqua" w:hAnsi="Book Antiqua" w:cs="Book Antiqua"/>
          <w:color w:val="000000"/>
        </w:rPr>
        <w:lastRenderedPageBreak/>
        <w:t>remainder having other histological subtypes. Patients were heavily pretreated with a median of 3 prior chemotherapy regimens and platinum sensitivity was not needed for trial</w:t>
      </w:r>
      <w:r>
        <w:rPr>
          <w:rFonts w:ascii="Book Antiqua" w:eastAsia="Book Antiqua" w:hAnsi="Book Antiqua" w:cs="Book Antiqua"/>
          <w:color w:val="000000"/>
        </w:rPr>
        <w:t xml:space="preserve"> enrolment. Overall response rates were impressive in this heavily pre-treated population at 41% in the group receiving the higher dose and 22% in the group receiving the lower </w:t>
      </w:r>
      <w:proofErr w:type="gramStart"/>
      <w:r>
        <w:rPr>
          <w:rFonts w:ascii="Book Antiqua" w:eastAsia="Book Antiqua" w:hAnsi="Book Antiqua" w:cs="Book Antiqua"/>
          <w:color w:val="000000"/>
        </w:rPr>
        <w:t>dose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Kaufman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i/>
          <w:iCs/>
          <w:color w:val="000000"/>
        </w:rPr>
        <w:t xml:space="preserve"> </w:t>
      </w:r>
      <w:r>
        <w:rPr>
          <w:rFonts w:ascii="Book Antiqua" w:eastAsia="Book Antiqua" w:hAnsi="Book Antiqua" w:cs="Book Antiqua"/>
          <w:color w:val="000000"/>
        </w:rPr>
        <w:t>investigated olaparib further in a large phase 2 ba</w:t>
      </w:r>
      <w:r>
        <w:rPr>
          <w:rFonts w:ascii="Book Antiqua" w:eastAsia="Book Antiqua" w:hAnsi="Book Antiqua" w:cs="Book Antiqua"/>
          <w:color w:val="000000"/>
        </w:rPr>
        <w:t>sket trial with 298 patients in a single-arm study</w:t>
      </w:r>
      <w:r>
        <w:rPr>
          <w:rFonts w:ascii="Book Antiqua" w:eastAsia="Book Antiqua" w:hAnsi="Book Antiqua" w:cs="Book Antiqua"/>
          <w:color w:val="000000"/>
          <w:vertAlign w:val="superscript"/>
        </w:rPr>
        <w:t>[64]</w:t>
      </w:r>
      <w:r>
        <w:rPr>
          <w:rFonts w:ascii="Book Antiqua" w:eastAsia="Book Antiqua" w:hAnsi="Book Antiqua" w:cs="Book Antiqua"/>
          <w:color w:val="000000"/>
        </w:rPr>
        <w:t>. Patients with any advanced solid-organ malignancy were included if they harboured a gBRCA mutation. In the breast cohort, patients may have received multiple lines of treatment and there was no requir</w:t>
      </w:r>
      <w:r>
        <w:rPr>
          <w:rFonts w:ascii="Book Antiqua" w:eastAsia="Book Antiqua" w:hAnsi="Book Antiqua" w:cs="Book Antiqua"/>
          <w:color w:val="000000"/>
        </w:rPr>
        <w:t>ement for platinum sensitivity. Response rates were modest with only 8 of 62 (12.9%) patients responding in this unselected population.</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In the ABRAZO trial, investigators studied talazoparib in patients with MBC with g BRCA mutations in two cohorts (</w:t>
      </w:r>
      <w:r>
        <w:rPr>
          <w:rFonts w:ascii="Book Antiqua" w:eastAsia="Book Antiqua" w:hAnsi="Book Antiqua" w:cs="Book Antiqua"/>
          <w:i/>
          <w:iCs/>
          <w:color w:val="000000"/>
        </w:rPr>
        <w:t>n</w:t>
      </w:r>
      <w:r>
        <w:rPr>
          <w:rFonts w:ascii="Book Antiqua" w:eastAsia="Book Antiqua" w:hAnsi="Book Antiqua" w:cs="Book Antiqua"/>
          <w:color w:val="000000"/>
        </w:rPr>
        <w:t xml:space="preserve"> = 84</w:t>
      </w:r>
      <w:r>
        <w:rPr>
          <w:rFonts w:ascii="Book Antiqua" w:eastAsia="Book Antiqua" w:hAnsi="Book Antiqua" w:cs="Book Antiqua"/>
          <w:color w:val="000000"/>
        </w:rPr>
        <w:t>). In cohort 1, patients had responded to platinum based chemotherapy. In cohort 2, they had progressed through multiple lines of non-platinum based regimens and had gBRCA mutations. In cohort 1, 60% of patients had TNBC. Response rates in TNBC were modest</w:t>
      </w:r>
      <w:r>
        <w:rPr>
          <w:rFonts w:ascii="Book Antiqua" w:eastAsia="Book Antiqua" w:hAnsi="Book Antiqua" w:cs="Book Antiqua"/>
          <w:color w:val="000000"/>
        </w:rPr>
        <w:t xml:space="preserve"> at 26% (including both cohorts). There was a subset of patients with durable responses with 11% having prolonged response at the time of data </w:t>
      </w:r>
      <w:proofErr w:type="gramStart"/>
      <w:r>
        <w:rPr>
          <w:rFonts w:ascii="Book Antiqua" w:eastAsia="Book Antiqua" w:hAnsi="Book Antiqua" w:cs="Book Antiqua"/>
          <w:color w:val="000000"/>
        </w:rPr>
        <w:t>cutoff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t>In the phase II BROCADE trial, investigators studied the addition of veliparib in a randomised (1:1:1</w:t>
      </w:r>
      <w:r>
        <w:rPr>
          <w:rFonts w:ascii="Book Antiqua" w:eastAsia="Book Antiqua" w:hAnsi="Book Antiqua" w:cs="Book Antiqua"/>
          <w:color w:val="000000"/>
        </w:rPr>
        <w:t>) trial with three arms with intermittent Veliparib/Carbopla</w:t>
      </w:r>
      <w:r>
        <w:rPr>
          <w:rFonts w:ascii="Book Antiqua" w:eastAsia="宋体" w:hAnsi="Book Antiqua" w:cs="Book Antiqua" w:hint="eastAsia"/>
          <w:color w:val="000000"/>
          <w:lang w:eastAsia="zh-CN"/>
        </w:rPr>
        <w:t>-</w:t>
      </w:r>
      <w:r>
        <w:rPr>
          <w:rFonts w:ascii="Book Antiqua" w:eastAsia="Book Antiqua" w:hAnsi="Book Antiqua" w:cs="Book Antiqua"/>
          <w:color w:val="000000"/>
        </w:rPr>
        <w:t>tin/Paclitaxel (VCP), Placebo/Carboplatin/Paclitaxel or Veliparib/</w:t>
      </w:r>
      <w:proofErr w:type="gramStart"/>
      <w:r>
        <w:rPr>
          <w:rFonts w:ascii="Book Antiqua" w:eastAsia="Book Antiqua" w:hAnsi="Book Antiqua" w:cs="Book Antiqua"/>
          <w:color w:val="000000"/>
        </w:rPr>
        <w:t>Temozolomide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Investigators identified a non-significant PFS benefit of 1.8 mo with the addition of veliparib to carboplatin/</w:t>
      </w:r>
      <w:r>
        <w:rPr>
          <w:rFonts w:ascii="Book Antiqua" w:eastAsia="Book Antiqua" w:hAnsi="Book Antiqua" w:cs="Book Antiqua"/>
          <w:color w:val="000000"/>
        </w:rPr>
        <w:t xml:space="preserve">paclitaxel (14.1 mo </w:t>
      </w:r>
      <w:r>
        <w:rPr>
          <w:rFonts w:ascii="Book Antiqua" w:eastAsia="Book Antiqua" w:hAnsi="Book Antiqua" w:cs="Book Antiqua"/>
          <w:i/>
          <w:iCs/>
          <w:color w:val="000000"/>
        </w:rPr>
        <w:t>vs</w:t>
      </w:r>
      <w:r>
        <w:rPr>
          <w:rFonts w:ascii="Book Antiqua" w:eastAsia="Book Antiqua" w:hAnsi="Book Antiqua" w:cs="Book Antiqua"/>
          <w:color w:val="000000"/>
        </w:rPr>
        <w:t xml:space="preserve"> 12.3 mo, HR = 0.79, </w:t>
      </w:r>
      <w:r>
        <w:rPr>
          <w:rFonts w:ascii="Book Antiqua" w:eastAsia="Book Antiqua" w:hAnsi="Book Antiqua" w:cs="Book Antiqua"/>
          <w:i/>
          <w:iCs/>
          <w:color w:val="000000"/>
        </w:rPr>
        <w:t>P</w:t>
      </w:r>
      <w:r>
        <w:rPr>
          <w:rFonts w:ascii="Book Antiqua" w:eastAsia="Book Antiqua" w:hAnsi="Book Antiqua" w:cs="Book Antiqua"/>
          <w:color w:val="000000"/>
        </w:rPr>
        <w:t xml:space="preserve"> = 0.22) There was also no significant OS difference between these arms (28.3 mo</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25.9 mo). The temozolomide/veliparib arm was significantly inferior with a median PFS of 7.4 mo and OS of 19.1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 xml:space="preserve">Phase III </w:t>
      </w:r>
      <w:r>
        <w:rPr>
          <w:rFonts w:ascii="Book Antiqua" w:eastAsia="Book Antiqua" w:hAnsi="Book Antiqua" w:cs="Book Antiqua"/>
          <w:b/>
          <w:bCs/>
          <w:i/>
          <w:iCs/>
          <w:color w:val="000000"/>
        </w:rPr>
        <w:t>OLYMPIAD trial</w:t>
      </w:r>
    </w:p>
    <w:p w:rsidR="00DD33E9" w:rsidRDefault="00C061FA">
      <w:pPr>
        <w:spacing w:line="360" w:lineRule="auto"/>
        <w:ind w:hanging="1"/>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In the phase 3 study, OLYMPIAD investigators (Table 5) studied olaparib in patients with MBC and </w:t>
      </w:r>
      <w:proofErr w:type="gramStart"/>
      <w:r>
        <w:rPr>
          <w:rFonts w:ascii="Book Antiqua" w:eastAsia="Book Antiqua" w:hAnsi="Book Antiqua" w:cs="Book Antiqua"/>
          <w:color w:val="000000"/>
        </w:rPr>
        <w:t>gBRCA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Half of patients had ER/PR-positive breast cancer with the remainder having TNBC. The cohort was heterogenous with 71.2% of patients </w:t>
      </w:r>
      <w:r>
        <w:rPr>
          <w:rFonts w:ascii="Book Antiqua" w:eastAsia="Book Antiqua" w:hAnsi="Book Antiqua" w:cs="Book Antiqua"/>
          <w:color w:val="000000"/>
        </w:rPr>
        <w:t xml:space="preserve">having received any lines of treatments previously and 29.3% of patients having had prior exposure to platinum-based chemotherapy. Patients were randomised in a 2:1 manner (201:95) to receive olaparib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therapy (capecitabine/eribulin/vinorelbine)</w:t>
      </w:r>
      <w:r>
        <w:rPr>
          <w:rFonts w:ascii="Book Antiqua" w:eastAsia="Book Antiqua" w:hAnsi="Book Antiqua" w:cs="Book Antiqua"/>
          <w:color w:val="000000"/>
        </w:rPr>
        <w:t xml:space="preserve">. Median PFS was significantly longer in the olaparib group in contrast to the chemotherapy group (7 mo </w:t>
      </w:r>
      <w:r>
        <w:rPr>
          <w:rFonts w:ascii="Book Antiqua" w:eastAsia="Book Antiqua" w:hAnsi="Book Antiqua" w:cs="Book Antiqua"/>
          <w:i/>
          <w:iCs/>
          <w:color w:val="000000"/>
        </w:rPr>
        <w:t>vs</w:t>
      </w:r>
      <w:r>
        <w:rPr>
          <w:rFonts w:ascii="Book Antiqua" w:eastAsia="Book Antiqua" w:hAnsi="Book Antiqua" w:cs="Book Antiqua"/>
          <w:color w:val="000000"/>
        </w:rPr>
        <w:t xml:space="preserve"> 4.2 mo). In a subgroup analysis, the HR of benefit was significantly elevated in the TNBC group (0.43 </w:t>
      </w:r>
      <w:r>
        <w:rPr>
          <w:rFonts w:ascii="Book Antiqua" w:eastAsia="Book Antiqua" w:hAnsi="Book Antiqua" w:cs="Book Antiqua"/>
          <w:i/>
          <w:iCs/>
          <w:color w:val="000000"/>
        </w:rPr>
        <w:t>vs</w:t>
      </w:r>
      <w:r>
        <w:rPr>
          <w:rFonts w:ascii="Book Antiqua" w:eastAsia="Book Antiqua" w:hAnsi="Book Antiqua" w:cs="Book Antiqua"/>
          <w:color w:val="000000"/>
        </w:rPr>
        <w:t xml:space="preserve"> 0.82 in the HR positive group). The response</w:t>
      </w:r>
      <w:r>
        <w:rPr>
          <w:rFonts w:ascii="Book Antiqua" w:eastAsia="Book Antiqua" w:hAnsi="Book Antiqua" w:cs="Book Antiqua"/>
          <w:color w:val="000000"/>
        </w:rPr>
        <w:t xml:space="preserve"> rate was 59.9% in the olaparib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28.8% in the standard group. However, OS did not significantly differ between groups-19.3 mo in the olaparib group and 17.1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in the control group.</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Phase III EMBRCA trial</w:t>
      </w:r>
    </w:p>
    <w:p w:rsidR="00DD33E9" w:rsidRDefault="00C061FA">
      <w:pPr>
        <w:spacing w:line="360" w:lineRule="auto"/>
        <w:ind w:hanging="1"/>
        <w:jc w:val="both"/>
        <w:rPr>
          <w:rFonts w:ascii="Book Antiqua" w:eastAsia="Book Antiqua" w:hAnsi="Book Antiqua" w:cs="Book Antiqua"/>
          <w:color w:val="000000"/>
        </w:rPr>
      </w:pPr>
      <w:r>
        <w:rPr>
          <w:rFonts w:ascii="Book Antiqua" w:eastAsia="Book Antiqua" w:hAnsi="Book Antiqua" w:cs="Book Antiqua"/>
          <w:color w:val="000000"/>
        </w:rPr>
        <w:t>In the pivotal phase 3 study EMBRCA, autho</w:t>
      </w:r>
      <w:r>
        <w:rPr>
          <w:rFonts w:ascii="Book Antiqua" w:eastAsia="Book Antiqua" w:hAnsi="Book Antiqua" w:cs="Book Antiqua"/>
          <w:color w:val="000000"/>
        </w:rPr>
        <w:t xml:space="preserve">r’s investigated talazoparib in 431 patients with gBRCA mutations and </w:t>
      </w:r>
      <w:proofErr w:type="gramStart"/>
      <w:r>
        <w:rPr>
          <w:rFonts w:ascii="Book Antiqua" w:eastAsia="Book Antiqua" w:hAnsi="Book Antiqua" w:cs="Book Antiqua"/>
          <w:color w:val="000000"/>
        </w:rPr>
        <w:t>MBC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Approximately half of patients had TNBC with the remainder having ER/PR-positive breast cancer. Patients had a median of 2 prior lines of chemotherapy and were randomised in a 2</w:t>
      </w:r>
      <w:r>
        <w:rPr>
          <w:rFonts w:ascii="Book Antiqua" w:eastAsia="Book Antiqua" w:hAnsi="Book Antiqua" w:cs="Book Antiqua"/>
          <w:color w:val="000000"/>
        </w:rPr>
        <w:t xml:space="preserve">:1 manner to receive talazoparib </w:t>
      </w:r>
      <w:r>
        <w:rPr>
          <w:rFonts w:ascii="Book Antiqua" w:eastAsia="Book Antiqua" w:hAnsi="Book Antiqua" w:cs="Book Antiqua"/>
          <w:i/>
          <w:iCs/>
          <w:color w:val="000000"/>
        </w:rPr>
        <w:t>vs</w:t>
      </w:r>
      <w:r>
        <w:rPr>
          <w:rFonts w:ascii="Book Antiqua" w:eastAsia="Book Antiqua" w:hAnsi="Book Antiqua" w:cs="Book Antiqua"/>
          <w:color w:val="000000"/>
        </w:rPr>
        <w:t xml:space="preserve"> physician’s choice (eribulin/capecitabine/gemcitabine/vin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orelbine). Median PFS was greater in the talazoparib group compared to the control group-8.6 mo </w:t>
      </w:r>
      <w:r>
        <w:rPr>
          <w:rFonts w:ascii="Book Antiqua" w:eastAsia="Book Antiqua" w:hAnsi="Book Antiqua" w:cs="Book Antiqua"/>
          <w:i/>
          <w:iCs/>
          <w:color w:val="000000"/>
        </w:rPr>
        <w:t>vs</w:t>
      </w:r>
      <w:r>
        <w:rPr>
          <w:rFonts w:ascii="Book Antiqua" w:eastAsia="Book Antiqua" w:hAnsi="Book Antiqua" w:cs="Book Antiqua"/>
          <w:color w:val="000000"/>
        </w:rPr>
        <w:t xml:space="preserve"> 5.6 mo with an objective response rate of 62.6% </w:t>
      </w:r>
      <w:r>
        <w:rPr>
          <w:rFonts w:ascii="Book Antiqua" w:eastAsia="Book Antiqua" w:hAnsi="Book Antiqua" w:cs="Book Antiqua"/>
          <w:i/>
          <w:iCs/>
          <w:color w:val="000000"/>
        </w:rPr>
        <w:t>vs</w:t>
      </w:r>
      <w:r>
        <w:rPr>
          <w:rFonts w:ascii="Book Antiqua" w:eastAsia="Book Antiqua" w:hAnsi="Book Antiqua" w:cs="Book Antiqua"/>
          <w:color w:val="000000"/>
        </w:rPr>
        <w:t xml:space="preserve"> 27.2%. Benef</w:t>
      </w:r>
      <w:r>
        <w:rPr>
          <w:rFonts w:ascii="Book Antiqua" w:eastAsia="Book Antiqua" w:hAnsi="Book Antiqua" w:cs="Book Antiqua"/>
          <w:color w:val="000000"/>
        </w:rPr>
        <w:t xml:space="preserve">it within the TNBC and HR positive subgroups was equivalent. Crucially however, median OS was not significantly greater in the talazoparib group compared to the placebo group (19.3 mo </w:t>
      </w:r>
      <w:r>
        <w:rPr>
          <w:rFonts w:ascii="Book Antiqua" w:eastAsia="Book Antiqua" w:hAnsi="Book Antiqua" w:cs="Book Antiqua"/>
          <w:i/>
          <w:iCs/>
          <w:color w:val="000000"/>
        </w:rPr>
        <w:t>vs</w:t>
      </w:r>
      <w:r>
        <w:rPr>
          <w:rFonts w:ascii="Book Antiqua" w:eastAsia="Book Antiqua" w:hAnsi="Book Antiqua" w:cs="Book Antiqua"/>
          <w:color w:val="000000"/>
        </w:rPr>
        <w:t xml:space="preserve"> 19.5 mo</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Patients in the talazoparib group did however have impr</w:t>
      </w:r>
      <w:r>
        <w:rPr>
          <w:rFonts w:ascii="Book Antiqua" w:eastAsia="Book Antiqua" w:hAnsi="Book Antiqua" w:cs="Book Antiqua"/>
          <w:color w:val="000000"/>
        </w:rPr>
        <w:t xml:space="preserve">oved health related quality of life outcomes. More than a quarter (25.5%) of patients suffered from a grade 3 or grade 4 adverse event in the talazoparib group which was similar to the control group (25.4%). Notably, one patient suffered from the rare but </w:t>
      </w:r>
      <w:r>
        <w:rPr>
          <w:rFonts w:ascii="Book Antiqua" w:eastAsia="Book Antiqua" w:hAnsi="Book Antiqua" w:cs="Book Antiqua"/>
          <w:color w:val="000000"/>
        </w:rPr>
        <w:t>well described PARPi toxicity of acute myeloid leukaemia.</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lastRenderedPageBreak/>
        <w:t>Phase III BROCADE3 trial</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rPr>
        <w:t xml:space="preserve">In the phase III study presented at ESMO in 2019, the BROCADE3 investigators compared VCP compared to carboplatin/paclitaxel in patients with MBC and a gBRCA </w:t>
      </w:r>
      <w:proofErr w:type="gramStart"/>
      <w:r>
        <w:rPr>
          <w:rFonts w:ascii="Book Antiqua" w:eastAsia="Book Antiqua" w:hAnsi="Book Antiqua" w:cs="Book Antiqua"/>
          <w:color w:val="000000"/>
        </w:rPr>
        <w:t>mutation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were randomised in a 2:1 manner, with 337 patients in the veliparib group and 172 patients in the control group. Once again, half of patients had TNBC (52%). Only 19% of patients had previously received any line of treatment for MBC. Patients had </w:t>
      </w:r>
      <w:r>
        <w:rPr>
          <w:rFonts w:ascii="Book Antiqua" w:eastAsia="Book Antiqua" w:hAnsi="Book Antiqua" w:cs="Book Antiqua"/>
          <w:color w:val="000000"/>
        </w:rPr>
        <w:t xml:space="preserve">an improved PFS with veliparib compared to placebo (14.5 mo </w:t>
      </w:r>
      <w:r>
        <w:rPr>
          <w:rFonts w:ascii="Book Antiqua" w:eastAsia="Book Antiqua" w:hAnsi="Book Antiqua" w:cs="Book Antiqua"/>
          <w:i/>
          <w:iCs/>
          <w:color w:val="000000"/>
        </w:rPr>
        <w:t>vs</w:t>
      </w:r>
      <w:r>
        <w:rPr>
          <w:rFonts w:ascii="Book Antiqua" w:eastAsia="Book Antiqua" w:hAnsi="Book Antiqua" w:cs="Book Antiqua"/>
          <w:color w:val="000000"/>
        </w:rPr>
        <w:t xml:space="preserve"> 12.6 mo, HR = 0.70). PFS in the ER/PR-positive group and TNBC groups were equivalent. However, OS was not significantly different between groups at an interim analysis (33.5 mo </w:t>
      </w:r>
      <w:r>
        <w:rPr>
          <w:rFonts w:ascii="Book Antiqua" w:eastAsia="Book Antiqua" w:hAnsi="Book Antiqua" w:cs="Book Antiqua"/>
          <w:i/>
          <w:iCs/>
          <w:color w:val="000000"/>
        </w:rPr>
        <w:t>vs</w:t>
      </w:r>
      <w:r>
        <w:rPr>
          <w:rFonts w:ascii="Book Antiqua" w:eastAsia="Book Antiqua" w:hAnsi="Book Antiqua" w:cs="Book Antiqua"/>
          <w:color w:val="000000"/>
        </w:rPr>
        <w:t xml:space="preserve"> 28.2 mo, HR 0</w:t>
      </w:r>
      <w:r>
        <w:rPr>
          <w:rFonts w:ascii="Book Antiqua" w:eastAsia="Book Antiqua" w:hAnsi="Book Antiqua" w:cs="Book Antiqua"/>
          <w:color w:val="000000"/>
        </w:rPr>
        <w:t xml:space="preserve">.95). The addition of veliparib did cause increased toxicities including any adverse event leading to discontinuation (15.6% </w:t>
      </w:r>
      <w:r>
        <w:rPr>
          <w:rFonts w:ascii="Book Antiqua" w:eastAsia="Book Antiqua" w:hAnsi="Book Antiqua" w:cs="Book Antiqua"/>
          <w:i/>
          <w:iCs/>
          <w:color w:val="000000"/>
        </w:rPr>
        <w:t>vs</w:t>
      </w:r>
      <w:r>
        <w:rPr>
          <w:rFonts w:ascii="Book Antiqua" w:eastAsia="Book Antiqua" w:hAnsi="Book Antiqua" w:cs="Book Antiqua"/>
          <w:color w:val="000000"/>
        </w:rPr>
        <w:t xml:space="preserve"> 10.8%), anaemia (81.1% </w:t>
      </w:r>
      <w:r>
        <w:rPr>
          <w:rFonts w:ascii="Book Antiqua" w:eastAsia="Book Antiqua" w:hAnsi="Book Antiqua" w:cs="Book Antiqua"/>
          <w:i/>
          <w:iCs/>
          <w:color w:val="000000"/>
        </w:rPr>
        <w:t>vs</w:t>
      </w:r>
      <w:r>
        <w:rPr>
          <w:rFonts w:ascii="Book Antiqua" w:eastAsia="Book Antiqua" w:hAnsi="Book Antiqua" w:cs="Book Antiqua"/>
          <w:color w:val="000000"/>
        </w:rPr>
        <w:t xml:space="preserve"> 69.1%), thrombocytopenia (79.6% </w:t>
      </w:r>
      <w:r>
        <w:rPr>
          <w:rFonts w:ascii="Book Antiqua" w:eastAsia="Book Antiqua" w:hAnsi="Book Antiqua" w:cs="Book Antiqua"/>
          <w:i/>
          <w:iCs/>
          <w:color w:val="000000"/>
        </w:rPr>
        <w:t>vs</w:t>
      </w:r>
      <w:r>
        <w:rPr>
          <w:rFonts w:ascii="Book Antiqua" w:eastAsia="Book Antiqua" w:hAnsi="Book Antiqua" w:cs="Book Antiqua"/>
          <w:color w:val="000000"/>
        </w:rPr>
        <w:t xml:space="preserve"> 70.5%) and diarrhoea (48% </w:t>
      </w:r>
      <w:r>
        <w:rPr>
          <w:rFonts w:ascii="Book Antiqua" w:eastAsia="Book Antiqua" w:hAnsi="Book Antiqua" w:cs="Book Antiqua"/>
          <w:i/>
          <w:iCs/>
          <w:color w:val="000000"/>
        </w:rPr>
        <w:t>vs</w:t>
      </w:r>
      <w:r>
        <w:rPr>
          <w:rFonts w:ascii="Book Antiqua" w:eastAsia="Book Antiqua" w:hAnsi="Book Antiqua" w:cs="Book Antiqua"/>
          <w:color w:val="000000"/>
        </w:rPr>
        <w:t xml:space="preserve"> 38.1%). At ASCO 2020, further analysis was presented which investigated patients who transitioned to monotherapy prior to progression in patients in either arm of the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In the VCP arm, 136 patients crossed over to veliparib monotherapy and 58 pat</w:t>
      </w:r>
      <w:r>
        <w:rPr>
          <w:rFonts w:ascii="Book Antiqua" w:eastAsia="Book Antiqua" w:hAnsi="Book Antiqua" w:cs="Book Antiqua"/>
          <w:color w:val="000000"/>
        </w:rPr>
        <w:t>ients in the carboplatin/paclitaxel crossed over to monotherapy. The analysis suggests that the PFS benefit seen in the overall population is at least partially contributed to by those patients receiving veliparib monotherapy and the trial suggests signifi</w:t>
      </w:r>
      <w:r>
        <w:rPr>
          <w:rFonts w:ascii="Book Antiqua" w:eastAsia="Book Antiqua" w:hAnsi="Book Antiqua" w:cs="Book Antiqua"/>
          <w:color w:val="000000"/>
        </w:rPr>
        <w:t>cant antitumour activity with veliparib monotherapy. It remains unclear if a carboplatin induction regimen with PARPi maintenance may result in similar efficacy outcomes while sparing patients of some of the toxicity of combination approaches.</w:t>
      </w:r>
    </w:p>
    <w:p w:rsidR="00DD33E9" w:rsidRDefault="00DD33E9">
      <w:pPr>
        <w:spacing w:line="360" w:lineRule="auto"/>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Beyond BRCA</w:t>
      </w:r>
    </w:p>
    <w:p w:rsidR="00DD33E9" w:rsidRDefault="00C061FA">
      <w:pPr>
        <w:spacing w:line="360" w:lineRule="auto"/>
        <w:jc w:val="both"/>
        <w:rPr>
          <w:rFonts w:ascii="Book Antiqua" w:hAnsi="Book Antiqua"/>
        </w:rPr>
      </w:pPr>
      <w:r>
        <w:rPr>
          <w:rFonts w:ascii="Book Antiqua" w:eastAsia="Book Antiqua" w:hAnsi="Book Antiqua" w:cs="Book Antiqua"/>
          <w:color w:val="000000"/>
        </w:rPr>
        <w:t xml:space="preserve">The antitumor activity of PARP inhibitors has been established in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germline mutation carriers however whether they have a role in patients with somatic mutations in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or in germline mutations in DNA damage response genes other that </w:t>
      </w:r>
      <w:r>
        <w:rPr>
          <w:rFonts w:ascii="Book Antiqua" w:eastAsia="Book Antiqua" w:hAnsi="Book Antiqua" w:cs="Book Antiqua"/>
          <w:i/>
          <w:iCs/>
          <w:color w:val="000000"/>
        </w:rPr>
        <w:t>BR</w:t>
      </w:r>
      <w:r>
        <w:rPr>
          <w:rFonts w:ascii="Book Antiqua" w:eastAsia="Book Antiqua" w:hAnsi="Book Antiqua" w:cs="Book Antiqua"/>
          <w:i/>
          <w:iCs/>
          <w:color w:val="000000"/>
        </w:rPr>
        <w:t>CA1/BRCA2</w:t>
      </w:r>
      <w:r>
        <w:rPr>
          <w:rFonts w:ascii="Book Antiqua" w:eastAsia="Book Antiqua" w:hAnsi="Book Antiqua" w:cs="Book Antiqua"/>
          <w:color w:val="000000"/>
        </w:rPr>
        <w:t xml:space="preserve"> remains unclear. Recent studies have tried to provide data to answer the question.</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In the TBCRC 048 study presented at ASCO in 2020, investigators studied the antitumour activity of olaparib in a basket study. Cohort 1 included patients with germline mutations in HRD excluding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and Cohort 2 included somatic mutations in these </w:t>
      </w:r>
      <w:r>
        <w:rPr>
          <w:rFonts w:ascii="Book Antiqua" w:eastAsia="Book Antiqua" w:hAnsi="Book Antiqua" w:cs="Book Antiqua"/>
          <w:color w:val="000000"/>
        </w:rPr>
        <w:t xml:space="preserve">genes or </w:t>
      </w:r>
      <w:r>
        <w:rPr>
          <w:rFonts w:ascii="Book Antiqua" w:eastAsia="Book Antiqua" w:hAnsi="Book Antiqua" w:cs="Book Antiqua"/>
          <w:i/>
          <w:iCs/>
          <w:color w:val="000000"/>
        </w:rPr>
        <w:t>BRCA1/</w:t>
      </w:r>
      <w:proofErr w:type="gramStart"/>
      <w:r>
        <w:rPr>
          <w:rFonts w:ascii="Book Antiqua" w:eastAsia="Book Antiqua" w:hAnsi="Book Antiqua" w:cs="Book Antiqua"/>
          <w:i/>
          <w:iCs/>
          <w:color w:val="000000"/>
        </w:rPr>
        <w:t>BRCA2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27 patients were enrolled in cohort 1 and 26 patients in cohort 2. Most notably, only 19% of patients had TNBC with the majority of the remainder diagnosed with ER/PR-positive tumours. The most common mutations included </w:t>
      </w:r>
      <w:r>
        <w:rPr>
          <w:rFonts w:ascii="Book Antiqua" w:eastAsia="Book Antiqua" w:hAnsi="Book Antiqua" w:cs="Book Antiqua"/>
          <w:i/>
          <w:iCs/>
          <w:color w:val="000000"/>
        </w:rPr>
        <w:t>BRCA1</w:t>
      </w:r>
      <w:r>
        <w:rPr>
          <w:rFonts w:ascii="Book Antiqua" w:eastAsia="Book Antiqua" w:hAnsi="Book Antiqua" w:cs="Book Antiqua"/>
          <w:color w:val="000000"/>
        </w:rPr>
        <w:t xml:space="preserve"> (6)</w:t>
      </w:r>
      <w:r>
        <w:rPr>
          <w:rFonts w:ascii="Book Antiqua" w:eastAsia="Book Antiqua" w:hAnsi="Book Antiqua" w:cs="Book Antiqua"/>
          <w:i/>
          <w:iCs/>
          <w:color w:val="000000"/>
        </w:rPr>
        <w:t>,</w:t>
      </w:r>
      <w:r>
        <w:rPr>
          <w:rFonts w:ascii="Book Antiqua" w:eastAsia="Book Antiqua" w:hAnsi="Book Antiqua" w:cs="Book Antiqua"/>
          <w:i/>
          <w:iCs/>
          <w:color w:val="000000"/>
        </w:rPr>
        <w:t xml:space="preserve"> BRCA2</w:t>
      </w:r>
      <w:r>
        <w:rPr>
          <w:rFonts w:ascii="Book Antiqua" w:eastAsia="Book Antiqua" w:hAnsi="Book Antiqua" w:cs="Book Antiqua"/>
          <w:color w:val="000000"/>
        </w:rPr>
        <w:t xml:space="preserve"> (9)</w:t>
      </w:r>
      <w:r>
        <w:rPr>
          <w:rFonts w:ascii="Book Antiqua" w:eastAsia="Book Antiqua" w:hAnsi="Book Antiqua" w:cs="Book Antiqua"/>
          <w:i/>
          <w:iCs/>
          <w:color w:val="000000"/>
        </w:rPr>
        <w:t xml:space="preserve">, ATM </w:t>
      </w:r>
      <w:r>
        <w:rPr>
          <w:rFonts w:ascii="Book Antiqua" w:eastAsia="Book Antiqua" w:hAnsi="Book Antiqua" w:cs="Book Antiqua"/>
          <w:color w:val="000000"/>
        </w:rPr>
        <w:t>(10)</w:t>
      </w:r>
      <w:r>
        <w:rPr>
          <w:rFonts w:ascii="Book Antiqua" w:eastAsia="Book Antiqua" w:hAnsi="Book Antiqua" w:cs="Book Antiqua"/>
          <w:i/>
          <w:iCs/>
          <w:color w:val="000000"/>
        </w:rPr>
        <w:t>, CHEK2</w:t>
      </w:r>
      <w:r>
        <w:rPr>
          <w:rFonts w:ascii="Book Antiqua" w:eastAsia="Book Antiqua" w:hAnsi="Book Antiqua" w:cs="Book Antiqua"/>
          <w:color w:val="000000"/>
        </w:rPr>
        <w:t xml:space="preserve"> (8)</w:t>
      </w:r>
      <w:r>
        <w:rPr>
          <w:rFonts w:ascii="Book Antiqua" w:eastAsia="Book Antiqua" w:hAnsi="Book Antiqua" w:cs="Book Antiqua"/>
          <w:i/>
          <w:iCs/>
          <w:color w:val="000000"/>
        </w:rPr>
        <w:t xml:space="preserve">, PALB2 </w:t>
      </w:r>
      <w:r>
        <w:rPr>
          <w:rFonts w:ascii="Book Antiqua" w:eastAsia="Book Antiqua" w:hAnsi="Book Antiqua" w:cs="Book Antiqua"/>
          <w:color w:val="000000"/>
        </w:rPr>
        <w:t xml:space="preserve">(13). In the germline cohort, the overall response rate was 33% however all responses were in the </w:t>
      </w:r>
      <w:r>
        <w:rPr>
          <w:rFonts w:ascii="Book Antiqua" w:eastAsia="Book Antiqua" w:hAnsi="Book Antiqua" w:cs="Book Antiqua"/>
          <w:i/>
          <w:iCs/>
          <w:color w:val="000000"/>
        </w:rPr>
        <w:t>PALB2</w:t>
      </w:r>
      <w:r>
        <w:rPr>
          <w:rFonts w:ascii="Book Antiqua" w:eastAsia="Book Antiqua" w:hAnsi="Book Antiqua" w:cs="Book Antiqua"/>
          <w:color w:val="000000"/>
        </w:rPr>
        <w:t xml:space="preserve"> cohort with an 82% response within that group. The median duration of response was 9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For the somatic cohort, </w:t>
      </w:r>
      <w:r>
        <w:rPr>
          <w:rFonts w:ascii="Book Antiqua" w:eastAsia="Book Antiqua" w:hAnsi="Book Antiqua" w:cs="Book Antiqua"/>
          <w:color w:val="000000"/>
        </w:rPr>
        <w:t xml:space="preserve">the overall response rate was 31% however all responses were in the </w:t>
      </w:r>
      <w:r>
        <w:rPr>
          <w:rFonts w:ascii="Book Antiqua" w:eastAsia="Book Antiqua" w:hAnsi="Book Antiqua" w:cs="Book Antiqua"/>
          <w:i/>
          <w:iCs/>
          <w:color w:val="000000"/>
        </w:rPr>
        <w:t>BRCA1/BRCA2</w:t>
      </w:r>
      <w:r>
        <w:rPr>
          <w:rFonts w:ascii="Book Antiqua" w:eastAsia="Book Antiqua" w:hAnsi="Book Antiqua" w:cs="Book Antiqua"/>
          <w:color w:val="000000"/>
        </w:rPr>
        <w:t xml:space="preserve"> cohort with a 50% response within that group. The study met its primary endpoint of greater than 20% overall response rate in the cohort.</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The SWOG S1416 study, presented at ASC</w:t>
      </w:r>
      <w:r>
        <w:rPr>
          <w:rFonts w:ascii="Book Antiqua" w:eastAsia="Book Antiqua" w:hAnsi="Book Antiqua" w:cs="Book Antiqua"/>
          <w:color w:val="000000"/>
          <w:shd w:val="clear" w:color="auto" w:fill="FFFFFF"/>
        </w:rPr>
        <w:t xml:space="preserve">O in 2020, investigated the combination veliparib and cisplatin in patients with metastatic TNBC whom were mostly (70%) chemotherapy </w:t>
      </w:r>
      <w:proofErr w:type="gramStart"/>
      <w:r>
        <w:rPr>
          <w:rFonts w:ascii="Book Antiqua" w:eastAsia="Book Antiqua" w:hAnsi="Book Antiqua" w:cs="Book Antiqua"/>
          <w:color w:val="000000"/>
          <w:shd w:val="clear" w:color="auto" w:fill="FFFFFF"/>
        </w:rPr>
        <w:t>naïve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73]</w:t>
      </w:r>
      <w:r>
        <w:rPr>
          <w:rFonts w:ascii="Book Antiqua" w:eastAsia="Book Antiqua" w:hAnsi="Book Antiqua" w:cs="Book Antiqua"/>
          <w:color w:val="000000"/>
          <w:shd w:val="clear" w:color="auto" w:fill="FFFFFF"/>
        </w:rPr>
        <w:t>. Patients were enrolled and treated up-front with the combination approach. During their treatment, blood and tis</w:t>
      </w:r>
      <w:r>
        <w:rPr>
          <w:rFonts w:ascii="Book Antiqua" w:eastAsia="Book Antiqua" w:hAnsi="Book Antiqua" w:cs="Book Antiqua"/>
          <w:color w:val="000000"/>
          <w:shd w:val="clear" w:color="auto" w:fill="FFFFFF"/>
        </w:rPr>
        <w:t>sue samples were analysed for g BRCA mutations, HRD score, germline non-</w:t>
      </w:r>
      <w:r>
        <w:rPr>
          <w:rFonts w:ascii="Book Antiqua" w:eastAsia="Book Antiqua" w:hAnsi="Book Antiqua" w:cs="Book Antiqua"/>
          <w:i/>
          <w:iCs/>
          <w:color w:val="000000"/>
          <w:shd w:val="clear" w:color="auto" w:fill="FFFFFF"/>
        </w:rPr>
        <w:t>BRCA1/BRCA2</w:t>
      </w:r>
      <w:r>
        <w:rPr>
          <w:rFonts w:ascii="Book Antiqua" w:eastAsia="Book Antiqua" w:hAnsi="Book Antiqua" w:cs="Book Antiqua"/>
          <w:color w:val="000000"/>
          <w:shd w:val="clear" w:color="auto" w:fill="FFFFFF"/>
        </w:rPr>
        <w:t xml:space="preserve"> HRD associated mutations and </w:t>
      </w:r>
      <w:r>
        <w:rPr>
          <w:rFonts w:ascii="Book Antiqua" w:eastAsia="Book Antiqua" w:hAnsi="Book Antiqua" w:cs="Book Antiqua"/>
          <w:i/>
          <w:iCs/>
          <w:color w:val="000000"/>
          <w:shd w:val="clear" w:color="auto" w:fill="FFFFFF"/>
        </w:rPr>
        <w:t>BRCA1</w:t>
      </w:r>
      <w:r>
        <w:rPr>
          <w:rFonts w:ascii="Book Antiqua" w:eastAsia="Book Antiqua" w:hAnsi="Book Antiqua" w:cs="Book Antiqua"/>
          <w:color w:val="000000"/>
          <w:shd w:val="clear" w:color="auto" w:fill="FFFFFF"/>
        </w:rPr>
        <w:t xml:space="preserve"> associated methylation mutations. </w:t>
      </w:r>
      <w:r>
        <w:rPr>
          <w:rFonts w:ascii="Book Antiqua" w:eastAsia="Book Antiqua" w:hAnsi="Book Antiqua" w:cs="Book Antiqua"/>
          <w:color w:val="000000"/>
        </w:rPr>
        <w:t xml:space="preserve">The HRD score utilises </w:t>
      </w:r>
      <w:r>
        <w:rPr>
          <w:rFonts w:ascii="Book Antiqua" w:eastAsia="Book Antiqua" w:hAnsi="Book Antiqua" w:cs="Book Antiqua"/>
          <w:color w:val="000000"/>
          <w:shd w:val="clear" w:color="auto" w:fill="FFFFFF"/>
        </w:rPr>
        <w:t xml:space="preserve">loss of heterozygosity, telomeric allelic imbalance, and large-scale state transitions to develop a score which identifies tumours with a </w:t>
      </w:r>
      <w:r>
        <w:rPr>
          <w:rFonts w:ascii="Book Antiqua" w:eastAsia="Book Antiqua" w:hAnsi="Book Antiqua" w:cs="Book Antiqua"/>
          <w:i/>
          <w:iCs/>
          <w:color w:val="000000"/>
          <w:shd w:val="clear" w:color="auto" w:fill="FFFFFF"/>
        </w:rPr>
        <w:t>BRCA-like</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phenotype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74]</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 xml:space="preserve">37 patients with gBRCA mutations were identified, 101 patients with </w:t>
      </w:r>
      <w:r>
        <w:rPr>
          <w:rFonts w:ascii="Book Antiqua" w:eastAsia="Book Antiqua" w:hAnsi="Book Antiqua" w:cs="Book Antiqua"/>
          <w:i/>
          <w:iCs/>
          <w:color w:val="000000"/>
          <w:shd w:val="clear" w:color="auto" w:fill="FFFFFF"/>
        </w:rPr>
        <w:t>BRCA1/BRCA2</w:t>
      </w:r>
      <w:r>
        <w:rPr>
          <w:rFonts w:ascii="Book Antiqua" w:eastAsia="Book Antiqua" w:hAnsi="Book Antiqua" w:cs="Book Antiqua"/>
          <w:color w:val="000000"/>
          <w:shd w:val="clear" w:color="auto" w:fill="FFFFFF"/>
        </w:rPr>
        <w:t>-like phenotyp</w:t>
      </w:r>
      <w:r>
        <w:rPr>
          <w:rFonts w:ascii="Book Antiqua" w:eastAsia="Book Antiqua" w:hAnsi="Book Antiqua" w:cs="Book Antiqua"/>
          <w:color w:val="000000"/>
          <w:shd w:val="clear" w:color="auto" w:fill="FFFFFF"/>
        </w:rPr>
        <w:t xml:space="preserve">e (most identified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HRD score) and 110 non-</w:t>
      </w:r>
      <w:r>
        <w:rPr>
          <w:rFonts w:ascii="Book Antiqua" w:eastAsia="Book Antiqua" w:hAnsi="Book Antiqua" w:cs="Book Antiqua"/>
          <w:i/>
          <w:iCs/>
          <w:color w:val="000000"/>
          <w:shd w:val="clear" w:color="auto" w:fill="FFFFFF"/>
        </w:rPr>
        <w:t>BRCA1/BRCA2</w:t>
      </w:r>
      <w:r>
        <w:rPr>
          <w:rFonts w:ascii="Book Antiqua" w:eastAsia="Book Antiqua" w:hAnsi="Book Antiqua" w:cs="Book Antiqua"/>
          <w:color w:val="000000"/>
          <w:shd w:val="clear" w:color="auto" w:fill="FFFFFF"/>
        </w:rPr>
        <w:t xml:space="preserve"> like patients.</w:t>
      </w:r>
      <w:proofErr w:type="gramEnd"/>
      <w:r>
        <w:rPr>
          <w:rFonts w:ascii="Book Antiqua" w:eastAsia="Book Antiqua" w:hAnsi="Book Antiqua" w:cs="Book Antiqua"/>
          <w:color w:val="000000"/>
          <w:shd w:val="clear" w:color="auto" w:fill="FFFFFF"/>
        </w:rPr>
        <w:t xml:space="preserve"> The gBRCA group was underpowered. Within the </w:t>
      </w:r>
      <w:r>
        <w:rPr>
          <w:rFonts w:ascii="Book Antiqua" w:eastAsia="Book Antiqua" w:hAnsi="Book Antiqua" w:cs="Book Antiqua"/>
          <w:i/>
          <w:iCs/>
          <w:color w:val="000000"/>
          <w:shd w:val="clear" w:color="auto" w:fill="FFFFFF"/>
        </w:rPr>
        <w:t>BRCA1/BRCA2</w:t>
      </w:r>
      <w:r>
        <w:rPr>
          <w:rFonts w:ascii="Book Antiqua" w:eastAsia="Book Antiqua" w:hAnsi="Book Antiqua" w:cs="Book Antiqua"/>
          <w:color w:val="000000"/>
          <w:shd w:val="clear" w:color="auto" w:fill="FFFFFF"/>
        </w:rPr>
        <w:t xml:space="preserve">-like group, PFS was significantly greater within the veliparib group in contrast to the placebo arm (5.7 mo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4.3 mo,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w:t>
      </w:r>
      <w:r>
        <w:rPr>
          <w:rFonts w:ascii="Book Antiqua" w:eastAsia="Book Antiqua" w:hAnsi="Book Antiqua" w:cs="Book Antiqua"/>
          <w:color w:val="000000"/>
          <w:shd w:val="clear" w:color="auto" w:fill="FFFFFF"/>
        </w:rPr>
        <w:t>2). Within this same cohort, there was a numerically but non-significant improvement in OS in patients in the veliparib group in contrast to the placebo group (13.7</w:t>
      </w:r>
      <w:r>
        <w:rPr>
          <w:rFonts w:ascii="Book Antiqua" w:eastAsia="Book Antiqua" w:hAnsi="Book Antiqua" w:cs="Book Antiqua"/>
          <w:color w:val="000000"/>
        </w:rPr>
        <w:t xml:space="preserve"> mo</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12.1 mo,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0.14). There was no improvement in PFS in the non-HRD group. No new safe</w:t>
      </w:r>
      <w:r>
        <w:rPr>
          <w:rFonts w:ascii="Book Antiqua" w:eastAsia="Book Antiqua" w:hAnsi="Book Antiqua" w:cs="Book Antiqua"/>
          <w:color w:val="000000"/>
          <w:shd w:val="clear" w:color="auto" w:fill="FFFFFF"/>
        </w:rPr>
        <w:t>ty signals emerged.</w:t>
      </w:r>
    </w:p>
    <w:p w:rsidR="00DD33E9" w:rsidRDefault="00DD33E9">
      <w:pPr>
        <w:spacing w:line="360" w:lineRule="auto"/>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shd w:val="clear" w:color="auto" w:fill="FFFFFF"/>
        </w:rPr>
        <w:t>Take home message</w:t>
      </w:r>
    </w:p>
    <w:p w:rsidR="00DD33E9" w:rsidRDefault="00C061FA">
      <w:pPr>
        <w:spacing w:line="360" w:lineRule="auto"/>
        <w:jc w:val="both"/>
        <w:rPr>
          <w:rFonts w:ascii="Book Antiqua" w:hAnsi="Book Antiqua"/>
        </w:rPr>
      </w:pPr>
      <w:r>
        <w:rPr>
          <w:rFonts w:ascii="Book Antiqua" w:eastAsia="Book Antiqua" w:hAnsi="Book Antiqua" w:cs="Book Antiqua"/>
          <w:color w:val="000000"/>
          <w:shd w:val="clear" w:color="auto" w:fill="FFFFFF"/>
        </w:rPr>
        <w:t>In patients with gBRCA mutations, three phase III studies have demonstrated efficacy in terms of improvements in PFS and quality of life compared to chemotherapy. No study has demonstrated an OS advantage however cros</w:t>
      </w:r>
      <w:r>
        <w:rPr>
          <w:rFonts w:ascii="Book Antiqua" w:eastAsia="Book Antiqua" w:hAnsi="Book Antiqua" w:cs="Book Antiqua"/>
          <w:color w:val="000000"/>
          <w:shd w:val="clear" w:color="auto" w:fill="FFFFFF"/>
        </w:rPr>
        <w:t xml:space="preserve">s over to a PARPi at progression complicates the analysis of this endpoint. These trials identified a subset of patients with long and durable responses however the majority of patients become resistant to these drugs (median PFS of 7 and 8.6 </w:t>
      </w:r>
      <w:proofErr w:type="gramStart"/>
      <w:r>
        <w:rPr>
          <w:rFonts w:ascii="Book Antiqua" w:eastAsia="Book Antiqua" w:hAnsi="Book Antiqua" w:cs="Book Antiqua"/>
          <w:color w:val="000000"/>
          <w:shd w:val="clear" w:color="auto" w:fill="FFFFFF"/>
        </w:rPr>
        <w:t>mo</w:t>
      </w:r>
      <w:proofErr w:type="gramEnd"/>
      <w:r>
        <w:rPr>
          <w:rFonts w:ascii="Book Antiqua" w:eastAsia="Book Antiqua" w:hAnsi="Book Antiqua" w:cs="Book Antiqua"/>
          <w:color w:val="000000"/>
          <w:shd w:val="clear" w:color="auto" w:fill="FFFFFF"/>
        </w:rPr>
        <w:t xml:space="preserve"> in the OLY</w:t>
      </w:r>
      <w:r>
        <w:rPr>
          <w:rFonts w:ascii="Book Antiqua" w:eastAsia="Book Antiqua" w:hAnsi="Book Antiqua" w:cs="Book Antiqua"/>
          <w:color w:val="000000"/>
          <w:shd w:val="clear" w:color="auto" w:fill="FFFFFF"/>
        </w:rPr>
        <w:t>MPIAD and EMBRCA study). Clinical trials in progress are examining PARP inhibitors in combinations with immunotherapy and other combinations which may prevent the development of resistance to therapy.</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i/>
          <w:iCs/>
        </w:rPr>
      </w:pPr>
      <w:r>
        <w:rPr>
          <w:rFonts w:ascii="Book Antiqua" w:eastAsia="Book Antiqua" w:hAnsi="Book Antiqua" w:cs="Book Antiqua"/>
          <w:b/>
          <w:bCs/>
          <w:i/>
          <w:iCs/>
          <w:color w:val="000000"/>
          <w:shd w:val="clear" w:color="auto" w:fill="FFFFFF"/>
        </w:rPr>
        <w:t>Antibody drug conjugates</w:t>
      </w:r>
    </w:p>
    <w:p w:rsidR="00DD33E9" w:rsidRDefault="00C061FA">
      <w:pPr>
        <w:spacing w:line="360" w:lineRule="auto"/>
        <w:ind w:hanging="1"/>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Antibody drug conjugates (ADC</w:t>
      </w:r>
      <w:r>
        <w:rPr>
          <w:rFonts w:ascii="Book Antiqua" w:eastAsia="Book Antiqua" w:hAnsi="Book Antiqua" w:cs="Book Antiqua"/>
          <w:color w:val="000000"/>
          <w:shd w:val="clear" w:color="auto" w:fill="FFFFFF"/>
        </w:rPr>
        <w:t>) offer the potential to deliver highly potent cytotoxic chemotherapy to tumour cells with reduced systemic toxicity (Table 6).</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shd w:val="clear" w:color="auto" w:fill="FFFFFF"/>
        </w:rPr>
        <w:t xml:space="preserve"> </w:t>
      </w: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shd w:val="clear" w:color="auto" w:fill="FFFFFF"/>
        </w:rPr>
        <w:t>Sacituzumab govitecan-hziy</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shd w:val="clear" w:color="auto" w:fill="FFFFFF"/>
        </w:rPr>
        <w:t xml:space="preserve">Sacituzumab govitecan (SG)-hziy is an ADC in which </w:t>
      </w:r>
      <w:r>
        <w:rPr>
          <w:rFonts w:ascii="Book Antiqua" w:eastAsia="Book Antiqua" w:hAnsi="Book Antiqua" w:cs="Book Antiqua"/>
          <w:color w:val="000000"/>
        </w:rPr>
        <w:t xml:space="preserve">a topoisomerase I inhibitor, is coupled to the </w:t>
      </w:r>
      <w:r>
        <w:rPr>
          <w:rFonts w:ascii="Book Antiqua" w:eastAsia="Book Antiqua" w:hAnsi="Book Antiqua" w:cs="Book Antiqua"/>
          <w:color w:val="000000"/>
        </w:rPr>
        <w:t>humanized antitrophoblast cell-surface antigen 2 (Trop-2) monoclonal antibody hRS7 IgG1κ through the cleavable CL2A linker. SN-38, a derivative of irinotecan, is subsequently delivered into the cells both intracellularly and into the tumour microenvironmen</w:t>
      </w:r>
      <w:r>
        <w:rPr>
          <w:rFonts w:ascii="Book Antiqua" w:eastAsia="Book Antiqua" w:hAnsi="Book Antiqua" w:cs="Book Antiqua"/>
          <w:color w:val="000000"/>
        </w:rPr>
        <w:t xml:space="preserve">t and has demonstrated potent antitumour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SG-hziy has been investigated in multiple epithelial tumours including TNBC. In a phase 2 single arm study, SG-Hziy demonstrated impressive response rates in a heavily pre-treated TNBC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108 patients with metastatic TNBC were enrolled in the trial </w:t>
      </w:r>
      <w:proofErr w:type="gramStart"/>
      <w:r>
        <w:rPr>
          <w:rFonts w:ascii="Book Antiqua" w:eastAsia="Book Antiqua" w:hAnsi="Book Antiqua" w:cs="Book Antiqua"/>
          <w:color w:val="000000"/>
        </w:rPr>
        <w:t>whom</w:t>
      </w:r>
      <w:proofErr w:type="gramEnd"/>
      <w:r>
        <w:rPr>
          <w:rFonts w:ascii="Book Antiqua" w:eastAsia="Book Antiqua" w:hAnsi="Book Antiqua" w:cs="Book Antiqua"/>
          <w:color w:val="000000"/>
        </w:rPr>
        <w:t xml:space="preserve"> had multiple previous lines of treatment with a median of 3 prior treatments received. Overall response rate was 33% with 3 complete responses. The median duration of response was 7.7 </w:t>
      </w:r>
      <w:proofErr w:type="gramStart"/>
      <w:r>
        <w:rPr>
          <w:rFonts w:ascii="Book Antiqua" w:eastAsia="Book Antiqua" w:hAnsi="Book Antiqua" w:cs="Book Antiqua"/>
          <w:color w:val="000000"/>
        </w:rPr>
        <w:t>mo</w:t>
      </w:r>
      <w:proofErr w:type="gramEnd"/>
      <w:r>
        <w:rPr>
          <w:rFonts w:ascii="Book Antiqua" w:eastAsia="Book Antiqua" w:hAnsi="Book Antiqua" w:cs="Book Antiqua"/>
          <w:color w:val="000000"/>
        </w:rPr>
        <w:t xml:space="preserve"> wit</w:t>
      </w:r>
      <w:r>
        <w:rPr>
          <w:rFonts w:ascii="Book Antiqua" w:eastAsia="Book Antiqua" w:hAnsi="Book Antiqua" w:cs="Book Antiqua"/>
          <w:color w:val="000000"/>
        </w:rPr>
        <w:t xml:space="preserve">h a median PFS of 5.5 mo. Notably, patients were able to remain on treatment longer than they had on prior therapies, suggesting a lack </w:t>
      </w:r>
      <w:r>
        <w:rPr>
          <w:rFonts w:ascii="Book Antiqua" w:eastAsia="Book Antiqua" w:hAnsi="Book Antiqua" w:cs="Book Antiqua"/>
          <w:color w:val="000000"/>
        </w:rPr>
        <w:lastRenderedPageBreak/>
        <w:t>of cross resistance. The safety profile was acceptable with only 2.8% of patients discontinuing due to an adverse event.</w:t>
      </w:r>
      <w:r>
        <w:rPr>
          <w:rFonts w:ascii="Book Antiqua" w:eastAsia="Book Antiqua" w:hAnsi="Book Antiqua" w:cs="Book Antiqua"/>
          <w:color w:val="000000"/>
        </w:rPr>
        <w:t xml:space="preserve"> Grade 3 events included neutropenia (26%), anaemia (11%), fatigue and asthenia (11%). Grade 4 neutropenia was reported in 16% of patients.</w:t>
      </w:r>
    </w:p>
    <w:p w:rsidR="00DD33E9" w:rsidRDefault="00C061FA">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At the ESMO congress 2020, authors presented results from the ASCENT study, a randomized phase 3 study of sacituzuma</w:t>
      </w:r>
      <w:r>
        <w:rPr>
          <w:rFonts w:ascii="Book Antiqua" w:eastAsia="Book Antiqua" w:hAnsi="Book Antiqua" w:cs="Book Antiqua"/>
          <w:color w:val="000000"/>
        </w:rPr>
        <w:t>b govitecan (</w:t>
      </w:r>
      <w:r>
        <w:rPr>
          <w:rFonts w:ascii="Book Antiqua" w:eastAsia="Book Antiqua" w:hAnsi="Book Antiqua" w:cs="Book Antiqua"/>
          <w:i/>
          <w:iCs/>
          <w:color w:val="000000"/>
        </w:rPr>
        <w:t>n</w:t>
      </w:r>
      <w:r>
        <w:rPr>
          <w:rFonts w:ascii="Book Antiqua" w:eastAsia="Book Antiqua" w:hAnsi="Book Antiqua" w:cs="Book Antiqua"/>
          <w:color w:val="000000"/>
        </w:rPr>
        <w:t xml:space="preserve"> = 267) </w:t>
      </w:r>
      <w:r>
        <w:rPr>
          <w:rFonts w:ascii="Book Antiqua" w:eastAsia="Book Antiqua" w:hAnsi="Book Antiqua" w:cs="Book Antiqua"/>
          <w:i/>
          <w:iCs/>
          <w:color w:val="000000"/>
        </w:rPr>
        <w:t>vs</w:t>
      </w:r>
      <w:r>
        <w:rPr>
          <w:rFonts w:ascii="Book Antiqua" w:eastAsia="Book Antiqua" w:hAnsi="Book Antiqua" w:cs="Book Antiqua"/>
          <w:color w:val="000000"/>
        </w:rPr>
        <w:t xml:space="preserve"> treatment of physician’s choice (</w:t>
      </w:r>
      <w:r>
        <w:rPr>
          <w:rFonts w:ascii="Book Antiqua" w:eastAsia="Book Antiqua" w:hAnsi="Book Antiqua" w:cs="Book Antiqua"/>
          <w:i/>
          <w:iCs/>
          <w:color w:val="000000"/>
        </w:rPr>
        <w:t>n</w:t>
      </w:r>
      <w:r>
        <w:rPr>
          <w:rFonts w:ascii="Book Antiqua" w:eastAsia="Book Antiqua" w:hAnsi="Book Antiqua" w:cs="Book Antiqua"/>
          <w:color w:val="000000"/>
        </w:rPr>
        <w:t xml:space="preserve"> = 262) in patients (pts) with previously treated metastatic </w:t>
      </w:r>
      <w:proofErr w:type="gramStart"/>
      <w:r>
        <w:rPr>
          <w:rFonts w:ascii="Book Antiqua" w:eastAsia="Book Antiqua" w:hAnsi="Book Antiqua" w:cs="Book Antiqua"/>
          <w:color w:val="000000"/>
        </w:rPr>
        <w:t>TNBC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Patients had received at least 2 prior lines of treatment prior to enrolment. The primary outcome was investigator assessed PF</w:t>
      </w:r>
      <w:r>
        <w:rPr>
          <w:rFonts w:ascii="Book Antiqua" w:eastAsia="Book Antiqua" w:hAnsi="Book Antiqua" w:cs="Book Antiqua"/>
          <w:color w:val="000000"/>
        </w:rPr>
        <w:t xml:space="preserve">S in the brain metastases free population. Progression free survival was significantly prolonged in the investigation arm with a PFS (5.6 mo </w:t>
      </w:r>
      <w:r>
        <w:rPr>
          <w:rFonts w:ascii="Book Antiqua" w:eastAsia="Book Antiqua" w:hAnsi="Book Antiqua" w:cs="Book Antiqua"/>
          <w:i/>
          <w:iCs/>
          <w:color w:val="000000"/>
        </w:rPr>
        <w:t>vs</w:t>
      </w:r>
      <w:r>
        <w:rPr>
          <w:rFonts w:ascii="Book Antiqua" w:eastAsia="Book Antiqua" w:hAnsi="Book Antiqua" w:cs="Book Antiqua"/>
          <w:color w:val="000000"/>
        </w:rPr>
        <w:t xml:space="preserve"> 1.7 mo, HR 0.41,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Median OS was significantly prolonged with SG (12.1 mo</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6.7 mo, HR 0.48,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w:t>
      </w:r>
      <w:r>
        <w:rPr>
          <w:rFonts w:ascii="Book Antiqua" w:eastAsia="Book Antiqua" w:hAnsi="Book Antiqua" w:cs="Book Antiqua"/>
          <w:color w:val="000000"/>
        </w:rPr>
        <w:t>001). The most common grade 3 or 4 adverse events with SG were diarrhoea (10%), anaemia (8%) and leukopenia (10%). Only 4.7% of patients discontinued the drug due to toxicity and there was no treatment related deaths.</w:t>
      </w:r>
    </w:p>
    <w:p w:rsidR="00DD33E9" w:rsidRDefault="00DD33E9">
      <w:pPr>
        <w:spacing w:line="360" w:lineRule="auto"/>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rPr>
        <w:t>Ladiratuzumab vedotin</w:t>
      </w:r>
    </w:p>
    <w:p w:rsidR="00DD33E9" w:rsidRDefault="00C061FA">
      <w:pPr>
        <w:spacing w:line="360" w:lineRule="auto"/>
        <w:ind w:hanging="1"/>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Ladiratuzumab v</w:t>
      </w:r>
      <w:r>
        <w:rPr>
          <w:rFonts w:ascii="Book Antiqua" w:eastAsia="Book Antiqua" w:hAnsi="Book Antiqua" w:cs="Book Antiqua"/>
          <w:color w:val="000000"/>
          <w:shd w:val="clear" w:color="auto" w:fill="FFFFFF"/>
        </w:rPr>
        <w:t>edotin (LV) targets LIV-1, a transmembrane cell adhesion molecule highly overexpressed in TNBC. The drug’s payload is the microtubule disrupting agent-monomethyl auristatin E. A Phase 1b/2 trial of LV in combination with pembrolizumab was investigated in a</w:t>
      </w:r>
      <w:r>
        <w:rPr>
          <w:rFonts w:ascii="Book Antiqua" w:eastAsia="Book Antiqua" w:hAnsi="Book Antiqua" w:cs="Book Antiqua"/>
          <w:color w:val="000000"/>
          <w:shd w:val="clear" w:color="auto" w:fill="FFFFFF"/>
        </w:rPr>
        <w:t xml:space="preserve"> treatment naïve population with metastatic </w:t>
      </w:r>
      <w:proofErr w:type="gramStart"/>
      <w:r>
        <w:rPr>
          <w:rFonts w:ascii="Book Antiqua" w:eastAsia="Book Antiqua" w:hAnsi="Book Antiqua" w:cs="Book Antiqua"/>
          <w:color w:val="000000"/>
          <w:shd w:val="clear" w:color="auto" w:fill="FFFFFF"/>
        </w:rPr>
        <w:t>TNBC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78]</w:t>
      </w:r>
      <w:r>
        <w:rPr>
          <w:rFonts w:ascii="Book Antiqua" w:eastAsia="Book Antiqua" w:hAnsi="Book Antiqua" w:cs="Book Antiqua"/>
          <w:color w:val="000000"/>
          <w:shd w:val="clear" w:color="auto" w:fill="FFFFFF"/>
        </w:rPr>
        <w:t>. The trial was based on the biological rationale for a synergistic effect of the addition of two immune modulating agents in the first-line setting. 19 patients were included in the dose finding cohort w</w:t>
      </w:r>
      <w:r>
        <w:rPr>
          <w:rFonts w:ascii="Book Antiqua" w:eastAsia="Book Antiqua" w:hAnsi="Book Antiqua" w:cs="Book Antiqua"/>
          <w:color w:val="000000"/>
          <w:shd w:val="clear" w:color="auto" w:fill="FFFFFF"/>
        </w:rPr>
        <w:t>ith a further 32 in the dose expansion cohort. Patients were not pre-selected for LIV1 or PD-L1 expression. Response rates were encouraging at 54% in 26 evaluable patients regardless of their PDL-1 expression. Further work will be needed to clarify where L</w:t>
      </w:r>
      <w:r>
        <w:rPr>
          <w:rFonts w:ascii="Book Antiqua" w:eastAsia="Book Antiqua" w:hAnsi="Book Antiqua" w:cs="Book Antiqua"/>
          <w:color w:val="000000"/>
          <w:shd w:val="clear" w:color="auto" w:fill="FFFFFF"/>
        </w:rPr>
        <w:t>V may fit into the treatment paradigm for TNBC in the crowded field of the first-line setting.</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shd w:val="clear" w:color="auto" w:fill="FFFFFF"/>
        </w:rPr>
        <w:lastRenderedPageBreak/>
        <w:t>Trastuzumab detuxtecan</w:t>
      </w:r>
    </w:p>
    <w:p w:rsidR="00DD33E9" w:rsidRDefault="00C061FA">
      <w:pPr>
        <w:spacing w:line="360" w:lineRule="auto"/>
        <w:ind w:hanging="1"/>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Trastuzumab deruxtecan (DS-8201) is an ADC with an anti-HER2 antibody, a cleavable tetrapeptide-based linker, and a topoisomerase I </w:t>
      </w:r>
      <w:proofErr w:type="gramStart"/>
      <w:r>
        <w:rPr>
          <w:rFonts w:ascii="Book Antiqua" w:eastAsia="Book Antiqua" w:hAnsi="Book Antiqua" w:cs="Book Antiqua"/>
          <w:color w:val="000000"/>
          <w:shd w:val="clear" w:color="auto" w:fill="FFFFFF"/>
        </w:rPr>
        <w:t>inhibitor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79]</w:t>
      </w:r>
      <w:r>
        <w:rPr>
          <w:rFonts w:ascii="Book Antiqua" w:eastAsia="Book Antiqua" w:hAnsi="Book Antiqua" w:cs="Book Antiqua"/>
          <w:color w:val="000000"/>
          <w:shd w:val="clear" w:color="auto" w:fill="FFFFFF"/>
        </w:rPr>
        <w:t xml:space="preserve">. It has shown promising activity in HER2 + metastatic breast cancer and is part of the treatment paradigm post TDM1 for HER2 + </w:t>
      </w:r>
      <w:proofErr w:type="gramStart"/>
      <w:r>
        <w:rPr>
          <w:rFonts w:ascii="Book Antiqua" w:eastAsia="Book Antiqua" w:hAnsi="Book Antiqua" w:cs="Book Antiqua"/>
          <w:color w:val="000000"/>
          <w:shd w:val="clear" w:color="auto" w:fill="FFFFFF"/>
        </w:rPr>
        <w:t>MBC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80]</w:t>
      </w:r>
      <w:r>
        <w:rPr>
          <w:rFonts w:ascii="Book Antiqua" w:eastAsia="Book Antiqua" w:hAnsi="Book Antiqua" w:cs="Book Antiqua"/>
          <w:color w:val="000000"/>
          <w:shd w:val="clear" w:color="auto" w:fill="FFFFFF"/>
        </w:rPr>
        <w:t xml:space="preserve">. However, there has been interest in the drug in patients with HER2 Low tumours (IHC1 +/IHC2 + and FISH -) </w:t>
      </w:r>
      <w:r>
        <w:rPr>
          <w:rFonts w:ascii="Book Antiqua" w:eastAsia="Book Antiqua" w:hAnsi="Book Antiqua" w:cs="Book Antiqua"/>
          <w:color w:val="000000"/>
          <w:shd w:val="clear" w:color="auto" w:fill="FFFFFF"/>
        </w:rPr>
        <w:t xml:space="preserve">tumours. A phase 1b study investigated its utility in this subgroup with safety evaluated in 53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81]</w:t>
      </w:r>
      <w:r>
        <w:rPr>
          <w:rFonts w:ascii="Book Antiqua" w:eastAsia="Book Antiqua" w:hAnsi="Book Antiqua" w:cs="Book Antiqua"/>
          <w:color w:val="000000"/>
          <w:shd w:val="clear" w:color="auto" w:fill="FFFFFF"/>
        </w:rPr>
        <w:t>. A total of 54 patients were included with a median of 7.5 treatments previously received. The objective response rates were encouraging at 37% and</w:t>
      </w:r>
      <w:r>
        <w:rPr>
          <w:rFonts w:ascii="Book Antiqua" w:eastAsia="Book Antiqua" w:hAnsi="Book Antiqua" w:cs="Book Antiqua"/>
          <w:color w:val="000000"/>
          <w:shd w:val="clear" w:color="auto" w:fill="FFFFFF"/>
        </w:rPr>
        <w:t xml:space="preserve"> a median duration of response of 10.4 </w:t>
      </w:r>
      <w:proofErr w:type="gramStart"/>
      <w:r>
        <w:rPr>
          <w:rFonts w:ascii="Book Antiqua" w:eastAsia="Book Antiqua" w:hAnsi="Book Antiqua" w:cs="Book Antiqua"/>
          <w:color w:val="000000"/>
          <w:shd w:val="clear" w:color="auto" w:fill="FFFFFF"/>
        </w:rPr>
        <w:t>mo</w:t>
      </w:r>
      <w:proofErr w:type="gramEnd"/>
      <w:r>
        <w:rPr>
          <w:rFonts w:ascii="Book Antiqua" w:eastAsia="Book Antiqua" w:hAnsi="Book Antiqua" w:cs="Book Antiqua"/>
          <w:color w:val="000000"/>
          <w:shd w:val="clear" w:color="auto" w:fill="FFFFFF"/>
        </w:rPr>
        <w:t>. However, the majority of patients had ER/PR-positive tumours with only 7 TNBC patients included. There was one of 7 patients who responded within the TNBC subgroup. Notably, 3 patients developed fatal drug induced</w:t>
      </w:r>
      <w:r>
        <w:rPr>
          <w:rFonts w:ascii="Book Antiqua" w:eastAsia="Book Antiqua" w:hAnsi="Book Antiqua" w:cs="Book Antiqua"/>
          <w:color w:val="000000"/>
          <w:shd w:val="clear" w:color="auto" w:fill="FFFFFF"/>
        </w:rPr>
        <w:t xml:space="preserve"> interstitial lung disease.</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shd w:val="clear" w:color="auto" w:fill="FFFFFF"/>
        </w:rPr>
        <w:t>US-1402</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shd w:val="clear" w:color="auto" w:fill="FFFFFF"/>
        </w:rPr>
        <w:t>U3-1402 is a novel HER3-targeted antibody-drug conjugate designed with a peptide-based cleavable linker and a topoisomerase I inhibitor exatecan derivative (DXd) payload. It has a high drug-to-antibody ratio (approximat</w:t>
      </w:r>
      <w:r>
        <w:rPr>
          <w:rFonts w:ascii="Book Antiqua" w:eastAsia="Book Antiqua" w:hAnsi="Book Antiqua" w:cs="Book Antiqua"/>
          <w:color w:val="000000"/>
          <w:shd w:val="clear" w:color="auto" w:fill="FFFFFF"/>
        </w:rPr>
        <w:t xml:space="preserve">ely 8:1), and the stable linker is selectively cleaved by lysosomal enzymes upregulated in tumour </w:t>
      </w:r>
      <w:proofErr w:type="gramStart"/>
      <w:r>
        <w:rPr>
          <w:rFonts w:ascii="Book Antiqua" w:eastAsia="Book Antiqua" w:hAnsi="Book Antiqua" w:cs="Book Antiqua"/>
          <w:color w:val="000000"/>
          <w:shd w:val="clear" w:color="auto" w:fill="FFFFFF"/>
        </w:rPr>
        <w:t>cells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82]</w:t>
      </w:r>
      <w:r>
        <w:rPr>
          <w:rFonts w:ascii="Book Antiqua" w:eastAsia="Book Antiqua" w:hAnsi="Book Antiqua" w:cs="Book Antiqua"/>
          <w:color w:val="000000"/>
          <w:shd w:val="clear" w:color="auto" w:fill="FFFFFF"/>
        </w:rPr>
        <w:t>. It also exhibits bystander effect onto neighbouring tumour cells with antigen heterogeneity. A phase 1/2 multicentre, open label trial evaluated th</w:t>
      </w:r>
      <w:r>
        <w:rPr>
          <w:rFonts w:ascii="Book Antiqua" w:eastAsia="Book Antiqua" w:hAnsi="Book Antiqua" w:cs="Book Antiqua"/>
          <w:color w:val="000000"/>
          <w:shd w:val="clear" w:color="auto" w:fill="FFFFFF"/>
        </w:rPr>
        <w:t>e safety and efficacy of the U3-1402 in HER2 negative, (including ER/PR-positive and TNBC) HER3 expressing advanced breast cancer. Among the 21 patients that received U3-1402, the ORR was 33% and disease-control late (including complete response, partial r</w:t>
      </w:r>
      <w:r>
        <w:rPr>
          <w:rFonts w:ascii="Book Antiqua" w:eastAsia="Book Antiqua" w:hAnsi="Book Antiqua" w:cs="Book Antiqua"/>
          <w:color w:val="000000"/>
          <w:shd w:val="clear" w:color="auto" w:fill="FFFFFF"/>
        </w:rPr>
        <w:t xml:space="preserve">esponse and stable disease) was 95%. Grade ¾ toxicity included thrombocytopenia and increased liver </w:t>
      </w:r>
      <w:proofErr w:type="gramStart"/>
      <w:r>
        <w:rPr>
          <w:rFonts w:ascii="Book Antiqua" w:eastAsia="Book Antiqua" w:hAnsi="Book Antiqua" w:cs="Book Antiqua"/>
          <w:color w:val="000000"/>
          <w:shd w:val="clear" w:color="auto" w:fill="FFFFFF"/>
        </w:rPr>
        <w:t>enzymes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Targeted Therapies</w:t>
      </w: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shd w:val="clear" w:color="auto" w:fill="FFFFFF"/>
        </w:rPr>
        <w:t>Alpelisib</w:t>
      </w:r>
    </w:p>
    <w:p w:rsidR="00DD33E9" w:rsidRDefault="00C061FA">
      <w:pPr>
        <w:spacing w:line="360" w:lineRule="auto"/>
        <w:ind w:hanging="1"/>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PI3K pathway has been a focus of research in solid organ tumours due to its role in cell growth, deregulated </w:t>
      </w:r>
      <w:r>
        <w:rPr>
          <w:rFonts w:ascii="Book Antiqua" w:eastAsia="Book Antiqua" w:hAnsi="Book Antiqua" w:cs="Book Antiqua"/>
          <w:color w:val="000000"/>
          <w:shd w:val="clear" w:color="auto" w:fill="FFFFFF"/>
        </w:rPr>
        <w:t xml:space="preserve">apoptosis and association with both taxane and endocrine </w:t>
      </w:r>
      <w:proofErr w:type="gramStart"/>
      <w:r>
        <w:rPr>
          <w:rFonts w:ascii="Book Antiqua" w:eastAsia="Book Antiqua" w:hAnsi="Book Antiqua" w:cs="Book Antiqua"/>
          <w:color w:val="000000"/>
          <w:shd w:val="clear" w:color="auto" w:fill="FFFFFF"/>
        </w:rPr>
        <w:lastRenderedPageBreak/>
        <w:t>resistance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83]</w:t>
      </w:r>
      <w:r>
        <w:rPr>
          <w:rFonts w:ascii="Book Antiqua" w:eastAsia="Book Antiqua" w:hAnsi="Book Antiqua" w:cs="Book Antiqua"/>
          <w:color w:val="000000"/>
          <w:shd w:val="clear" w:color="auto" w:fill="FFFFFF"/>
        </w:rPr>
        <w:t xml:space="preserve">. Alpelisib is a potent, oral, class 1 inhibitor of the PI3K alpha isoform. A Phase I/II study investigated alpelisib plus nab-paclitaxel in HER2-negative </w:t>
      </w:r>
      <w:proofErr w:type="gramStart"/>
      <w:r>
        <w:rPr>
          <w:rFonts w:ascii="Book Antiqua" w:eastAsia="Book Antiqua" w:hAnsi="Book Antiqua" w:cs="Book Antiqua"/>
          <w:color w:val="000000"/>
          <w:shd w:val="clear" w:color="auto" w:fill="FFFFFF"/>
        </w:rPr>
        <w:t>MBC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84]</w:t>
      </w:r>
      <w:r>
        <w:rPr>
          <w:rFonts w:ascii="Book Antiqua" w:eastAsia="Book Antiqua" w:hAnsi="Book Antiqua" w:cs="Book Antiqua"/>
          <w:color w:val="000000"/>
          <w:shd w:val="clear" w:color="auto" w:fill="FFFFFF"/>
        </w:rPr>
        <w:t>. Patients were enrolle</w:t>
      </w:r>
      <w:r>
        <w:rPr>
          <w:rFonts w:ascii="Book Antiqua" w:eastAsia="Book Antiqua" w:hAnsi="Book Antiqua" w:cs="Book Antiqua"/>
          <w:color w:val="000000"/>
          <w:shd w:val="clear" w:color="auto" w:fill="FFFFFF"/>
        </w:rPr>
        <w:t>d into the phase I dose expansion cohort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 or the efficacy phase II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30) component. Among the cohort, 30% had TNBC and 74% of patients had received prior chemotherapy. Overall response rate was encouraging at 57% with a median PFS of 7 </w:t>
      </w:r>
      <w:proofErr w:type="gramStart"/>
      <w:r>
        <w:rPr>
          <w:rFonts w:ascii="Book Antiqua" w:eastAsia="Book Antiqua" w:hAnsi="Book Antiqua" w:cs="Book Antiqua"/>
          <w:color w:val="000000"/>
          <w:shd w:val="clear" w:color="auto" w:fill="FFFFFF"/>
        </w:rPr>
        <w:t>mo</w:t>
      </w:r>
      <w:proofErr w:type="gramEnd"/>
      <w:r>
        <w:rPr>
          <w:rFonts w:ascii="Book Antiqua" w:eastAsia="Book Antiqua" w:hAnsi="Book Antiqua" w:cs="Book Antiqua"/>
          <w:color w:val="000000"/>
          <w:shd w:val="clear" w:color="auto" w:fill="FFFFFF"/>
        </w:rPr>
        <w:t>. Howev</w:t>
      </w:r>
      <w:r>
        <w:rPr>
          <w:rFonts w:ascii="Book Antiqua" w:eastAsia="Book Antiqua" w:hAnsi="Book Antiqua" w:cs="Book Antiqua"/>
          <w:color w:val="000000"/>
          <w:shd w:val="clear" w:color="auto" w:fill="FFFFFF"/>
        </w:rPr>
        <w:t>er, within the PI3K mutated cohort, response rate was 65% with a median PFS of 13 mo. Results are encouraging that targeting the PI3K pathway may have clinical utility in TNBC.</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shd w:val="clear" w:color="auto" w:fill="FFFFFF"/>
        </w:rPr>
        <w:t>Ipatasertib</w:t>
      </w:r>
    </w:p>
    <w:p w:rsidR="00DD33E9" w:rsidRDefault="00C061FA">
      <w:pPr>
        <w:spacing w:line="360" w:lineRule="auto"/>
        <w:ind w:hanging="1"/>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The protein kinase B (AKT) pathway is commonly mutated in solid </w:t>
      </w:r>
      <w:r>
        <w:rPr>
          <w:rFonts w:ascii="Book Antiqua" w:eastAsia="Book Antiqua" w:hAnsi="Book Antiqua" w:cs="Book Antiqua"/>
          <w:color w:val="000000"/>
          <w:shd w:val="clear" w:color="auto" w:fill="FFFFFF"/>
        </w:rPr>
        <w:t>organ tumours playing a crucial role in cell survival and growth. AKT activation commonly occurs through phosphate and tensin homolog (PTEN) loss or PIK3CA mutations. However, targeting the AKT pathway has proven to be challenging due to the associated tox</w:t>
      </w:r>
      <w:r>
        <w:rPr>
          <w:rFonts w:ascii="Book Antiqua" w:eastAsia="Book Antiqua" w:hAnsi="Book Antiqua" w:cs="Book Antiqua"/>
          <w:color w:val="000000"/>
          <w:shd w:val="clear" w:color="auto" w:fill="FFFFFF"/>
        </w:rPr>
        <w:t xml:space="preserve">icities. Ipatasertib is a potent AKT pathway signalling inhibitor which has demonstrated tolerance and antitumour activity in early clinical </w:t>
      </w:r>
      <w:proofErr w:type="gramStart"/>
      <w:r>
        <w:rPr>
          <w:rFonts w:ascii="Book Antiqua" w:eastAsia="Book Antiqua" w:hAnsi="Book Antiqua" w:cs="Book Antiqua"/>
          <w:color w:val="000000"/>
          <w:shd w:val="clear" w:color="auto" w:fill="FFFFFF"/>
        </w:rPr>
        <w:t>studies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85]</w:t>
      </w:r>
      <w:r>
        <w:rPr>
          <w:rFonts w:ascii="Book Antiqua" w:eastAsia="Book Antiqua" w:hAnsi="Book Antiqua" w:cs="Book Antiqua"/>
          <w:color w:val="000000"/>
          <w:shd w:val="clear" w:color="auto" w:fill="FFFFFF"/>
        </w:rPr>
        <w:t>. The LOTUS trial investigated ipatasertib in 124 patients in a randomised phase 2 study of ipatasertib/</w:t>
      </w:r>
      <w:r>
        <w:rPr>
          <w:rFonts w:ascii="Book Antiqua" w:eastAsia="Book Antiqua" w:hAnsi="Book Antiqua" w:cs="Book Antiqua"/>
          <w:color w:val="000000"/>
          <w:shd w:val="clear" w:color="auto" w:fill="FFFFFF"/>
        </w:rPr>
        <w:t xml:space="preserve">paclitaxel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placebo/paclitaxel as first-line therapy for </w:t>
      </w:r>
      <w:proofErr w:type="gramStart"/>
      <w:r>
        <w:rPr>
          <w:rFonts w:ascii="Book Antiqua" w:eastAsia="Book Antiqua" w:hAnsi="Book Antiqua" w:cs="Book Antiqua"/>
          <w:color w:val="000000"/>
          <w:shd w:val="clear" w:color="auto" w:fill="FFFFFF"/>
        </w:rPr>
        <w:t>TNBC</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86]</w:t>
      </w:r>
      <w:r>
        <w:rPr>
          <w:rFonts w:ascii="Book Antiqua" w:eastAsia="Book Antiqua" w:hAnsi="Book Antiqua" w:cs="Book Antiqua"/>
          <w:color w:val="000000"/>
          <w:shd w:val="clear" w:color="auto" w:fill="FFFFFF"/>
        </w:rPr>
        <w:t xml:space="preserve">. In the overall population, the median PFS was enhanced with ipatasertib (6.2 mo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4.9 mo, HR =0.6,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0.037). In patients with PTEN-low tumours (identified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immuno</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histochemistry), m</w:t>
      </w:r>
      <w:r>
        <w:rPr>
          <w:rFonts w:ascii="Book Antiqua" w:eastAsia="Book Antiqua" w:hAnsi="Book Antiqua" w:cs="Book Antiqua"/>
          <w:color w:val="000000"/>
          <w:shd w:val="clear" w:color="auto" w:fill="FFFFFF"/>
        </w:rPr>
        <w:t xml:space="preserve">edian PFS was 6.2 mo with ipatasertib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3.7 mo with placebo. However, within the </w:t>
      </w:r>
      <w:r>
        <w:rPr>
          <w:rFonts w:ascii="Book Antiqua" w:eastAsia="Book Antiqua" w:hAnsi="Book Antiqua" w:cs="Book Antiqua"/>
          <w:color w:val="000000"/>
        </w:rPr>
        <w:t xml:space="preserve">PIK3CA/AKT1/PTEN-altered tumours, PFS was 9 mo </w:t>
      </w:r>
      <w:r>
        <w:rPr>
          <w:rFonts w:ascii="Book Antiqua" w:eastAsia="Book Antiqua" w:hAnsi="Book Antiqua" w:cs="Book Antiqua"/>
          <w:i/>
          <w:iCs/>
          <w:color w:val="000000"/>
        </w:rPr>
        <w:t>vs</w:t>
      </w:r>
      <w:r>
        <w:rPr>
          <w:rFonts w:ascii="Book Antiqua" w:eastAsia="Book Antiqua" w:hAnsi="Book Antiqua" w:cs="Book Antiqua"/>
          <w:color w:val="000000"/>
        </w:rPr>
        <w:t xml:space="preserve"> 4.9 mo (HR 0.44, </w:t>
      </w:r>
      <w:r>
        <w:rPr>
          <w:rFonts w:ascii="Book Antiqua" w:eastAsia="Book Antiqua" w:hAnsi="Book Antiqua" w:cs="Book Antiqua"/>
          <w:i/>
          <w:iCs/>
          <w:color w:val="000000"/>
        </w:rPr>
        <w:t>P</w:t>
      </w:r>
      <w:r>
        <w:rPr>
          <w:rFonts w:ascii="Book Antiqua" w:eastAsia="Book Antiqua" w:hAnsi="Book Antiqua" w:cs="Book Antiqua"/>
          <w:color w:val="000000"/>
        </w:rPr>
        <w:t xml:space="preserve"> = 0.041).</w:t>
      </w:r>
      <w:r>
        <w:rPr>
          <w:rFonts w:ascii="Book Antiqua" w:eastAsia="Book Antiqua" w:hAnsi="Book Antiqua" w:cs="Book Antiqua"/>
          <w:color w:val="000000"/>
          <w:shd w:val="clear" w:color="auto" w:fill="FFFFFF"/>
        </w:rPr>
        <w:t xml:space="preserve"> The most common toxicity was diarrhoea in 23 % of patients in the ipatasertib arm leading to discontinuation in 3% of patients.</w:t>
      </w:r>
    </w:p>
    <w:p w:rsidR="00DD33E9" w:rsidRDefault="00DD33E9">
      <w:pPr>
        <w:spacing w:line="360" w:lineRule="auto"/>
        <w:ind w:hanging="1"/>
        <w:jc w:val="both"/>
        <w:rPr>
          <w:rFonts w:ascii="Book Antiqua" w:hAnsi="Book Antiqua"/>
        </w:rPr>
      </w:pPr>
    </w:p>
    <w:p w:rsidR="00DD33E9" w:rsidRDefault="00C061FA">
      <w:pPr>
        <w:spacing w:line="360" w:lineRule="auto"/>
        <w:ind w:hanging="1"/>
        <w:jc w:val="both"/>
        <w:rPr>
          <w:rFonts w:ascii="Book Antiqua" w:hAnsi="Book Antiqua"/>
          <w:i/>
          <w:iCs/>
        </w:rPr>
      </w:pPr>
      <w:r>
        <w:rPr>
          <w:rFonts w:ascii="Book Antiqua" w:eastAsia="Book Antiqua" w:hAnsi="Book Antiqua" w:cs="Book Antiqua"/>
          <w:b/>
          <w:bCs/>
          <w:i/>
          <w:iCs/>
          <w:color w:val="000000"/>
          <w:shd w:val="clear" w:color="auto" w:fill="FFFFFF"/>
        </w:rPr>
        <w:t>Trilaciclib</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shd w:val="clear" w:color="auto" w:fill="FFFFFF"/>
        </w:rPr>
        <w:t>Trilaciclib is a potent, intravenous cyclin dependent kinase 4/6 (CDK4/6) inhibitor which is thought to acutely pr</w:t>
      </w:r>
      <w:r>
        <w:rPr>
          <w:rFonts w:ascii="Book Antiqua" w:eastAsia="Book Antiqua" w:hAnsi="Book Antiqua" w:cs="Book Antiqua"/>
          <w:color w:val="000000"/>
          <w:shd w:val="clear" w:color="auto" w:fill="FFFFFF"/>
        </w:rPr>
        <w:t xml:space="preserve">otect from cytotoxic associated myelosuppression and may promote immunogenic tumour cell </w:t>
      </w:r>
      <w:proofErr w:type="gramStart"/>
      <w:r>
        <w:rPr>
          <w:rFonts w:ascii="Book Antiqua" w:eastAsia="Book Antiqua" w:hAnsi="Book Antiqua" w:cs="Book Antiqua"/>
          <w:color w:val="000000"/>
          <w:shd w:val="clear" w:color="auto" w:fill="FFFFFF"/>
        </w:rPr>
        <w:t>death</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87]</w:t>
      </w:r>
      <w:r>
        <w:rPr>
          <w:rFonts w:ascii="Book Antiqua" w:eastAsia="Book Antiqua" w:hAnsi="Book Antiqua" w:cs="Book Antiqua"/>
          <w:color w:val="000000"/>
          <w:shd w:val="clear" w:color="auto" w:fill="FFFFFF"/>
        </w:rPr>
        <w:t xml:space="preserve">. A phase II study of trilaciclib in </w:t>
      </w:r>
      <w:r>
        <w:rPr>
          <w:rFonts w:ascii="Book Antiqua" w:eastAsia="Book Antiqua" w:hAnsi="Book Antiqua" w:cs="Book Antiqua"/>
          <w:color w:val="000000"/>
          <w:shd w:val="clear" w:color="auto" w:fill="FFFFFF"/>
        </w:rPr>
        <w:lastRenderedPageBreak/>
        <w:t xml:space="preserve">TNBC in combination with the doublet of gemcitabine/carboplatin was designed to identify a reduction in myelosuppression </w:t>
      </w:r>
      <w:r>
        <w:rPr>
          <w:rFonts w:ascii="Book Antiqua" w:eastAsia="Book Antiqua" w:hAnsi="Book Antiqua" w:cs="Book Antiqua"/>
          <w:color w:val="000000"/>
          <w:shd w:val="clear" w:color="auto" w:fill="FFFFFF"/>
        </w:rPr>
        <w:t xml:space="preserve">associated with </w:t>
      </w:r>
      <w:proofErr w:type="gramStart"/>
      <w:r>
        <w:rPr>
          <w:rFonts w:ascii="Book Antiqua" w:eastAsia="Book Antiqua" w:hAnsi="Book Antiqua" w:cs="Book Antiqua"/>
          <w:color w:val="000000"/>
          <w:shd w:val="clear" w:color="auto" w:fill="FFFFFF"/>
        </w:rPr>
        <w:t>chemotherapy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88]</w:t>
      </w:r>
      <w:r>
        <w:rPr>
          <w:rFonts w:ascii="Book Antiqua" w:eastAsia="Book Antiqua" w:hAnsi="Book Antiqua" w:cs="Book Antiqua"/>
          <w:color w:val="000000"/>
          <w:shd w:val="clear" w:color="auto" w:fill="FFFFFF"/>
        </w:rPr>
        <w:t>. Patients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102) were assigned in a 1:1:1 fashion to (Cohort 1) gemcitabine/carboplatin alone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(Cohort 2) gemcitabine/carboplatin/trilaciclib (D1/D8)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(Cohort 3) gemci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tabine/carboplatin (D2/D9) and Trilaciclib (D1/2</w:t>
      </w:r>
      <w:r>
        <w:rPr>
          <w:rFonts w:ascii="Book Antiqua" w:eastAsia="Book Antiqua" w:hAnsi="Book Antiqua" w:cs="Book Antiqua"/>
          <w:color w:val="000000"/>
          <w:shd w:val="clear" w:color="auto" w:fill="FFFFFF"/>
        </w:rPr>
        <w:t>/8/9). Approximately 2/3</w:t>
      </w:r>
      <w:r>
        <w:rPr>
          <w:rFonts w:ascii="Book Antiqua" w:eastAsia="Book Antiqua" w:hAnsi="Book Antiqua" w:cs="Book Antiqua"/>
          <w:color w:val="000000"/>
          <w:shd w:val="clear" w:color="auto" w:fill="FFFFFF"/>
          <w:vertAlign w:val="superscript"/>
        </w:rPr>
        <w:t>rds</w:t>
      </w:r>
      <w:r>
        <w:rPr>
          <w:rFonts w:ascii="Book Antiqua" w:eastAsia="Book Antiqua" w:hAnsi="Book Antiqua" w:cs="Book Antiqua"/>
          <w:color w:val="000000"/>
          <w:shd w:val="clear" w:color="auto" w:fill="FFFFFF"/>
        </w:rPr>
        <w:t xml:space="preserve"> of patients were treatment naïve (in the metastatic setting). There was no significant difference in myelosuppression between the </w:t>
      </w:r>
      <w:proofErr w:type="gramStart"/>
      <w:r>
        <w:rPr>
          <w:rFonts w:ascii="Book Antiqua" w:eastAsia="Book Antiqua" w:hAnsi="Book Antiqua" w:cs="Book Antiqua"/>
          <w:color w:val="000000"/>
          <w:shd w:val="clear" w:color="auto" w:fill="FFFFFF"/>
        </w:rPr>
        <w:t>groups,</w:t>
      </w:r>
      <w:proofErr w:type="gramEnd"/>
      <w:r>
        <w:rPr>
          <w:rFonts w:ascii="Book Antiqua" w:eastAsia="Book Antiqua" w:hAnsi="Book Antiqua" w:cs="Book Antiqua"/>
          <w:color w:val="000000"/>
          <w:shd w:val="clear" w:color="auto" w:fill="FFFFFF"/>
        </w:rPr>
        <w:t xml:space="preserve"> however there was a significant OS benefit in the trilaciclib arms. Patients in Cohort 1 h</w:t>
      </w:r>
      <w:r>
        <w:rPr>
          <w:rFonts w:ascii="Book Antiqua" w:eastAsia="Book Antiqua" w:hAnsi="Book Antiqua" w:cs="Book Antiqua"/>
          <w:color w:val="000000"/>
          <w:shd w:val="clear" w:color="auto" w:fill="FFFFFF"/>
        </w:rPr>
        <w:t xml:space="preserve">ad a median OS of 12.6 mo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20.6 </w:t>
      </w:r>
      <w:proofErr w:type="gramStart"/>
      <w:r>
        <w:rPr>
          <w:rFonts w:ascii="Book Antiqua" w:eastAsia="Book Antiqua" w:hAnsi="Book Antiqua" w:cs="Book Antiqua"/>
          <w:color w:val="000000"/>
          <w:shd w:val="clear" w:color="auto" w:fill="FFFFFF"/>
        </w:rPr>
        <w:t>mo</w:t>
      </w:r>
      <w:proofErr w:type="gramEnd"/>
      <w:r>
        <w:rPr>
          <w:rFonts w:ascii="Book Antiqua" w:eastAsia="Book Antiqua" w:hAnsi="Book Antiqua" w:cs="Book Antiqua"/>
          <w:color w:val="000000"/>
          <w:shd w:val="clear" w:color="auto" w:fill="FFFFFF"/>
        </w:rPr>
        <w:t xml:space="preserve"> in Cohort 2 and 17.6 mo in Cohort 3. </w:t>
      </w:r>
    </w:p>
    <w:p w:rsidR="00DD33E9" w:rsidRDefault="00DD33E9">
      <w:pPr>
        <w:spacing w:line="360" w:lineRule="auto"/>
        <w:ind w:hanging="1"/>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DD33E9" w:rsidRDefault="00C061FA">
      <w:pPr>
        <w:spacing w:line="360" w:lineRule="auto"/>
        <w:ind w:hanging="1"/>
        <w:jc w:val="both"/>
        <w:rPr>
          <w:rFonts w:ascii="Book Antiqua" w:hAnsi="Book Antiqua"/>
        </w:rPr>
      </w:pPr>
      <w:r>
        <w:rPr>
          <w:rFonts w:ascii="Book Antiqua" w:eastAsia="Book Antiqua" w:hAnsi="Book Antiqua" w:cs="Book Antiqua"/>
          <w:color w:val="000000"/>
          <w:shd w:val="clear" w:color="auto" w:fill="FFFFFF"/>
        </w:rPr>
        <w:t>Despite recent advances, metastatic TNBC remains an aggressive disease which predominantly affects younger patients. Recent advances in pre-clinical science have demonst</w:t>
      </w:r>
      <w:r>
        <w:rPr>
          <w:rFonts w:ascii="Book Antiqua" w:eastAsia="Book Antiqua" w:hAnsi="Book Antiqua" w:cs="Book Antiqua"/>
          <w:color w:val="000000"/>
          <w:shd w:val="clear" w:color="auto" w:fill="FFFFFF"/>
        </w:rPr>
        <w:t xml:space="preserve">rated an impressive rationale for the use of IO and PARPi. </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There is evidence of activity for the use PD-L1 or PD-1 inhibitors in the first-line setting of TNBC. However, this has not yet resulted in statistically significant improvements in OS. Additional</w:t>
      </w:r>
      <w:r>
        <w:rPr>
          <w:rFonts w:ascii="Book Antiqua" w:eastAsia="Book Antiqua" w:hAnsi="Book Antiqua" w:cs="Book Antiqua"/>
          <w:color w:val="000000"/>
          <w:shd w:val="clear" w:color="auto" w:fill="FFFFFF"/>
        </w:rPr>
        <w:t>ly, it remains unclear why findings with the combination of nab-paclitaxel and atezolizumab were not reproducible when atezolizumab was combined with paclitaxel. OS analysis from the KEYNOTE-355 study may assist us in reaching final conclusions for the up-</w:t>
      </w:r>
      <w:r>
        <w:rPr>
          <w:rFonts w:ascii="Book Antiqua" w:eastAsia="Book Antiqua" w:hAnsi="Book Antiqua" w:cs="Book Antiqua"/>
          <w:color w:val="000000"/>
          <w:shd w:val="clear" w:color="auto" w:fill="FFFFFF"/>
        </w:rPr>
        <w:t>front combination of IO and chemotherapy. However, these conflicting results suggest that the addition of IO into routine practice should be done so with caution.</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Patients with g BRCA mutations have a consistent but modest PFS benefit of 1-3 </w:t>
      </w:r>
      <w:proofErr w:type="gramStart"/>
      <w:r>
        <w:rPr>
          <w:rFonts w:ascii="Book Antiqua" w:eastAsia="Book Antiqua" w:hAnsi="Book Antiqua" w:cs="Book Antiqua"/>
          <w:color w:val="000000"/>
          <w:shd w:val="clear" w:color="auto" w:fill="FFFFFF"/>
        </w:rPr>
        <w:t>mo</w:t>
      </w:r>
      <w:proofErr w:type="gramEnd"/>
      <w:r>
        <w:rPr>
          <w:rFonts w:ascii="Book Antiqua" w:eastAsia="Book Antiqua" w:hAnsi="Book Antiqua" w:cs="Book Antiqua"/>
          <w:color w:val="000000"/>
          <w:shd w:val="clear" w:color="auto" w:fill="FFFFFF"/>
        </w:rPr>
        <w:t xml:space="preserve"> across mult</w:t>
      </w:r>
      <w:r>
        <w:rPr>
          <w:rFonts w:ascii="Book Antiqua" w:eastAsia="Book Antiqua" w:hAnsi="Book Antiqua" w:cs="Book Antiqua"/>
          <w:color w:val="000000"/>
          <w:shd w:val="clear" w:color="auto" w:fill="FFFFFF"/>
        </w:rPr>
        <w:t>iple phase I/II/III studies. However, these have unfortunately not translated into an OS benefit. While PARPi may have a future role in the treatment paradigm for TNBC, the OS benefits for patients remains unclear.</w:t>
      </w:r>
    </w:p>
    <w:p w:rsidR="00DD33E9" w:rsidRDefault="00C061FA">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Encouragingly, antibody-drug conjugates a</w:t>
      </w:r>
      <w:r>
        <w:rPr>
          <w:rFonts w:ascii="Book Antiqua" w:eastAsia="Book Antiqua" w:hAnsi="Book Antiqua" w:cs="Book Antiqua"/>
          <w:color w:val="000000"/>
          <w:shd w:val="clear" w:color="auto" w:fill="FFFFFF"/>
        </w:rPr>
        <w:t>nd targeted therapies have demon</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strated impressive response rates and PFS benefits in the monotherapy or combination settings in patients with TNBC. Most recently, SG has demonstrated an impressive 6 mo’ </w:t>
      </w:r>
      <w:r>
        <w:rPr>
          <w:rFonts w:ascii="Book Antiqua" w:eastAsia="Book Antiqua" w:hAnsi="Book Antiqua" w:cs="Book Antiqua"/>
          <w:color w:val="000000"/>
          <w:shd w:val="clear" w:color="auto" w:fill="FFFFFF"/>
        </w:rPr>
        <w:lastRenderedPageBreak/>
        <w:t xml:space="preserve">OS benefit in a heavily pre-treated population. It </w:t>
      </w:r>
      <w:r>
        <w:rPr>
          <w:rFonts w:ascii="Book Antiqua" w:eastAsia="Book Antiqua" w:hAnsi="Book Antiqua" w:cs="Book Antiqua"/>
          <w:color w:val="000000"/>
          <w:shd w:val="clear" w:color="auto" w:fill="FFFFFF"/>
        </w:rPr>
        <w:t>is likely that SG will have a significant role to play in the future of TNBC in the monotherapy or combi</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nation setting.</w:t>
      </w:r>
    </w:p>
    <w:p w:rsidR="00DD33E9" w:rsidRDefault="00C061FA">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It is likely that the future of metastatic TNBC will involve treatment algorithms with combination approaches using chemotherapy, </w:t>
      </w:r>
      <w:r>
        <w:rPr>
          <w:rFonts w:ascii="Book Antiqua" w:eastAsia="Book Antiqua" w:hAnsi="Book Antiqua" w:cs="Book Antiqua"/>
          <w:color w:val="000000"/>
          <w:shd w:val="clear" w:color="auto" w:fill="FFFFFF"/>
        </w:rPr>
        <w:t>immunotherapy, PARPi, ADC and targeted therapies. Hopefully, the combination of the old and new will ensure that clinical outcomes continue to improve for our patients.</w:t>
      </w:r>
    </w:p>
    <w:p w:rsidR="00DD33E9" w:rsidRDefault="00DD33E9">
      <w:pPr>
        <w:spacing w:line="360" w:lineRule="auto"/>
        <w:jc w:val="both"/>
        <w:rPr>
          <w:rFonts w:ascii="Book Antiqua" w:eastAsia="Book Antiqua" w:hAnsi="Book Antiqua" w:cs="Book Antiqua"/>
          <w:b/>
          <w:bCs/>
          <w:i/>
          <w:iCs/>
          <w:color w:val="000000"/>
          <w:shd w:val="clear" w:color="auto" w:fill="FFFFFF"/>
        </w:rPr>
      </w:pPr>
    </w:p>
    <w:p w:rsidR="00DD33E9" w:rsidRDefault="00C061FA">
      <w:pPr>
        <w:spacing w:line="360" w:lineRule="auto"/>
        <w:jc w:val="both"/>
        <w:rPr>
          <w:rFonts w:ascii="Book Antiqua" w:hAnsi="Book Antiqua"/>
          <w:i/>
          <w:iCs/>
        </w:rPr>
      </w:pPr>
      <w:r>
        <w:rPr>
          <w:rFonts w:ascii="Book Antiqua" w:eastAsia="Book Antiqua" w:hAnsi="Book Antiqua" w:cs="Book Antiqua"/>
          <w:b/>
          <w:bCs/>
          <w:i/>
          <w:iCs/>
          <w:color w:val="000000"/>
          <w:shd w:val="clear" w:color="auto" w:fill="FFFFFF"/>
        </w:rPr>
        <w:t>Clinical practice points</w:t>
      </w:r>
    </w:p>
    <w:p w:rsidR="00DD33E9" w:rsidRDefault="00C061FA">
      <w:pPr>
        <w:spacing w:line="360" w:lineRule="auto"/>
        <w:jc w:val="both"/>
        <w:rPr>
          <w:rFonts w:ascii="Book Antiqua" w:hAnsi="Book Antiqua"/>
        </w:rPr>
      </w:pPr>
      <w:r>
        <w:rPr>
          <w:rFonts w:ascii="Book Antiqua" w:eastAsia="Book Antiqua" w:hAnsi="Book Antiqua" w:cs="Book Antiqua"/>
          <w:color w:val="000000"/>
          <w:shd w:val="clear" w:color="auto" w:fill="FFFFFF"/>
        </w:rPr>
        <w:t>(1) Despite recent drug developments, chemotherapy remains in</w:t>
      </w:r>
      <w:r>
        <w:rPr>
          <w:rFonts w:ascii="Book Antiqua" w:eastAsia="Book Antiqua" w:hAnsi="Book Antiqua" w:cs="Book Antiqua"/>
          <w:color w:val="000000"/>
          <w:shd w:val="clear" w:color="auto" w:fill="FFFFFF"/>
        </w:rPr>
        <w:t xml:space="preserve">tegral to the management of advanced TNBC; (2) </w:t>
      </w:r>
      <w:r>
        <w:rPr>
          <w:rFonts w:ascii="Book Antiqua" w:eastAsia="宋体"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mmunotherapy and PARPi have shown much promise but have yet to demonstrate a proven OS benefit in this disease;</w:t>
      </w:r>
      <w:r>
        <w:rPr>
          <w:rFonts w:ascii="Book Antiqua" w:hAnsi="Book Antiqua" w:hint="eastAsia"/>
          <w:lang w:eastAsia="zh-CN"/>
        </w:rPr>
        <w:t xml:space="preserve"> </w:t>
      </w:r>
      <w:r>
        <w:rPr>
          <w:rFonts w:ascii="Book Antiqua" w:eastAsia="Book Antiqua" w:hAnsi="Book Antiqua" w:cs="Book Antiqua"/>
          <w:color w:val="000000"/>
          <w:shd w:val="clear" w:color="auto" w:fill="FFFFFF"/>
        </w:rPr>
        <w:t xml:space="preserve">and (3)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ntibody drug conjugates and other targeted therapies may ultimately prove to be the nex</w:t>
      </w:r>
      <w:r>
        <w:rPr>
          <w:rFonts w:ascii="Book Antiqua" w:eastAsia="Book Antiqua" w:hAnsi="Book Antiqua" w:cs="Book Antiqua"/>
          <w:color w:val="000000"/>
          <w:shd w:val="clear" w:color="auto" w:fill="FFFFFF"/>
        </w:rPr>
        <w:t>t frontier in treating this illness.</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color w:val="000000"/>
        </w:rPr>
        <w:t>REFERENCES</w:t>
      </w:r>
    </w:p>
    <w:p w:rsidR="00DD33E9" w:rsidRDefault="00C061FA">
      <w:pPr>
        <w:spacing w:line="360" w:lineRule="auto"/>
        <w:jc w:val="both"/>
        <w:rPr>
          <w:rFonts w:ascii="Book Antiqua" w:hAnsi="Book Antiqua"/>
        </w:rPr>
      </w:pPr>
      <w:bookmarkStart w:id="2" w:name="OLE_LINK2579"/>
      <w:r>
        <w:rPr>
          <w:rFonts w:ascii="Book Antiqua" w:hAnsi="Book Antiqua"/>
        </w:rPr>
        <w:t xml:space="preserve">1 </w:t>
      </w:r>
      <w:r>
        <w:rPr>
          <w:rFonts w:ascii="Book Antiqua" w:hAnsi="Book Antiqua"/>
          <w:b/>
          <w:bCs/>
        </w:rPr>
        <w:t>Perou CM</w:t>
      </w:r>
      <w:r>
        <w:rPr>
          <w:rFonts w:ascii="Book Antiqua" w:hAnsi="Book Antiqua"/>
        </w:rPr>
        <w:t>, Sørlie T, Eisen MB, van de Rijn M, Jeffrey SS, Rees CA, Pollack JR, Ross DT, Johnsen H, Akslen LA, Fluge O, Pergamenschikov A, Williams C, Zhu SX, Lønning PE, Børresen-Dale AL, Brown PO, Botstein</w:t>
      </w:r>
      <w:r>
        <w:rPr>
          <w:rFonts w:ascii="Book Antiqua" w:hAnsi="Book Antiqua"/>
        </w:rPr>
        <w:t xml:space="preserve"> D. Molecular portraits of human breast tumours. </w:t>
      </w:r>
      <w:r>
        <w:rPr>
          <w:rFonts w:ascii="Book Antiqua" w:hAnsi="Book Antiqua"/>
          <w:i/>
          <w:iCs/>
        </w:rPr>
        <w:t>Nature</w:t>
      </w:r>
      <w:r>
        <w:rPr>
          <w:rFonts w:ascii="Book Antiqua" w:hAnsi="Book Antiqua"/>
        </w:rPr>
        <w:t xml:space="preserve"> 2000; </w:t>
      </w:r>
      <w:r>
        <w:rPr>
          <w:rFonts w:ascii="Book Antiqua" w:hAnsi="Book Antiqua"/>
          <w:b/>
          <w:bCs/>
        </w:rPr>
        <w:t>406</w:t>
      </w:r>
      <w:r>
        <w:rPr>
          <w:rFonts w:ascii="Book Antiqua" w:hAnsi="Book Antiqua"/>
        </w:rPr>
        <w:t>: 747-752 [PMID: 10963602 DOI: 10.1038/35021093]</w:t>
      </w:r>
    </w:p>
    <w:p w:rsidR="00DD33E9" w:rsidRDefault="00C061FA">
      <w:pPr>
        <w:spacing w:line="360" w:lineRule="auto"/>
        <w:jc w:val="both"/>
        <w:rPr>
          <w:rFonts w:ascii="Book Antiqua" w:hAnsi="Book Antiqua"/>
        </w:rPr>
      </w:pPr>
      <w:proofErr w:type="gramStart"/>
      <w:r>
        <w:rPr>
          <w:rFonts w:ascii="Book Antiqua" w:hAnsi="Book Antiqua"/>
        </w:rPr>
        <w:t xml:space="preserve">2 </w:t>
      </w:r>
      <w:r>
        <w:rPr>
          <w:rFonts w:ascii="Book Antiqua" w:hAnsi="Book Antiqua"/>
          <w:b/>
          <w:bCs/>
        </w:rPr>
        <w:t>Costa RLB</w:t>
      </w:r>
      <w:proofErr w:type="gramEnd"/>
      <w:r>
        <w:rPr>
          <w:rFonts w:ascii="Book Antiqua" w:hAnsi="Book Antiqua"/>
        </w:rPr>
        <w:t xml:space="preserve">, Gradishar WJ. Triple-Negative Breast Cancer: Current Practice and Future Directions. </w:t>
      </w:r>
      <w:r>
        <w:rPr>
          <w:rFonts w:ascii="Book Antiqua" w:hAnsi="Book Antiqua"/>
          <w:i/>
          <w:iCs/>
        </w:rPr>
        <w:t>J Oncol Pract</w:t>
      </w:r>
      <w:r>
        <w:rPr>
          <w:rFonts w:ascii="Book Antiqua" w:hAnsi="Book Antiqua"/>
        </w:rPr>
        <w:t xml:space="preserve"> 2017; </w:t>
      </w:r>
      <w:r>
        <w:rPr>
          <w:rFonts w:ascii="Book Antiqua" w:hAnsi="Book Antiqua"/>
          <w:b/>
          <w:bCs/>
        </w:rPr>
        <w:t>13</w:t>
      </w:r>
      <w:r>
        <w:rPr>
          <w:rFonts w:ascii="Book Antiqua" w:hAnsi="Book Antiqua"/>
        </w:rPr>
        <w:t xml:space="preserve">: 301-303 [PMID: </w:t>
      </w:r>
      <w:r>
        <w:rPr>
          <w:rFonts w:ascii="Book Antiqua" w:hAnsi="Book Antiqua"/>
        </w:rPr>
        <w:t>28489982 DOI: 10.1200/JOP.2017.023333]</w:t>
      </w:r>
    </w:p>
    <w:p w:rsidR="00DD33E9" w:rsidRDefault="00C061FA">
      <w:pPr>
        <w:spacing w:line="360" w:lineRule="auto"/>
        <w:jc w:val="both"/>
        <w:rPr>
          <w:rFonts w:ascii="Book Antiqua" w:hAnsi="Book Antiqua"/>
        </w:rPr>
      </w:pPr>
      <w:r>
        <w:rPr>
          <w:rFonts w:ascii="Book Antiqua" w:hAnsi="Book Antiqua"/>
        </w:rPr>
        <w:t xml:space="preserve">3 </w:t>
      </w:r>
      <w:r>
        <w:rPr>
          <w:rFonts w:ascii="Book Antiqua" w:hAnsi="Book Antiqua"/>
          <w:b/>
          <w:bCs/>
        </w:rPr>
        <w:t>Nielsen TO</w:t>
      </w:r>
      <w:r>
        <w:rPr>
          <w:rFonts w:ascii="Book Antiqua" w:hAnsi="Book Antiqua"/>
        </w:rPr>
        <w:t>, Hsu FD, Jensen K, Cheang M, Karaca G, Hu Z, Hernandez-Boussard T, Livasy C, Cowan D, Dressler L, Akslen LA, Ragaz J, Gown AM, Gilks CB, van de Rijn M, Perou CM. Immunohistochemical and clinical character</w:t>
      </w:r>
      <w:r>
        <w:rPr>
          <w:rFonts w:ascii="Book Antiqua" w:hAnsi="Book Antiqua"/>
        </w:rPr>
        <w:t xml:space="preserve">ization of the basal-like subtype of invasive breast carcinoma. </w:t>
      </w:r>
      <w:r>
        <w:rPr>
          <w:rFonts w:ascii="Book Antiqua" w:hAnsi="Book Antiqua"/>
          <w:i/>
          <w:iCs/>
        </w:rPr>
        <w:t>Clin Cancer Res</w:t>
      </w:r>
      <w:r>
        <w:rPr>
          <w:rFonts w:ascii="Book Antiqua" w:hAnsi="Book Antiqua"/>
        </w:rPr>
        <w:t xml:space="preserve"> 2004; </w:t>
      </w:r>
      <w:r>
        <w:rPr>
          <w:rFonts w:ascii="Book Antiqua" w:hAnsi="Book Antiqua"/>
          <w:b/>
          <w:bCs/>
        </w:rPr>
        <w:t>10</w:t>
      </w:r>
      <w:r>
        <w:rPr>
          <w:rFonts w:ascii="Book Antiqua" w:hAnsi="Book Antiqua"/>
        </w:rPr>
        <w:t>: 5367-5374 [PMID: 15328174 DOI: 10.1158/1078-0432.CCR-04-0220]</w:t>
      </w:r>
    </w:p>
    <w:p w:rsidR="00DD33E9" w:rsidRDefault="00C061FA">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Liu Y</w:t>
      </w:r>
      <w:r>
        <w:rPr>
          <w:rFonts w:ascii="Book Antiqua" w:hAnsi="Book Antiqua"/>
        </w:rPr>
        <w:t>, Xin T, Huang DY, Shen WX, Li L, Lv YJ, Jin YH, Song XW, Teng C, Jiang QY. Prognosis in very you</w:t>
      </w:r>
      <w:r>
        <w:rPr>
          <w:rFonts w:ascii="Book Antiqua" w:hAnsi="Book Antiqua"/>
        </w:rPr>
        <w:t xml:space="preserve">ng women with triple-negative breast cancer: retrospective study of 216 cases. </w:t>
      </w:r>
      <w:r>
        <w:rPr>
          <w:rFonts w:ascii="Book Antiqua" w:hAnsi="Book Antiqua"/>
          <w:i/>
          <w:iCs/>
        </w:rPr>
        <w:t>Med Oncol</w:t>
      </w:r>
      <w:r>
        <w:rPr>
          <w:rFonts w:ascii="Book Antiqua" w:hAnsi="Book Antiqua"/>
        </w:rPr>
        <w:t xml:space="preserve"> 2014; </w:t>
      </w:r>
      <w:r>
        <w:rPr>
          <w:rFonts w:ascii="Book Antiqua" w:hAnsi="Book Antiqua"/>
          <w:b/>
          <w:bCs/>
        </w:rPr>
        <w:t>31</w:t>
      </w:r>
      <w:r>
        <w:rPr>
          <w:rFonts w:ascii="Book Antiqua" w:hAnsi="Book Antiqua"/>
        </w:rPr>
        <w:t>: 222 [PMID: 25391919 DOI: 10.1007/s12032-014-0222-2]</w:t>
      </w:r>
    </w:p>
    <w:p w:rsidR="00DD33E9" w:rsidRDefault="00C061FA">
      <w:pPr>
        <w:spacing w:line="360" w:lineRule="auto"/>
        <w:jc w:val="both"/>
        <w:rPr>
          <w:rFonts w:ascii="Book Antiqua" w:hAnsi="Book Antiqua"/>
        </w:rPr>
      </w:pPr>
      <w:r>
        <w:rPr>
          <w:rFonts w:ascii="Book Antiqua" w:hAnsi="Book Antiqua"/>
        </w:rPr>
        <w:t xml:space="preserve">5 </w:t>
      </w:r>
      <w:r>
        <w:rPr>
          <w:rFonts w:ascii="Book Antiqua" w:hAnsi="Book Antiqua"/>
          <w:b/>
          <w:bCs/>
        </w:rPr>
        <w:t>Stead LA</w:t>
      </w:r>
      <w:r>
        <w:rPr>
          <w:rFonts w:ascii="Book Antiqua" w:hAnsi="Book Antiqua"/>
        </w:rPr>
        <w:t>, Lash TL, Sobieraj JE, Chi DD, Westrup JL, Charlot M, Blanchard RA, Lee JC, King TC, Rosenberg</w:t>
      </w:r>
      <w:r>
        <w:rPr>
          <w:rFonts w:ascii="Book Antiqua" w:hAnsi="Book Antiqua"/>
        </w:rPr>
        <w:t xml:space="preserve"> CL. Triple-negative breast cancers are increased in black women regardless of age or body mass index. </w:t>
      </w:r>
      <w:r>
        <w:rPr>
          <w:rFonts w:ascii="Book Antiqua" w:hAnsi="Book Antiqua"/>
          <w:i/>
          <w:iCs/>
        </w:rPr>
        <w:t>Breast Cancer Res</w:t>
      </w:r>
      <w:r>
        <w:rPr>
          <w:rFonts w:ascii="Book Antiqua" w:hAnsi="Book Antiqua"/>
        </w:rPr>
        <w:t xml:space="preserve"> 2009; </w:t>
      </w:r>
      <w:r>
        <w:rPr>
          <w:rFonts w:ascii="Book Antiqua" w:hAnsi="Book Antiqua"/>
          <w:b/>
          <w:bCs/>
        </w:rPr>
        <w:t>11</w:t>
      </w:r>
      <w:r>
        <w:rPr>
          <w:rFonts w:ascii="Book Antiqua" w:hAnsi="Book Antiqua"/>
        </w:rPr>
        <w:t>: R18 [PMID: 19320967 DOI: 10.1186/bcr2242]</w:t>
      </w:r>
    </w:p>
    <w:p w:rsidR="00DD33E9" w:rsidRDefault="00C061FA">
      <w:pPr>
        <w:spacing w:line="360" w:lineRule="auto"/>
        <w:jc w:val="both"/>
        <w:rPr>
          <w:rFonts w:ascii="Book Antiqua" w:hAnsi="Book Antiqua"/>
        </w:rPr>
      </w:pPr>
      <w:r>
        <w:rPr>
          <w:rFonts w:ascii="Book Antiqua" w:hAnsi="Book Antiqua"/>
        </w:rPr>
        <w:t xml:space="preserve">6 </w:t>
      </w:r>
      <w:r>
        <w:rPr>
          <w:rFonts w:ascii="Book Antiqua" w:hAnsi="Book Antiqua"/>
          <w:b/>
          <w:bCs/>
        </w:rPr>
        <w:t>Sørlie T</w:t>
      </w:r>
      <w:r>
        <w:rPr>
          <w:rFonts w:ascii="Book Antiqua" w:hAnsi="Book Antiqua"/>
        </w:rPr>
        <w:t>, Wang Y, Xiao C, Johnsen H, Naume B, Samaha RR, Børresen-Dale AL. Distin</w:t>
      </w:r>
      <w:r>
        <w:rPr>
          <w:rFonts w:ascii="Book Antiqua" w:hAnsi="Book Antiqua"/>
        </w:rPr>
        <w:t xml:space="preserve">ct molecular mechanisms underlying clinically relevant subtypes of breast cancer: gene expression analyses across three different platforms. </w:t>
      </w:r>
      <w:r>
        <w:rPr>
          <w:rFonts w:ascii="Book Antiqua" w:hAnsi="Book Antiqua"/>
          <w:i/>
          <w:iCs/>
        </w:rPr>
        <w:t>BMC Genomics</w:t>
      </w:r>
      <w:r>
        <w:rPr>
          <w:rFonts w:ascii="Book Antiqua" w:hAnsi="Book Antiqua"/>
        </w:rPr>
        <w:t xml:space="preserve"> 2006; </w:t>
      </w:r>
      <w:r>
        <w:rPr>
          <w:rFonts w:ascii="Book Antiqua" w:hAnsi="Book Antiqua"/>
          <w:b/>
          <w:bCs/>
        </w:rPr>
        <w:t>7</w:t>
      </w:r>
      <w:r>
        <w:rPr>
          <w:rFonts w:ascii="Book Antiqua" w:hAnsi="Book Antiqua"/>
        </w:rPr>
        <w:t>: 127 [PMID: 16729877 DOI: 10.1186/1471-2164-7-127]</w:t>
      </w:r>
    </w:p>
    <w:p w:rsidR="00DD33E9" w:rsidRDefault="00C061FA">
      <w:pPr>
        <w:spacing w:line="360" w:lineRule="auto"/>
        <w:jc w:val="both"/>
        <w:rPr>
          <w:rFonts w:ascii="Book Antiqua" w:hAnsi="Book Antiqua"/>
        </w:rPr>
      </w:pPr>
      <w:r>
        <w:rPr>
          <w:rFonts w:ascii="Book Antiqua" w:hAnsi="Book Antiqua"/>
        </w:rPr>
        <w:t xml:space="preserve">7 </w:t>
      </w:r>
      <w:r>
        <w:rPr>
          <w:rFonts w:ascii="Book Antiqua" w:hAnsi="Book Antiqua"/>
          <w:b/>
          <w:bCs/>
        </w:rPr>
        <w:t>Howlader N</w:t>
      </w:r>
      <w:r>
        <w:rPr>
          <w:rFonts w:ascii="Book Antiqua" w:hAnsi="Book Antiqua"/>
        </w:rPr>
        <w:t>, Cronin KA, Kurian AW, Andridg</w:t>
      </w:r>
      <w:r>
        <w:rPr>
          <w:rFonts w:ascii="Book Antiqua" w:hAnsi="Book Antiqua"/>
        </w:rPr>
        <w:t xml:space="preserve">e R. Differences in Breast Cancer Survival by Molecular Subtypes in the United States. </w:t>
      </w:r>
      <w:r>
        <w:rPr>
          <w:rFonts w:ascii="Book Antiqua" w:hAnsi="Book Antiqua"/>
          <w:i/>
          <w:iCs/>
        </w:rPr>
        <w:t>Cancer Epidemiol Biomarkers Prev</w:t>
      </w:r>
      <w:r>
        <w:rPr>
          <w:rFonts w:ascii="Book Antiqua" w:hAnsi="Book Antiqua"/>
        </w:rPr>
        <w:t xml:space="preserve"> 2018; </w:t>
      </w:r>
      <w:r>
        <w:rPr>
          <w:rFonts w:ascii="Book Antiqua" w:hAnsi="Book Antiqua"/>
          <w:b/>
          <w:bCs/>
        </w:rPr>
        <w:t>27</w:t>
      </w:r>
      <w:r>
        <w:rPr>
          <w:rFonts w:ascii="Book Antiqua" w:hAnsi="Book Antiqua"/>
        </w:rPr>
        <w:t>: 619-626 [PMID: 29593010 DOI: 10.1158/1055-9965.EPI-17-0627]</w:t>
      </w:r>
    </w:p>
    <w:p w:rsidR="00DD33E9" w:rsidRDefault="00C061FA">
      <w:pPr>
        <w:spacing w:line="360" w:lineRule="auto"/>
        <w:jc w:val="both"/>
        <w:rPr>
          <w:rFonts w:ascii="Book Antiqua" w:hAnsi="Book Antiqua"/>
        </w:rPr>
      </w:pPr>
      <w:r>
        <w:rPr>
          <w:rFonts w:ascii="Book Antiqua" w:hAnsi="Book Antiqua"/>
        </w:rPr>
        <w:t xml:space="preserve">8 </w:t>
      </w:r>
      <w:r>
        <w:rPr>
          <w:rFonts w:ascii="Book Antiqua" w:hAnsi="Book Antiqua"/>
          <w:b/>
          <w:bCs/>
        </w:rPr>
        <w:t>Yao Y</w:t>
      </w:r>
      <w:r>
        <w:rPr>
          <w:rFonts w:ascii="Book Antiqua" w:hAnsi="Book Antiqua"/>
        </w:rPr>
        <w:t xml:space="preserve">, Chu Y, Xu B, Hu Q, Song Q. Risk factors for distant metastasis of patients with primary triple-negative breast cancer. </w:t>
      </w:r>
      <w:r>
        <w:rPr>
          <w:rFonts w:ascii="Book Antiqua" w:hAnsi="Book Antiqua"/>
          <w:i/>
          <w:iCs/>
        </w:rPr>
        <w:t>Biosci Rep</w:t>
      </w:r>
      <w:r>
        <w:rPr>
          <w:rFonts w:ascii="Book Antiqua" w:hAnsi="Book Antiqua"/>
        </w:rPr>
        <w:t xml:space="preserve"> 2019; </w:t>
      </w:r>
      <w:r>
        <w:rPr>
          <w:rFonts w:ascii="Book Antiqua" w:hAnsi="Book Antiqua"/>
          <w:b/>
          <w:bCs/>
        </w:rPr>
        <w:t xml:space="preserve">39: </w:t>
      </w:r>
      <w:r>
        <w:rPr>
          <w:rFonts w:ascii="Book Antiqua" w:hAnsi="Book Antiqua"/>
        </w:rPr>
        <w:t>BSR20190288 [PMID: 31113872 DOI: 10.1042/BSR20190288]</w:t>
      </w:r>
    </w:p>
    <w:p w:rsidR="00DD33E9" w:rsidRDefault="00C061FA">
      <w:pPr>
        <w:spacing w:line="360" w:lineRule="auto"/>
        <w:jc w:val="both"/>
        <w:rPr>
          <w:rFonts w:ascii="Book Antiqua" w:hAnsi="Book Antiqua"/>
        </w:rPr>
      </w:pPr>
      <w:r>
        <w:rPr>
          <w:rFonts w:ascii="Book Antiqua" w:hAnsi="Book Antiqua"/>
        </w:rPr>
        <w:t xml:space="preserve">9 </w:t>
      </w:r>
      <w:r>
        <w:rPr>
          <w:rFonts w:ascii="Book Antiqua" w:hAnsi="Book Antiqua"/>
          <w:b/>
          <w:bCs/>
        </w:rPr>
        <w:t>Dent R</w:t>
      </w:r>
      <w:r>
        <w:rPr>
          <w:rFonts w:ascii="Book Antiqua" w:hAnsi="Book Antiqua"/>
        </w:rPr>
        <w:t xml:space="preserve">, Trudeau M, Pritchard KI, Hanna WM, Kahn HK, Sawka </w:t>
      </w:r>
      <w:r>
        <w:rPr>
          <w:rFonts w:ascii="Book Antiqua" w:hAnsi="Book Antiqua"/>
        </w:rPr>
        <w:t xml:space="preserve">CA, Lickley LA, Rawlinson E, Sun P, Narod SA. Triple-negative breast cancer: clinical features and patterns of recurrence. </w:t>
      </w:r>
      <w:r>
        <w:rPr>
          <w:rFonts w:ascii="Book Antiqua" w:hAnsi="Book Antiqua"/>
          <w:i/>
          <w:iCs/>
        </w:rPr>
        <w:t>Clin Cancer Res</w:t>
      </w:r>
      <w:r>
        <w:rPr>
          <w:rFonts w:ascii="Book Antiqua" w:hAnsi="Book Antiqua"/>
        </w:rPr>
        <w:t xml:space="preserve"> 2007; </w:t>
      </w:r>
      <w:r>
        <w:rPr>
          <w:rFonts w:ascii="Book Antiqua" w:hAnsi="Book Antiqua"/>
          <w:b/>
          <w:bCs/>
        </w:rPr>
        <w:t>13</w:t>
      </w:r>
      <w:r>
        <w:rPr>
          <w:rFonts w:ascii="Book Antiqua" w:hAnsi="Book Antiqua"/>
        </w:rPr>
        <w:t>: 4429-4434 [PMID: 17671126 DOI: 10.1158/1078-0432.CCR-06-3045]</w:t>
      </w:r>
    </w:p>
    <w:p w:rsidR="00DD33E9" w:rsidRDefault="00C061FA">
      <w:pPr>
        <w:spacing w:line="360" w:lineRule="auto"/>
        <w:jc w:val="both"/>
        <w:rPr>
          <w:rFonts w:ascii="Book Antiqua" w:hAnsi="Book Antiqua"/>
        </w:rPr>
      </w:pPr>
      <w:r>
        <w:rPr>
          <w:rFonts w:ascii="Book Antiqua" w:hAnsi="Book Antiqua"/>
        </w:rPr>
        <w:t xml:space="preserve">10 </w:t>
      </w:r>
      <w:r>
        <w:rPr>
          <w:rFonts w:ascii="Book Antiqua" w:hAnsi="Book Antiqua"/>
          <w:b/>
          <w:bCs/>
        </w:rPr>
        <w:t>Liedtke C</w:t>
      </w:r>
      <w:r>
        <w:rPr>
          <w:rFonts w:ascii="Book Antiqua" w:hAnsi="Book Antiqua"/>
        </w:rPr>
        <w:t>, Mazouni C, Hess KR, André F, To</w:t>
      </w:r>
      <w:r>
        <w:rPr>
          <w:rFonts w:ascii="Book Antiqua" w:hAnsi="Book Antiqua"/>
        </w:rPr>
        <w:t xml:space="preserve">rdai A, Mejia JA, Symmans WF, Gonzalez-Angulo AM, Hennessy B, Green M, Cristofanilli M, Hortobagyi GN, Pusztai L. Response to neoadjuvant therapy and long-term survival in patients with triple-negative breast cancer. </w:t>
      </w:r>
      <w:r>
        <w:rPr>
          <w:rFonts w:ascii="Book Antiqua" w:hAnsi="Book Antiqua"/>
          <w:i/>
          <w:iCs/>
        </w:rPr>
        <w:t>J Clin Oncol</w:t>
      </w:r>
      <w:r>
        <w:rPr>
          <w:rFonts w:ascii="Book Antiqua" w:hAnsi="Book Antiqua"/>
        </w:rPr>
        <w:t xml:space="preserve"> 2008; </w:t>
      </w:r>
      <w:r>
        <w:rPr>
          <w:rFonts w:ascii="Book Antiqua" w:hAnsi="Book Antiqua"/>
          <w:b/>
          <w:bCs/>
        </w:rPr>
        <w:t>26</w:t>
      </w:r>
      <w:r>
        <w:rPr>
          <w:rFonts w:ascii="Book Antiqua" w:hAnsi="Book Antiqua"/>
        </w:rPr>
        <w:t>: 1275-1281 [PMID:</w:t>
      </w:r>
      <w:r>
        <w:rPr>
          <w:rFonts w:ascii="Book Antiqua" w:hAnsi="Book Antiqua"/>
        </w:rPr>
        <w:t xml:space="preserve"> 18250347 DOI: 10.1200/JCO.2007.14.4147]</w:t>
      </w:r>
    </w:p>
    <w:p w:rsidR="00DD33E9" w:rsidRDefault="00C061FA">
      <w:pPr>
        <w:spacing w:line="360" w:lineRule="auto"/>
        <w:jc w:val="both"/>
        <w:rPr>
          <w:rFonts w:ascii="Book Antiqua" w:hAnsi="Book Antiqua"/>
        </w:rPr>
      </w:pPr>
      <w:r>
        <w:rPr>
          <w:rFonts w:ascii="Book Antiqua" w:hAnsi="Book Antiqua"/>
        </w:rPr>
        <w:t xml:space="preserve">11 </w:t>
      </w:r>
      <w:r>
        <w:rPr>
          <w:rFonts w:ascii="Book Antiqua" w:hAnsi="Book Antiqua"/>
          <w:b/>
          <w:bCs/>
        </w:rPr>
        <w:t>Jin J</w:t>
      </w:r>
      <w:r>
        <w:rPr>
          <w:rFonts w:ascii="Book Antiqua" w:hAnsi="Book Antiqua"/>
        </w:rPr>
        <w:t xml:space="preserve">, Gao Y, Zhang J, Wang L, Wang B, Cao J, Shao Z, Wang Z. Incidence, pattern and prognosis of brain metastases in patients with metastatic triple negative breast cancer. </w:t>
      </w:r>
      <w:r>
        <w:rPr>
          <w:rFonts w:ascii="Book Antiqua" w:hAnsi="Book Antiqua"/>
          <w:i/>
          <w:iCs/>
        </w:rPr>
        <w:t>BMC Cancer</w:t>
      </w:r>
      <w:r>
        <w:rPr>
          <w:rFonts w:ascii="Book Antiqua" w:hAnsi="Book Antiqua"/>
        </w:rPr>
        <w:t xml:space="preserve"> 2018; </w:t>
      </w:r>
      <w:r>
        <w:rPr>
          <w:rFonts w:ascii="Book Antiqua" w:hAnsi="Book Antiqua"/>
          <w:b/>
          <w:bCs/>
        </w:rPr>
        <w:t>18</w:t>
      </w:r>
      <w:r>
        <w:rPr>
          <w:rFonts w:ascii="Book Antiqua" w:hAnsi="Book Antiqua"/>
        </w:rPr>
        <w:t>: 446 [PMID: 296733</w:t>
      </w:r>
      <w:r>
        <w:rPr>
          <w:rFonts w:ascii="Book Antiqua" w:hAnsi="Book Antiqua"/>
        </w:rPr>
        <w:t>25 DOI: 10.1186/s12885-018-4371-0]</w:t>
      </w:r>
    </w:p>
    <w:p w:rsidR="00DD33E9" w:rsidRDefault="00C061FA">
      <w:pPr>
        <w:spacing w:line="360" w:lineRule="auto"/>
        <w:jc w:val="both"/>
        <w:rPr>
          <w:rFonts w:ascii="Book Antiqua" w:hAnsi="Book Antiqua"/>
        </w:rPr>
      </w:pPr>
      <w:r>
        <w:rPr>
          <w:rFonts w:ascii="Book Antiqua" w:hAnsi="Book Antiqua"/>
        </w:rPr>
        <w:lastRenderedPageBreak/>
        <w:t xml:space="preserve">12 </w:t>
      </w:r>
      <w:r>
        <w:rPr>
          <w:rFonts w:ascii="Book Antiqua" w:hAnsi="Book Antiqua"/>
          <w:b/>
          <w:bCs/>
        </w:rPr>
        <w:t>Fan C</w:t>
      </w:r>
      <w:r>
        <w:rPr>
          <w:rFonts w:ascii="Book Antiqua" w:hAnsi="Book Antiqua"/>
        </w:rPr>
        <w:t xml:space="preserve">, Oh DS, Wessels L, Weigelt B, Nuyten DS, Nobel AB, van't Veer LJ, Perou CM. Concordance among gene-expression-based predictors for breast cancer. </w:t>
      </w:r>
      <w:r>
        <w:rPr>
          <w:rFonts w:ascii="Book Antiqua" w:hAnsi="Book Antiqua"/>
          <w:i/>
          <w:iCs/>
        </w:rPr>
        <w:t>N Engl J Med</w:t>
      </w:r>
      <w:r>
        <w:rPr>
          <w:rFonts w:ascii="Book Antiqua" w:hAnsi="Book Antiqua"/>
        </w:rPr>
        <w:t xml:space="preserve"> 2006; </w:t>
      </w:r>
      <w:r>
        <w:rPr>
          <w:rFonts w:ascii="Book Antiqua" w:hAnsi="Book Antiqua"/>
          <w:b/>
          <w:bCs/>
        </w:rPr>
        <w:t>355</w:t>
      </w:r>
      <w:r>
        <w:rPr>
          <w:rFonts w:ascii="Book Antiqua" w:hAnsi="Book Antiqua"/>
        </w:rPr>
        <w:t>: 560-569 [PMID: 16899776 DOI: 10.1056/NEJMo</w:t>
      </w:r>
      <w:r>
        <w:rPr>
          <w:rFonts w:ascii="Book Antiqua" w:hAnsi="Book Antiqua"/>
        </w:rPr>
        <w:t>a052933]</w:t>
      </w:r>
    </w:p>
    <w:p w:rsidR="00DD33E9" w:rsidRDefault="00C061FA">
      <w:pPr>
        <w:spacing w:line="360" w:lineRule="auto"/>
        <w:jc w:val="both"/>
        <w:rPr>
          <w:rFonts w:ascii="Book Antiqua" w:hAnsi="Book Antiqua"/>
          <w:lang w:val="pt-BR"/>
        </w:rPr>
      </w:pPr>
      <w:r>
        <w:rPr>
          <w:rFonts w:ascii="Book Antiqua" w:hAnsi="Book Antiqua"/>
        </w:rPr>
        <w:t xml:space="preserve">13 </w:t>
      </w:r>
      <w:r>
        <w:rPr>
          <w:rFonts w:ascii="Book Antiqua" w:hAnsi="Book Antiqua"/>
          <w:b/>
          <w:bCs/>
        </w:rPr>
        <w:t>Bertucci F</w:t>
      </w:r>
      <w:r>
        <w:rPr>
          <w:rFonts w:ascii="Book Antiqua" w:hAnsi="Book Antiqua"/>
        </w:rPr>
        <w:t xml:space="preserve">, Finetti P, Cervera N, Esterni B, Hermitte F, Viens P, Birnbaum D. How basal are triple-negative breast cancers? </w:t>
      </w:r>
      <w:r>
        <w:rPr>
          <w:rFonts w:ascii="Book Antiqua" w:hAnsi="Book Antiqua"/>
          <w:i/>
          <w:iCs/>
          <w:lang w:val="pt-BR"/>
        </w:rPr>
        <w:t>Int J Cancer</w:t>
      </w:r>
      <w:r>
        <w:rPr>
          <w:rFonts w:ascii="Book Antiqua" w:hAnsi="Book Antiqua"/>
          <w:lang w:val="pt-BR"/>
        </w:rPr>
        <w:t xml:space="preserve"> 2008; </w:t>
      </w:r>
      <w:r>
        <w:rPr>
          <w:rFonts w:ascii="Book Antiqua" w:hAnsi="Book Antiqua"/>
          <w:b/>
          <w:bCs/>
          <w:lang w:val="pt-BR"/>
        </w:rPr>
        <w:t>123</w:t>
      </w:r>
      <w:r>
        <w:rPr>
          <w:rFonts w:ascii="Book Antiqua" w:hAnsi="Book Antiqua"/>
          <w:lang w:val="pt-BR"/>
        </w:rPr>
        <w:t>: 236-240 [PMID: 18398844 DOI: 10.1002/ijc.23518]</w:t>
      </w:r>
    </w:p>
    <w:p w:rsidR="00DD33E9" w:rsidRDefault="00C061FA">
      <w:pPr>
        <w:spacing w:line="360" w:lineRule="auto"/>
        <w:jc w:val="both"/>
        <w:rPr>
          <w:rFonts w:ascii="Book Antiqua" w:hAnsi="Book Antiqua"/>
        </w:rPr>
      </w:pPr>
      <w:r>
        <w:rPr>
          <w:rFonts w:ascii="Book Antiqua" w:hAnsi="Book Antiqua"/>
          <w:lang w:val="pt-BR"/>
        </w:rPr>
        <w:t xml:space="preserve">14 </w:t>
      </w:r>
      <w:r>
        <w:rPr>
          <w:rFonts w:ascii="Book Antiqua" w:hAnsi="Book Antiqua"/>
          <w:b/>
          <w:bCs/>
          <w:lang w:val="pt-BR"/>
        </w:rPr>
        <w:t>Rakha EA</w:t>
      </w:r>
      <w:r>
        <w:rPr>
          <w:rFonts w:ascii="Book Antiqua" w:hAnsi="Book Antiqua"/>
          <w:lang w:val="pt-BR"/>
        </w:rPr>
        <w:t xml:space="preserve">, Reis-Filho JS, Ellis IO. </w:t>
      </w:r>
      <w:r>
        <w:rPr>
          <w:rFonts w:ascii="Book Antiqua" w:hAnsi="Book Antiqua"/>
        </w:rPr>
        <w:t xml:space="preserve">Basal-like breast cancer: a critical review. </w:t>
      </w:r>
      <w:r>
        <w:rPr>
          <w:rFonts w:ascii="Book Antiqua" w:hAnsi="Book Antiqua"/>
          <w:i/>
          <w:iCs/>
        </w:rPr>
        <w:t>J Clin Oncol</w:t>
      </w:r>
      <w:r>
        <w:rPr>
          <w:rFonts w:ascii="Book Antiqua" w:hAnsi="Book Antiqua"/>
        </w:rPr>
        <w:t xml:space="preserve"> 2008; </w:t>
      </w:r>
      <w:r>
        <w:rPr>
          <w:rFonts w:ascii="Book Antiqua" w:hAnsi="Book Antiqua"/>
          <w:b/>
          <w:bCs/>
        </w:rPr>
        <w:t>26</w:t>
      </w:r>
      <w:r>
        <w:rPr>
          <w:rFonts w:ascii="Book Antiqua" w:hAnsi="Book Antiqua"/>
        </w:rPr>
        <w:t>: 2568-2581 [PMID: 18487574 DOI: 10.1200/JCO.2007.13.1748]</w:t>
      </w:r>
    </w:p>
    <w:p w:rsidR="00DD33E9" w:rsidRDefault="00C061FA">
      <w:pPr>
        <w:spacing w:line="360" w:lineRule="auto"/>
        <w:jc w:val="both"/>
        <w:rPr>
          <w:rFonts w:ascii="Book Antiqua" w:hAnsi="Book Antiqua"/>
        </w:rPr>
      </w:pPr>
      <w:r>
        <w:rPr>
          <w:rFonts w:ascii="Book Antiqua" w:hAnsi="Book Antiqua"/>
        </w:rPr>
        <w:t xml:space="preserve">15 </w:t>
      </w:r>
      <w:r>
        <w:rPr>
          <w:rFonts w:ascii="Book Antiqua" w:hAnsi="Book Antiqua"/>
          <w:b/>
          <w:bCs/>
        </w:rPr>
        <w:t>Reis-Filho JS</w:t>
      </w:r>
      <w:r>
        <w:rPr>
          <w:rFonts w:ascii="Book Antiqua" w:hAnsi="Book Antiqua"/>
        </w:rPr>
        <w:t xml:space="preserve">, Tutt AN. Triple negative tumours: a critical review. </w:t>
      </w:r>
      <w:r>
        <w:rPr>
          <w:rFonts w:ascii="Book Antiqua" w:hAnsi="Book Antiqua"/>
          <w:i/>
          <w:iCs/>
        </w:rPr>
        <w:t>Histopathology</w:t>
      </w:r>
      <w:r>
        <w:rPr>
          <w:rFonts w:ascii="Book Antiqua" w:hAnsi="Book Antiqua"/>
        </w:rPr>
        <w:t xml:space="preserve"> 2008; </w:t>
      </w:r>
      <w:r>
        <w:rPr>
          <w:rFonts w:ascii="Book Antiqua" w:hAnsi="Book Antiqua"/>
          <w:b/>
          <w:bCs/>
        </w:rPr>
        <w:t>52</w:t>
      </w:r>
      <w:r>
        <w:rPr>
          <w:rFonts w:ascii="Book Antiqua" w:hAnsi="Book Antiqua"/>
        </w:rPr>
        <w:t>: 108-118 [PMID: 18171422 DOI: 10.111</w:t>
      </w:r>
      <w:r>
        <w:rPr>
          <w:rFonts w:ascii="Book Antiqua" w:hAnsi="Book Antiqua"/>
        </w:rPr>
        <w:t>1/j.1365-2559.2007.02889.x]</w:t>
      </w:r>
    </w:p>
    <w:p w:rsidR="00DD33E9" w:rsidRDefault="00C061FA">
      <w:pPr>
        <w:spacing w:line="360" w:lineRule="auto"/>
        <w:jc w:val="both"/>
        <w:rPr>
          <w:rFonts w:ascii="Book Antiqua" w:hAnsi="Book Antiqua"/>
        </w:rPr>
      </w:pPr>
      <w:proofErr w:type="gramStart"/>
      <w:r>
        <w:rPr>
          <w:rFonts w:ascii="Book Antiqua" w:hAnsi="Book Antiqua"/>
        </w:rPr>
        <w:t xml:space="preserve">16 </w:t>
      </w:r>
      <w:r>
        <w:rPr>
          <w:rFonts w:ascii="Book Antiqua" w:hAnsi="Book Antiqua"/>
          <w:b/>
          <w:bCs/>
        </w:rPr>
        <w:t>Foulkes WD</w:t>
      </w:r>
      <w:r>
        <w:rPr>
          <w:rFonts w:ascii="Book Antiqua" w:hAnsi="Book Antiqua"/>
        </w:rPr>
        <w:t>, Smith IE, Reis-Filho JS.</w:t>
      </w:r>
      <w:proofErr w:type="gramEnd"/>
      <w:r>
        <w:rPr>
          <w:rFonts w:ascii="Book Antiqua" w:hAnsi="Book Antiqua"/>
        </w:rPr>
        <w:t xml:space="preserve"> </w:t>
      </w:r>
      <w:proofErr w:type="gramStart"/>
      <w:r>
        <w:rPr>
          <w:rFonts w:ascii="Book Antiqua" w:hAnsi="Book Antiqua"/>
        </w:rPr>
        <w:t>Triple-negative breast cancer.</w:t>
      </w:r>
      <w:proofErr w:type="gramEnd"/>
      <w:r>
        <w:rPr>
          <w:rFonts w:ascii="Book Antiqua" w:hAnsi="Book Antiqua"/>
        </w:rPr>
        <w:t xml:space="preserve"> </w:t>
      </w:r>
      <w:r>
        <w:rPr>
          <w:rFonts w:ascii="Book Antiqua" w:hAnsi="Book Antiqua"/>
          <w:i/>
          <w:iCs/>
        </w:rPr>
        <w:t>N Engl J Med</w:t>
      </w:r>
      <w:r>
        <w:rPr>
          <w:rFonts w:ascii="Book Antiqua" w:hAnsi="Book Antiqua"/>
        </w:rPr>
        <w:t xml:space="preserve"> 2010; </w:t>
      </w:r>
      <w:r>
        <w:rPr>
          <w:rFonts w:ascii="Book Antiqua" w:hAnsi="Book Antiqua"/>
          <w:b/>
          <w:bCs/>
        </w:rPr>
        <w:t>363</w:t>
      </w:r>
      <w:r>
        <w:rPr>
          <w:rFonts w:ascii="Book Antiqua" w:hAnsi="Book Antiqua"/>
        </w:rPr>
        <w:t>: 1938-1948 [PMID: 21067385 DOI: 10.1056/NEJMra1001389]</w:t>
      </w:r>
    </w:p>
    <w:p w:rsidR="00DD33E9" w:rsidRDefault="00C061FA">
      <w:pPr>
        <w:spacing w:line="360" w:lineRule="auto"/>
        <w:jc w:val="both"/>
        <w:rPr>
          <w:rFonts w:ascii="Book Antiqua" w:hAnsi="Book Antiqua"/>
        </w:rPr>
      </w:pPr>
      <w:r>
        <w:rPr>
          <w:rFonts w:ascii="Book Antiqua" w:hAnsi="Book Antiqua"/>
        </w:rPr>
        <w:t xml:space="preserve">17 </w:t>
      </w:r>
      <w:r>
        <w:rPr>
          <w:rFonts w:ascii="Book Antiqua" w:hAnsi="Book Antiqua"/>
          <w:b/>
          <w:bCs/>
        </w:rPr>
        <w:t>Lim E</w:t>
      </w:r>
      <w:r>
        <w:rPr>
          <w:rFonts w:ascii="Book Antiqua" w:hAnsi="Book Antiqua"/>
        </w:rPr>
        <w:t>, Vaillant F, Wu D, Forrest NC, Pal B, Hart AH, Asselin-Labat ML, Gyork</w:t>
      </w:r>
      <w:r>
        <w:rPr>
          <w:rFonts w:ascii="Book Antiqua" w:hAnsi="Book Antiqua"/>
        </w:rPr>
        <w:t>i DE, Ward T, Partanen A, Feleppa F, Huschtscha LI, Thorne HJ; kConFab, Fox SB, Yan M, French JD, Brown MA, Smyth GK, Visvader JE, Lindeman GJ. Aberrant luminal progenitors as the candidate target population for basal tumor development in BRCA1 mutation ca</w:t>
      </w:r>
      <w:r>
        <w:rPr>
          <w:rFonts w:ascii="Book Antiqua" w:hAnsi="Book Antiqua"/>
        </w:rPr>
        <w:t xml:space="preserve">rriers. </w:t>
      </w:r>
      <w:r>
        <w:rPr>
          <w:rFonts w:ascii="Book Antiqua" w:hAnsi="Book Antiqua"/>
          <w:i/>
          <w:iCs/>
        </w:rPr>
        <w:t>Nat Med</w:t>
      </w:r>
      <w:r>
        <w:rPr>
          <w:rFonts w:ascii="Book Antiqua" w:hAnsi="Book Antiqua"/>
        </w:rPr>
        <w:t xml:space="preserve"> 2009; </w:t>
      </w:r>
      <w:r>
        <w:rPr>
          <w:rFonts w:ascii="Book Antiqua" w:hAnsi="Book Antiqua"/>
          <w:b/>
          <w:bCs/>
        </w:rPr>
        <w:t>15</w:t>
      </w:r>
      <w:r>
        <w:rPr>
          <w:rFonts w:ascii="Book Antiqua" w:hAnsi="Book Antiqua"/>
        </w:rPr>
        <w:t>: 907-913 [PMID: 19648928 DOI: 10.1038/nm.2000]</w:t>
      </w:r>
    </w:p>
    <w:p w:rsidR="00DD33E9" w:rsidRDefault="00C061FA">
      <w:pPr>
        <w:spacing w:line="360" w:lineRule="auto"/>
        <w:jc w:val="both"/>
        <w:rPr>
          <w:rFonts w:ascii="Book Antiqua" w:hAnsi="Book Antiqua"/>
        </w:rPr>
      </w:pPr>
      <w:r>
        <w:rPr>
          <w:rFonts w:ascii="Book Antiqua" w:hAnsi="Book Antiqua"/>
        </w:rPr>
        <w:t xml:space="preserve">18 </w:t>
      </w:r>
      <w:r>
        <w:rPr>
          <w:rFonts w:ascii="Book Antiqua" w:hAnsi="Book Antiqua"/>
          <w:b/>
          <w:bCs/>
        </w:rPr>
        <w:t>Foulkes WD</w:t>
      </w:r>
      <w:r>
        <w:rPr>
          <w:rFonts w:ascii="Book Antiqua" w:hAnsi="Book Antiqua"/>
        </w:rPr>
        <w:t xml:space="preserve">, Stefansson IM, Chappuis PO, Bégin LR, Goffin JR, Wong N, Trudel M, Akslen LA. </w:t>
      </w:r>
      <w:proofErr w:type="gramStart"/>
      <w:r>
        <w:rPr>
          <w:rFonts w:ascii="Book Antiqua" w:hAnsi="Book Antiqua"/>
        </w:rPr>
        <w:t>Germline BRCA1 mutations and a basal epithelial phenotype in breast cancer.</w:t>
      </w:r>
      <w:proofErr w:type="gramEnd"/>
      <w:r>
        <w:rPr>
          <w:rFonts w:ascii="Book Antiqua" w:hAnsi="Book Antiqua"/>
        </w:rPr>
        <w:t xml:space="preserve"> </w:t>
      </w:r>
      <w:r>
        <w:rPr>
          <w:rFonts w:ascii="Book Antiqua" w:hAnsi="Book Antiqua"/>
          <w:i/>
          <w:iCs/>
        </w:rPr>
        <w:t>J Natl Cancer I</w:t>
      </w:r>
      <w:r>
        <w:rPr>
          <w:rFonts w:ascii="Book Antiqua" w:hAnsi="Book Antiqua"/>
          <w:i/>
          <w:iCs/>
        </w:rPr>
        <w:t>nst</w:t>
      </w:r>
      <w:r>
        <w:rPr>
          <w:rFonts w:ascii="Book Antiqua" w:hAnsi="Book Antiqua"/>
        </w:rPr>
        <w:t xml:space="preserve"> 2003; </w:t>
      </w:r>
      <w:r>
        <w:rPr>
          <w:rFonts w:ascii="Book Antiqua" w:hAnsi="Book Antiqua"/>
          <w:b/>
          <w:bCs/>
        </w:rPr>
        <w:t>95</w:t>
      </w:r>
      <w:r>
        <w:rPr>
          <w:rFonts w:ascii="Book Antiqua" w:hAnsi="Book Antiqua"/>
        </w:rPr>
        <w:t>: 1482-1485 [PMID: 14519755 DOI: 10.1093/jnci/djg050]</w:t>
      </w:r>
    </w:p>
    <w:p w:rsidR="00DD33E9" w:rsidRDefault="00C061FA">
      <w:pPr>
        <w:spacing w:line="360" w:lineRule="auto"/>
        <w:jc w:val="both"/>
        <w:rPr>
          <w:rFonts w:ascii="Book Antiqua" w:hAnsi="Book Antiqua"/>
        </w:rPr>
      </w:pPr>
      <w:r>
        <w:rPr>
          <w:rFonts w:ascii="Book Antiqua" w:hAnsi="Book Antiqua"/>
        </w:rPr>
        <w:t xml:space="preserve">19 </w:t>
      </w:r>
      <w:r>
        <w:rPr>
          <w:rFonts w:ascii="Book Antiqua" w:hAnsi="Book Antiqua"/>
          <w:b/>
          <w:bCs/>
        </w:rPr>
        <w:t>Lakhani SR</w:t>
      </w:r>
      <w:r>
        <w:rPr>
          <w:rFonts w:ascii="Book Antiqua" w:hAnsi="Book Antiqua"/>
        </w:rPr>
        <w:t>, Reis-Filho JS, Fulford L, Penault-Llorca F, van der Vijver M, Parry S, Bishop T, Benitez J, Rivas C, Bignon YJ, Chang-Claude J, Hamann U, Cornelisse CJ, Devilee P, Beckmann MW</w:t>
      </w:r>
      <w:r>
        <w:rPr>
          <w:rFonts w:ascii="Book Antiqua" w:hAnsi="Book Antiqua"/>
        </w:rPr>
        <w:t>, Nestle-Krämling C, Daly PA, Haites N, Varley J, Lalloo F, Evans G, Maugard C, Meijers-Heijboer H, Klijn JG, Olah E, Gusterson BA, Pilotti S, Radice P, Scherneck S, Sobol H, Jacquemier J, Wagner T, Peto J, Stratton MR, McGuffog L, Easton DF; Breast Cancer</w:t>
      </w:r>
      <w:r>
        <w:rPr>
          <w:rFonts w:ascii="Book Antiqua" w:hAnsi="Book Antiqua"/>
        </w:rPr>
        <w:t xml:space="preserve"> Linkage Consortium. </w:t>
      </w:r>
      <w:proofErr w:type="gramStart"/>
      <w:r>
        <w:rPr>
          <w:rFonts w:ascii="Book Antiqua" w:hAnsi="Book Antiqua"/>
        </w:rPr>
        <w:t>Prediction of BRCA1 status in patients with breast cancer using estrogen receptor and basal phenotype.</w:t>
      </w:r>
      <w:proofErr w:type="gramEnd"/>
      <w:r>
        <w:rPr>
          <w:rFonts w:ascii="Book Antiqua" w:hAnsi="Book Antiqua"/>
        </w:rPr>
        <w:t xml:space="preserve"> </w:t>
      </w:r>
      <w:r>
        <w:rPr>
          <w:rFonts w:ascii="Book Antiqua" w:hAnsi="Book Antiqua"/>
          <w:i/>
          <w:iCs/>
        </w:rPr>
        <w:t>Clin Cancer Res</w:t>
      </w:r>
      <w:r>
        <w:rPr>
          <w:rFonts w:ascii="Book Antiqua" w:hAnsi="Book Antiqua"/>
        </w:rPr>
        <w:t xml:space="preserve"> 2005; </w:t>
      </w:r>
      <w:r>
        <w:rPr>
          <w:rFonts w:ascii="Book Antiqua" w:hAnsi="Book Antiqua"/>
          <w:b/>
          <w:bCs/>
        </w:rPr>
        <w:t>11</w:t>
      </w:r>
      <w:r>
        <w:rPr>
          <w:rFonts w:ascii="Book Antiqua" w:hAnsi="Book Antiqua"/>
        </w:rPr>
        <w:t>: 5175-5180 [PMID: 16033833 DOI: 10.1158/1078-0432.CCR-04-2424]</w:t>
      </w:r>
    </w:p>
    <w:p w:rsidR="00DD33E9" w:rsidRDefault="00C061FA">
      <w:pPr>
        <w:spacing w:line="360" w:lineRule="auto"/>
        <w:jc w:val="both"/>
        <w:rPr>
          <w:rFonts w:ascii="Book Antiqua" w:hAnsi="Book Antiqua"/>
        </w:rPr>
      </w:pPr>
      <w:r>
        <w:rPr>
          <w:rFonts w:ascii="Book Antiqua" w:hAnsi="Book Antiqua"/>
        </w:rPr>
        <w:lastRenderedPageBreak/>
        <w:t xml:space="preserve">20 </w:t>
      </w:r>
      <w:r>
        <w:rPr>
          <w:rFonts w:ascii="Book Antiqua" w:hAnsi="Book Antiqua"/>
          <w:b/>
          <w:bCs/>
        </w:rPr>
        <w:t>Peshkin BN</w:t>
      </w:r>
      <w:r>
        <w:rPr>
          <w:rFonts w:ascii="Book Antiqua" w:hAnsi="Book Antiqua"/>
        </w:rPr>
        <w:t xml:space="preserve">, Alabek ML, Isaacs C. BRCA1/2 </w:t>
      </w:r>
      <w:r>
        <w:rPr>
          <w:rFonts w:ascii="Book Antiqua" w:hAnsi="Book Antiqua"/>
        </w:rPr>
        <w:t xml:space="preserve">mutations and triple negative breast cancers. </w:t>
      </w:r>
      <w:r>
        <w:rPr>
          <w:rFonts w:ascii="Book Antiqua" w:hAnsi="Book Antiqua"/>
          <w:i/>
          <w:iCs/>
        </w:rPr>
        <w:t>Breast Dis</w:t>
      </w:r>
      <w:r>
        <w:rPr>
          <w:rFonts w:ascii="Book Antiqua" w:hAnsi="Book Antiqua"/>
        </w:rPr>
        <w:t xml:space="preserve"> 2010; </w:t>
      </w:r>
      <w:r>
        <w:rPr>
          <w:rFonts w:ascii="Book Antiqua" w:hAnsi="Book Antiqua"/>
          <w:b/>
          <w:bCs/>
        </w:rPr>
        <w:t>32</w:t>
      </w:r>
      <w:r>
        <w:rPr>
          <w:rFonts w:ascii="Book Antiqua" w:hAnsi="Book Antiqua"/>
        </w:rPr>
        <w:t>: 25-33 [PMID: 21778580 DOI: 10.3233/BD-2010-0306]</w:t>
      </w:r>
    </w:p>
    <w:p w:rsidR="00DD33E9" w:rsidRDefault="00C061FA">
      <w:pPr>
        <w:spacing w:line="360" w:lineRule="auto"/>
        <w:jc w:val="both"/>
        <w:rPr>
          <w:rFonts w:ascii="Book Antiqua" w:hAnsi="Book Antiqua"/>
        </w:rPr>
      </w:pPr>
      <w:proofErr w:type="gramStart"/>
      <w:r>
        <w:rPr>
          <w:rFonts w:ascii="Book Antiqua" w:hAnsi="Book Antiqua"/>
        </w:rPr>
        <w:t xml:space="preserve">21 </w:t>
      </w:r>
      <w:r>
        <w:rPr>
          <w:rFonts w:ascii="Book Antiqua" w:hAnsi="Book Antiqua"/>
          <w:b/>
          <w:bCs/>
        </w:rPr>
        <w:t>Byrum AK</w:t>
      </w:r>
      <w:r>
        <w:rPr>
          <w:rFonts w:ascii="Book Antiqua" w:hAnsi="Book Antiqua"/>
        </w:rPr>
        <w:t>, Vindigni A, Mosammaparast N. Defining and Modulating 'BRCAness'.</w:t>
      </w:r>
      <w:proofErr w:type="gramEnd"/>
      <w:r>
        <w:rPr>
          <w:rFonts w:ascii="Book Antiqua" w:hAnsi="Book Antiqua"/>
        </w:rPr>
        <w:t xml:space="preserve"> </w:t>
      </w:r>
      <w:r>
        <w:rPr>
          <w:rFonts w:ascii="Book Antiqua" w:hAnsi="Book Antiqua"/>
          <w:i/>
          <w:iCs/>
        </w:rPr>
        <w:t>Trends Cell Biol</w:t>
      </w:r>
      <w:r>
        <w:rPr>
          <w:rFonts w:ascii="Book Antiqua" w:hAnsi="Book Antiqua"/>
        </w:rPr>
        <w:t xml:space="preserve"> 2019; </w:t>
      </w:r>
      <w:r>
        <w:rPr>
          <w:rFonts w:ascii="Book Antiqua" w:hAnsi="Book Antiqua"/>
          <w:b/>
          <w:bCs/>
        </w:rPr>
        <w:t>29</w:t>
      </w:r>
      <w:r>
        <w:rPr>
          <w:rFonts w:ascii="Book Antiqua" w:hAnsi="Book Antiqua"/>
        </w:rPr>
        <w:t>: 740-751 [PMID: 31362850 DOI: 10.101</w:t>
      </w:r>
      <w:r>
        <w:rPr>
          <w:rFonts w:ascii="Book Antiqua" w:hAnsi="Book Antiqua"/>
        </w:rPr>
        <w:t>6/j.tcb.2019.06.005]</w:t>
      </w:r>
    </w:p>
    <w:p w:rsidR="00DD33E9" w:rsidRDefault="00C061FA">
      <w:pPr>
        <w:spacing w:line="360" w:lineRule="auto"/>
        <w:jc w:val="both"/>
        <w:rPr>
          <w:rFonts w:ascii="Book Antiqua" w:hAnsi="Book Antiqua"/>
        </w:rPr>
      </w:pPr>
      <w:r>
        <w:rPr>
          <w:rFonts w:ascii="Book Antiqua" w:hAnsi="Book Antiqua"/>
        </w:rPr>
        <w:t xml:space="preserve">22 </w:t>
      </w:r>
      <w:r>
        <w:rPr>
          <w:rFonts w:ascii="Book Antiqua" w:hAnsi="Book Antiqua"/>
          <w:b/>
          <w:bCs/>
        </w:rPr>
        <w:t>Turner N</w:t>
      </w:r>
      <w:r>
        <w:rPr>
          <w:rFonts w:ascii="Book Antiqua" w:hAnsi="Book Antiqua"/>
        </w:rPr>
        <w:t xml:space="preserve">, Tutt A, Ashworth A. Hallmarks of 'BRCAness' in sporadic cancers. </w:t>
      </w:r>
      <w:r>
        <w:rPr>
          <w:rFonts w:ascii="Book Antiqua" w:hAnsi="Book Antiqua"/>
          <w:i/>
          <w:iCs/>
        </w:rPr>
        <w:t>Nat Rev Cancer</w:t>
      </w:r>
      <w:r>
        <w:rPr>
          <w:rFonts w:ascii="Book Antiqua" w:hAnsi="Book Antiqua"/>
        </w:rPr>
        <w:t xml:space="preserve"> 2004; </w:t>
      </w:r>
      <w:r>
        <w:rPr>
          <w:rFonts w:ascii="Book Antiqua" w:hAnsi="Book Antiqua"/>
          <w:b/>
          <w:bCs/>
        </w:rPr>
        <w:t>4</w:t>
      </w:r>
      <w:r>
        <w:rPr>
          <w:rFonts w:ascii="Book Antiqua" w:hAnsi="Book Antiqua"/>
        </w:rPr>
        <w:t>: 814-819 [PMID: 15510162 DOI: 10.1038/nrc1457]</w:t>
      </w:r>
    </w:p>
    <w:p w:rsidR="00DD33E9" w:rsidRDefault="00C061FA">
      <w:pPr>
        <w:spacing w:line="360" w:lineRule="auto"/>
        <w:jc w:val="both"/>
        <w:rPr>
          <w:rFonts w:ascii="Book Antiqua" w:hAnsi="Book Antiqua"/>
        </w:rPr>
      </w:pPr>
      <w:r>
        <w:rPr>
          <w:rFonts w:ascii="Book Antiqua" w:hAnsi="Book Antiqua"/>
        </w:rPr>
        <w:t xml:space="preserve">23 </w:t>
      </w:r>
      <w:r>
        <w:rPr>
          <w:rFonts w:ascii="Book Antiqua" w:hAnsi="Book Antiqua"/>
          <w:b/>
          <w:bCs/>
        </w:rPr>
        <w:t>Keung MYT</w:t>
      </w:r>
      <w:r>
        <w:rPr>
          <w:rFonts w:ascii="Book Antiqua" w:hAnsi="Book Antiqua"/>
        </w:rPr>
        <w:t xml:space="preserve">, Wu Y, Vadgama JV. </w:t>
      </w:r>
      <w:proofErr w:type="gramStart"/>
      <w:r>
        <w:rPr>
          <w:rFonts w:ascii="Book Antiqua" w:hAnsi="Book Antiqua"/>
        </w:rPr>
        <w:t>PARP Inhibitors as a Therapeutic Agent for Homologous Recombination Deficiency in Breast Cancers.</w:t>
      </w:r>
      <w:proofErr w:type="gramEnd"/>
      <w:r>
        <w:rPr>
          <w:rFonts w:ascii="Book Antiqua" w:hAnsi="Book Antiqua"/>
        </w:rPr>
        <w:t xml:space="preserve"> </w:t>
      </w:r>
      <w:r>
        <w:rPr>
          <w:rFonts w:ascii="Book Antiqua" w:hAnsi="Book Antiqua"/>
          <w:i/>
          <w:iCs/>
        </w:rPr>
        <w:t>J Clin Med</w:t>
      </w:r>
      <w:r>
        <w:rPr>
          <w:rFonts w:ascii="Book Antiqua" w:hAnsi="Book Antiqua"/>
        </w:rPr>
        <w:t xml:space="preserve"> 2019; </w:t>
      </w:r>
      <w:r>
        <w:rPr>
          <w:rFonts w:ascii="Book Antiqua" w:hAnsi="Book Antiqua"/>
          <w:b/>
          <w:bCs/>
        </w:rPr>
        <w:t>8</w:t>
      </w:r>
      <w:r>
        <w:rPr>
          <w:rFonts w:ascii="Book Antiqua" w:hAnsi="Book Antiqua"/>
        </w:rPr>
        <w:t xml:space="preserve"> [PMID: 30934991 DOI: 10.3390/jcm8040435]</w:t>
      </w:r>
    </w:p>
    <w:p w:rsidR="00DD33E9" w:rsidRDefault="00C061FA">
      <w:pPr>
        <w:spacing w:line="360" w:lineRule="auto"/>
        <w:jc w:val="both"/>
        <w:rPr>
          <w:rFonts w:ascii="Book Antiqua" w:hAnsi="Book Antiqua"/>
        </w:rPr>
      </w:pPr>
      <w:proofErr w:type="gramStart"/>
      <w:r>
        <w:rPr>
          <w:rFonts w:ascii="Book Antiqua" w:hAnsi="Book Antiqua"/>
        </w:rPr>
        <w:t xml:space="preserve">24 </w:t>
      </w:r>
      <w:r>
        <w:rPr>
          <w:rFonts w:ascii="Book Antiqua" w:hAnsi="Book Antiqua"/>
          <w:b/>
          <w:bCs/>
        </w:rPr>
        <w:t>Yu T</w:t>
      </w:r>
      <w:r>
        <w:rPr>
          <w:rFonts w:ascii="Book Antiqua" w:hAnsi="Book Antiqua"/>
        </w:rPr>
        <w:t>, Di G. Role of tumor microenvironment in triple-negative breast cancer</w:t>
      </w:r>
      <w:r>
        <w:rPr>
          <w:rFonts w:ascii="Book Antiqua" w:hAnsi="Book Antiqua"/>
        </w:rPr>
        <w:t xml:space="preserve"> and its prognostic significance.</w:t>
      </w:r>
      <w:proofErr w:type="gramEnd"/>
      <w:r>
        <w:rPr>
          <w:rFonts w:ascii="Book Antiqua" w:hAnsi="Book Antiqua"/>
        </w:rPr>
        <w:t xml:space="preserve"> </w:t>
      </w:r>
      <w:r>
        <w:rPr>
          <w:rFonts w:ascii="Book Antiqua" w:hAnsi="Book Antiqua"/>
          <w:i/>
          <w:iCs/>
        </w:rPr>
        <w:t>Chin J Cancer Res</w:t>
      </w:r>
      <w:r>
        <w:rPr>
          <w:rFonts w:ascii="Book Antiqua" w:hAnsi="Book Antiqua"/>
        </w:rPr>
        <w:t xml:space="preserve"> 2017; </w:t>
      </w:r>
      <w:r>
        <w:rPr>
          <w:rFonts w:ascii="Book Antiqua" w:hAnsi="Book Antiqua"/>
          <w:b/>
          <w:bCs/>
        </w:rPr>
        <w:t>29</w:t>
      </w:r>
      <w:r>
        <w:rPr>
          <w:rFonts w:ascii="Book Antiqua" w:hAnsi="Book Antiqua"/>
        </w:rPr>
        <w:t>: 237-252 [PMID: 28729775 DOI: 10.21147/j.issn.1000-9604.2017.03.10]</w:t>
      </w:r>
    </w:p>
    <w:p w:rsidR="00DD33E9" w:rsidRDefault="00C061FA">
      <w:pPr>
        <w:spacing w:line="360" w:lineRule="auto"/>
        <w:jc w:val="both"/>
        <w:rPr>
          <w:rFonts w:ascii="Book Antiqua" w:hAnsi="Book Antiqua"/>
          <w:lang w:val="pt-BR"/>
        </w:rPr>
      </w:pPr>
      <w:r>
        <w:rPr>
          <w:rFonts w:ascii="Book Antiqua" w:hAnsi="Book Antiqua"/>
        </w:rPr>
        <w:t xml:space="preserve">25 </w:t>
      </w:r>
      <w:r>
        <w:rPr>
          <w:rFonts w:ascii="Book Antiqua" w:hAnsi="Book Antiqua"/>
          <w:b/>
          <w:bCs/>
        </w:rPr>
        <w:t>Nagarajan D</w:t>
      </w:r>
      <w:r>
        <w:rPr>
          <w:rFonts w:ascii="Book Antiqua" w:hAnsi="Book Antiqua"/>
        </w:rPr>
        <w:t xml:space="preserve">, McArdle SEB. </w:t>
      </w:r>
      <w:proofErr w:type="gramStart"/>
      <w:r>
        <w:rPr>
          <w:rFonts w:ascii="Book Antiqua" w:hAnsi="Book Antiqua"/>
        </w:rPr>
        <w:t>Immune Landscape of Breast Cancers.</w:t>
      </w:r>
      <w:proofErr w:type="gramEnd"/>
      <w:r>
        <w:rPr>
          <w:rFonts w:ascii="Book Antiqua" w:hAnsi="Book Antiqua"/>
        </w:rPr>
        <w:t xml:space="preserve"> </w:t>
      </w:r>
      <w:r>
        <w:rPr>
          <w:rFonts w:ascii="Book Antiqua" w:hAnsi="Book Antiqua"/>
          <w:i/>
          <w:iCs/>
          <w:lang w:val="pt-BR"/>
        </w:rPr>
        <w:t>Biomedicines</w:t>
      </w:r>
      <w:r>
        <w:rPr>
          <w:rFonts w:ascii="Book Antiqua" w:hAnsi="Book Antiqua"/>
          <w:lang w:val="pt-BR"/>
        </w:rPr>
        <w:t xml:space="preserve"> 2018; </w:t>
      </w:r>
      <w:r>
        <w:rPr>
          <w:rFonts w:ascii="Book Antiqua" w:hAnsi="Book Antiqua"/>
          <w:b/>
          <w:bCs/>
          <w:lang w:val="pt-BR"/>
        </w:rPr>
        <w:t>6</w:t>
      </w:r>
      <w:r>
        <w:rPr>
          <w:rFonts w:ascii="Book Antiqua" w:hAnsi="Book Antiqua"/>
          <w:lang w:val="pt-BR"/>
        </w:rPr>
        <w:t xml:space="preserve"> [PMID: 29439457 DOI: 10.3390/biomedicines</w:t>
      </w:r>
      <w:r>
        <w:rPr>
          <w:rFonts w:ascii="Book Antiqua" w:hAnsi="Book Antiqua"/>
          <w:lang w:val="pt-BR"/>
        </w:rPr>
        <w:t>6010020]</w:t>
      </w:r>
    </w:p>
    <w:p w:rsidR="00DD33E9" w:rsidRDefault="00C061FA">
      <w:pPr>
        <w:spacing w:line="360" w:lineRule="auto"/>
        <w:jc w:val="both"/>
        <w:rPr>
          <w:rFonts w:ascii="Book Antiqua" w:hAnsi="Book Antiqua"/>
        </w:rPr>
      </w:pPr>
      <w:r>
        <w:rPr>
          <w:rFonts w:ascii="Book Antiqua" w:hAnsi="Book Antiqua"/>
          <w:lang w:val="pt-BR"/>
        </w:rPr>
        <w:t xml:space="preserve">26 </w:t>
      </w:r>
      <w:r>
        <w:rPr>
          <w:rFonts w:ascii="Book Antiqua" w:hAnsi="Book Antiqua"/>
          <w:b/>
          <w:bCs/>
          <w:lang w:val="pt-BR"/>
        </w:rPr>
        <w:t>García-Teijido P</w:t>
      </w:r>
      <w:r>
        <w:rPr>
          <w:rFonts w:ascii="Book Antiqua" w:hAnsi="Book Antiqua"/>
          <w:lang w:val="pt-BR"/>
        </w:rPr>
        <w:t xml:space="preserve">, Cabal ML, Fernández IP, Pérez YF. </w:t>
      </w:r>
      <w:r>
        <w:rPr>
          <w:rFonts w:ascii="Book Antiqua" w:hAnsi="Book Antiqua"/>
        </w:rPr>
        <w:t xml:space="preserve">Tumor-Infiltrating Lymphocytes in Triple Negative Breast Cancer: The Future of Immune Targeting. </w:t>
      </w:r>
      <w:r>
        <w:rPr>
          <w:rFonts w:ascii="Book Antiqua" w:hAnsi="Book Antiqua"/>
          <w:i/>
          <w:iCs/>
        </w:rPr>
        <w:t>Clin Med Insights Oncol</w:t>
      </w:r>
      <w:r>
        <w:rPr>
          <w:rFonts w:ascii="Book Antiqua" w:hAnsi="Book Antiqua"/>
        </w:rPr>
        <w:t xml:space="preserve"> 2016; </w:t>
      </w:r>
      <w:r>
        <w:rPr>
          <w:rFonts w:ascii="Book Antiqua" w:hAnsi="Book Antiqua"/>
          <w:b/>
          <w:bCs/>
        </w:rPr>
        <w:t>10</w:t>
      </w:r>
      <w:r>
        <w:rPr>
          <w:rFonts w:ascii="Book Antiqua" w:hAnsi="Book Antiqua"/>
        </w:rPr>
        <w:t>: 31-39 [PMID: 27081325 DOI: 10.4137/CMO.S34540]</w:t>
      </w:r>
    </w:p>
    <w:p w:rsidR="00DD33E9" w:rsidRDefault="00C061FA">
      <w:pPr>
        <w:spacing w:line="360" w:lineRule="auto"/>
        <w:jc w:val="both"/>
        <w:rPr>
          <w:rFonts w:ascii="Book Antiqua" w:hAnsi="Book Antiqua"/>
        </w:rPr>
      </w:pPr>
      <w:r>
        <w:rPr>
          <w:rFonts w:ascii="Book Antiqua" w:hAnsi="Book Antiqua"/>
        </w:rPr>
        <w:t xml:space="preserve">27 </w:t>
      </w:r>
      <w:r>
        <w:rPr>
          <w:rFonts w:ascii="Book Antiqua" w:hAnsi="Book Antiqua"/>
          <w:b/>
          <w:bCs/>
        </w:rPr>
        <w:t>Loi S</w:t>
      </w:r>
      <w:r>
        <w:rPr>
          <w:rFonts w:ascii="Book Antiqua" w:hAnsi="Book Antiqua"/>
        </w:rPr>
        <w:t>, Drub</w:t>
      </w:r>
      <w:r>
        <w:rPr>
          <w:rFonts w:ascii="Book Antiqua" w:hAnsi="Book Antiqua"/>
        </w:rPr>
        <w:t>ay D, Adams S, Pruneri G, Francis PA, Lacroix-Triki M, Joensuu H, Dieci MV, Badve S, Demaria S, Gray R, Munzone E, Lemonnier J, Sotiriou C, Piccart MJ, Kellokumpu-Lehtinen PL, Vingiani A, Gray K, Andre F, Denkert C, Salgado R, Michiels S. Tumor-Infiltratin</w:t>
      </w:r>
      <w:r>
        <w:rPr>
          <w:rFonts w:ascii="Book Antiqua" w:hAnsi="Book Antiqua"/>
        </w:rPr>
        <w:t xml:space="preserve">g Lymphocytes and Prognosis: A Pooled Individual Patient Analysis of Early-Stage Triple-Negative Breast Cancers. </w:t>
      </w:r>
      <w:r>
        <w:rPr>
          <w:rFonts w:ascii="Book Antiqua" w:hAnsi="Book Antiqua"/>
          <w:i/>
          <w:iCs/>
        </w:rPr>
        <w:t>J Clin Oncol</w:t>
      </w:r>
      <w:r>
        <w:rPr>
          <w:rFonts w:ascii="Book Antiqua" w:hAnsi="Book Antiqua"/>
        </w:rPr>
        <w:t xml:space="preserve"> 2019; </w:t>
      </w:r>
      <w:r>
        <w:rPr>
          <w:rFonts w:ascii="Book Antiqua" w:hAnsi="Book Antiqua"/>
          <w:b/>
          <w:bCs/>
        </w:rPr>
        <w:t>37</w:t>
      </w:r>
      <w:r>
        <w:rPr>
          <w:rFonts w:ascii="Book Antiqua" w:hAnsi="Book Antiqua"/>
        </w:rPr>
        <w:t>: 559-569 [PMID: 30650045 DOI: 10.1200/JCO.18.01010]</w:t>
      </w:r>
    </w:p>
    <w:p w:rsidR="00DD33E9" w:rsidRDefault="00C061FA">
      <w:pPr>
        <w:spacing w:line="360" w:lineRule="auto"/>
        <w:jc w:val="both"/>
        <w:rPr>
          <w:rFonts w:ascii="Book Antiqua" w:hAnsi="Book Antiqua"/>
        </w:rPr>
      </w:pPr>
      <w:r>
        <w:rPr>
          <w:rFonts w:ascii="Book Antiqua" w:hAnsi="Book Antiqua"/>
        </w:rPr>
        <w:t xml:space="preserve">28 </w:t>
      </w:r>
      <w:r>
        <w:rPr>
          <w:rFonts w:ascii="Book Antiqua" w:hAnsi="Book Antiqua"/>
          <w:b/>
          <w:bCs/>
        </w:rPr>
        <w:t>Zhang L</w:t>
      </w:r>
      <w:r>
        <w:rPr>
          <w:rFonts w:ascii="Book Antiqua" w:hAnsi="Book Antiqua"/>
        </w:rPr>
        <w:t>, Wang XI, Ding J, Sun Q, Zhang S. The predictive and progn</w:t>
      </w:r>
      <w:r>
        <w:rPr>
          <w:rFonts w:ascii="Book Antiqua" w:hAnsi="Book Antiqua"/>
        </w:rPr>
        <w:t xml:space="preserve">ostic value of Foxp3+/CD25+ regulatory T cells and PD-L1 expression in triple negative breast cancer. </w:t>
      </w:r>
      <w:r>
        <w:rPr>
          <w:rFonts w:ascii="Book Antiqua" w:hAnsi="Book Antiqua"/>
          <w:i/>
          <w:iCs/>
        </w:rPr>
        <w:t>Ann Diagn Pathol</w:t>
      </w:r>
      <w:r>
        <w:rPr>
          <w:rFonts w:ascii="Book Antiqua" w:hAnsi="Book Antiqua"/>
        </w:rPr>
        <w:t xml:space="preserve"> 2019; </w:t>
      </w:r>
      <w:r>
        <w:rPr>
          <w:rFonts w:ascii="Book Antiqua" w:hAnsi="Book Antiqua"/>
          <w:b/>
          <w:bCs/>
        </w:rPr>
        <w:t>40</w:t>
      </w:r>
      <w:r>
        <w:rPr>
          <w:rFonts w:ascii="Book Antiqua" w:hAnsi="Book Antiqua"/>
        </w:rPr>
        <w:t>: 143-151 [PMID: 31096176 DOI: 10.1016/j.anndiagpath.2019.04.004]</w:t>
      </w:r>
    </w:p>
    <w:p w:rsidR="00DD33E9" w:rsidRDefault="00C061FA">
      <w:pPr>
        <w:spacing w:line="360" w:lineRule="auto"/>
        <w:jc w:val="both"/>
        <w:rPr>
          <w:rFonts w:ascii="Book Antiqua" w:hAnsi="Book Antiqua"/>
        </w:rPr>
      </w:pPr>
      <w:proofErr w:type="gramStart"/>
      <w:r>
        <w:rPr>
          <w:rFonts w:ascii="Book Antiqua" w:hAnsi="Book Antiqua"/>
        </w:rPr>
        <w:lastRenderedPageBreak/>
        <w:t xml:space="preserve">29 </w:t>
      </w:r>
      <w:r>
        <w:rPr>
          <w:rFonts w:ascii="Book Antiqua" w:hAnsi="Book Antiqua"/>
          <w:b/>
          <w:bCs/>
        </w:rPr>
        <w:t>Ibrahim EM</w:t>
      </w:r>
      <w:r>
        <w:rPr>
          <w:rFonts w:ascii="Book Antiqua" w:hAnsi="Book Antiqua"/>
        </w:rPr>
        <w:t>, Al-Foheidi ME, Al-Mansour MM, Kazkaz GA.</w:t>
      </w:r>
      <w:proofErr w:type="gramEnd"/>
      <w:r>
        <w:rPr>
          <w:rFonts w:ascii="Book Antiqua" w:hAnsi="Book Antiqua"/>
        </w:rPr>
        <w:t xml:space="preserve"> The pro</w:t>
      </w:r>
      <w:r>
        <w:rPr>
          <w:rFonts w:ascii="Book Antiqua" w:hAnsi="Book Antiqua"/>
        </w:rPr>
        <w:t xml:space="preserve">gnostic value of tumor-infiltrating lymphocytes in triple-negative breast cancer: a meta-analysis. </w:t>
      </w:r>
      <w:r>
        <w:rPr>
          <w:rFonts w:ascii="Book Antiqua" w:hAnsi="Book Antiqua"/>
          <w:i/>
          <w:iCs/>
        </w:rPr>
        <w:t>Breast Cancer Res Treat</w:t>
      </w:r>
      <w:r>
        <w:rPr>
          <w:rFonts w:ascii="Book Antiqua" w:hAnsi="Book Antiqua"/>
        </w:rPr>
        <w:t xml:space="preserve"> 2014; </w:t>
      </w:r>
      <w:r>
        <w:rPr>
          <w:rFonts w:ascii="Book Antiqua" w:hAnsi="Book Antiqua"/>
          <w:b/>
          <w:bCs/>
        </w:rPr>
        <w:t>148</w:t>
      </w:r>
      <w:r>
        <w:rPr>
          <w:rFonts w:ascii="Book Antiqua" w:hAnsi="Book Antiqua"/>
        </w:rPr>
        <w:t>: 467-476 [PMID: 25361613 DOI: 10.1007/s10549-014-3185-2]</w:t>
      </w:r>
    </w:p>
    <w:p w:rsidR="00DD33E9" w:rsidRDefault="00C061FA">
      <w:pPr>
        <w:spacing w:line="360" w:lineRule="auto"/>
        <w:jc w:val="both"/>
        <w:rPr>
          <w:rFonts w:ascii="Book Antiqua" w:hAnsi="Book Antiqua"/>
        </w:rPr>
      </w:pPr>
      <w:r>
        <w:rPr>
          <w:rFonts w:ascii="Book Antiqua" w:hAnsi="Book Antiqua"/>
        </w:rPr>
        <w:t xml:space="preserve">30 </w:t>
      </w:r>
      <w:r>
        <w:rPr>
          <w:rFonts w:ascii="Book Antiqua" w:hAnsi="Book Antiqua"/>
          <w:b/>
          <w:bCs/>
        </w:rPr>
        <w:t>Pagès F</w:t>
      </w:r>
      <w:r>
        <w:rPr>
          <w:rFonts w:ascii="Book Antiqua" w:hAnsi="Book Antiqua"/>
        </w:rPr>
        <w:t>, Galon J, Dieu-Nosjean MC, Tartour E, Sautès-Fridman C,</w:t>
      </w:r>
      <w:r>
        <w:rPr>
          <w:rFonts w:ascii="Book Antiqua" w:hAnsi="Book Antiqua"/>
        </w:rPr>
        <w:t xml:space="preserve"> Fridman WH. Immune infiltration in human tumors: a prognostic factor that should not be ignored. </w:t>
      </w:r>
      <w:r>
        <w:rPr>
          <w:rFonts w:ascii="Book Antiqua" w:hAnsi="Book Antiqua"/>
          <w:i/>
          <w:iCs/>
        </w:rPr>
        <w:t>Oncogene</w:t>
      </w:r>
      <w:r>
        <w:rPr>
          <w:rFonts w:ascii="Book Antiqua" w:hAnsi="Book Antiqua"/>
        </w:rPr>
        <w:t xml:space="preserve"> 2010; </w:t>
      </w:r>
      <w:r>
        <w:rPr>
          <w:rFonts w:ascii="Book Antiqua" w:hAnsi="Book Antiqua"/>
          <w:b/>
          <w:bCs/>
        </w:rPr>
        <w:t>29</w:t>
      </w:r>
      <w:r>
        <w:rPr>
          <w:rFonts w:ascii="Book Antiqua" w:hAnsi="Book Antiqua"/>
        </w:rPr>
        <w:t>: 1093-1102 [PMID: 19946335 DOI: 10.1038/onc.2009.416]</w:t>
      </w:r>
    </w:p>
    <w:p w:rsidR="00DD33E9" w:rsidRDefault="00C061FA">
      <w:pPr>
        <w:spacing w:line="360" w:lineRule="auto"/>
        <w:jc w:val="both"/>
        <w:rPr>
          <w:rFonts w:ascii="Book Antiqua" w:hAnsi="Book Antiqua"/>
        </w:rPr>
      </w:pPr>
      <w:r>
        <w:rPr>
          <w:rFonts w:ascii="Book Antiqua" w:hAnsi="Book Antiqua"/>
        </w:rPr>
        <w:t xml:space="preserve">31 </w:t>
      </w:r>
      <w:r>
        <w:rPr>
          <w:rFonts w:ascii="Book Antiqua" w:hAnsi="Book Antiqua"/>
          <w:b/>
          <w:bCs/>
        </w:rPr>
        <w:t>Salgado R</w:t>
      </w:r>
      <w:r>
        <w:rPr>
          <w:rFonts w:ascii="Book Antiqua" w:hAnsi="Book Antiqua"/>
        </w:rPr>
        <w:t>, Denkert C, Demaria S, Sirtaine N, Klauschen F, Pruneri G, Wienert S, Van den Eynden G, Baehner FL, Penault-Llorca F, Perez EA, Thompson EA, Symmans WF, Richardson AL, Brock J, Criscitiello C, Bailey H, Ignatiadis M, Floris G, Sparano J, Kos Z, Nielsen T,</w:t>
      </w:r>
      <w:r>
        <w:rPr>
          <w:rFonts w:ascii="Book Antiqua" w:hAnsi="Book Antiqua"/>
        </w:rPr>
        <w:t xml:space="preserve"> Rimm DL, Allison KH, Reis-Filho JS, Loibl S, Sotiriou C, Viale G, Badve S, Adams S, Willard-Gallo K, Loi S; International TILs Working Group 2014. The evaluation of tumor-infiltrating lymphocytes (TILs) in breast cancer: recommendations by an Internationa</w:t>
      </w:r>
      <w:r>
        <w:rPr>
          <w:rFonts w:ascii="Book Antiqua" w:hAnsi="Book Antiqua"/>
        </w:rPr>
        <w:t xml:space="preserve">l TILs Working Group 2014. </w:t>
      </w:r>
      <w:r>
        <w:rPr>
          <w:rFonts w:ascii="Book Antiqua" w:hAnsi="Book Antiqua"/>
          <w:i/>
          <w:iCs/>
        </w:rPr>
        <w:t>Ann Oncol</w:t>
      </w:r>
      <w:r>
        <w:rPr>
          <w:rFonts w:ascii="Book Antiqua" w:hAnsi="Book Antiqua"/>
        </w:rPr>
        <w:t xml:space="preserve"> 2015; </w:t>
      </w:r>
      <w:r>
        <w:rPr>
          <w:rFonts w:ascii="Book Antiqua" w:hAnsi="Book Antiqua"/>
          <w:b/>
          <w:bCs/>
        </w:rPr>
        <w:t>26</w:t>
      </w:r>
      <w:r>
        <w:rPr>
          <w:rFonts w:ascii="Book Antiqua" w:hAnsi="Book Antiqua"/>
        </w:rPr>
        <w:t>: 259-271 [PMID: 25214542 DOI: 10.1093/annonc/mdu450]</w:t>
      </w:r>
    </w:p>
    <w:p w:rsidR="00DD33E9" w:rsidRDefault="00C061FA">
      <w:pPr>
        <w:spacing w:line="360" w:lineRule="auto"/>
        <w:jc w:val="both"/>
        <w:rPr>
          <w:rFonts w:ascii="Book Antiqua" w:hAnsi="Book Antiqua"/>
        </w:rPr>
      </w:pPr>
      <w:r>
        <w:rPr>
          <w:rFonts w:ascii="Book Antiqua" w:hAnsi="Book Antiqua"/>
        </w:rPr>
        <w:t xml:space="preserve">32 </w:t>
      </w:r>
      <w:r>
        <w:rPr>
          <w:rFonts w:ascii="Book Antiqua" w:hAnsi="Book Antiqua"/>
          <w:b/>
          <w:bCs/>
        </w:rPr>
        <w:t>Denkert C</w:t>
      </w:r>
      <w:r>
        <w:rPr>
          <w:rFonts w:ascii="Book Antiqua" w:hAnsi="Book Antiqua"/>
        </w:rPr>
        <w:t>, Wienert S, Poterie A, Loibl S, Budczies J, Badve S, Bago-Horvath Z, Bane A, Bedri S, Brock J, Chmielik E, Christgen M, Colpaert C, Demaria S, V</w:t>
      </w:r>
      <w:r>
        <w:rPr>
          <w:rFonts w:ascii="Book Antiqua" w:hAnsi="Book Antiqua"/>
        </w:rPr>
        <w:t>an den Eynden G, Floris G, Fox SB, Gao D, Ingold Heppner B, Kim SR, Kos Z, Kreipe HH, Lakhani SR, Penault-Llorca F, Pruneri G, Radosevic-Robin N, Rimm DL, Schnitt SJ, Sinn BV, Sinn P, Sirtaine N, O'Toole SA, Viale G, Van de Vijver K, de Wind R, von Minckwi</w:t>
      </w:r>
      <w:r>
        <w:rPr>
          <w:rFonts w:ascii="Book Antiqua" w:hAnsi="Book Antiqua"/>
        </w:rPr>
        <w:t>tz G, Klauschen F, Untch M, Fasching PA, Reimer T, Willard-Gallo K, Michiels S, Loi S, Salgado R. Standardized evaluation of tumor-infiltrating lymphocytes in breast cancer: results of the ring studies of the international immuno-oncology biomarker working</w:t>
      </w:r>
      <w:r>
        <w:rPr>
          <w:rFonts w:ascii="Book Antiqua" w:hAnsi="Book Antiqua"/>
        </w:rPr>
        <w:t xml:space="preserve"> group. </w:t>
      </w:r>
      <w:r>
        <w:rPr>
          <w:rFonts w:ascii="Book Antiqua" w:hAnsi="Book Antiqua"/>
          <w:i/>
          <w:iCs/>
        </w:rPr>
        <w:t>Mod Pathol</w:t>
      </w:r>
      <w:r>
        <w:rPr>
          <w:rFonts w:ascii="Book Antiqua" w:hAnsi="Book Antiqua"/>
        </w:rPr>
        <w:t xml:space="preserve"> 2016; </w:t>
      </w:r>
      <w:r>
        <w:rPr>
          <w:rFonts w:ascii="Book Antiqua" w:hAnsi="Book Antiqua"/>
          <w:b/>
          <w:bCs/>
        </w:rPr>
        <w:t>29</w:t>
      </w:r>
      <w:r>
        <w:rPr>
          <w:rFonts w:ascii="Book Antiqua" w:hAnsi="Book Antiqua"/>
        </w:rPr>
        <w:t>: 1155-1164 [PMID: 27363491 DOI: 10.1038/modpathol.2016.109]</w:t>
      </w:r>
    </w:p>
    <w:p w:rsidR="00DD33E9" w:rsidRDefault="00C061FA">
      <w:pPr>
        <w:spacing w:line="360" w:lineRule="auto"/>
        <w:jc w:val="both"/>
        <w:rPr>
          <w:rFonts w:ascii="Book Antiqua" w:hAnsi="Book Antiqua"/>
        </w:rPr>
      </w:pPr>
      <w:r>
        <w:rPr>
          <w:rFonts w:ascii="Book Antiqua" w:hAnsi="Book Antiqua"/>
        </w:rPr>
        <w:t xml:space="preserve">33 </w:t>
      </w:r>
      <w:r>
        <w:rPr>
          <w:rFonts w:ascii="Book Antiqua" w:hAnsi="Book Antiqua"/>
          <w:b/>
          <w:bCs/>
        </w:rPr>
        <w:t>Mittendorf EA</w:t>
      </w:r>
      <w:r>
        <w:rPr>
          <w:rFonts w:ascii="Book Antiqua" w:hAnsi="Book Antiqua"/>
        </w:rPr>
        <w:t>, Philips AV, Meric-Bernstam F, Qiao N, Wu Y, Harrington S, Su X, Wang Y, Gonzalez-Angulo AM, Akcakanat A, Chawla A, Curran M, Hwu P, Sharma P, Litton J</w:t>
      </w:r>
      <w:r>
        <w:rPr>
          <w:rFonts w:ascii="Book Antiqua" w:hAnsi="Book Antiqua"/>
        </w:rPr>
        <w:t xml:space="preserve">K, Molldrem JJ, Alatrash G. PD-L1 expression in triple-negative breast cancer. </w:t>
      </w:r>
      <w:r>
        <w:rPr>
          <w:rFonts w:ascii="Book Antiqua" w:hAnsi="Book Antiqua"/>
          <w:i/>
          <w:iCs/>
        </w:rPr>
        <w:t>Cancer Immunol Res</w:t>
      </w:r>
      <w:r>
        <w:rPr>
          <w:rFonts w:ascii="Book Antiqua" w:hAnsi="Book Antiqua"/>
        </w:rPr>
        <w:t xml:space="preserve"> 2014; </w:t>
      </w:r>
      <w:r>
        <w:rPr>
          <w:rFonts w:ascii="Book Antiqua" w:hAnsi="Book Antiqua"/>
          <w:b/>
          <w:bCs/>
        </w:rPr>
        <w:t>2</w:t>
      </w:r>
      <w:r>
        <w:rPr>
          <w:rFonts w:ascii="Book Antiqua" w:hAnsi="Book Antiqua"/>
        </w:rPr>
        <w:t>: 361-370 [PMID: 24764583 DOI: 10.1158/2326-6066.CIR-13-0127]</w:t>
      </w:r>
    </w:p>
    <w:p w:rsidR="00DD33E9" w:rsidRDefault="00C061FA">
      <w:pPr>
        <w:spacing w:line="360" w:lineRule="auto"/>
        <w:jc w:val="both"/>
        <w:rPr>
          <w:rFonts w:ascii="Book Antiqua" w:hAnsi="Book Antiqua"/>
        </w:rPr>
      </w:pPr>
      <w:proofErr w:type="gramStart"/>
      <w:r>
        <w:rPr>
          <w:rFonts w:ascii="Book Antiqua" w:hAnsi="Book Antiqua"/>
        </w:rPr>
        <w:lastRenderedPageBreak/>
        <w:t xml:space="preserve">34 </w:t>
      </w:r>
      <w:r>
        <w:rPr>
          <w:rFonts w:ascii="Book Antiqua" w:hAnsi="Book Antiqua"/>
          <w:b/>
          <w:bCs/>
        </w:rPr>
        <w:t>Narang P</w:t>
      </w:r>
      <w:r>
        <w:rPr>
          <w:rFonts w:ascii="Book Antiqua" w:hAnsi="Book Antiqua"/>
        </w:rPr>
        <w:t>, Chen M, Sharma AA, Anderson KS, Wilson MA.</w:t>
      </w:r>
      <w:proofErr w:type="gramEnd"/>
      <w:r>
        <w:rPr>
          <w:rFonts w:ascii="Book Antiqua" w:hAnsi="Book Antiqua"/>
        </w:rPr>
        <w:t xml:space="preserve"> The neoepitope landscape of breas</w:t>
      </w:r>
      <w:r>
        <w:rPr>
          <w:rFonts w:ascii="Book Antiqua" w:hAnsi="Book Antiqua"/>
        </w:rPr>
        <w:t xml:space="preserve">t cancer: implications for immunotherapy. </w:t>
      </w:r>
      <w:r>
        <w:rPr>
          <w:rFonts w:ascii="Book Antiqua" w:hAnsi="Book Antiqua"/>
          <w:i/>
          <w:iCs/>
        </w:rPr>
        <w:t>BMC Cancer</w:t>
      </w:r>
      <w:r>
        <w:rPr>
          <w:rFonts w:ascii="Book Antiqua" w:hAnsi="Book Antiqua"/>
        </w:rPr>
        <w:t xml:space="preserve"> 2019; </w:t>
      </w:r>
      <w:r>
        <w:rPr>
          <w:rFonts w:ascii="Book Antiqua" w:hAnsi="Book Antiqua"/>
          <w:b/>
          <w:bCs/>
        </w:rPr>
        <w:t>19</w:t>
      </w:r>
      <w:r>
        <w:rPr>
          <w:rFonts w:ascii="Book Antiqua" w:hAnsi="Book Antiqua"/>
        </w:rPr>
        <w:t>: 200 [PMID: 30832597 DOI: 10.1186/s12885-019-5402-1]</w:t>
      </w:r>
    </w:p>
    <w:p w:rsidR="00DD33E9" w:rsidRDefault="00C061FA">
      <w:pPr>
        <w:spacing w:line="360" w:lineRule="auto"/>
        <w:jc w:val="both"/>
        <w:rPr>
          <w:rFonts w:ascii="Book Antiqua" w:hAnsi="Book Antiqua"/>
        </w:rPr>
      </w:pPr>
      <w:r>
        <w:rPr>
          <w:rFonts w:ascii="Book Antiqua" w:hAnsi="Book Antiqua"/>
        </w:rPr>
        <w:t xml:space="preserve">35 </w:t>
      </w:r>
      <w:r>
        <w:rPr>
          <w:rFonts w:ascii="Book Antiqua" w:hAnsi="Book Antiqua"/>
          <w:b/>
          <w:bCs/>
        </w:rPr>
        <w:t>Sabatier R</w:t>
      </w:r>
      <w:r>
        <w:rPr>
          <w:rFonts w:ascii="Book Antiqua" w:hAnsi="Book Antiqua"/>
        </w:rPr>
        <w:t xml:space="preserve">, Finetti P, Mamessier E, Adelaide J, Chaffanet M, Ali HR, Viens P, Caldas C, Birnbaum D, Bertucci F. Prognostic and predictive </w:t>
      </w:r>
      <w:r>
        <w:rPr>
          <w:rFonts w:ascii="Book Antiqua" w:hAnsi="Book Antiqua"/>
        </w:rPr>
        <w:t xml:space="preserve">value of PDL1 expression in breast cancer.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5449-5464 [PMID: 25669979 DOI: 10.18632/oncotarget.3216]</w:t>
      </w:r>
    </w:p>
    <w:p w:rsidR="00DD33E9" w:rsidRDefault="00C061FA">
      <w:pPr>
        <w:spacing w:line="360" w:lineRule="auto"/>
        <w:jc w:val="both"/>
        <w:rPr>
          <w:rFonts w:ascii="Book Antiqua" w:hAnsi="Book Antiqua"/>
        </w:rPr>
      </w:pPr>
      <w:r>
        <w:rPr>
          <w:rFonts w:ascii="Book Antiqua" w:hAnsi="Book Antiqua"/>
        </w:rPr>
        <w:t xml:space="preserve">36 </w:t>
      </w:r>
      <w:r>
        <w:rPr>
          <w:rFonts w:ascii="Book Antiqua" w:hAnsi="Book Antiqua"/>
          <w:b/>
          <w:bCs/>
        </w:rPr>
        <w:t>Salmaninejad A</w:t>
      </w:r>
      <w:r>
        <w:rPr>
          <w:rFonts w:ascii="Book Antiqua" w:hAnsi="Book Antiqua"/>
        </w:rPr>
        <w:t xml:space="preserve">, Valilou SF, Shabgah AG, Aslani S, Alimardani M, Pasdar A, Sahebkar A. PD-1/PD-L1 pathway: Basic biology and role in cancer immunotherapy. </w:t>
      </w:r>
      <w:r>
        <w:rPr>
          <w:rFonts w:ascii="Book Antiqua" w:hAnsi="Book Antiqua"/>
          <w:i/>
          <w:iCs/>
        </w:rPr>
        <w:t>J Cell Physiol</w:t>
      </w:r>
      <w:r>
        <w:rPr>
          <w:rFonts w:ascii="Book Antiqua" w:hAnsi="Book Antiqua"/>
        </w:rPr>
        <w:t xml:space="preserve"> 2019; </w:t>
      </w:r>
      <w:r>
        <w:rPr>
          <w:rFonts w:ascii="Book Antiqua" w:hAnsi="Book Antiqua"/>
          <w:b/>
          <w:bCs/>
        </w:rPr>
        <w:t>234</w:t>
      </w:r>
      <w:r>
        <w:rPr>
          <w:rFonts w:ascii="Book Antiqua" w:hAnsi="Book Antiqua"/>
        </w:rPr>
        <w:t>: 16824-16837 [PMID: 30784085 DOI: 10.1002/jcp.28358]</w:t>
      </w:r>
    </w:p>
    <w:p w:rsidR="00DD33E9" w:rsidRDefault="00C061FA">
      <w:pPr>
        <w:spacing w:line="360" w:lineRule="auto"/>
        <w:jc w:val="both"/>
        <w:rPr>
          <w:rFonts w:ascii="Book Antiqua" w:hAnsi="Book Antiqua"/>
        </w:rPr>
      </w:pPr>
      <w:r>
        <w:rPr>
          <w:rFonts w:ascii="Book Antiqua" w:hAnsi="Book Antiqua"/>
        </w:rPr>
        <w:t xml:space="preserve">37 </w:t>
      </w:r>
      <w:r>
        <w:rPr>
          <w:rFonts w:ascii="Book Antiqua" w:hAnsi="Book Antiqua"/>
          <w:b/>
          <w:bCs/>
        </w:rPr>
        <w:t>Barroso-Sousa R</w:t>
      </w:r>
      <w:r>
        <w:rPr>
          <w:rFonts w:ascii="Book Antiqua" w:hAnsi="Book Antiqua"/>
        </w:rPr>
        <w:t xml:space="preserve">, Keenan TE, Pernas </w:t>
      </w:r>
      <w:r>
        <w:rPr>
          <w:rFonts w:ascii="Book Antiqua" w:hAnsi="Book Antiqua"/>
        </w:rPr>
        <w:t xml:space="preserve">S, Exman P, Jain E, Garrido-Castro AC, Hughes M, Bychkovsky B, Umeton R, Files JL, Lindeman NI, MacConaill LE, Hodi FS, Krop IE, Dillon D, Winer EP, Wagle N, Lin NU, Mittendorf EA, Van Allen EM, Tolaney SM. Tumor Mutational Burden and </w:t>
      </w:r>
      <w:r>
        <w:rPr>
          <w:rFonts w:ascii="Book Antiqua" w:hAnsi="Book Antiqua"/>
          <w:i/>
          <w:iCs/>
        </w:rPr>
        <w:t>PTEN</w:t>
      </w:r>
      <w:r>
        <w:rPr>
          <w:rFonts w:ascii="Book Antiqua" w:hAnsi="Book Antiqua"/>
        </w:rPr>
        <w:t xml:space="preserve"> Alterations as M</w:t>
      </w:r>
      <w:r>
        <w:rPr>
          <w:rFonts w:ascii="Book Antiqua" w:hAnsi="Book Antiqua"/>
        </w:rPr>
        <w:t xml:space="preserve">olecular Correlates of Response to PD-1/L1 Blockade in Metastatic Triple-Negative Breast Cancer. </w:t>
      </w:r>
      <w:r>
        <w:rPr>
          <w:rFonts w:ascii="Book Antiqua" w:hAnsi="Book Antiqua"/>
          <w:i/>
          <w:iCs/>
        </w:rPr>
        <w:t>Clin Cancer Res</w:t>
      </w:r>
      <w:r>
        <w:rPr>
          <w:rFonts w:ascii="Book Antiqua" w:hAnsi="Book Antiqua"/>
        </w:rPr>
        <w:t xml:space="preserve"> 2020; </w:t>
      </w:r>
      <w:r>
        <w:rPr>
          <w:rFonts w:ascii="Book Antiqua" w:hAnsi="Book Antiqua"/>
          <w:b/>
          <w:bCs/>
        </w:rPr>
        <w:t>26</w:t>
      </w:r>
      <w:r>
        <w:rPr>
          <w:rFonts w:ascii="Book Antiqua" w:hAnsi="Book Antiqua"/>
        </w:rPr>
        <w:t>: 2565-2572 [PMID: 32019858 DOI: 10.1158/1078-0432.CCR-19-3507]</w:t>
      </w:r>
    </w:p>
    <w:p w:rsidR="00DD33E9" w:rsidRDefault="00C061FA">
      <w:pPr>
        <w:spacing w:line="360" w:lineRule="auto"/>
        <w:jc w:val="both"/>
        <w:rPr>
          <w:rFonts w:ascii="Book Antiqua" w:hAnsi="Book Antiqua"/>
        </w:rPr>
      </w:pPr>
      <w:r>
        <w:rPr>
          <w:rFonts w:ascii="Book Antiqua" w:hAnsi="Book Antiqua"/>
        </w:rPr>
        <w:t xml:space="preserve">38 </w:t>
      </w:r>
      <w:r>
        <w:rPr>
          <w:rFonts w:ascii="Book Antiqua" w:hAnsi="Book Antiqua"/>
          <w:b/>
          <w:bCs/>
        </w:rPr>
        <w:t>Goodman AM</w:t>
      </w:r>
      <w:r>
        <w:rPr>
          <w:rFonts w:ascii="Book Antiqua" w:hAnsi="Book Antiqua"/>
        </w:rPr>
        <w:t>, Kato S, Bazhenova L, Patel SP, Frampton GM, Miller V, St</w:t>
      </w:r>
      <w:r>
        <w:rPr>
          <w:rFonts w:ascii="Book Antiqua" w:hAnsi="Book Antiqua"/>
        </w:rPr>
        <w:t xml:space="preserve">ephens PJ, Daniels GA, Kurzrock R. Tumor Mutational Burden as an Independent Predictor of Response to Immunotherapy in Diverse Cancers. </w:t>
      </w:r>
      <w:r>
        <w:rPr>
          <w:rFonts w:ascii="Book Antiqua" w:hAnsi="Book Antiqua"/>
          <w:i/>
          <w:iCs/>
        </w:rPr>
        <w:t>Mol Cancer Ther</w:t>
      </w:r>
      <w:r>
        <w:rPr>
          <w:rFonts w:ascii="Book Antiqua" w:hAnsi="Book Antiqua"/>
        </w:rPr>
        <w:t xml:space="preserve"> 2017; </w:t>
      </w:r>
      <w:r>
        <w:rPr>
          <w:rFonts w:ascii="Book Antiqua" w:hAnsi="Book Antiqua"/>
          <w:b/>
          <w:bCs/>
        </w:rPr>
        <w:t>16</w:t>
      </w:r>
      <w:r>
        <w:rPr>
          <w:rFonts w:ascii="Book Antiqua" w:hAnsi="Book Antiqua"/>
        </w:rPr>
        <w:t>: 2598-2608 [PMID: 28835386 DOI: 10.1158/1535-7163.MCT-17-0386]</w:t>
      </w:r>
    </w:p>
    <w:p w:rsidR="00DD33E9" w:rsidRDefault="00C061FA">
      <w:pPr>
        <w:spacing w:line="360" w:lineRule="auto"/>
        <w:jc w:val="both"/>
        <w:rPr>
          <w:rFonts w:ascii="Book Antiqua" w:hAnsi="Book Antiqua"/>
        </w:rPr>
      </w:pPr>
      <w:r>
        <w:rPr>
          <w:rFonts w:ascii="Book Antiqua" w:hAnsi="Book Antiqua"/>
        </w:rPr>
        <w:t xml:space="preserve">39 </w:t>
      </w:r>
      <w:r>
        <w:rPr>
          <w:rFonts w:ascii="Book Antiqua" w:hAnsi="Book Antiqua"/>
          <w:b/>
          <w:bCs/>
        </w:rPr>
        <w:t>Chan TA</w:t>
      </w:r>
      <w:r>
        <w:rPr>
          <w:rFonts w:ascii="Book Antiqua" w:hAnsi="Book Antiqua"/>
        </w:rPr>
        <w:t>, Yarchoan M, Jaffee E</w:t>
      </w:r>
      <w:r>
        <w:rPr>
          <w:rFonts w:ascii="Book Antiqua" w:hAnsi="Book Antiqua"/>
        </w:rPr>
        <w:t xml:space="preserve">, Swanton C, Quezada SA, Stenzinger A, Peters S. Development of tumor mutation burden as an immunotherapy biomarker: utility for the oncology clinic.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44-56 [PMID: 30395155 DOI: 10.1093/annonc/mdy495]</w:t>
      </w:r>
    </w:p>
    <w:p w:rsidR="00DD33E9" w:rsidRDefault="00C061FA">
      <w:pPr>
        <w:spacing w:line="360" w:lineRule="auto"/>
        <w:jc w:val="both"/>
        <w:rPr>
          <w:rFonts w:ascii="Book Antiqua" w:hAnsi="Book Antiqua"/>
        </w:rPr>
      </w:pPr>
      <w:r>
        <w:rPr>
          <w:rFonts w:ascii="Book Antiqua" w:hAnsi="Book Antiqua"/>
        </w:rPr>
        <w:t xml:space="preserve">40 </w:t>
      </w:r>
      <w:r>
        <w:rPr>
          <w:rFonts w:ascii="Book Antiqua" w:hAnsi="Book Antiqua"/>
          <w:b/>
          <w:bCs/>
        </w:rPr>
        <w:t>Yonemori K</w:t>
      </w:r>
      <w:r>
        <w:rPr>
          <w:rFonts w:ascii="Book Antiqua" w:hAnsi="Book Antiqua"/>
        </w:rPr>
        <w:t>, Masuda N, Takahashi S</w:t>
      </w:r>
      <w:r>
        <w:rPr>
          <w:rFonts w:ascii="Book Antiqua" w:hAnsi="Book Antiqua"/>
        </w:rPr>
        <w:t xml:space="preserve">, Kogawa T, Iwata, H. Single agent activity of U3-1402, a HER3- targeting antibody–drug conjugate, in HER3- overexpressing metastatic breast cancer: updated results from a phase I/II trial.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xml:space="preserve"> [DOI: 10.1093/annonc/mdz100.002]</w:t>
      </w:r>
    </w:p>
    <w:p w:rsidR="00DD33E9" w:rsidRDefault="00C061FA">
      <w:pPr>
        <w:spacing w:line="360" w:lineRule="auto"/>
        <w:jc w:val="both"/>
        <w:rPr>
          <w:rFonts w:ascii="Book Antiqua" w:hAnsi="Book Antiqua"/>
        </w:rPr>
      </w:pPr>
      <w:proofErr w:type="gramStart"/>
      <w:r>
        <w:rPr>
          <w:rFonts w:ascii="Book Antiqua" w:hAnsi="Book Antiqua"/>
        </w:rPr>
        <w:lastRenderedPageBreak/>
        <w:t xml:space="preserve">41 </w:t>
      </w:r>
      <w:r>
        <w:rPr>
          <w:rFonts w:ascii="Book Antiqua" w:hAnsi="Book Antiqua"/>
          <w:b/>
          <w:bCs/>
        </w:rPr>
        <w:t>Carey LA</w:t>
      </w:r>
      <w:r>
        <w:rPr>
          <w:rFonts w:ascii="Book Antiqua" w:hAnsi="Book Antiqua"/>
        </w:rPr>
        <w:t>, D</w:t>
      </w:r>
      <w:r>
        <w:rPr>
          <w:rFonts w:ascii="Book Antiqua" w:hAnsi="Book Antiqua"/>
        </w:rPr>
        <w:t>ees EC, Sawyer L, Gatti L, Moore DT, Collichio F, Ollila DW, Sartor CI, Graham ML, Perou CM.</w:t>
      </w:r>
      <w:proofErr w:type="gramEnd"/>
      <w:r>
        <w:rPr>
          <w:rFonts w:ascii="Book Antiqua" w:hAnsi="Book Antiqua"/>
        </w:rPr>
        <w:t xml:space="preserve"> The triple negative paradox: primary tumor chemosensitivity of breast cancer subtypes. </w:t>
      </w:r>
      <w:r>
        <w:rPr>
          <w:rFonts w:ascii="Book Antiqua" w:hAnsi="Book Antiqua"/>
          <w:i/>
          <w:iCs/>
        </w:rPr>
        <w:t>Clin Cancer Res</w:t>
      </w:r>
      <w:r>
        <w:rPr>
          <w:rFonts w:ascii="Book Antiqua" w:hAnsi="Book Antiqua"/>
        </w:rPr>
        <w:t xml:space="preserve"> 2007; </w:t>
      </w:r>
      <w:r>
        <w:rPr>
          <w:rFonts w:ascii="Book Antiqua" w:hAnsi="Book Antiqua"/>
          <w:b/>
          <w:bCs/>
        </w:rPr>
        <w:t>13</w:t>
      </w:r>
      <w:r>
        <w:rPr>
          <w:rFonts w:ascii="Book Antiqua" w:hAnsi="Book Antiqua"/>
        </w:rPr>
        <w:t>: 2329-2334 [PMID: 17438091 DOI: 10.1158/1078-0432.C</w:t>
      </w:r>
      <w:r>
        <w:rPr>
          <w:rFonts w:ascii="Book Antiqua" w:hAnsi="Book Antiqua"/>
        </w:rPr>
        <w:t>CR-06-1109]</w:t>
      </w:r>
    </w:p>
    <w:p w:rsidR="00DD33E9" w:rsidRDefault="00C061FA">
      <w:pPr>
        <w:spacing w:line="360" w:lineRule="auto"/>
        <w:jc w:val="both"/>
        <w:rPr>
          <w:rFonts w:ascii="Book Antiqua" w:hAnsi="Book Antiqua"/>
        </w:rPr>
      </w:pPr>
      <w:r>
        <w:rPr>
          <w:rFonts w:ascii="Book Antiqua" w:hAnsi="Book Antiqua"/>
        </w:rPr>
        <w:t xml:space="preserve">42 </w:t>
      </w:r>
      <w:r>
        <w:rPr>
          <w:rFonts w:ascii="Book Antiqua" w:hAnsi="Book Antiqua"/>
          <w:b/>
          <w:bCs/>
        </w:rPr>
        <w:t>Cardoso F</w:t>
      </w:r>
      <w:r>
        <w:rPr>
          <w:rFonts w:ascii="Book Antiqua" w:hAnsi="Book Antiqua"/>
        </w:rPr>
        <w:t>, Senkus E, Costa A, Papadopoulos E, Aapro M, André F, Harbeck N, Aguilar Lopez B, Barrios CH, Bergh J, Biganzoli L, Boers-Doets CB, Cardoso MJ, Carey LA, Cortés J, Curigliano G, Diéras V, El Saghir NS, Eniu A, Fallowfield L, Francis PA, Gelmon K, Johnston</w:t>
      </w:r>
      <w:r>
        <w:rPr>
          <w:rFonts w:ascii="Book Antiqua" w:hAnsi="Book Antiqua"/>
        </w:rPr>
        <w:t xml:space="preserve"> SRD, Kaufman B, Koppikar S, Krop IE, Mayer M, Nakigudde G, Offersen BV, Ohno S, Pagani O, Paluch-Shimon S, Penault-Llorca F, Prat A, Rugo HS, Sledge GW, Spence D, Thomssen C, Vorobiof DA, Xu B, Norton L, Winer EP. 4th ESO-ESMO International Consensus Guid</w:t>
      </w:r>
      <w:r>
        <w:rPr>
          <w:rFonts w:ascii="Book Antiqua" w:hAnsi="Book Antiqua"/>
        </w:rPr>
        <w:t>elines for Advanced Breast Cancer (ABC 4</w:t>
      </w:r>
      <w:proofErr w:type="gramStart"/>
      <w:r>
        <w:rPr>
          <w:rFonts w:ascii="Book Antiqua" w:hAnsi="Book Antiqua"/>
        </w:rPr>
        <w:t>)†</w:t>
      </w:r>
      <w:proofErr w:type="gramEnd"/>
      <w:r>
        <w:rPr>
          <w:rFonts w:ascii="Book Antiqua" w:hAnsi="Book Antiqua"/>
        </w:rPr>
        <w:t xml:space="preserve">. </w:t>
      </w:r>
      <w:r>
        <w:rPr>
          <w:rFonts w:ascii="Book Antiqua" w:hAnsi="Book Antiqua"/>
          <w:i/>
          <w:iCs/>
        </w:rPr>
        <w:t>Ann Oncol</w:t>
      </w:r>
      <w:r>
        <w:rPr>
          <w:rFonts w:ascii="Book Antiqua" w:hAnsi="Book Antiqua"/>
        </w:rPr>
        <w:t xml:space="preserve"> 2018; </w:t>
      </w:r>
      <w:r>
        <w:rPr>
          <w:rFonts w:ascii="Book Antiqua" w:hAnsi="Book Antiqua"/>
          <w:b/>
          <w:bCs/>
        </w:rPr>
        <w:t>29</w:t>
      </w:r>
      <w:r>
        <w:rPr>
          <w:rFonts w:ascii="Book Antiqua" w:hAnsi="Book Antiqua"/>
        </w:rPr>
        <w:t>: 1634-1657 [PMID: 30032243 DOI: 10.1093/annonc/mdy192]</w:t>
      </w:r>
    </w:p>
    <w:p w:rsidR="00DD33E9" w:rsidRDefault="00C061FA">
      <w:pPr>
        <w:spacing w:line="360" w:lineRule="auto"/>
        <w:jc w:val="both"/>
        <w:rPr>
          <w:rFonts w:ascii="Book Antiqua" w:hAnsi="Book Antiqua"/>
        </w:rPr>
      </w:pPr>
      <w:r>
        <w:rPr>
          <w:rFonts w:ascii="Book Antiqua" w:hAnsi="Book Antiqua"/>
        </w:rPr>
        <w:t xml:space="preserve">43 </w:t>
      </w:r>
      <w:r>
        <w:rPr>
          <w:rFonts w:ascii="Book Antiqua" w:hAnsi="Book Antiqua"/>
          <w:b/>
          <w:bCs/>
        </w:rPr>
        <w:t>Smith KL,</w:t>
      </w:r>
      <w:r>
        <w:rPr>
          <w:rFonts w:ascii="Book Antiqua" w:hAnsi="Book Antiqua"/>
        </w:rPr>
        <w:t xml:space="preserve"> Smith M Lou, Burns J. Breast Cancer. </w:t>
      </w:r>
      <w:proofErr w:type="gramStart"/>
      <w:r>
        <w:rPr>
          <w:rFonts w:ascii="Book Antiqua" w:hAnsi="Book Antiqua"/>
        </w:rPr>
        <w:t>NCCN Guidelines.</w:t>
      </w:r>
      <w:proofErr w:type="gramEnd"/>
      <w:r>
        <w:rPr>
          <w:rFonts w:ascii="Book Antiqua" w:hAnsi="Book Antiqua"/>
        </w:rPr>
        <w:t xml:space="preserve"> 2020</w:t>
      </w:r>
    </w:p>
    <w:p w:rsidR="00DD33E9" w:rsidRDefault="00C061FA">
      <w:pPr>
        <w:spacing w:line="360" w:lineRule="auto"/>
        <w:jc w:val="both"/>
        <w:rPr>
          <w:rFonts w:ascii="Book Antiqua" w:hAnsi="Book Antiqua"/>
        </w:rPr>
      </w:pPr>
      <w:r>
        <w:rPr>
          <w:rFonts w:ascii="Book Antiqua" w:hAnsi="Book Antiqua"/>
        </w:rPr>
        <w:t xml:space="preserve">44 </w:t>
      </w:r>
      <w:r>
        <w:rPr>
          <w:rFonts w:ascii="Book Antiqua" w:hAnsi="Book Antiqua"/>
          <w:b/>
          <w:bCs/>
        </w:rPr>
        <w:t>Sparano JA</w:t>
      </w:r>
      <w:r>
        <w:rPr>
          <w:rFonts w:ascii="Book Antiqua" w:hAnsi="Book Antiqua"/>
        </w:rPr>
        <w:t xml:space="preserve">, Makhson AN, Semiglazov VF, Tjulandin SA, Balashova </w:t>
      </w:r>
      <w:r>
        <w:rPr>
          <w:rFonts w:ascii="Book Antiqua" w:hAnsi="Book Antiqua"/>
        </w:rPr>
        <w:t>OI, Bondarenko IN, Bogdanova NV, Manikhas GM, Oliynychenko GP, Chatikhine VA, Zhuang SH, Xiu L, Yuan Z, Rackoff WR. Pegylated liposomal doxorubicin plus docetaxel significantly improves time to progression without additive cardiotoxicity compared with doce</w:t>
      </w:r>
      <w:r>
        <w:rPr>
          <w:rFonts w:ascii="Book Antiqua" w:hAnsi="Book Antiqua"/>
        </w:rPr>
        <w:t xml:space="preserve">taxel monotherapy in patients with advanced breast cancer previously treated with neoadjuvant-adjuvant anthracycline therapy: results from a randomized phase III study. </w:t>
      </w:r>
      <w:r>
        <w:rPr>
          <w:rFonts w:ascii="Book Antiqua" w:hAnsi="Book Antiqua"/>
          <w:i/>
          <w:iCs/>
        </w:rPr>
        <w:t>J Clin Oncol</w:t>
      </w:r>
      <w:r>
        <w:rPr>
          <w:rFonts w:ascii="Book Antiqua" w:hAnsi="Book Antiqua"/>
        </w:rPr>
        <w:t xml:space="preserve"> 2009; </w:t>
      </w:r>
      <w:r>
        <w:rPr>
          <w:rFonts w:ascii="Book Antiqua" w:hAnsi="Book Antiqua"/>
          <w:b/>
          <w:bCs/>
        </w:rPr>
        <w:t>27</w:t>
      </w:r>
      <w:r>
        <w:rPr>
          <w:rFonts w:ascii="Book Antiqua" w:hAnsi="Book Antiqua"/>
        </w:rPr>
        <w:t>: 4522-4529 [PMID: 19687336 DOI: 10.1200/JCO.2008.20.5013]</w:t>
      </w:r>
    </w:p>
    <w:p w:rsidR="00DD33E9" w:rsidRDefault="00C061FA">
      <w:pPr>
        <w:spacing w:line="360" w:lineRule="auto"/>
        <w:jc w:val="both"/>
        <w:rPr>
          <w:rFonts w:ascii="Book Antiqua" w:hAnsi="Book Antiqua"/>
        </w:rPr>
      </w:pPr>
      <w:r>
        <w:rPr>
          <w:rFonts w:ascii="Book Antiqua" w:hAnsi="Book Antiqua"/>
        </w:rPr>
        <w:t xml:space="preserve">45 </w:t>
      </w:r>
      <w:r>
        <w:rPr>
          <w:rFonts w:ascii="Book Antiqua" w:hAnsi="Book Antiqua"/>
          <w:b/>
          <w:bCs/>
        </w:rPr>
        <w:t>Card</w:t>
      </w:r>
      <w:r>
        <w:rPr>
          <w:rFonts w:ascii="Book Antiqua" w:hAnsi="Book Antiqua"/>
          <w:b/>
          <w:bCs/>
        </w:rPr>
        <w:t>oso F</w:t>
      </w:r>
      <w:r>
        <w:rPr>
          <w:rFonts w:ascii="Book Antiqua" w:hAnsi="Book Antiqua"/>
        </w:rPr>
        <w:t>, Bedard PL, Winer EP, Pagani O, Senkus-Konefka E, Fallowfield LJ, Kyriakides S, Costa A, Cufer T, Albain KS; ESO-MBC Task Force. International guidelines for management of metastatic breast cancer: combination vs sequential single-agent chemotherapy.</w:t>
      </w:r>
      <w:r>
        <w:rPr>
          <w:rFonts w:ascii="Book Antiqua" w:hAnsi="Book Antiqua"/>
        </w:rPr>
        <w:t xml:space="preserve"> </w:t>
      </w:r>
      <w:r>
        <w:rPr>
          <w:rFonts w:ascii="Book Antiqua" w:hAnsi="Book Antiqua"/>
          <w:i/>
          <w:iCs/>
        </w:rPr>
        <w:t>J Natl Cancer Inst</w:t>
      </w:r>
      <w:r>
        <w:rPr>
          <w:rFonts w:ascii="Book Antiqua" w:hAnsi="Book Antiqua"/>
        </w:rPr>
        <w:t xml:space="preserve"> 2009; </w:t>
      </w:r>
      <w:r>
        <w:rPr>
          <w:rFonts w:ascii="Book Antiqua" w:hAnsi="Book Antiqua"/>
          <w:b/>
          <w:bCs/>
        </w:rPr>
        <w:t>101</w:t>
      </w:r>
      <w:r>
        <w:rPr>
          <w:rFonts w:ascii="Book Antiqua" w:hAnsi="Book Antiqua"/>
        </w:rPr>
        <w:t>: 1174-1181 [PMID: 19657108 DOI: 10.1093/jnci/djp235]</w:t>
      </w:r>
    </w:p>
    <w:p w:rsidR="00DD33E9" w:rsidRDefault="00C061FA">
      <w:pPr>
        <w:spacing w:line="360" w:lineRule="auto"/>
        <w:jc w:val="both"/>
        <w:rPr>
          <w:rFonts w:ascii="Book Antiqua" w:hAnsi="Book Antiqua"/>
        </w:rPr>
      </w:pPr>
      <w:r>
        <w:rPr>
          <w:rFonts w:ascii="Book Antiqua" w:hAnsi="Book Antiqua"/>
        </w:rPr>
        <w:t xml:space="preserve">46 </w:t>
      </w:r>
      <w:r>
        <w:rPr>
          <w:rFonts w:ascii="Book Antiqua" w:hAnsi="Book Antiqua"/>
          <w:b/>
          <w:bCs/>
        </w:rPr>
        <w:t>Isakoff SJ</w:t>
      </w:r>
      <w:r>
        <w:rPr>
          <w:rFonts w:ascii="Book Antiqua" w:hAnsi="Book Antiqua"/>
        </w:rPr>
        <w:t xml:space="preserve">, Mayer EL, He L, Traina TA, Carey LA, Krag KJ, Rugo HS, Liu MC, Stearns V, Come SE, Timms KM, Hartman AR, Borger DR, Finkelstein DM, Garber JE, Ryan PD, Winer </w:t>
      </w:r>
      <w:r>
        <w:rPr>
          <w:rFonts w:ascii="Book Antiqua" w:hAnsi="Book Antiqua"/>
        </w:rPr>
        <w:t xml:space="preserve">EP, Goss PE, Ellisen LW. TBCRC009: A Multicenter Phase II Clinical Trial of Platinum Monotherapy </w:t>
      </w:r>
      <w:proofErr w:type="gramStart"/>
      <w:r>
        <w:rPr>
          <w:rFonts w:ascii="Book Antiqua" w:hAnsi="Book Antiqua"/>
        </w:rPr>
        <w:t>With</w:t>
      </w:r>
      <w:proofErr w:type="gramEnd"/>
      <w:r>
        <w:rPr>
          <w:rFonts w:ascii="Book Antiqua" w:hAnsi="Book Antiqua"/>
        </w:rPr>
        <w:t xml:space="preserve"> Biomarker Assessment in Metastatic Triple-</w:t>
      </w:r>
      <w:r>
        <w:rPr>
          <w:rFonts w:ascii="Book Antiqua" w:hAnsi="Book Antiqua"/>
        </w:rPr>
        <w:lastRenderedPageBreak/>
        <w:t xml:space="preserve">Negative Breast Cancer. </w:t>
      </w:r>
      <w:r>
        <w:rPr>
          <w:rFonts w:ascii="Book Antiqua" w:hAnsi="Book Antiqua"/>
          <w:i/>
          <w:iCs/>
        </w:rPr>
        <w:t>J Clin Oncol</w:t>
      </w:r>
      <w:r>
        <w:rPr>
          <w:rFonts w:ascii="Book Antiqua" w:hAnsi="Book Antiqua"/>
        </w:rPr>
        <w:t xml:space="preserve"> 2015; </w:t>
      </w:r>
      <w:r>
        <w:rPr>
          <w:rFonts w:ascii="Book Antiqua" w:hAnsi="Book Antiqua"/>
          <w:b/>
          <w:bCs/>
        </w:rPr>
        <w:t>33</w:t>
      </w:r>
      <w:r>
        <w:rPr>
          <w:rFonts w:ascii="Book Antiqua" w:hAnsi="Book Antiqua"/>
        </w:rPr>
        <w:t>: 1902-1909 [PMID: 25847936 DOI: 10.1200/JCO.2014.57.6660]</w:t>
      </w:r>
    </w:p>
    <w:p w:rsidR="00DD33E9" w:rsidRDefault="00C061FA">
      <w:pPr>
        <w:spacing w:line="360" w:lineRule="auto"/>
        <w:jc w:val="both"/>
        <w:rPr>
          <w:rFonts w:ascii="Book Antiqua" w:hAnsi="Book Antiqua"/>
        </w:rPr>
      </w:pPr>
      <w:r>
        <w:rPr>
          <w:rFonts w:ascii="Book Antiqua" w:hAnsi="Book Antiqua"/>
        </w:rPr>
        <w:t xml:space="preserve">47 </w:t>
      </w:r>
      <w:r>
        <w:rPr>
          <w:rFonts w:ascii="Book Antiqua" w:hAnsi="Book Antiqua"/>
          <w:b/>
          <w:bCs/>
        </w:rPr>
        <w:t>Telli</w:t>
      </w:r>
      <w:r>
        <w:rPr>
          <w:rFonts w:ascii="Book Antiqua" w:hAnsi="Book Antiqua"/>
          <w:b/>
          <w:bCs/>
        </w:rPr>
        <w:t xml:space="preserve"> ML</w:t>
      </w:r>
      <w:r>
        <w:rPr>
          <w:rFonts w:ascii="Book Antiqua" w:hAnsi="Book Antiqua"/>
        </w:rPr>
        <w:t>, Timms KM, Reid J, Hennessy B, Mills GB, Jensen KC, Szallasi Z, Barry WT, Winer EP, Tung NM, Isakoff SJ, Ryan PD, Greene-Colozzi A, Gutin A, Sangale Z, Iliev D, Neff C, Abkevich V, Jones JT, Lanchbury JS, Hartman AR, Garber JE, Ford JM, Silver DP, Rich</w:t>
      </w:r>
      <w:r>
        <w:rPr>
          <w:rFonts w:ascii="Book Antiqua" w:hAnsi="Book Antiqua"/>
        </w:rPr>
        <w:t xml:space="preserve">ardson AL. Homologous Recombination Deficiency (HRD) Score Predicts Response to Platinum-Containing Neoadjuvant Chemotherapy in Patients with Triple-Negative Breast Cancer. </w:t>
      </w:r>
      <w:r>
        <w:rPr>
          <w:rFonts w:ascii="Book Antiqua" w:hAnsi="Book Antiqua"/>
          <w:i/>
          <w:iCs/>
        </w:rPr>
        <w:t>Clin Cancer Res</w:t>
      </w:r>
      <w:r>
        <w:rPr>
          <w:rFonts w:ascii="Book Antiqua" w:hAnsi="Book Antiqua"/>
        </w:rPr>
        <w:t xml:space="preserve"> 2016; </w:t>
      </w:r>
      <w:r>
        <w:rPr>
          <w:rFonts w:ascii="Book Antiqua" w:hAnsi="Book Antiqua"/>
          <w:b/>
          <w:bCs/>
        </w:rPr>
        <w:t>22</w:t>
      </w:r>
      <w:r>
        <w:rPr>
          <w:rFonts w:ascii="Book Antiqua" w:hAnsi="Book Antiqua"/>
        </w:rPr>
        <w:t>: 3764-3773 [PMID: 26957554 DOI: 10.1158/1078-0432.CCR-15-2</w:t>
      </w:r>
      <w:r>
        <w:rPr>
          <w:rFonts w:ascii="Book Antiqua" w:hAnsi="Book Antiqua"/>
        </w:rPr>
        <w:t>477]</w:t>
      </w:r>
    </w:p>
    <w:p w:rsidR="00DD33E9" w:rsidRDefault="00C061FA">
      <w:pPr>
        <w:spacing w:line="360" w:lineRule="auto"/>
        <w:jc w:val="both"/>
        <w:rPr>
          <w:rFonts w:ascii="Book Antiqua" w:hAnsi="Book Antiqua"/>
        </w:rPr>
      </w:pPr>
      <w:r>
        <w:rPr>
          <w:rFonts w:ascii="Book Antiqua" w:hAnsi="Book Antiqua"/>
        </w:rPr>
        <w:t xml:space="preserve">48 </w:t>
      </w:r>
      <w:r>
        <w:rPr>
          <w:rFonts w:ascii="Book Antiqua" w:hAnsi="Book Antiqua"/>
          <w:b/>
          <w:bCs/>
        </w:rPr>
        <w:t>Tutt A</w:t>
      </w:r>
      <w:r>
        <w:rPr>
          <w:rFonts w:ascii="Book Antiqua" w:hAnsi="Book Antiqua"/>
        </w:rPr>
        <w:t>, Tovey H, Cheang MCU, Kernaghan S, Kilburn L, Gazinska P, Owen J, Abraham J, Barrett S, Barrett-Lee P, Brown R, Chan S, Dowsett M, Flanagan JM, Fox L, Grigoriadis A, Gutin A, Harper-Wynne C, Hatton MQ, Hoadley KA, Parikh J, Parker P, Perou C</w:t>
      </w:r>
      <w:r>
        <w:rPr>
          <w:rFonts w:ascii="Book Antiqua" w:hAnsi="Book Antiqua"/>
        </w:rPr>
        <w:t>M, Roylance R, Shah V, Shaw A, Smith IE, Timms KM, Wardley AM, Wilson G, Gillett C, Lanchbury JS, Ashworth A, Rahman N, Harries M, Ellis P, Pinder SE, Bliss JM. Carboplatin in BRCA1/2-mutated and triple-negative breast cancer BRCAness subgroups: the TNT Tr</w:t>
      </w:r>
      <w:r>
        <w:rPr>
          <w:rFonts w:ascii="Book Antiqua" w:hAnsi="Book Antiqua"/>
        </w:rPr>
        <w:t xml:space="preserve">ial. </w:t>
      </w:r>
      <w:r>
        <w:rPr>
          <w:rFonts w:ascii="Book Antiqua" w:hAnsi="Book Antiqua"/>
          <w:i/>
          <w:iCs/>
        </w:rPr>
        <w:t>Nat Med</w:t>
      </w:r>
      <w:r>
        <w:rPr>
          <w:rFonts w:ascii="Book Antiqua" w:hAnsi="Book Antiqua"/>
        </w:rPr>
        <w:t xml:space="preserve"> 2018; </w:t>
      </w:r>
      <w:r>
        <w:rPr>
          <w:rFonts w:ascii="Book Antiqua" w:hAnsi="Book Antiqua"/>
          <w:b/>
          <w:bCs/>
        </w:rPr>
        <w:t>24</w:t>
      </w:r>
      <w:r>
        <w:rPr>
          <w:rFonts w:ascii="Book Antiqua" w:hAnsi="Book Antiqua"/>
        </w:rPr>
        <w:t>: 628-637 [PMID: 29713086 DOI: 10.1038/s41591-018-0009-7]</w:t>
      </w:r>
    </w:p>
    <w:p w:rsidR="00DD33E9" w:rsidRDefault="00C061FA">
      <w:pPr>
        <w:spacing w:line="360" w:lineRule="auto"/>
        <w:jc w:val="both"/>
        <w:rPr>
          <w:rFonts w:ascii="Book Antiqua" w:hAnsi="Book Antiqua"/>
        </w:rPr>
      </w:pPr>
      <w:r>
        <w:rPr>
          <w:rFonts w:ascii="Book Antiqua" w:hAnsi="Book Antiqua"/>
        </w:rPr>
        <w:t xml:space="preserve">49 </w:t>
      </w:r>
      <w:r>
        <w:rPr>
          <w:rFonts w:ascii="Book Antiqua" w:hAnsi="Book Antiqua"/>
          <w:b/>
          <w:bCs/>
        </w:rPr>
        <w:t>Cortes J</w:t>
      </w:r>
      <w:r>
        <w:rPr>
          <w:rFonts w:ascii="Book Antiqua" w:hAnsi="Book Antiqua"/>
        </w:rPr>
        <w:t>, O'Shaughnessy J, Loesch D, Blum JL, Vahdat LT, Petrakova K, Chollet P, Manikas A, Diéras V, Delozier T, Vladimirov V, Cardoso F, Koh H, Bougnoux P, Dutcus CE, Seego</w:t>
      </w:r>
      <w:r>
        <w:rPr>
          <w:rFonts w:ascii="Book Antiqua" w:hAnsi="Book Antiqua"/>
        </w:rPr>
        <w:t>bin S, Mir D, Meneses N, Wanders J, Twelves C; EMBRACE (Eisai Metastatic Breast Cancer Study Assessing Physician's Choice Versus E7389) investigators. Eribulin monotherapy versus treatment of physician's choice in patients with metastatic breast cancer (EM</w:t>
      </w:r>
      <w:r>
        <w:rPr>
          <w:rFonts w:ascii="Book Antiqua" w:hAnsi="Book Antiqua"/>
        </w:rPr>
        <w:t xml:space="preserve">BRACE): a phase 3 open-label randomised study. </w:t>
      </w:r>
      <w:r>
        <w:rPr>
          <w:rFonts w:ascii="Book Antiqua" w:hAnsi="Book Antiqua"/>
          <w:i/>
          <w:iCs/>
        </w:rPr>
        <w:t>Lancet</w:t>
      </w:r>
      <w:r>
        <w:rPr>
          <w:rFonts w:ascii="Book Antiqua" w:hAnsi="Book Antiqua"/>
        </w:rPr>
        <w:t xml:space="preserve"> 2011; </w:t>
      </w:r>
      <w:r>
        <w:rPr>
          <w:rFonts w:ascii="Book Antiqua" w:hAnsi="Book Antiqua"/>
          <w:b/>
          <w:bCs/>
        </w:rPr>
        <w:t>377</w:t>
      </w:r>
      <w:r>
        <w:rPr>
          <w:rFonts w:ascii="Book Antiqua" w:hAnsi="Book Antiqua"/>
        </w:rPr>
        <w:t>: 914-923 [PMID: 21376385 DOI: 10.1016/S0140-6736(11)60070-6]</w:t>
      </w:r>
    </w:p>
    <w:p w:rsidR="00DD33E9" w:rsidRDefault="00C061FA">
      <w:pPr>
        <w:spacing w:line="360" w:lineRule="auto"/>
        <w:jc w:val="both"/>
        <w:rPr>
          <w:rFonts w:ascii="Book Antiqua" w:hAnsi="Book Antiqua"/>
        </w:rPr>
      </w:pPr>
      <w:r>
        <w:rPr>
          <w:rFonts w:ascii="Book Antiqua" w:hAnsi="Book Antiqua"/>
        </w:rPr>
        <w:t xml:space="preserve">50 </w:t>
      </w:r>
      <w:r>
        <w:rPr>
          <w:rFonts w:ascii="Book Antiqua" w:hAnsi="Book Antiqua"/>
          <w:b/>
          <w:bCs/>
        </w:rPr>
        <w:t>Nanda R</w:t>
      </w:r>
      <w:r>
        <w:rPr>
          <w:rFonts w:ascii="Book Antiqua" w:hAnsi="Book Antiqua"/>
        </w:rPr>
        <w:t>, Chow LQ, Dees EC, Berger R, Gupta S, Geva R, Pusztai L, Pathiraja K, Aktan G, Cheng JD, Karantza V, Buisseret L. Pembro</w:t>
      </w:r>
      <w:r>
        <w:rPr>
          <w:rFonts w:ascii="Book Antiqua" w:hAnsi="Book Antiqua"/>
        </w:rPr>
        <w:t xml:space="preserve">lizumab in Patients With Advanced Triple-Negative Breast Cancer: Phase Ib KEYNOTE-012 Study. </w:t>
      </w:r>
      <w:r>
        <w:rPr>
          <w:rFonts w:ascii="Book Antiqua" w:hAnsi="Book Antiqua"/>
          <w:i/>
          <w:iCs/>
        </w:rPr>
        <w:t>J Clin Oncol</w:t>
      </w:r>
      <w:r>
        <w:rPr>
          <w:rFonts w:ascii="Book Antiqua" w:hAnsi="Book Antiqua"/>
        </w:rPr>
        <w:t xml:space="preserve"> 2016; </w:t>
      </w:r>
      <w:r>
        <w:rPr>
          <w:rFonts w:ascii="Book Antiqua" w:hAnsi="Book Antiqua"/>
          <w:b/>
          <w:bCs/>
        </w:rPr>
        <w:t>34</w:t>
      </w:r>
      <w:r>
        <w:rPr>
          <w:rFonts w:ascii="Book Antiqua" w:hAnsi="Book Antiqua"/>
        </w:rPr>
        <w:t>: 2460-2467 [PMID: 27138582 DOI: 10.1200/JCO.2015.64.8931]</w:t>
      </w:r>
    </w:p>
    <w:p w:rsidR="00DD33E9" w:rsidRDefault="00C061FA">
      <w:pPr>
        <w:spacing w:line="360" w:lineRule="auto"/>
        <w:jc w:val="both"/>
        <w:rPr>
          <w:rFonts w:ascii="Book Antiqua" w:hAnsi="Book Antiqua"/>
        </w:rPr>
      </w:pPr>
      <w:r>
        <w:rPr>
          <w:rFonts w:ascii="Book Antiqua" w:hAnsi="Book Antiqua"/>
        </w:rPr>
        <w:lastRenderedPageBreak/>
        <w:t xml:space="preserve">51 </w:t>
      </w:r>
      <w:r>
        <w:rPr>
          <w:rFonts w:ascii="Book Antiqua" w:hAnsi="Book Antiqua"/>
          <w:b/>
          <w:bCs/>
        </w:rPr>
        <w:t>Dirix LY</w:t>
      </w:r>
      <w:r>
        <w:rPr>
          <w:rFonts w:ascii="Book Antiqua" w:hAnsi="Book Antiqua"/>
        </w:rPr>
        <w:t>, Takacs I, Jerusalem G, Nikolinakos P, Arkenau HT, Forero-Torres A, Boc</w:t>
      </w:r>
      <w:r>
        <w:rPr>
          <w:rFonts w:ascii="Book Antiqua" w:hAnsi="Book Antiqua"/>
        </w:rPr>
        <w:t>cia R, Lippman ME, Somer R, Smakal M, Emens LA, Hrinczenko B, Edenfield W, Gurtler J, von Heydebreck A, Grote HJ, Chin K, Hamilton EP. Avelumab, an anti-PD-L1 antibody, in patients with locally advanced or metastatic breast cancer: a phase 1b JAVELIN Solid</w:t>
      </w:r>
      <w:r>
        <w:rPr>
          <w:rFonts w:ascii="Book Antiqua" w:hAnsi="Book Antiqua"/>
        </w:rPr>
        <w:t xml:space="preserve"> Tumor study. </w:t>
      </w:r>
      <w:r>
        <w:rPr>
          <w:rFonts w:ascii="Book Antiqua" w:hAnsi="Book Antiqua"/>
          <w:i/>
          <w:iCs/>
        </w:rPr>
        <w:t>Breast Cancer Res Treat</w:t>
      </w:r>
      <w:r>
        <w:rPr>
          <w:rFonts w:ascii="Book Antiqua" w:hAnsi="Book Antiqua"/>
        </w:rPr>
        <w:t xml:space="preserve"> 2018; </w:t>
      </w:r>
      <w:r>
        <w:rPr>
          <w:rFonts w:ascii="Book Antiqua" w:hAnsi="Book Antiqua"/>
          <w:b/>
          <w:bCs/>
        </w:rPr>
        <w:t>167</w:t>
      </w:r>
      <w:r>
        <w:rPr>
          <w:rFonts w:ascii="Book Antiqua" w:hAnsi="Book Antiqua"/>
        </w:rPr>
        <w:t>: 671-686 [PMID: 29063313 DOI: 10.1007/s10549-017-4537-5]</w:t>
      </w:r>
    </w:p>
    <w:p w:rsidR="00DD33E9" w:rsidRDefault="00C061FA">
      <w:pPr>
        <w:spacing w:line="360" w:lineRule="auto"/>
        <w:jc w:val="both"/>
        <w:rPr>
          <w:rFonts w:ascii="Book Antiqua" w:hAnsi="Book Antiqua"/>
        </w:rPr>
      </w:pPr>
      <w:r>
        <w:rPr>
          <w:rFonts w:ascii="Book Antiqua" w:hAnsi="Book Antiqua"/>
        </w:rPr>
        <w:t xml:space="preserve">52 </w:t>
      </w:r>
      <w:r>
        <w:rPr>
          <w:rFonts w:ascii="Book Antiqua" w:hAnsi="Book Antiqua"/>
          <w:b/>
          <w:bCs/>
        </w:rPr>
        <w:t>Emens LA</w:t>
      </w:r>
      <w:r>
        <w:rPr>
          <w:rFonts w:ascii="Book Antiqua" w:hAnsi="Book Antiqua"/>
        </w:rPr>
        <w:t>, Cruz C, Eder JP, Braiteh F, Chung C, Tolaney SM, Kuter I, Nanda R, Cassier PA, Delord JP, Gordon MS, ElGabry E, Chang CW, Sarkar I, Grossm</w:t>
      </w:r>
      <w:r>
        <w:rPr>
          <w:rFonts w:ascii="Book Antiqua" w:hAnsi="Book Antiqua"/>
        </w:rPr>
        <w:t xml:space="preserve">an W, O'Hear C, Fassò M, Molinero L, Schmid P. Long-term Clinical Outcomes and Biomarker Analyses of Atezolizumab Therapy for Patients With Metastatic Triple-Negative Breast Cancer: A Phase 1 Study. </w:t>
      </w:r>
      <w:r>
        <w:rPr>
          <w:rFonts w:ascii="Book Antiqua" w:hAnsi="Book Antiqua"/>
          <w:i/>
          <w:iCs/>
        </w:rPr>
        <w:t>JAMA Oncol</w:t>
      </w:r>
      <w:r>
        <w:rPr>
          <w:rFonts w:ascii="Book Antiqua" w:hAnsi="Book Antiqua"/>
        </w:rPr>
        <w:t xml:space="preserve"> 2019; </w:t>
      </w:r>
      <w:r>
        <w:rPr>
          <w:rFonts w:ascii="Book Antiqua" w:hAnsi="Book Antiqua"/>
          <w:b/>
          <w:bCs/>
        </w:rPr>
        <w:t>5</w:t>
      </w:r>
      <w:r>
        <w:rPr>
          <w:rFonts w:ascii="Book Antiqua" w:hAnsi="Book Antiqua"/>
        </w:rPr>
        <w:t>: 74-82 [PMID: 30242306 DOI: 10.1001/ja</w:t>
      </w:r>
      <w:r>
        <w:rPr>
          <w:rFonts w:ascii="Book Antiqua" w:hAnsi="Book Antiqua"/>
        </w:rPr>
        <w:t>maoncol.2018.4224]</w:t>
      </w:r>
    </w:p>
    <w:p w:rsidR="00DD33E9" w:rsidRDefault="00C061FA">
      <w:pPr>
        <w:spacing w:line="360" w:lineRule="auto"/>
        <w:jc w:val="both"/>
        <w:rPr>
          <w:rFonts w:ascii="Book Antiqua" w:hAnsi="Book Antiqua"/>
        </w:rPr>
      </w:pPr>
      <w:r>
        <w:rPr>
          <w:rFonts w:ascii="Book Antiqua" w:hAnsi="Book Antiqua"/>
        </w:rPr>
        <w:t xml:space="preserve">53 </w:t>
      </w:r>
      <w:r>
        <w:rPr>
          <w:rFonts w:ascii="Book Antiqua" w:hAnsi="Book Antiqua"/>
          <w:b/>
          <w:bCs/>
        </w:rPr>
        <w:t>Adams S</w:t>
      </w:r>
      <w:r>
        <w:rPr>
          <w:rFonts w:ascii="Book Antiqua" w:hAnsi="Book Antiqua"/>
        </w:rPr>
        <w:t>, Schmid P, Rugo HS, Winer EP, Loirat D, Awada A, Cescon DW, Iwata H, Campone M, Nanda R, Hui R, Curigliano G, Toppmeyer D, O'Shaughnessy J, Loi S, Paluch-Shimon S, Tan AR, Card D, Zhao J, Karantza V, Cortés J. Pembrolizumab mo</w:t>
      </w:r>
      <w:r>
        <w:rPr>
          <w:rFonts w:ascii="Book Antiqua" w:hAnsi="Book Antiqua"/>
        </w:rPr>
        <w:t xml:space="preserve">notherapy for previously treated metastatic triple-negative breast cancer: cohort A of the phase II KEYNOTE-086 study.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397-404 [PMID: 30475950 DOI: 10.1093/annonc/mdy517]</w:t>
      </w:r>
    </w:p>
    <w:p w:rsidR="00DD33E9" w:rsidRDefault="00C061FA">
      <w:pPr>
        <w:spacing w:line="360" w:lineRule="auto"/>
        <w:jc w:val="both"/>
        <w:rPr>
          <w:rFonts w:ascii="Book Antiqua" w:hAnsi="Book Antiqua"/>
        </w:rPr>
      </w:pPr>
      <w:proofErr w:type="gramStart"/>
      <w:r>
        <w:rPr>
          <w:rFonts w:ascii="Book Antiqua" w:hAnsi="Book Antiqua"/>
        </w:rPr>
        <w:t xml:space="preserve">54 </w:t>
      </w:r>
      <w:r>
        <w:rPr>
          <w:rFonts w:ascii="Book Antiqua" w:hAnsi="Book Antiqua"/>
          <w:b/>
          <w:bCs/>
        </w:rPr>
        <w:t>Cortés J,</w:t>
      </w:r>
      <w:r>
        <w:rPr>
          <w:rFonts w:ascii="Book Antiqua" w:hAnsi="Book Antiqua"/>
        </w:rPr>
        <w:t xml:space="preserve"> Lipatov O, Im S-A, </w:t>
      </w:r>
      <w:r>
        <w:rPr>
          <w:rFonts w:ascii="Book Antiqua" w:eastAsia="微软雅黑" w:hAnsi="Book Antiqua"/>
          <w:color w:val="000000"/>
          <w:shd w:val="clear" w:color="auto" w:fill="FFFFFF"/>
        </w:rPr>
        <w:t>Gonalves A, Winer EP.</w:t>
      </w:r>
      <w:proofErr w:type="gramEnd"/>
      <w:r>
        <w:rPr>
          <w:rFonts w:ascii="Book Antiqua" w:eastAsia="微软雅黑" w:hAnsi="Book Antiqua"/>
          <w:color w:val="000000"/>
          <w:shd w:val="clear" w:color="auto" w:fill="FFFFFF"/>
        </w:rPr>
        <w:t xml:space="preserve"> </w:t>
      </w:r>
      <w:r>
        <w:rPr>
          <w:rFonts w:ascii="Book Antiqua" w:hAnsi="Book Antiqua"/>
        </w:rPr>
        <w:t xml:space="preserve">LBA21 - KEYNOTE-119: Phase III study of pembrolizumab (pembro) vs single-agent chemotherapy (chemo) for metastatic triple negative breast cancer (mTNBC).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xml:space="preserve"> v859-v860 [DOI: 10.1093/annonc/mdz394.010] </w:t>
      </w:r>
    </w:p>
    <w:p w:rsidR="00DD33E9" w:rsidRDefault="00C061FA">
      <w:pPr>
        <w:spacing w:line="360" w:lineRule="auto"/>
        <w:jc w:val="both"/>
        <w:rPr>
          <w:rFonts w:ascii="Book Antiqua" w:hAnsi="Book Antiqua"/>
        </w:rPr>
      </w:pPr>
      <w:r>
        <w:rPr>
          <w:rFonts w:ascii="Book Antiqua" w:hAnsi="Book Antiqua"/>
        </w:rPr>
        <w:t xml:space="preserve">55 </w:t>
      </w:r>
      <w:r>
        <w:rPr>
          <w:rFonts w:ascii="Book Antiqua" w:hAnsi="Book Antiqua"/>
          <w:b/>
          <w:bCs/>
        </w:rPr>
        <w:t>Adams S</w:t>
      </w:r>
      <w:r>
        <w:rPr>
          <w:rFonts w:ascii="Book Antiqua" w:hAnsi="Book Antiqua"/>
        </w:rPr>
        <w:t>, Diamond JR, Hamilton E, Po</w:t>
      </w:r>
      <w:r>
        <w:rPr>
          <w:rFonts w:ascii="Book Antiqua" w:hAnsi="Book Antiqua"/>
        </w:rPr>
        <w:t xml:space="preserve">hlmann PR, Tolaney SM, Chang CW, Zhang W, Iizuka K, Foster PG, Molinero L, Funke R, Powderly J. Atezolizumab Plus nab-Paclitaxel in the Treatment of Metastatic Triple-Negative Breast Cancer With 2-Year Survival Follow-up: A Phase 1b Clinical Trial. </w:t>
      </w:r>
      <w:r>
        <w:rPr>
          <w:rFonts w:ascii="Book Antiqua" w:hAnsi="Book Antiqua"/>
          <w:i/>
          <w:iCs/>
        </w:rPr>
        <w:t>JAMA On</w:t>
      </w:r>
      <w:r>
        <w:rPr>
          <w:rFonts w:ascii="Book Antiqua" w:hAnsi="Book Antiqua"/>
          <w:i/>
          <w:iCs/>
        </w:rPr>
        <w:t>col</w:t>
      </w:r>
      <w:r>
        <w:rPr>
          <w:rFonts w:ascii="Book Antiqua" w:hAnsi="Book Antiqua"/>
        </w:rPr>
        <w:t xml:space="preserve"> 2019; </w:t>
      </w:r>
      <w:r>
        <w:rPr>
          <w:rFonts w:ascii="Book Antiqua" w:hAnsi="Book Antiqua"/>
          <w:b/>
          <w:bCs/>
        </w:rPr>
        <w:t>5</w:t>
      </w:r>
      <w:r>
        <w:rPr>
          <w:rFonts w:ascii="Book Antiqua" w:hAnsi="Book Antiqua"/>
        </w:rPr>
        <w:t>: 334-342 [PMID: 30347025 DOI: 10.1001/jamaoncol.2018.5152]</w:t>
      </w:r>
    </w:p>
    <w:p w:rsidR="00DD33E9" w:rsidRDefault="00C061FA">
      <w:pPr>
        <w:spacing w:line="360" w:lineRule="auto"/>
        <w:jc w:val="both"/>
        <w:rPr>
          <w:rFonts w:ascii="Book Antiqua" w:hAnsi="Book Antiqua"/>
        </w:rPr>
      </w:pPr>
      <w:r>
        <w:rPr>
          <w:rFonts w:ascii="Book Antiqua" w:hAnsi="Book Antiqua"/>
        </w:rPr>
        <w:t xml:space="preserve">56 </w:t>
      </w:r>
      <w:r>
        <w:rPr>
          <w:rFonts w:ascii="Book Antiqua" w:hAnsi="Book Antiqua"/>
          <w:b/>
          <w:bCs/>
        </w:rPr>
        <w:t>Schmid P</w:t>
      </w:r>
      <w:r>
        <w:rPr>
          <w:rFonts w:ascii="Book Antiqua" w:hAnsi="Book Antiqua"/>
        </w:rPr>
        <w:t xml:space="preserve">, Adams S, Rugo HS, Schneeweiss A, Barrios CH, Iwata H, Diéras V, Hegg R, Im SA, Shaw Wright G, Henschel V, Molinero L, Chui SY, Funke R, Husain A, Winer </w:t>
      </w:r>
      <w:r>
        <w:rPr>
          <w:rFonts w:ascii="Book Antiqua" w:hAnsi="Book Antiqua"/>
        </w:rPr>
        <w:lastRenderedPageBreak/>
        <w:t>EP, Loi S, Emens LA;</w:t>
      </w:r>
      <w:r>
        <w:rPr>
          <w:rFonts w:ascii="Book Antiqua" w:hAnsi="Book Antiqua"/>
        </w:rPr>
        <w:t xml:space="preserve"> IMpassion130 Trial Investigators. </w:t>
      </w:r>
      <w:proofErr w:type="gramStart"/>
      <w:r>
        <w:rPr>
          <w:rFonts w:ascii="Book Antiqua" w:hAnsi="Book Antiqua"/>
        </w:rPr>
        <w:t>Atezolizumab and Nab-Paclitaxel in Advanced Triple-Negative Breast Cancer.</w:t>
      </w:r>
      <w:proofErr w:type="gramEnd"/>
      <w:r>
        <w:rPr>
          <w:rFonts w:ascii="Book Antiqua" w:hAnsi="Book Antiqua"/>
        </w:rPr>
        <w:t xml:space="preserve"> </w:t>
      </w:r>
      <w:r>
        <w:rPr>
          <w:rFonts w:ascii="Book Antiqua" w:hAnsi="Book Antiqua"/>
          <w:i/>
          <w:iCs/>
        </w:rPr>
        <w:t>N Engl J Med</w:t>
      </w:r>
      <w:r>
        <w:rPr>
          <w:rFonts w:ascii="Book Antiqua" w:hAnsi="Book Antiqua"/>
        </w:rPr>
        <w:t xml:space="preserve"> 2018; </w:t>
      </w:r>
      <w:r>
        <w:rPr>
          <w:rFonts w:ascii="Book Antiqua" w:hAnsi="Book Antiqua"/>
          <w:b/>
          <w:bCs/>
        </w:rPr>
        <w:t>379</w:t>
      </w:r>
      <w:r>
        <w:rPr>
          <w:rFonts w:ascii="Book Antiqua" w:hAnsi="Book Antiqua"/>
        </w:rPr>
        <w:t>: 2108-2121 [PMID: 30345906 DOI: 10.1056/NEJMoa1809615]</w:t>
      </w:r>
    </w:p>
    <w:p w:rsidR="00DD33E9" w:rsidRDefault="00C061FA">
      <w:pPr>
        <w:spacing w:line="360" w:lineRule="auto"/>
        <w:jc w:val="both"/>
        <w:rPr>
          <w:rFonts w:ascii="Book Antiqua" w:hAnsi="Book Antiqua"/>
        </w:rPr>
      </w:pPr>
      <w:r>
        <w:rPr>
          <w:rFonts w:ascii="Book Antiqua" w:hAnsi="Book Antiqua"/>
        </w:rPr>
        <w:t xml:space="preserve">57 </w:t>
      </w:r>
      <w:r>
        <w:rPr>
          <w:rFonts w:ascii="Book Antiqua" w:hAnsi="Book Antiqua"/>
          <w:b/>
          <w:bCs/>
        </w:rPr>
        <w:t>Tolaney SM,</w:t>
      </w:r>
      <w:r>
        <w:rPr>
          <w:rFonts w:ascii="Book Antiqua" w:hAnsi="Book Antiqua"/>
        </w:rPr>
        <w:t xml:space="preserve"> Kalinsky K, Kaklamani V, Savulsky C, Diab S. Abstract</w:t>
      </w:r>
      <w:r>
        <w:rPr>
          <w:rFonts w:ascii="Book Antiqua" w:hAnsi="Book Antiqua"/>
        </w:rPr>
        <w:t xml:space="preserve"> PD6-13: Phase 1b/2 study to evaluate eribulin mesylate in combination with pembrolizumab in patients with metastatic triple-negative breast cancer. </w:t>
      </w:r>
      <w:r>
        <w:rPr>
          <w:rFonts w:ascii="Book Antiqua" w:hAnsi="Book Antiqua"/>
          <w:i/>
          <w:iCs/>
        </w:rPr>
        <w:t>Cancer Res</w:t>
      </w:r>
      <w:r>
        <w:rPr>
          <w:rFonts w:ascii="Book Antiqua" w:hAnsi="Book Antiqua"/>
        </w:rPr>
        <w:t xml:space="preserve"> 2018; </w:t>
      </w:r>
      <w:r>
        <w:rPr>
          <w:rFonts w:ascii="Book Antiqua" w:hAnsi="Book Antiqua"/>
          <w:b/>
          <w:bCs/>
        </w:rPr>
        <w:t>78:</w:t>
      </w:r>
      <w:r>
        <w:rPr>
          <w:rFonts w:ascii="Book Antiqua" w:hAnsi="Book Antiqua"/>
        </w:rPr>
        <w:t xml:space="preserve"> PD6-13-PD6-13 [DOI: 10.1158/1538-7445.SABCS17-PD6-13]</w:t>
      </w:r>
    </w:p>
    <w:p w:rsidR="00DD33E9" w:rsidRDefault="00C061FA">
      <w:pPr>
        <w:spacing w:line="360" w:lineRule="auto"/>
        <w:jc w:val="both"/>
        <w:rPr>
          <w:rFonts w:ascii="Book Antiqua" w:hAnsi="Book Antiqua"/>
        </w:rPr>
      </w:pPr>
      <w:r>
        <w:rPr>
          <w:rFonts w:ascii="Book Antiqua" w:hAnsi="Book Antiqua"/>
        </w:rPr>
        <w:t xml:space="preserve">58 </w:t>
      </w:r>
      <w:r>
        <w:rPr>
          <w:rFonts w:ascii="Book Antiqua" w:hAnsi="Book Antiqua"/>
          <w:b/>
          <w:bCs/>
        </w:rPr>
        <w:t>Castan JC,</w:t>
      </w:r>
      <w:r>
        <w:rPr>
          <w:rFonts w:ascii="Book Antiqua" w:hAnsi="Book Antiqua"/>
        </w:rPr>
        <w:t xml:space="preserve"> Guo Z, Karantza V,</w:t>
      </w:r>
      <w:r>
        <w:rPr>
          <w:rFonts w:ascii="Book Antiqua" w:hAnsi="Book Antiqua"/>
        </w:rPr>
        <w:t xml:space="preserve"> Aktan G. Keynote-355: randomized, double-blind, phase iii study of pembrolizumab (pembro) + chemotherapy (chemo) vs placebo (pbo) + chemo for previously untreated, locally recurrent, inoperable or metastatic triple-negative breast cancer (mtnbc) - science</w:t>
      </w:r>
      <w:r>
        <w:rPr>
          <w:rFonts w:ascii="Book Antiqua" w:hAnsi="Book Antiqua"/>
        </w:rPr>
        <w:t xml:space="preserve">direct. </w:t>
      </w:r>
      <w:r>
        <w:rPr>
          <w:rFonts w:ascii="Book Antiqua" w:hAnsi="Book Antiqua"/>
          <w:i/>
          <w:iCs/>
        </w:rPr>
        <w:t>Ann Oncol</w:t>
      </w:r>
      <w:r>
        <w:rPr>
          <w:rFonts w:ascii="Book Antiqua" w:hAnsi="Book Antiqua"/>
        </w:rPr>
        <w:t xml:space="preserve"> 2017; </w:t>
      </w:r>
      <w:r>
        <w:rPr>
          <w:rFonts w:ascii="Book Antiqua" w:hAnsi="Book Antiqua"/>
          <w:b/>
          <w:bCs/>
        </w:rPr>
        <w:t>28</w:t>
      </w:r>
      <w:r>
        <w:rPr>
          <w:rFonts w:ascii="Book Antiqua" w:hAnsi="Book Antiqua"/>
        </w:rPr>
        <w:t>:</w:t>
      </w:r>
      <w:r>
        <w:rPr>
          <w:rFonts w:ascii="Book Antiqua" w:hAnsi="Book Antiqua"/>
          <w:b/>
          <w:bCs/>
        </w:rPr>
        <w:t xml:space="preserve"> </w:t>
      </w:r>
      <w:r>
        <w:rPr>
          <w:rFonts w:ascii="Book Antiqua" w:hAnsi="Book Antiqua"/>
        </w:rPr>
        <w:t xml:space="preserve">x25 [DOI: </w:t>
      </w:r>
      <w:hyperlink r:id="rId9" w:tgtFrame="_blank" w:tooltip="Persistent link using digital object identifier" w:history="1">
        <w:r>
          <w:rPr>
            <w:rFonts w:ascii="Book Antiqua" w:hAnsi="Book Antiqua"/>
          </w:rPr>
          <w:t>10.1093/annonc/mdx656</w:t>
        </w:r>
      </w:hyperlink>
      <w:r>
        <w:rPr>
          <w:rFonts w:ascii="Book Antiqua" w:hAnsi="Book Antiqua"/>
        </w:rPr>
        <w:t>]</w:t>
      </w:r>
    </w:p>
    <w:p w:rsidR="00DD33E9" w:rsidRDefault="00C061FA">
      <w:pPr>
        <w:spacing w:line="360" w:lineRule="auto"/>
        <w:jc w:val="both"/>
        <w:rPr>
          <w:rFonts w:ascii="Book Antiqua" w:hAnsi="Book Antiqua"/>
        </w:rPr>
      </w:pPr>
      <w:r>
        <w:rPr>
          <w:rFonts w:ascii="Book Antiqua" w:hAnsi="Book Antiqua"/>
        </w:rPr>
        <w:t xml:space="preserve">59 </w:t>
      </w:r>
      <w:r>
        <w:rPr>
          <w:rFonts w:ascii="Book Antiqua" w:hAnsi="Book Antiqua"/>
          <w:b/>
          <w:bCs/>
        </w:rPr>
        <w:t>Rugo HS</w:t>
      </w:r>
      <w:r>
        <w:rPr>
          <w:rFonts w:ascii="Book Antiqua" w:hAnsi="Book Antiqua"/>
        </w:rPr>
        <w:t>, Loi S, Adams S, Schmid P, Schneeweiss A, Barrios CH, Iwata H, Di</w:t>
      </w:r>
      <w:r>
        <w:rPr>
          <w:rFonts w:ascii="Book Antiqua" w:hAnsi="Book Antiqua"/>
        </w:rPr>
        <w:t>eras VC, Winer EP, Kockx M, Peeters D, Chui SY, Lin JC, Nguyen Duc A, Viale G, Molinero L, Emens LA. LBA20 - Performance of PD-L1 immunohistochemistry (IHC) assays in unresectable locally advanced or metastatic triple-negative breast cancer (mTNBC): Post-h</w:t>
      </w:r>
      <w:r>
        <w:rPr>
          <w:rFonts w:ascii="Book Antiqua" w:hAnsi="Book Antiqua"/>
        </w:rPr>
        <w:t xml:space="preserve">oc analysis of IMpassion130. </w:t>
      </w:r>
      <w:r>
        <w:rPr>
          <w:rFonts w:ascii="Book Antiqua" w:hAnsi="Book Antiqua"/>
          <w:i/>
          <w:iCs/>
        </w:rPr>
        <w:t>Ann Oncol</w:t>
      </w:r>
      <w:r>
        <w:rPr>
          <w:rFonts w:ascii="Book Antiqua" w:hAnsi="Book Antiqua"/>
        </w:rPr>
        <w:t xml:space="preserve"> 2019;</w:t>
      </w:r>
      <w:r>
        <w:rPr>
          <w:rFonts w:ascii="Book Antiqua" w:hAnsi="Book Antiqua"/>
          <w:b/>
          <w:bCs/>
        </w:rPr>
        <w:t xml:space="preserve"> 30</w:t>
      </w:r>
      <w:r>
        <w:rPr>
          <w:rFonts w:ascii="Book Antiqua" w:hAnsi="Book Antiqua"/>
        </w:rPr>
        <w:t>: v858-v859 [DOI: 10.1093/annonc/mdz394.009]</w:t>
      </w:r>
    </w:p>
    <w:p w:rsidR="00DD33E9" w:rsidRDefault="00C061FA">
      <w:pPr>
        <w:spacing w:line="360" w:lineRule="auto"/>
        <w:jc w:val="both"/>
        <w:rPr>
          <w:rFonts w:ascii="Book Antiqua" w:hAnsi="Book Antiqua"/>
        </w:rPr>
      </w:pPr>
      <w:r>
        <w:rPr>
          <w:rFonts w:ascii="Book Antiqua" w:hAnsi="Book Antiqua"/>
        </w:rPr>
        <w:t xml:space="preserve">60 </w:t>
      </w:r>
      <w:r>
        <w:rPr>
          <w:rFonts w:ascii="Book Antiqua" w:hAnsi="Book Antiqua"/>
          <w:b/>
          <w:bCs/>
        </w:rPr>
        <w:t>Kulangara K</w:t>
      </w:r>
      <w:r>
        <w:rPr>
          <w:rFonts w:ascii="Book Antiqua" w:hAnsi="Book Antiqua"/>
        </w:rPr>
        <w:t>, Zhang N, Corigliano E, Guerrero L, Waldroup S, Jaiswal D, Ms MJ, Shah S, Hanks D, Wang J, Lunceford J, Savage MJ, Juco J, Emancipator K. Clinical Ut</w:t>
      </w:r>
      <w:r>
        <w:rPr>
          <w:rFonts w:ascii="Book Antiqua" w:hAnsi="Book Antiqua"/>
        </w:rPr>
        <w:t xml:space="preserve">ility of the Combined Positive Score for Programmed Death Ligand-1 Expression and the Approval of Pembrolizumab for Treatment of Gastric Cancer. </w:t>
      </w:r>
      <w:r>
        <w:rPr>
          <w:rFonts w:ascii="Book Antiqua" w:hAnsi="Book Antiqua"/>
          <w:i/>
          <w:iCs/>
        </w:rPr>
        <w:t>Arch Pathol Lab Med</w:t>
      </w:r>
      <w:r>
        <w:rPr>
          <w:rFonts w:ascii="Book Antiqua" w:hAnsi="Book Antiqua"/>
        </w:rPr>
        <w:t xml:space="preserve"> 2019; </w:t>
      </w:r>
      <w:r>
        <w:rPr>
          <w:rFonts w:ascii="Book Antiqua" w:hAnsi="Book Antiqua"/>
          <w:b/>
          <w:bCs/>
        </w:rPr>
        <w:t>143</w:t>
      </w:r>
      <w:r>
        <w:rPr>
          <w:rFonts w:ascii="Book Antiqua" w:hAnsi="Book Antiqua"/>
        </w:rPr>
        <w:t>: 330-337 [PMID: 30028179 DOI: 10.5858/arpa.2018-0043-OA]</w:t>
      </w:r>
    </w:p>
    <w:p w:rsidR="00DD33E9" w:rsidRDefault="00C061FA">
      <w:pPr>
        <w:spacing w:line="360" w:lineRule="auto"/>
        <w:jc w:val="both"/>
        <w:rPr>
          <w:rFonts w:ascii="Book Antiqua" w:hAnsi="Book Antiqua"/>
        </w:rPr>
      </w:pPr>
      <w:r>
        <w:rPr>
          <w:rFonts w:ascii="Book Antiqua" w:hAnsi="Book Antiqua"/>
        </w:rPr>
        <w:t xml:space="preserve">61 </w:t>
      </w:r>
      <w:r>
        <w:rPr>
          <w:rFonts w:ascii="Book Antiqua" w:hAnsi="Book Antiqua"/>
          <w:b/>
          <w:bCs/>
        </w:rPr>
        <w:t>Schmid P</w:t>
      </w:r>
      <w:r>
        <w:rPr>
          <w:rFonts w:ascii="Book Antiqua" w:hAnsi="Book Antiqua"/>
        </w:rPr>
        <w:t>, Cortes J, P</w:t>
      </w:r>
      <w:r>
        <w:rPr>
          <w:rFonts w:ascii="Book Antiqua" w:hAnsi="Book Antiqua"/>
        </w:rPr>
        <w:t xml:space="preserve">usztai L, McArthur H, Kümmel S, Bergh J, Denkert C, Park YH, Hui R, Harbeck N, Takahashi M, Foukakis T, Fasching PA, Cardoso F, Untch M, Jia L, Karantza V, Zhao J, Aktan G, Dent R, O'Shaughnessy J; KEYNOTE-522 Investigators. </w:t>
      </w:r>
      <w:proofErr w:type="gramStart"/>
      <w:r>
        <w:rPr>
          <w:rFonts w:ascii="Book Antiqua" w:hAnsi="Book Antiqua"/>
        </w:rPr>
        <w:t>Pembrolizumab for Early Triple-</w:t>
      </w:r>
      <w:r>
        <w:rPr>
          <w:rFonts w:ascii="Book Antiqua" w:hAnsi="Book Antiqua"/>
        </w:rPr>
        <w:t>Negative Breast Cancer.</w:t>
      </w:r>
      <w:proofErr w:type="gramEnd"/>
      <w:r>
        <w:rPr>
          <w:rFonts w:ascii="Book Antiqua" w:hAnsi="Book Antiqua"/>
        </w:rPr>
        <w:t xml:space="preserve">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810-821 [PMID: 32101663 DOI: 10.1056/NEJMoa1910549]</w:t>
      </w:r>
    </w:p>
    <w:p w:rsidR="00DD33E9" w:rsidRDefault="00C061FA">
      <w:pPr>
        <w:spacing w:line="360" w:lineRule="auto"/>
        <w:jc w:val="both"/>
        <w:rPr>
          <w:rFonts w:ascii="Book Antiqua" w:hAnsi="Book Antiqua"/>
        </w:rPr>
      </w:pPr>
      <w:r>
        <w:rPr>
          <w:rFonts w:ascii="Book Antiqua" w:hAnsi="Book Antiqua"/>
        </w:rPr>
        <w:lastRenderedPageBreak/>
        <w:t xml:space="preserve">62 </w:t>
      </w:r>
      <w:r>
        <w:rPr>
          <w:rFonts w:ascii="Book Antiqua" w:hAnsi="Book Antiqua"/>
          <w:b/>
          <w:bCs/>
        </w:rPr>
        <w:t>Fuentes-Antrás J</w:t>
      </w:r>
      <w:r>
        <w:rPr>
          <w:rFonts w:ascii="Book Antiqua" w:hAnsi="Book Antiqua"/>
        </w:rPr>
        <w:t>, Guevara-Hoyer K, Baliu-Piqué M, García-Sáenz JÁ, Pérez-Segura P, Pandiella A, Ocaña A. Adoptive Cell Therapy in Breast Cancer: A Curren</w:t>
      </w:r>
      <w:r>
        <w:rPr>
          <w:rFonts w:ascii="Book Antiqua" w:hAnsi="Book Antiqua"/>
        </w:rPr>
        <w:t xml:space="preserve">t Perspective of Next-Generation Medicine.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605633 [PMID: 33194771 DOI: 10.3389/fonc.2020.605633]</w:t>
      </w:r>
    </w:p>
    <w:p w:rsidR="00DD33E9" w:rsidRDefault="00C061FA">
      <w:pPr>
        <w:spacing w:line="360" w:lineRule="auto"/>
        <w:jc w:val="both"/>
        <w:rPr>
          <w:rFonts w:ascii="Book Antiqua" w:hAnsi="Book Antiqua"/>
        </w:rPr>
      </w:pPr>
      <w:r>
        <w:rPr>
          <w:rFonts w:ascii="Book Antiqua" w:hAnsi="Book Antiqua"/>
        </w:rPr>
        <w:t xml:space="preserve">63 </w:t>
      </w:r>
      <w:r>
        <w:rPr>
          <w:rFonts w:ascii="Book Antiqua" w:hAnsi="Book Antiqua"/>
          <w:b/>
          <w:bCs/>
        </w:rPr>
        <w:t>Tutt A</w:t>
      </w:r>
      <w:r>
        <w:rPr>
          <w:rFonts w:ascii="Book Antiqua" w:hAnsi="Book Antiqua"/>
        </w:rPr>
        <w:t>, Robson M, Garber JE, Domchek SM, Audeh MW, Weitzel JN, Friedlander M, Arun B, Loman N, Schmutzler RK, Wardley A, Mitchell G, Earl H, Wickens M, Carmichael J. Oral poly(ADP-ribose) polymerase inhibitor olaparib in patients with BRCA1 or BRCA2 mutations an</w:t>
      </w:r>
      <w:r>
        <w:rPr>
          <w:rFonts w:ascii="Book Antiqua" w:hAnsi="Book Antiqua"/>
        </w:rPr>
        <w:t xml:space="preserve">d advanced breast cancer: a proof-of-concept trial. </w:t>
      </w:r>
      <w:r>
        <w:rPr>
          <w:rFonts w:ascii="Book Antiqua" w:hAnsi="Book Antiqua"/>
          <w:i/>
          <w:iCs/>
        </w:rPr>
        <w:t>Lancet</w:t>
      </w:r>
      <w:r>
        <w:rPr>
          <w:rFonts w:ascii="Book Antiqua" w:hAnsi="Book Antiqua"/>
        </w:rPr>
        <w:t xml:space="preserve"> 2010; </w:t>
      </w:r>
      <w:r>
        <w:rPr>
          <w:rFonts w:ascii="Book Antiqua" w:hAnsi="Book Antiqua"/>
          <w:b/>
          <w:bCs/>
        </w:rPr>
        <w:t>376</w:t>
      </w:r>
      <w:r>
        <w:rPr>
          <w:rFonts w:ascii="Book Antiqua" w:hAnsi="Book Antiqua"/>
        </w:rPr>
        <w:t>: 235-244 [PMID: 20609467 DOI: 10.1016/S0140-6736(10)60892-6]</w:t>
      </w:r>
    </w:p>
    <w:p w:rsidR="00DD33E9" w:rsidRDefault="00C061FA">
      <w:pPr>
        <w:spacing w:line="360" w:lineRule="auto"/>
        <w:jc w:val="both"/>
        <w:rPr>
          <w:rFonts w:ascii="Book Antiqua" w:hAnsi="Book Antiqua"/>
        </w:rPr>
      </w:pPr>
      <w:r>
        <w:rPr>
          <w:rFonts w:ascii="Book Antiqua" w:hAnsi="Book Antiqua"/>
        </w:rPr>
        <w:t xml:space="preserve">64 </w:t>
      </w:r>
      <w:r>
        <w:rPr>
          <w:rFonts w:ascii="Book Antiqua" w:hAnsi="Book Antiqua"/>
          <w:b/>
          <w:bCs/>
        </w:rPr>
        <w:t>Kaufman B</w:t>
      </w:r>
      <w:r>
        <w:rPr>
          <w:rFonts w:ascii="Book Antiqua" w:hAnsi="Book Antiqua"/>
        </w:rPr>
        <w:t>, Shapira-Frommer R, Schmutzler RK, Audeh MW, Friedlander M, Balmaña J, Mitchell G, Fried G, Stemmer SM, Hubert A, Rosengarten O, Steiner M, Loman N, Bowen K, Fielding A, Domchek SM. Olaparib monotherapy in patients with advanced cancer and a germline BRCA</w:t>
      </w:r>
      <w:r>
        <w:rPr>
          <w:rFonts w:ascii="Book Antiqua" w:hAnsi="Book Antiqua"/>
        </w:rPr>
        <w:t xml:space="preserve">1/2 mutation. </w:t>
      </w:r>
      <w:r>
        <w:rPr>
          <w:rFonts w:ascii="Book Antiqua" w:hAnsi="Book Antiqua"/>
          <w:i/>
          <w:iCs/>
        </w:rPr>
        <w:t>J Clin Oncol</w:t>
      </w:r>
      <w:r>
        <w:rPr>
          <w:rFonts w:ascii="Book Antiqua" w:hAnsi="Book Antiqua"/>
        </w:rPr>
        <w:t xml:space="preserve"> 2015; </w:t>
      </w:r>
      <w:r>
        <w:rPr>
          <w:rFonts w:ascii="Book Antiqua" w:hAnsi="Book Antiqua"/>
          <w:b/>
          <w:bCs/>
        </w:rPr>
        <w:t>33</w:t>
      </w:r>
      <w:r>
        <w:rPr>
          <w:rFonts w:ascii="Book Antiqua" w:hAnsi="Book Antiqua"/>
        </w:rPr>
        <w:t>: 244-250 [PMID: 25366685 DOI: 10.1200/JCO.2014.56.2728]</w:t>
      </w:r>
    </w:p>
    <w:p w:rsidR="00DD33E9" w:rsidRDefault="00C061FA">
      <w:pPr>
        <w:spacing w:line="360" w:lineRule="auto"/>
        <w:jc w:val="both"/>
        <w:rPr>
          <w:rFonts w:ascii="Book Antiqua" w:hAnsi="Book Antiqua"/>
        </w:rPr>
      </w:pPr>
      <w:proofErr w:type="gramStart"/>
      <w:r>
        <w:rPr>
          <w:rFonts w:ascii="Book Antiqua" w:hAnsi="Book Antiqua"/>
        </w:rPr>
        <w:t xml:space="preserve">65 </w:t>
      </w:r>
      <w:r>
        <w:rPr>
          <w:rFonts w:ascii="Book Antiqua" w:hAnsi="Book Antiqua"/>
          <w:b/>
          <w:bCs/>
        </w:rPr>
        <w:t>Turner NC</w:t>
      </w:r>
      <w:r>
        <w:rPr>
          <w:rFonts w:ascii="Book Antiqua" w:hAnsi="Book Antiqua"/>
        </w:rPr>
        <w:t>, Telli ML, Rugo HS, Mailliez A, Robson ME.</w:t>
      </w:r>
      <w:proofErr w:type="gramEnd"/>
      <w:r>
        <w:rPr>
          <w:rFonts w:ascii="Book Antiqua" w:hAnsi="Book Antiqua"/>
        </w:rPr>
        <w:t xml:space="preserve"> Final results of a phase 2 study of talazoparib (TALA) following platinum or multiple cytotoxic regimens in </w:t>
      </w:r>
      <w:r>
        <w:rPr>
          <w:rFonts w:ascii="Book Antiqua" w:hAnsi="Book Antiqua"/>
        </w:rPr>
        <w:t xml:space="preserve">advanced breast cancer patients (pts) with germline BRCA1/2 mutations (ABRAZO). </w:t>
      </w:r>
      <w:r>
        <w:rPr>
          <w:rFonts w:ascii="Book Antiqua" w:hAnsi="Book Antiqua"/>
          <w:i/>
          <w:iCs/>
        </w:rPr>
        <w:t>J Clin Oncol</w:t>
      </w:r>
      <w:r>
        <w:rPr>
          <w:rFonts w:ascii="Book Antiqua" w:hAnsi="Book Antiqua"/>
        </w:rPr>
        <w:t xml:space="preserve"> 2017; </w:t>
      </w:r>
      <w:r>
        <w:rPr>
          <w:rFonts w:ascii="Book Antiqua" w:hAnsi="Book Antiqua"/>
          <w:b/>
          <w:bCs/>
        </w:rPr>
        <w:t>35</w:t>
      </w:r>
      <w:r>
        <w:rPr>
          <w:rFonts w:ascii="Book Antiqua" w:hAnsi="Book Antiqua"/>
        </w:rPr>
        <w:t>: 1007 [DOI: 10.1200/JCO.2017.35.15_suppl.1007]</w:t>
      </w:r>
    </w:p>
    <w:p w:rsidR="00DD33E9" w:rsidRDefault="00C061FA">
      <w:pPr>
        <w:spacing w:line="360" w:lineRule="auto"/>
        <w:jc w:val="both"/>
        <w:rPr>
          <w:rFonts w:ascii="Book Antiqua" w:hAnsi="Book Antiqua"/>
        </w:rPr>
      </w:pPr>
      <w:r>
        <w:rPr>
          <w:rFonts w:ascii="Book Antiqua" w:hAnsi="Book Antiqua"/>
        </w:rPr>
        <w:t xml:space="preserve">66 </w:t>
      </w:r>
      <w:r>
        <w:rPr>
          <w:rFonts w:ascii="Book Antiqua" w:hAnsi="Book Antiqua"/>
          <w:b/>
          <w:bCs/>
        </w:rPr>
        <w:t>Han HS</w:t>
      </w:r>
      <w:r>
        <w:rPr>
          <w:rFonts w:ascii="Book Antiqua" w:hAnsi="Book Antiqua"/>
        </w:rPr>
        <w:t>, Diéras V, Robson M, Palácová M, Marcom PK, Jager A, Bondarenko I, Citrin D, Campone M, Telli ML,</w:t>
      </w:r>
      <w:r>
        <w:rPr>
          <w:rFonts w:ascii="Book Antiqua" w:hAnsi="Book Antiqua"/>
        </w:rPr>
        <w:t xml:space="preserve"> Domchek SM, Friedlander M, Kaufman B, Garber JE, Shparyk Y, Chmielowska E, Jakobsen EH, Kaklamani V, Gradishar W, Ratajczak CK, Nickner C, Qin Q, Qian J, Shepherd SP, Isakoff SJ, Puhalla S. Veliparib with temozolomide or carboplatin/paclitaxel versus plac</w:t>
      </w:r>
      <w:r>
        <w:rPr>
          <w:rFonts w:ascii="Book Antiqua" w:hAnsi="Book Antiqua"/>
        </w:rPr>
        <w:t xml:space="preserve">ebo with carboplatin/paclitaxel in patients with BRCA1/2 locally recurrent/metastatic breast cancer: randomized phase II study. </w:t>
      </w:r>
      <w:r>
        <w:rPr>
          <w:rFonts w:ascii="Book Antiqua" w:hAnsi="Book Antiqua"/>
          <w:i/>
          <w:iCs/>
        </w:rPr>
        <w:t>Ann Oncol</w:t>
      </w:r>
      <w:r>
        <w:rPr>
          <w:rFonts w:ascii="Book Antiqua" w:hAnsi="Book Antiqua"/>
        </w:rPr>
        <w:t xml:space="preserve"> 2018; </w:t>
      </w:r>
      <w:r>
        <w:rPr>
          <w:rFonts w:ascii="Book Antiqua" w:hAnsi="Book Antiqua"/>
          <w:b/>
          <w:bCs/>
        </w:rPr>
        <w:t>29</w:t>
      </w:r>
      <w:r>
        <w:rPr>
          <w:rFonts w:ascii="Book Antiqua" w:hAnsi="Book Antiqua"/>
        </w:rPr>
        <w:t>: 154-161 [PMID: 29045554 DOI: 10.1093/annonc/mdx505]</w:t>
      </w:r>
    </w:p>
    <w:p w:rsidR="00DD33E9" w:rsidRDefault="00C061FA">
      <w:pPr>
        <w:spacing w:line="360" w:lineRule="auto"/>
        <w:jc w:val="both"/>
        <w:rPr>
          <w:rFonts w:ascii="Book Antiqua" w:hAnsi="Book Antiqua"/>
        </w:rPr>
      </w:pPr>
      <w:r>
        <w:rPr>
          <w:rFonts w:ascii="Book Antiqua" w:hAnsi="Book Antiqua"/>
        </w:rPr>
        <w:t xml:space="preserve">67 </w:t>
      </w:r>
      <w:r>
        <w:rPr>
          <w:rFonts w:ascii="Book Antiqua" w:hAnsi="Book Antiqua"/>
          <w:b/>
          <w:bCs/>
        </w:rPr>
        <w:t>Robson M</w:t>
      </w:r>
      <w:r>
        <w:rPr>
          <w:rFonts w:ascii="Book Antiqua" w:hAnsi="Book Antiqua"/>
        </w:rPr>
        <w:t>, Im SA, Senkus E, Xu B, Domchek SM, Masuda N</w:t>
      </w:r>
      <w:r>
        <w:rPr>
          <w:rFonts w:ascii="Book Antiqua" w:hAnsi="Book Antiqua"/>
        </w:rPr>
        <w:t xml:space="preserve">, Delaloge S, Li W, Tung N, Armstrong A, Wu W, Goessl C, Runswick S, Conte P. Olaparib for Metastatic Breast Cancer in Patients with a Germline BRCA Mutation. </w:t>
      </w:r>
      <w:r>
        <w:rPr>
          <w:rFonts w:ascii="Book Antiqua" w:hAnsi="Book Antiqua"/>
          <w:i/>
          <w:iCs/>
        </w:rPr>
        <w:t>N Engl J Med</w:t>
      </w:r>
      <w:r>
        <w:rPr>
          <w:rFonts w:ascii="Book Antiqua" w:hAnsi="Book Antiqua"/>
        </w:rPr>
        <w:t xml:space="preserve"> 2017; </w:t>
      </w:r>
      <w:r>
        <w:rPr>
          <w:rFonts w:ascii="Book Antiqua" w:hAnsi="Book Antiqua"/>
          <w:b/>
          <w:bCs/>
        </w:rPr>
        <w:t>377</w:t>
      </w:r>
      <w:r>
        <w:rPr>
          <w:rFonts w:ascii="Book Antiqua" w:hAnsi="Book Antiqua"/>
        </w:rPr>
        <w:t>: 523-533 [PMID: 28578601 DOI: 10.1056/NEJMoa1706450]</w:t>
      </w:r>
    </w:p>
    <w:p w:rsidR="00DD33E9" w:rsidRDefault="00C061FA">
      <w:pPr>
        <w:spacing w:line="360" w:lineRule="auto"/>
        <w:jc w:val="both"/>
        <w:rPr>
          <w:rFonts w:ascii="Book Antiqua" w:hAnsi="Book Antiqua"/>
        </w:rPr>
      </w:pPr>
      <w:r>
        <w:rPr>
          <w:rFonts w:ascii="Book Antiqua" w:hAnsi="Book Antiqua"/>
        </w:rPr>
        <w:lastRenderedPageBreak/>
        <w:t xml:space="preserve">68 </w:t>
      </w:r>
      <w:r>
        <w:rPr>
          <w:rFonts w:ascii="Book Antiqua" w:hAnsi="Book Antiqua"/>
          <w:b/>
          <w:bCs/>
        </w:rPr>
        <w:t>Litton JK</w:t>
      </w:r>
      <w:r>
        <w:rPr>
          <w:rFonts w:ascii="Book Antiqua" w:hAnsi="Book Antiqua"/>
        </w:rPr>
        <w:t>, Rugo HS</w:t>
      </w:r>
      <w:r>
        <w:rPr>
          <w:rFonts w:ascii="Book Antiqua" w:hAnsi="Book Antiqua"/>
        </w:rPr>
        <w:t xml:space="preserve">, Ettl J, Hurvitz SA, Gonçalves A, Lee KH, Fehrenbacher L, Yerushalmi R, Mina LA, Martin M, Roché H, Im YH, Quek RGW, Markova D, Tudor IC, Hannah AL, Eiermann W, Blum JL. </w:t>
      </w:r>
      <w:proofErr w:type="gramStart"/>
      <w:r>
        <w:rPr>
          <w:rFonts w:ascii="Book Antiqua" w:hAnsi="Book Antiqua"/>
        </w:rPr>
        <w:t>Talazoparib in Patients with Advanced Breast Cancer and a Germline BRCA Mutation.</w:t>
      </w:r>
      <w:proofErr w:type="gramEnd"/>
      <w:r>
        <w:rPr>
          <w:rFonts w:ascii="Book Antiqua" w:hAnsi="Book Antiqua"/>
        </w:rPr>
        <w:t xml:space="preserve"> </w:t>
      </w:r>
      <w:r>
        <w:rPr>
          <w:rFonts w:ascii="Book Antiqua" w:hAnsi="Book Antiqua"/>
          <w:i/>
          <w:iCs/>
        </w:rPr>
        <w:t>N E</w:t>
      </w:r>
      <w:r>
        <w:rPr>
          <w:rFonts w:ascii="Book Antiqua" w:hAnsi="Book Antiqua"/>
          <w:i/>
          <w:iCs/>
        </w:rPr>
        <w:t>ngl J Med</w:t>
      </w:r>
      <w:r>
        <w:rPr>
          <w:rFonts w:ascii="Book Antiqua" w:hAnsi="Book Antiqua"/>
        </w:rPr>
        <w:t xml:space="preserve"> 2018; </w:t>
      </w:r>
      <w:r>
        <w:rPr>
          <w:rFonts w:ascii="Book Antiqua" w:hAnsi="Book Antiqua"/>
          <w:b/>
          <w:bCs/>
        </w:rPr>
        <w:t>379</w:t>
      </w:r>
      <w:r>
        <w:rPr>
          <w:rFonts w:ascii="Book Antiqua" w:hAnsi="Book Antiqua"/>
        </w:rPr>
        <w:t>: 753-763 [PMID: 30110579 DOI: 10.1056/NEJMoa1802905]</w:t>
      </w:r>
    </w:p>
    <w:p w:rsidR="00DD33E9" w:rsidRDefault="00C061FA">
      <w:pPr>
        <w:spacing w:line="360" w:lineRule="auto"/>
        <w:jc w:val="both"/>
        <w:rPr>
          <w:rFonts w:ascii="Book Antiqua" w:hAnsi="Book Antiqua"/>
        </w:rPr>
      </w:pPr>
      <w:r>
        <w:rPr>
          <w:rFonts w:ascii="Book Antiqua" w:hAnsi="Book Antiqua"/>
        </w:rPr>
        <w:t xml:space="preserve">69 </w:t>
      </w:r>
      <w:r>
        <w:rPr>
          <w:rFonts w:ascii="Book Antiqua" w:hAnsi="Book Antiqua"/>
          <w:b/>
          <w:bCs/>
        </w:rPr>
        <w:t>Litton JK</w:t>
      </w:r>
      <w:r>
        <w:rPr>
          <w:rFonts w:ascii="Book Antiqua" w:hAnsi="Book Antiqua"/>
        </w:rPr>
        <w:t>, Hurvitz SA, Mina LA, Rugo HS, Lee KH, Gonçalves A, Diab S, Woodward N, Goodwin A, Yerushalmi R, Roché H, Im YH, Eiermann W, Quek RGW, Usari T, Lanzalone S, Czibere A, Bl</w:t>
      </w:r>
      <w:r>
        <w:rPr>
          <w:rFonts w:ascii="Book Antiqua" w:hAnsi="Book Antiqua"/>
        </w:rPr>
        <w:t xml:space="preserve">um JL, Martin M, Ettl J. Talazoparib versus chemotherapy in patients with germline BRCA1/2-mutated HER2-negative advanced breast cancer: final overall survival results from the EMBRACA trial. </w:t>
      </w:r>
      <w:r>
        <w:rPr>
          <w:rFonts w:ascii="Book Antiqua" w:hAnsi="Book Antiqua"/>
          <w:i/>
          <w:iCs/>
        </w:rPr>
        <w:t>Ann Oncol</w:t>
      </w:r>
      <w:r>
        <w:rPr>
          <w:rFonts w:ascii="Book Antiqua" w:hAnsi="Book Antiqua"/>
        </w:rPr>
        <w:t xml:space="preserve"> 2020; </w:t>
      </w:r>
      <w:r>
        <w:rPr>
          <w:rFonts w:ascii="Book Antiqua" w:hAnsi="Book Antiqua"/>
          <w:b/>
          <w:bCs/>
        </w:rPr>
        <w:t>31</w:t>
      </w:r>
      <w:r>
        <w:rPr>
          <w:rFonts w:ascii="Book Antiqua" w:hAnsi="Book Antiqua"/>
        </w:rPr>
        <w:t>: 1526-1535 [PMID: 32828825 DOI: 10.1016/j.ann</w:t>
      </w:r>
      <w:r>
        <w:rPr>
          <w:rFonts w:ascii="Book Antiqua" w:hAnsi="Book Antiqua"/>
        </w:rPr>
        <w:t>onc.2020.08.2098]</w:t>
      </w:r>
    </w:p>
    <w:p w:rsidR="00DD33E9" w:rsidRDefault="00C061FA">
      <w:pPr>
        <w:spacing w:line="360" w:lineRule="auto"/>
        <w:jc w:val="both"/>
        <w:rPr>
          <w:rFonts w:ascii="Book Antiqua" w:hAnsi="Book Antiqua"/>
        </w:rPr>
      </w:pPr>
      <w:r>
        <w:rPr>
          <w:rFonts w:ascii="Book Antiqua" w:hAnsi="Book Antiqua"/>
        </w:rPr>
        <w:t xml:space="preserve">70 </w:t>
      </w:r>
      <w:r>
        <w:rPr>
          <w:rFonts w:ascii="Book Antiqua" w:hAnsi="Book Antiqua"/>
          <w:b/>
          <w:bCs/>
        </w:rPr>
        <w:t>Diéras VC</w:t>
      </w:r>
      <w:r>
        <w:rPr>
          <w:rFonts w:ascii="Book Antiqua" w:hAnsi="Book Antiqua"/>
        </w:rPr>
        <w:t xml:space="preserve">, Han HS, Kaufman B, Wildiers H, Arun BK. LBA9 - Phase III study of veliparib with carboplatin and paclitaxel in HER2-negative advanced/metastatic gBRCA-associated breast cancer.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v857-v858 [DOI: 10.1093/ann</w:t>
      </w:r>
      <w:r>
        <w:rPr>
          <w:rFonts w:ascii="Book Antiqua" w:hAnsi="Book Antiqua"/>
        </w:rPr>
        <w:t>onc/mdz394.008]</w:t>
      </w:r>
    </w:p>
    <w:p w:rsidR="00DD33E9" w:rsidRDefault="00C061FA">
      <w:pPr>
        <w:spacing w:line="360" w:lineRule="auto"/>
        <w:jc w:val="both"/>
        <w:rPr>
          <w:rFonts w:ascii="Book Antiqua" w:hAnsi="Book Antiqua"/>
        </w:rPr>
      </w:pPr>
      <w:r>
        <w:rPr>
          <w:rFonts w:ascii="Book Antiqua" w:hAnsi="Book Antiqua"/>
        </w:rPr>
        <w:t xml:space="preserve">71 </w:t>
      </w:r>
      <w:r>
        <w:rPr>
          <w:rFonts w:ascii="Book Antiqua" w:hAnsi="Book Antiqua"/>
          <w:b/>
          <w:bCs/>
        </w:rPr>
        <w:t>Han HS</w:t>
      </w:r>
      <w:r>
        <w:rPr>
          <w:rFonts w:ascii="Book Antiqua" w:hAnsi="Book Antiqua"/>
        </w:rPr>
        <w:t>, Arun B, Kaufman B, Wildiers H, Arun BK. Veliparib (V) monotherapy (monoTx) following combination therapy with V + carboplatin/paclitaxel (CP) in patients with gBRCA-associated advanced breast cancer: Exploratory results from BROC</w:t>
      </w:r>
      <w:r>
        <w:rPr>
          <w:rFonts w:ascii="Book Antiqua" w:hAnsi="Book Antiqua"/>
        </w:rPr>
        <w:t xml:space="preserve">ADE3.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1091 [DOI: 10.1200/JCO.2020.38.15_suppl.1091]</w:t>
      </w:r>
    </w:p>
    <w:p w:rsidR="00DD33E9" w:rsidRDefault="00C061FA">
      <w:pPr>
        <w:spacing w:line="360" w:lineRule="auto"/>
        <w:jc w:val="both"/>
        <w:rPr>
          <w:rFonts w:ascii="Book Antiqua" w:hAnsi="Book Antiqua"/>
        </w:rPr>
      </w:pPr>
      <w:r>
        <w:rPr>
          <w:rFonts w:ascii="Book Antiqua" w:hAnsi="Book Antiqua"/>
        </w:rPr>
        <w:t xml:space="preserve">72 </w:t>
      </w:r>
      <w:r>
        <w:rPr>
          <w:rFonts w:ascii="Book Antiqua" w:hAnsi="Book Antiqua"/>
          <w:b/>
          <w:bCs/>
        </w:rPr>
        <w:t>Tung NM</w:t>
      </w:r>
      <w:r>
        <w:rPr>
          <w:rFonts w:ascii="Book Antiqua" w:hAnsi="Book Antiqua"/>
        </w:rPr>
        <w:t>, Robson ME, Ventz S, Santa-Maria CA, Garber JE. TBCRC 048: A phase II study of olaparib monotherapy in metastatic breast cancer patients with germline or somatic mutation</w:t>
      </w:r>
      <w:r>
        <w:rPr>
          <w:rFonts w:ascii="Book Antiqua" w:hAnsi="Book Antiqua"/>
        </w:rPr>
        <w:t xml:space="preserve">s in DNA damage response (DDR) pathway genes (Olaparib Expanded). </w:t>
      </w:r>
      <w:r>
        <w:rPr>
          <w:rFonts w:ascii="Book Antiqua" w:hAnsi="Book Antiqua"/>
          <w:i/>
          <w:iCs/>
        </w:rPr>
        <w:t>J Clin Oncol</w:t>
      </w:r>
      <w:r>
        <w:rPr>
          <w:rFonts w:ascii="Book Antiqua" w:hAnsi="Book Antiqua"/>
        </w:rPr>
        <w:t xml:space="preserve"> 2020;</w:t>
      </w:r>
      <w:r>
        <w:rPr>
          <w:rFonts w:ascii="Book Antiqua" w:hAnsi="Book Antiqua"/>
          <w:b/>
          <w:bCs/>
        </w:rPr>
        <w:t xml:space="preserve"> 38</w:t>
      </w:r>
      <w:r>
        <w:rPr>
          <w:rFonts w:ascii="Book Antiqua" w:hAnsi="Book Antiqua"/>
        </w:rPr>
        <w:t>: 1002 [DOI: 10.1200/JCO.2020.38.15_suppl.1002]</w:t>
      </w:r>
    </w:p>
    <w:p w:rsidR="00DD33E9" w:rsidRDefault="00C061FA">
      <w:pPr>
        <w:spacing w:line="360" w:lineRule="auto"/>
        <w:jc w:val="both"/>
        <w:rPr>
          <w:rFonts w:ascii="Book Antiqua" w:hAnsi="Book Antiqua"/>
        </w:rPr>
      </w:pPr>
      <w:proofErr w:type="gramStart"/>
      <w:r>
        <w:rPr>
          <w:rFonts w:ascii="Book Antiqua" w:hAnsi="Book Antiqua"/>
        </w:rPr>
        <w:t xml:space="preserve">73 </w:t>
      </w:r>
      <w:r>
        <w:rPr>
          <w:rFonts w:ascii="Book Antiqua" w:hAnsi="Book Antiqua"/>
          <w:b/>
          <w:bCs/>
        </w:rPr>
        <w:t>Sharma P</w:t>
      </w:r>
      <w:r>
        <w:rPr>
          <w:rFonts w:ascii="Book Antiqua" w:hAnsi="Book Antiqua"/>
        </w:rPr>
        <w:t>, Rodler E, Barlow WE, Gralow J, Hortobagyi GN.</w:t>
      </w:r>
      <w:proofErr w:type="gramEnd"/>
      <w:r>
        <w:rPr>
          <w:rFonts w:ascii="Book Antiqua" w:hAnsi="Book Antiqua"/>
        </w:rPr>
        <w:t xml:space="preserve"> Results of a phase II randomized trial of cisplatin +/- velipa</w:t>
      </w:r>
      <w:r>
        <w:rPr>
          <w:rFonts w:ascii="Book Antiqua" w:hAnsi="Book Antiqua"/>
        </w:rPr>
        <w:t xml:space="preserve">rib in metastatic triple-negative breast cancer (TNBC) and/or germline BRCA-associated breast cancer (SWOG S1416).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1001 [DOI: 10.1200/JCO.2020.38.15_suppl.1001]</w:t>
      </w:r>
    </w:p>
    <w:p w:rsidR="00DD33E9" w:rsidRDefault="00C061FA">
      <w:pPr>
        <w:spacing w:line="360" w:lineRule="auto"/>
        <w:jc w:val="both"/>
        <w:rPr>
          <w:rFonts w:ascii="Book Antiqua" w:hAnsi="Book Antiqua"/>
        </w:rPr>
      </w:pPr>
      <w:r>
        <w:rPr>
          <w:rFonts w:ascii="Book Antiqua" w:hAnsi="Book Antiqua"/>
        </w:rPr>
        <w:lastRenderedPageBreak/>
        <w:t xml:space="preserve">74 </w:t>
      </w:r>
      <w:r>
        <w:rPr>
          <w:rFonts w:ascii="Book Antiqua" w:hAnsi="Book Antiqua"/>
          <w:b/>
          <w:bCs/>
        </w:rPr>
        <w:t>Takaya H</w:t>
      </w:r>
      <w:r>
        <w:rPr>
          <w:rFonts w:ascii="Book Antiqua" w:hAnsi="Book Antiqua"/>
        </w:rPr>
        <w:t xml:space="preserve">, Nakai H, Takamatsu S, Mandai M, Matsumura N. Homologous recombination deficiency status-based classification of high-grade serous ovarian carcinoma.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2757 [PMID: 32066851 DOI: 10.1038/s41598-020-59671-3]</w:t>
      </w:r>
    </w:p>
    <w:p w:rsidR="00DD33E9" w:rsidRDefault="00C061FA">
      <w:pPr>
        <w:spacing w:line="360" w:lineRule="auto"/>
        <w:jc w:val="both"/>
        <w:rPr>
          <w:rFonts w:ascii="Book Antiqua" w:hAnsi="Book Antiqua"/>
        </w:rPr>
      </w:pPr>
      <w:r>
        <w:rPr>
          <w:rFonts w:ascii="Book Antiqua" w:hAnsi="Book Antiqua"/>
        </w:rPr>
        <w:t xml:space="preserve">75 </w:t>
      </w:r>
      <w:r>
        <w:rPr>
          <w:rFonts w:ascii="Book Antiqua" w:hAnsi="Book Antiqua"/>
          <w:b/>
          <w:bCs/>
        </w:rPr>
        <w:t>Starodub AN</w:t>
      </w:r>
      <w:r>
        <w:rPr>
          <w:rFonts w:ascii="Book Antiqua" w:hAnsi="Book Antiqua"/>
        </w:rPr>
        <w:t>, Ocean AJ, Shah MA</w:t>
      </w:r>
      <w:r>
        <w:rPr>
          <w:rFonts w:ascii="Book Antiqua" w:hAnsi="Book Antiqua"/>
        </w:rPr>
        <w:t>, Guarino MJ, Picozzi VJ Jr, Vahdat LT, Thomas SS, Govindan SV, Maliakal PP, Wegener WA, Hamburger SA, Sharkey RM, Goldenberg DM. First-in-Human Trial of a Novel Anti-Trop-2 Antibody-SN-38 Conjugate, Sacituzumab Govitecan, for the Treatment of Diverse Meta</w:t>
      </w:r>
      <w:r>
        <w:rPr>
          <w:rFonts w:ascii="Book Antiqua" w:hAnsi="Book Antiqua"/>
        </w:rPr>
        <w:t xml:space="preserve">static Solid Tumors. </w:t>
      </w:r>
      <w:r>
        <w:rPr>
          <w:rFonts w:ascii="Book Antiqua" w:hAnsi="Book Antiqua"/>
          <w:i/>
          <w:iCs/>
        </w:rPr>
        <w:t>Clin Cancer Res</w:t>
      </w:r>
      <w:r>
        <w:rPr>
          <w:rFonts w:ascii="Book Antiqua" w:hAnsi="Book Antiqua"/>
        </w:rPr>
        <w:t xml:space="preserve"> 2015; </w:t>
      </w:r>
      <w:r>
        <w:rPr>
          <w:rFonts w:ascii="Book Antiqua" w:hAnsi="Book Antiqua"/>
          <w:b/>
          <w:bCs/>
        </w:rPr>
        <w:t>21</w:t>
      </w:r>
      <w:r>
        <w:rPr>
          <w:rFonts w:ascii="Book Antiqua" w:hAnsi="Book Antiqua"/>
        </w:rPr>
        <w:t>: 3870-3878 [PMID: 25944802 DOI: 10.1158/1078-0432.CCR-14-3321]</w:t>
      </w:r>
    </w:p>
    <w:p w:rsidR="00DD33E9" w:rsidRDefault="00C061FA">
      <w:pPr>
        <w:spacing w:line="360" w:lineRule="auto"/>
        <w:jc w:val="both"/>
        <w:rPr>
          <w:rFonts w:ascii="Book Antiqua" w:hAnsi="Book Antiqua"/>
        </w:rPr>
      </w:pPr>
      <w:r>
        <w:rPr>
          <w:rFonts w:ascii="Book Antiqua" w:hAnsi="Book Antiqua"/>
        </w:rPr>
        <w:t xml:space="preserve">76 </w:t>
      </w:r>
      <w:r>
        <w:rPr>
          <w:rFonts w:ascii="Book Antiqua" w:hAnsi="Book Antiqua"/>
          <w:b/>
          <w:bCs/>
        </w:rPr>
        <w:t>Bardia A</w:t>
      </w:r>
      <w:r>
        <w:rPr>
          <w:rFonts w:ascii="Book Antiqua" w:hAnsi="Book Antiqua"/>
        </w:rPr>
        <w:t>, Mayer IA, Vahdat LT, Tolaney SM, Isakoff SJ, Diamond JR, O'Shaughnessy J, Moroose RL, Santin AD, Abramson VG, Shah NC, Rugo HS, Golden</w:t>
      </w:r>
      <w:r>
        <w:rPr>
          <w:rFonts w:ascii="Book Antiqua" w:hAnsi="Book Antiqua"/>
        </w:rPr>
        <w:t xml:space="preserve">berg DM, Sweidan AM, Iannone R, Washkowitz S, Sharkey RM, Wegener WA, Kalinsky K. Sacituzumab Govitecan-hziy in Refractory Metastatic Triple-Negative Breast Cancer. </w:t>
      </w:r>
      <w:r>
        <w:rPr>
          <w:rFonts w:ascii="Book Antiqua" w:hAnsi="Book Antiqua"/>
          <w:i/>
          <w:iCs/>
        </w:rPr>
        <w:t>N Engl J Med</w:t>
      </w:r>
      <w:r>
        <w:rPr>
          <w:rFonts w:ascii="Book Antiqua" w:hAnsi="Book Antiqua"/>
        </w:rPr>
        <w:t xml:space="preserve"> 2019; </w:t>
      </w:r>
      <w:r>
        <w:rPr>
          <w:rFonts w:ascii="Book Antiqua" w:hAnsi="Book Antiqua"/>
          <w:b/>
          <w:bCs/>
        </w:rPr>
        <w:t>380</w:t>
      </w:r>
      <w:r>
        <w:rPr>
          <w:rFonts w:ascii="Book Antiqua" w:hAnsi="Book Antiqua"/>
        </w:rPr>
        <w:t>: 741-751 [PMID: 30786188 DOI: 10.1056/NEJMoa1814213]</w:t>
      </w:r>
    </w:p>
    <w:p w:rsidR="00DD33E9" w:rsidRDefault="00C061FA">
      <w:pPr>
        <w:spacing w:line="360" w:lineRule="auto"/>
        <w:jc w:val="both"/>
        <w:rPr>
          <w:rFonts w:ascii="Book Antiqua" w:hAnsi="Book Antiqua"/>
        </w:rPr>
      </w:pPr>
      <w:r>
        <w:rPr>
          <w:rFonts w:ascii="Book Antiqua" w:hAnsi="Book Antiqua"/>
        </w:rPr>
        <w:t xml:space="preserve">77 </w:t>
      </w:r>
      <w:r>
        <w:rPr>
          <w:rFonts w:ascii="Book Antiqua" w:hAnsi="Book Antiqua"/>
          <w:b/>
          <w:bCs/>
        </w:rPr>
        <w:t>Bardia A</w:t>
      </w:r>
      <w:r>
        <w:rPr>
          <w:rFonts w:ascii="Book Antiqua" w:hAnsi="Book Antiqua"/>
        </w:rPr>
        <w:t>, To</w:t>
      </w:r>
      <w:r>
        <w:rPr>
          <w:rFonts w:ascii="Book Antiqua" w:hAnsi="Book Antiqua"/>
        </w:rPr>
        <w:t>laney SM, Loirat D, Punie K, Oliveira M, Rugo HS, Brufsky A, Kalinsky K, Cortés J, O’Shaughnessy J, Dieras VC, Carey LA, Gianni L, Piccart M, Loibl S, Goldenberg D, Hong Q, Olivo MS, Hurvitz SA. LBA17 - ASCENT: A randomized phase III study of sacituzumab g</w:t>
      </w:r>
      <w:r>
        <w:rPr>
          <w:rFonts w:ascii="Book Antiqua" w:hAnsi="Book Antiqua"/>
        </w:rPr>
        <w:t xml:space="preserve">ovitecan (SG) vs treatment of physician’s choice (TPC) in patients (pts) with previously treated metastatic triple-negative breast cancer (mTNBC). </w:t>
      </w:r>
      <w:r>
        <w:rPr>
          <w:rFonts w:ascii="Book Antiqua" w:hAnsi="Book Antiqua"/>
          <w:i/>
          <w:iCs/>
        </w:rPr>
        <w:t xml:space="preserve">Ann Oncol </w:t>
      </w:r>
      <w:r>
        <w:rPr>
          <w:rFonts w:ascii="Book Antiqua" w:hAnsi="Book Antiqua"/>
        </w:rPr>
        <w:t xml:space="preserve">2020; </w:t>
      </w:r>
      <w:r>
        <w:rPr>
          <w:rFonts w:ascii="Book Antiqua" w:hAnsi="Book Antiqua"/>
          <w:b/>
          <w:bCs/>
        </w:rPr>
        <w:t>31</w:t>
      </w:r>
      <w:r>
        <w:rPr>
          <w:rFonts w:ascii="Book Antiqua" w:hAnsi="Book Antiqua"/>
        </w:rPr>
        <w:t xml:space="preserve">: S1142-S1215 [DOI: </w:t>
      </w:r>
      <w:hyperlink r:id="rId10" w:tgtFrame="_blank" w:tooltip="Persistent link using digital object identifier" w:history="1">
        <w:r>
          <w:rPr>
            <w:rFonts w:ascii="Book Antiqua" w:hAnsi="Book Antiqua"/>
          </w:rPr>
          <w:t>10.1016/j.annonc.2020.08.2245</w:t>
        </w:r>
      </w:hyperlink>
      <w:r>
        <w:rPr>
          <w:rFonts w:ascii="Book Antiqua" w:hAnsi="Book Antiqua"/>
        </w:rPr>
        <w:t>]</w:t>
      </w:r>
    </w:p>
    <w:p w:rsidR="00DD33E9" w:rsidRDefault="00C061FA">
      <w:pPr>
        <w:spacing w:line="360" w:lineRule="auto"/>
        <w:jc w:val="both"/>
        <w:rPr>
          <w:rFonts w:ascii="Book Antiqua" w:hAnsi="Book Antiqua"/>
        </w:rPr>
      </w:pPr>
      <w:r>
        <w:rPr>
          <w:rFonts w:ascii="Book Antiqua" w:hAnsi="Book Antiqua"/>
        </w:rPr>
        <w:t xml:space="preserve">78 </w:t>
      </w:r>
      <w:r>
        <w:rPr>
          <w:rFonts w:ascii="Book Antiqua" w:hAnsi="Book Antiqua"/>
          <w:b/>
          <w:bCs/>
        </w:rPr>
        <w:t>Han H (Heather)</w:t>
      </w:r>
      <w:r>
        <w:rPr>
          <w:rFonts w:ascii="Book Antiqua" w:hAnsi="Book Antiqua"/>
        </w:rPr>
        <w:t>, Diab S, Alemany C. Abstract PD1-06: Open label phase 1b/2 study of ladiratuzumab vedotin in combination with pembrolizumab for first-line treatment o</w:t>
      </w:r>
      <w:r>
        <w:rPr>
          <w:rFonts w:ascii="Book Antiqua" w:hAnsi="Book Antiqua"/>
        </w:rPr>
        <w:t xml:space="preserve">f patients with unresectable locally-advanced or metastatic triple-negative breast cancer. </w:t>
      </w:r>
      <w:r>
        <w:rPr>
          <w:rFonts w:ascii="Book Antiqua" w:hAnsi="Book Antiqua"/>
          <w:i/>
          <w:iCs/>
        </w:rPr>
        <w:t xml:space="preserve">Cancer Res </w:t>
      </w:r>
      <w:r>
        <w:rPr>
          <w:rFonts w:ascii="Book Antiqua" w:hAnsi="Book Antiqua"/>
        </w:rPr>
        <w:t xml:space="preserve">2020; </w:t>
      </w:r>
      <w:r>
        <w:rPr>
          <w:rFonts w:ascii="Book Antiqua" w:hAnsi="Book Antiqua"/>
          <w:b/>
          <w:bCs/>
        </w:rPr>
        <w:t>80</w:t>
      </w:r>
      <w:r>
        <w:rPr>
          <w:rFonts w:ascii="Book Antiqua" w:hAnsi="Book Antiqua"/>
        </w:rPr>
        <w:t xml:space="preserve">: PD1-06 LP-PD1-06 [DOI: </w:t>
      </w:r>
      <w:bookmarkStart w:id="3" w:name="OLE_LINK2582"/>
      <w:r>
        <w:rPr>
          <w:rFonts w:ascii="Book Antiqua" w:hAnsi="Book Antiqua"/>
        </w:rPr>
        <w:t>10.1158/1538-7445.SABCS19-PD1-06</w:t>
      </w:r>
      <w:bookmarkEnd w:id="3"/>
      <w:r>
        <w:rPr>
          <w:rFonts w:ascii="Book Antiqua" w:hAnsi="Book Antiqua"/>
        </w:rPr>
        <w:t>]</w:t>
      </w:r>
    </w:p>
    <w:p w:rsidR="00DD33E9" w:rsidRDefault="00C061FA">
      <w:pPr>
        <w:spacing w:line="360" w:lineRule="auto"/>
        <w:jc w:val="both"/>
        <w:rPr>
          <w:rFonts w:ascii="Book Antiqua" w:hAnsi="Book Antiqua"/>
        </w:rPr>
      </w:pPr>
      <w:r>
        <w:rPr>
          <w:rFonts w:ascii="Book Antiqua" w:hAnsi="Book Antiqua"/>
        </w:rPr>
        <w:t xml:space="preserve">79 </w:t>
      </w:r>
      <w:r>
        <w:rPr>
          <w:rFonts w:ascii="Book Antiqua" w:hAnsi="Book Antiqua"/>
          <w:b/>
          <w:bCs/>
        </w:rPr>
        <w:t>Doi T</w:t>
      </w:r>
      <w:r>
        <w:rPr>
          <w:rFonts w:ascii="Book Antiqua" w:hAnsi="Book Antiqua"/>
        </w:rPr>
        <w:t>, Shitara K, Naito Y, Shimomura A, Fujiwara Y, Yonemori K, Shimizu C, Shimoi T,</w:t>
      </w:r>
      <w:r>
        <w:rPr>
          <w:rFonts w:ascii="Book Antiqua" w:hAnsi="Book Antiqua"/>
        </w:rPr>
        <w:t xml:space="preserve"> Kuboki Y, Matsubara N, Kitano A, Jikoh T, Lee C, Fujisaki Y, Ogitani Y, Yver A, Tamura K. Safety, pharmacokinetics, and antitumour activity of trastuzumab deruxtecan (DS-8201), a HER2-targeting antibody-drug conjugate, in patients with advanced breast and</w:t>
      </w:r>
      <w:r>
        <w:rPr>
          <w:rFonts w:ascii="Book Antiqua" w:hAnsi="Book Antiqua"/>
        </w:rPr>
        <w:t xml:space="preserve"> gastric or gastro-oesophageal tumours: a phase 1 dose-escalation </w:t>
      </w:r>
      <w:r>
        <w:rPr>
          <w:rFonts w:ascii="Book Antiqua" w:hAnsi="Book Antiqua"/>
        </w:rPr>
        <w:lastRenderedPageBreak/>
        <w:t xml:space="preserve">study. </w:t>
      </w:r>
      <w:r>
        <w:rPr>
          <w:rFonts w:ascii="Book Antiqua" w:hAnsi="Book Antiqua"/>
          <w:i/>
          <w:iCs/>
        </w:rPr>
        <w:t>Lancet Oncol</w:t>
      </w:r>
      <w:r>
        <w:rPr>
          <w:rFonts w:ascii="Book Antiqua" w:hAnsi="Book Antiqua"/>
        </w:rPr>
        <w:t xml:space="preserve"> 2017; </w:t>
      </w:r>
      <w:r>
        <w:rPr>
          <w:rFonts w:ascii="Book Antiqua" w:hAnsi="Book Antiqua"/>
          <w:b/>
          <w:bCs/>
        </w:rPr>
        <w:t>18</w:t>
      </w:r>
      <w:r>
        <w:rPr>
          <w:rFonts w:ascii="Book Antiqua" w:hAnsi="Book Antiqua"/>
        </w:rPr>
        <w:t>: 1512-1522 [PMID: 29037983 DOI: 10.1016/S1470-2045(17)30604-6]</w:t>
      </w:r>
    </w:p>
    <w:p w:rsidR="00DD33E9" w:rsidRDefault="00C061FA">
      <w:pPr>
        <w:spacing w:line="360" w:lineRule="auto"/>
        <w:jc w:val="both"/>
        <w:rPr>
          <w:rFonts w:ascii="Book Antiqua" w:hAnsi="Book Antiqua"/>
        </w:rPr>
      </w:pPr>
      <w:r>
        <w:rPr>
          <w:rFonts w:ascii="Book Antiqua" w:hAnsi="Book Antiqua"/>
        </w:rPr>
        <w:t xml:space="preserve">80 </w:t>
      </w:r>
      <w:r>
        <w:rPr>
          <w:rFonts w:ascii="Book Antiqua" w:hAnsi="Book Antiqua"/>
          <w:b/>
          <w:bCs/>
        </w:rPr>
        <w:t>Modi S</w:t>
      </w:r>
      <w:r>
        <w:rPr>
          <w:rFonts w:ascii="Book Antiqua" w:hAnsi="Book Antiqua"/>
        </w:rPr>
        <w:t xml:space="preserve">, Saura C, Yamashita T, Park YH, Kim SB, Tamura K, Andre F, Iwata H, Ito Y, Tsurutani J, </w:t>
      </w:r>
      <w:r>
        <w:rPr>
          <w:rFonts w:ascii="Book Antiqua" w:hAnsi="Book Antiqua"/>
        </w:rPr>
        <w:t xml:space="preserve">Sohn J, Denduluri N, Perrin C, Aogi K, Tokunaga E, Im SA, Lee KS, Hurvitz SA, Cortes J, Lee C, Chen S, Zhang L, Shahidi J, Yver A, Krop I; DESTINY-Breast01 Investigators. </w:t>
      </w:r>
      <w:proofErr w:type="gramStart"/>
      <w:r>
        <w:rPr>
          <w:rFonts w:ascii="Book Antiqua" w:hAnsi="Book Antiqua"/>
        </w:rPr>
        <w:t>Trastuzumab Deruxtecan in Previously Treated HER2-Positive Breast Cancer.</w:t>
      </w:r>
      <w:proofErr w:type="gramEnd"/>
      <w:r>
        <w:rPr>
          <w:rFonts w:ascii="Book Antiqua" w:hAnsi="Book Antiqua"/>
        </w:rPr>
        <w:t xml:space="preserve"> </w:t>
      </w:r>
      <w:r>
        <w:rPr>
          <w:rFonts w:ascii="Book Antiqua" w:hAnsi="Book Antiqua"/>
          <w:i/>
          <w:iCs/>
        </w:rPr>
        <w:t>N Engl J Me</w:t>
      </w:r>
      <w:r>
        <w:rPr>
          <w:rFonts w:ascii="Book Antiqua" w:hAnsi="Book Antiqua"/>
          <w:i/>
          <w:iCs/>
        </w:rPr>
        <w:t>d</w:t>
      </w:r>
      <w:r>
        <w:rPr>
          <w:rFonts w:ascii="Book Antiqua" w:hAnsi="Book Antiqua"/>
        </w:rPr>
        <w:t xml:space="preserve"> 2020; </w:t>
      </w:r>
      <w:r>
        <w:rPr>
          <w:rFonts w:ascii="Book Antiqua" w:hAnsi="Book Antiqua"/>
          <w:b/>
          <w:bCs/>
        </w:rPr>
        <w:t>382</w:t>
      </w:r>
      <w:r>
        <w:rPr>
          <w:rFonts w:ascii="Book Antiqua" w:hAnsi="Book Antiqua"/>
        </w:rPr>
        <w:t>: 610-621 [PMID: 31825192 DOI: 10.1056/NEJMoa1914510]</w:t>
      </w:r>
    </w:p>
    <w:p w:rsidR="00DD33E9" w:rsidRDefault="00C061FA">
      <w:pPr>
        <w:spacing w:line="360" w:lineRule="auto"/>
        <w:jc w:val="both"/>
        <w:rPr>
          <w:rFonts w:ascii="Book Antiqua" w:hAnsi="Book Antiqua"/>
        </w:rPr>
      </w:pPr>
      <w:r>
        <w:rPr>
          <w:rFonts w:ascii="Book Antiqua" w:hAnsi="Book Antiqua"/>
        </w:rPr>
        <w:t xml:space="preserve">81 </w:t>
      </w:r>
      <w:r>
        <w:rPr>
          <w:rFonts w:ascii="Book Antiqua" w:hAnsi="Book Antiqua"/>
          <w:b/>
          <w:bCs/>
        </w:rPr>
        <w:t>Modi S</w:t>
      </w:r>
      <w:r>
        <w:rPr>
          <w:rFonts w:ascii="Book Antiqua" w:hAnsi="Book Antiqua"/>
        </w:rPr>
        <w:t xml:space="preserve">, Park H, Murthy RK, Iwata H, Tamura K, Tsurutani J, Moreno-Aspitia A, Doi T, Sagara Y, Redfern C, Krop IE, Lee C, Fujisaki Y, Sugihara M, Zhang L, Shahidi J, Takahashi S. Antitumor </w:t>
      </w:r>
      <w:r>
        <w:rPr>
          <w:rFonts w:ascii="Book Antiqua" w:hAnsi="Book Antiqua"/>
        </w:rPr>
        <w:t xml:space="preserve">Activity and Safety of Trastuzumab Deruxtecan in Patients With HER2-Low-Expressing Advanced Breast Cancer: Results From a Phase Ib Study. </w:t>
      </w:r>
      <w:r>
        <w:rPr>
          <w:rFonts w:ascii="Book Antiqua" w:hAnsi="Book Antiqua"/>
          <w:i/>
          <w:iCs/>
        </w:rPr>
        <w:t>J Clin Oncol</w:t>
      </w:r>
      <w:r>
        <w:rPr>
          <w:rFonts w:ascii="Book Antiqua" w:hAnsi="Book Antiqua"/>
        </w:rPr>
        <w:t xml:space="preserve"> 2020; </w:t>
      </w:r>
      <w:r>
        <w:rPr>
          <w:rFonts w:ascii="Book Antiqua" w:hAnsi="Book Antiqua"/>
          <w:b/>
          <w:bCs/>
        </w:rPr>
        <w:t>38</w:t>
      </w:r>
      <w:r>
        <w:rPr>
          <w:rFonts w:ascii="Book Antiqua" w:hAnsi="Book Antiqua"/>
        </w:rPr>
        <w:t>: 1887-1896 [PMID: 32058843 DOI: 10.1200/JCO.19.02318]</w:t>
      </w:r>
    </w:p>
    <w:p w:rsidR="00DD33E9" w:rsidRDefault="00C061FA">
      <w:pPr>
        <w:spacing w:line="360" w:lineRule="auto"/>
        <w:jc w:val="both"/>
        <w:rPr>
          <w:rFonts w:ascii="Book Antiqua" w:hAnsi="Book Antiqua"/>
        </w:rPr>
      </w:pPr>
      <w:r>
        <w:rPr>
          <w:rFonts w:ascii="Book Antiqua" w:hAnsi="Book Antiqua"/>
        </w:rPr>
        <w:t xml:space="preserve">82 </w:t>
      </w:r>
      <w:r>
        <w:rPr>
          <w:rFonts w:ascii="Book Antiqua" w:hAnsi="Book Antiqua"/>
          <w:b/>
          <w:bCs/>
        </w:rPr>
        <w:t>Kim SB</w:t>
      </w:r>
      <w:r>
        <w:rPr>
          <w:rFonts w:ascii="Book Antiqua" w:hAnsi="Book Antiqua"/>
        </w:rPr>
        <w:t>, Meric-Bernstam F, Kalyan A, Bab</w:t>
      </w:r>
      <w:r>
        <w:rPr>
          <w:rFonts w:ascii="Book Antiqua" w:hAnsi="Book Antiqua"/>
        </w:rPr>
        <w:t xml:space="preserve">ich A, Berlin J. First-in-human phase i study of aprutumab ixadotin, a fibroblast growth factor receptor 2 antibody–drug conjugate (bay 1187982) in patients with advanced cancer. </w:t>
      </w:r>
      <w:r>
        <w:rPr>
          <w:rFonts w:ascii="Book Antiqua" w:hAnsi="Book Antiqua"/>
          <w:i/>
          <w:iCs/>
        </w:rPr>
        <w:t>Target Oncol</w:t>
      </w:r>
      <w:r>
        <w:rPr>
          <w:rFonts w:ascii="Book Antiqua" w:hAnsi="Book Antiqua"/>
        </w:rPr>
        <w:t xml:space="preserve"> 2019; </w:t>
      </w:r>
      <w:r>
        <w:rPr>
          <w:rFonts w:ascii="Book Antiqua" w:hAnsi="Book Antiqua"/>
          <w:b/>
          <w:bCs/>
        </w:rPr>
        <w:t>14</w:t>
      </w:r>
      <w:r>
        <w:rPr>
          <w:rFonts w:ascii="Book Antiqua" w:hAnsi="Book Antiqua"/>
        </w:rPr>
        <w:t>: 591-601 [</w:t>
      </w:r>
      <w:r>
        <w:rPr>
          <w:rFonts w:ascii="Book Antiqua" w:hAnsi="Book Antiqua" w:hint="eastAsia"/>
        </w:rPr>
        <w:t>PMID: 31502117</w:t>
      </w:r>
      <w:r>
        <w:rPr>
          <w:rFonts w:ascii="Book Antiqua" w:hAnsi="Book Antiqua" w:hint="eastAsia"/>
          <w:lang w:eastAsia="zh-CN"/>
        </w:rPr>
        <w:t xml:space="preserve"> </w:t>
      </w:r>
      <w:r>
        <w:rPr>
          <w:rFonts w:ascii="Book Antiqua" w:hAnsi="Book Antiqua"/>
        </w:rPr>
        <w:t>DOI: 10.1007/s11523-019-00670-</w:t>
      </w:r>
      <w:r>
        <w:rPr>
          <w:rFonts w:ascii="Book Antiqua" w:hAnsi="Book Antiqua"/>
        </w:rPr>
        <w:t>4]</w:t>
      </w:r>
    </w:p>
    <w:p w:rsidR="00DD33E9" w:rsidRDefault="00C061FA">
      <w:pPr>
        <w:spacing w:line="360" w:lineRule="auto"/>
        <w:jc w:val="both"/>
        <w:rPr>
          <w:rFonts w:ascii="Book Antiqua" w:hAnsi="Book Antiqua"/>
        </w:rPr>
      </w:pPr>
      <w:r>
        <w:rPr>
          <w:rFonts w:ascii="Book Antiqua" w:hAnsi="Book Antiqua"/>
        </w:rPr>
        <w:t xml:space="preserve">83 </w:t>
      </w:r>
      <w:r>
        <w:rPr>
          <w:rFonts w:ascii="Book Antiqua" w:hAnsi="Book Antiqua"/>
          <w:b/>
          <w:bCs/>
        </w:rPr>
        <w:t>Verret B</w:t>
      </w:r>
      <w:r>
        <w:rPr>
          <w:rFonts w:ascii="Book Antiqua" w:hAnsi="Book Antiqua"/>
        </w:rPr>
        <w:t xml:space="preserve">, Cortes J, Bachelot T, Andre F, Arnedos M. Efficacy of PI3K inhibitors in advanced breast cancer.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x12-x20 [PMID: 31928690 DOI: 10.1093/annonc/mdz381]</w:t>
      </w:r>
    </w:p>
    <w:p w:rsidR="00DD33E9" w:rsidRDefault="00C061FA">
      <w:pPr>
        <w:spacing w:line="360" w:lineRule="auto"/>
        <w:jc w:val="both"/>
        <w:rPr>
          <w:rFonts w:ascii="Book Antiqua" w:hAnsi="Book Antiqua"/>
        </w:rPr>
      </w:pPr>
      <w:r>
        <w:rPr>
          <w:rFonts w:ascii="Book Antiqua" w:hAnsi="Book Antiqua"/>
        </w:rPr>
        <w:t xml:space="preserve">84 </w:t>
      </w:r>
      <w:r>
        <w:rPr>
          <w:rFonts w:ascii="Book Antiqua" w:hAnsi="Book Antiqua"/>
          <w:b/>
          <w:bCs/>
        </w:rPr>
        <w:t>Sharma P</w:t>
      </w:r>
      <w:r>
        <w:rPr>
          <w:rFonts w:ascii="Book Antiqua" w:hAnsi="Book Antiqua"/>
        </w:rPr>
        <w:t xml:space="preserve">, Abramson VG, O’Dea A, Pathak HB, Godwin AK. </w:t>
      </w:r>
      <w:proofErr w:type="gramStart"/>
      <w:r>
        <w:rPr>
          <w:rFonts w:ascii="Book Antiqua" w:hAnsi="Book Antiqua"/>
        </w:rPr>
        <w:t>Clinical and biomarker results from phase I/II study of PI3K inhibitor BYL 719 (alpelisib) plus nab-paclitaxel in HER2-negative metastatic breast cancer.</w:t>
      </w:r>
      <w:proofErr w:type="gramEnd"/>
      <w:r>
        <w:rPr>
          <w:rFonts w:ascii="Book Antiqua" w:hAnsi="Book Antiqua"/>
        </w:rPr>
        <w:t xml:space="preserve"> </w:t>
      </w:r>
      <w:r>
        <w:rPr>
          <w:rFonts w:ascii="Book Antiqua" w:hAnsi="Book Antiqua"/>
          <w:i/>
          <w:iCs/>
        </w:rPr>
        <w:t>J Clin Oncol</w:t>
      </w:r>
      <w:r>
        <w:rPr>
          <w:rFonts w:ascii="Book Antiqua" w:hAnsi="Book Antiqua"/>
        </w:rPr>
        <w:t xml:space="preserve"> 2018; </w:t>
      </w:r>
      <w:r>
        <w:rPr>
          <w:rFonts w:ascii="Book Antiqua" w:hAnsi="Book Antiqua"/>
          <w:b/>
          <w:bCs/>
        </w:rPr>
        <w:t>36</w:t>
      </w:r>
      <w:r>
        <w:rPr>
          <w:rFonts w:ascii="Book Antiqua" w:hAnsi="Book Antiqua"/>
        </w:rPr>
        <w:t>: 1018 [DOI: 10.1200/JCO.2018.36.15</w:t>
      </w:r>
      <w:r>
        <w:rPr>
          <w:rFonts w:ascii="Book Antiqua" w:hAnsi="Book Antiqua"/>
        </w:rPr>
        <w:t>_suppl.1018]</w:t>
      </w:r>
    </w:p>
    <w:p w:rsidR="00DD33E9" w:rsidRDefault="00C061FA">
      <w:pPr>
        <w:spacing w:line="360" w:lineRule="auto"/>
        <w:jc w:val="both"/>
        <w:rPr>
          <w:rFonts w:ascii="Book Antiqua" w:hAnsi="Book Antiqua"/>
        </w:rPr>
      </w:pPr>
      <w:r>
        <w:rPr>
          <w:rFonts w:ascii="Book Antiqua" w:hAnsi="Book Antiqua"/>
        </w:rPr>
        <w:t xml:space="preserve">85 </w:t>
      </w:r>
      <w:proofErr w:type="gramStart"/>
      <w:r>
        <w:rPr>
          <w:rFonts w:ascii="Book Antiqua" w:hAnsi="Book Antiqua"/>
        </w:rPr>
        <w:t>Correction</w:t>
      </w:r>
      <w:proofErr w:type="gramEnd"/>
      <w:r>
        <w:rPr>
          <w:rFonts w:ascii="Book Antiqua" w:hAnsi="Book Antiqua"/>
        </w:rPr>
        <w:t xml:space="preserve">: A First-in-Human Phase I Study of the ATP-Competitive AKT Inhibitor Ipatasertib Demonstrates Robust and Safe Targeting of AKT in Patients with Solid Tumors. </w:t>
      </w:r>
      <w:r>
        <w:rPr>
          <w:rFonts w:ascii="Book Antiqua" w:hAnsi="Book Antiqua"/>
          <w:i/>
          <w:iCs/>
        </w:rPr>
        <w:t>Cancer Discov</w:t>
      </w:r>
      <w:r>
        <w:rPr>
          <w:rFonts w:ascii="Book Antiqua" w:hAnsi="Book Antiqua"/>
        </w:rPr>
        <w:t xml:space="preserve"> 2018; </w:t>
      </w:r>
      <w:r>
        <w:rPr>
          <w:rFonts w:ascii="Book Antiqua" w:hAnsi="Book Antiqua"/>
          <w:b/>
          <w:bCs/>
        </w:rPr>
        <w:t>8</w:t>
      </w:r>
      <w:r>
        <w:rPr>
          <w:rFonts w:ascii="Book Antiqua" w:hAnsi="Book Antiqua"/>
        </w:rPr>
        <w:t>: 1490 [PMID: 30385525 DOI: 10.1158/2159-8290.CD-1</w:t>
      </w:r>
      <w:r>
        <w:rPr>
          <w:rFonts w:ascii="Book Antiqua" w:hAnsi="Book Antiqua"/>
        </w:rPr>
        <w:t>8-1114]</w:t>
      </w:r>
    </w:p>
    <w:p w:rsidR="00DD33E9" w:rsidRDefault="00C061FA">
      <w:pPr>
        <w:spacing w:line="360" w:lineRule="auto"/>
        <w:jc w:val="both"/>
        <w:rPr>
          <w:rFonts w:ascii="Book Antiqua" w:hAnsi="Book Antiqua"/>
        </w:rPr>
      </w:pPr>
      <w:r>
        <w:rPr>
          <w:rFonts w:ascii="Book Antiqua" w:hAnsi="Book Antiqua"/>
        </w:rPr>
        <w:t xml:space="preserve">86 </w:t>
      </w:r>
      <w:r>
        <w:rPr>
          <w:rFonts w:ascii="Book Antiqua" w:hAnsi="Book Antiqua"/>
          <w:b/>
          <w:bCs/>
        </w:rPr>
        <w:t>Kim SB</w:t>
      </w:r>
      <w:r>
        <w:rPr>
          <w:rFonts w:ascii="Book Antiqua" w:hAnsi="Book Antiqua"/>
        </w:rPr>
        <w:t xml:space="preserve">, Dent R, Im SA, Espié M, Blau S, Tan AR, Isakoff SJ, Oliveira M, Saura C, Wongchenko MJ, Kapp AV, Chan WY, Singel SM, Maslyar DJ, Baselga J; LOTUS </w:t>
      </w:r>
      <w:r>
        <w:rPr>
          <w:rFonts w:ascii="Book Antiqua" w:hAnsi="Book Antiqua"/>
        </w:rPr>
        <w:lastRenderedPageBreak/>
        <w:t>investigators. Ipatasertib plus paclitaxel versus placebo plus paclitaxel as first-line the</w:t>
      </w:r>
      <w:r>
        <w:rPr>
          <w:rFonts w:ascii="Book Antiqua" w:hAnsi="Book Antiqua"/>
        </w:rPr>
        <w:t xml:space="preserve">rapy for metastatic triple-negative breast cancer (LOTUS): a multicentre, randomised, double-blind, placebo-controlled, phase 2 trial. </w:t>
      </w:r>
      <w:r>
        <w:rPr>
          <w:rFonts w:ascii="Book Antiqua" w:hAnsi="Book Antiqua"/>
          <w:i/>
          <w:iCs/>
        </w:rPr>
        <w:t>Lancet Oncol</w:t>
      </w:r>
      <w:r>
        <w:rPr>
          <w:rFonts w:ascii="Book Antiqua" w:hAnsi="Book Antiqua"/>
        </w:rPr>
        <w:t xml:space="preserve"> 2017; </w:t>
      </w:r>
      <w:r>
        <w:rPr>
          <w:rFonts w:ascii="Book Antiqua" w:hAnsi="Book Antiqua"/>
          <w:b/>
          <w:bCs/>
        </w:rPr>
        <w:t>18</w:t>
      </w:r>
      <w:r>
        <w:rPr>
          <w:rFonts w:ascii="Book Antiqua" w:hAnsi="Book Antiqua"/>
        </w:rPr>
        <w:t>: 1360-1372 [PMID: 28800861 DOI: 10.1016/S1470-2045(17)30450-3]</w:t>
      </w:r>
    </w:p>
    <w:p w:rsidR="00DD33E9" w:rsidRDefault="00C061FA">
      <w:pPr>
        <w:spacing w:line="360" w:lineRule="auto"/>
        <w:jc w:val="both"/>
        <w:rPr>
          <w:rFonts w:ascii="Book Antiqua" w:hAnsi="Book Antiqua"/>
        </w:rPr>
      </w:pPr>
      <w:r>
        <w:rPr>
          <w:rFonts w:ascii="Book Antiqua" w:hAnsi="Book Antiqua"/>
        </w:rPr>
        <w:t xml:space="preserve">87 </w:t>
      </w:r>
      <w:r>
        <w:rPr>
          <w:rFonts w:ascii="Book Antiqua" w:hAnsi="Book Antiqua"/>
          <w:b/>
          <w:bCs/>
        </w:rPr>
        <w:t>He S</w:t>
      </w:r>
      <w:r>
        <w:rPr>
          <w:rFonts w:ascii="Book Antiqua" w:hAnsi="Book Antiqua"/>
        </w:rPr>
        <w:t xml:space="preserve">, Roberts PJ, Sorrentino JA, </w:t>
      </w:r>
      <w:r>
        <w:rPr>
          <w:rFonts w:ascii="Book Antiqua" w:hAnsi="Book Antiqua"/>
        </w:rPr>
        <w:t xml:space="preserve">Bisi JE, Storrie-White H, Tiessen RG, Makhuli KM, Wargin WA, Tadema H, van Hoogdalem EJ, Strum JC, Malik R, Sharpless NE. Transient CDK4/6 inhibition protects hematopoietic stem cells from chemotherapy-induced exhaustion. </w:t>
      </w:r>
      <w:r>
        <w:rPr>
          <w:rFonts w:ascii="Book Antiqua" w:hAnsi="Book Antiqua"/>
          <w:i/>
          <w:iCs/>
        </w:rPr>
        <w:t>Sci Transl Med</w:t>
      </w:r>
      <w:r>
        <w:rPr>
          <w:rFonts w:ascii="Book Antiqua" w:hAnsi="Book Antiqua"/>
        </w:rPr>
        <w:t xml:space="preserve"> 2017; </w:t>
      </w:r>
      <w:r>
        <w:rPr>
          <w:rFonts w:ascii="Book Antiqua" w:hAnsi="Book Antiqua"/>
          <w:b/>
          <w:bCs/>
        </w:rPr>
        <w:t>9</w:t>
      </w:r>
      <w:r>
        <w:rPr>
          <w:rFonts w:ascii="Book Antiqua" w:hAnsi="Book Antiqua"/>
        </w:rPr>
        <w:t xml:space="preserve"> [PMID: 2844</w:t>
      </w:r>
      <w:r>
        <w:rPr>
          <w:rFonts w:ascii="Book Antiqua" w:hAnsi="Book Antiqua"/>
        </w:rPr>
        <w:t>6688 DOI: 10.1126/scitranslmed.aal3986]</w:t>
      </w:r>
    </w:p>
    <w:p w:rsidR="00DD33E9" w:rsidRDefault="00C061FA">
      <w:pPr>
        <w:spacing w:line="360" w:lineRule="auto"/>
        <w:jc w:val="both"/>
        <w:rPr>
          <w:rFonts w:ascii="Book Antiqua" w:hAnsi="Book Antiqua"/>
        </w:rPr>
      </w:pPr>
      <w:r>
        <w:rPr>
          <w:rFonts w:ascii="Book Antiqua" w:hAnsi="Book Antiqua"/>
        </w:rPr>
        <w:t xml:space="preserve">88 </w:t>
      </w:r>
      <w:r>
        <w:rPr>
          <w:rFonts w:ascii="Book Antiqua" w:hAnsi="Book Antiqua"/>
          <w:b/>
          <w:bCs/>
        </w:rPr>
        <w:t>Tan AR</w:t>
      </w:r>
      <w:r>
        <w:rPr>
          <w:rFonts w:ascii="Book Antiqua" w:hAnsi="Book Antiqua"/>
        </w:rPr>
        <w:t>, Wright GS, Thummala AR, Danso MA, Popovic L, Pluard TJ, Han HS, Vojnović Ž, Vasev N, Ma L, Richards DA, Wilks ST, Milenković D, Yang Z, Antal JM, Morris SR, O'Shaughnessy J. Trilaciclib plus chemotherapy v</w:t>
      </w:r>
      <w:r>
        <w:rPr>
          <w:rFonts w:ascii="Book Antiqua" w:hAnsi="Book Antiqua"/>
        </w:rPr>
        <w:t xml:space="preserve">ersus chemotherapy alone in patients with metastatic triple-negative breast cancer: a multicentre, randomised, open-label, phase 2 trial. </w:t>
      </w:r>
      <w:r>
        <w:rPr>
          <w:rFonts w:ascii="Book Antiqua" w:hAnsi="Book Antiqua"/>
          <w:i/>
          <w:iCs/>
        </w:rPr>
        <w:t>Lancet Oncol</w:t>
      </w:r>
      <w:r>
        <w:rPr>
          <w:rFonts w:ascii="Book Antiqua" w:hAnsi="Book Antiqua"/>
        </w:rPr>
        <w:t xml:space="preserve"> 2019; </w:t>
      </w:r>
      <w:r>
        <w:rPr>
          <w:rFonts w:ascii="Book Antiqua" w:hAnsi="Book Antiqua"/>
          <w:b/>
          <w:bCs/>
        </w:rPr>
        <w:t>20</w:t>
      </w:r>
      <w:r>
        <w:rPr>
          <w:rFonts w:ascii="Book Antiqua" w:hAnsi="Book Antiqua"/>
        </w:rPr>
        <w:t>: 1587-1601 [PMID: 31575503 DOI: 10.1016/S1470-2045(19)30616-3]</w:t>
      </w:r>
    </w:p>
    <w:p w:rsidR="00DD33E9" w:rsidRDefault="00C061FA">
      <w:pPr>
        <w:spacing w:line="360" w:lineRule="auto"/>
        <w:jc w:val="both"/>
        <w:rPr>
          <w:rFonts w:ascii="Book Antiqua" w:hAnsi="Book Antiqua" w:cs="Segoe UI"/>
          <w:color w:val="212121"/>
          <w:shd w:val="clear" w:color="auto" w:fill="FFFFFF"/>
        </w:rPr>
      </w:pPr>
      <w:r>
        <w:rPr>
          <w:rFonts w:ascii="Book Antiqua" w:hAnsi="Book Antiqua"/>
        </w:rPr>
        <w:t xml:space="preserve">89 </w:t>
      </w:r>
      <w:r>
        <w:rPr>
          <w:rFonts w:ascii="Book Antiqua" w:hAnsi="Book Antiqua" w:cs="Segoe UI"/>
          <w:b/>
          <w:color w:val="212121"/>
          <w:shd w:val="clear" w:color="auto" w:fill="FFFFFF"/>
        </w:rPr>
        <w:t>Li CH</w:t>
      </w:r>
      <w:r>
        <w:rPr>
          <w:rFonts w:ascii="Book Antiqua" w:hAnsi="Book Antiqua" w:cs="Segoe UI"/>
          <w:color w:val="212121"/>
          <w:shd w:val="clear" w:color="auto" w:fill="FFFFFF"/>
        </w:rPr>
        <w:t>, Karantza V, Aktan G, La</w:t>
      </w:r>
      <w:r>
        <w:rPr>
          <w:rFonts w:ascii="Book Antiqua" w:hAnsi="Book Antiqua" w:cs="Segoe UI"/>
          <w:color w:val="212121"/>
          <w:shd w:val="clear" w:color="auto" w:fill="FFFFFF"/>
        </w:rPr>
        <w:t xml:space="preserve">la M. Current treatment landscape for patients with locally recurrent inoperable or metastatic triple-negative breast cancer: a systematic literature review. </w:t>
      </w:r>
      <w:r>
        <w:rPr>
          <w:rFonts w:ascii="Book Antiqua" w:hAnsi="Book Antiqua" w:cs="Segoe UI"/>
          <w:i/>
          <w:color w:val="212121"/>
          <w:shd w:val="clear" w:color="auto" w:fill="FFFFFF"/>
        </w:rPr>
        <w:t>Breast Cancer Res</w:t>
      </w:r>
      <w:r>
        <w:rPr>
          <w:rFonts w:ascii="Book Antiqua" w:hAnsi="Book Antiqua" w:cs="Segoe UI"/>
          <w:color w:val="212121"/>
          <w:shd w:val="clear" w:color="auto" w:fill="FFFFFF"/>
        </w:rPr>
        <w:t xml:space="preserve"> 2019;</w:t>
      </w:r>
      <w:r>
        <w:rPr>
          <w:rFonts w:ascii="Book Antiqua" w:hAnsi="Book Antiqua" w:cs="Segoe UI"/>
          <w:b/>
          <w:bCs/>
          <w:color w:val="212121"/>
          <w:shd w:val="clear" w:color="auto" w:fill="FFFFFF"/>
        </w:rPr>
        <w:t xml:space="preserve"> 21:</w:t>
      </w:r>
      <w:r>
        <w:rPr>
          <w:rFonts w:ascii="Book Antiqua" w:hAnsi="Book Antiqua" w:cs="Segoe UI"/>
          <w:color w:val="212121"/>
          <w:shd w:val="clear" w:color="auto" w:fill="FFFFFF"/>
        </w:rPr>
        <w:t xml:space="preserve"> 143 [PMID: </w:t>
      </w:r>
      <w:bookmarkStart w:id="4" w:name="OLE_LINK2583"/>
      <w:r>
        <w:rPr>
          <w:rFonts w:ascii="Book Antiqua" w:hAnsi="Book Antiqua" w:cs="Segoe UI"/>
          <w:color w:val="212121"/>
          <w:shd w:val="clear" w:color="auto" w:fill="FFFFFF"/>
        </w:rPr>
        <w:t>31842957</w:t>
      </w:r>
      <w:bookmarkEnd w:id="4"/>
      <w:r>
        <w:rPr>
          <w:rFonts w:ascii="Book Antiqua" w:hAnsi="Book Antiqua" w:cs="Segoe UI"/>
          <w:color w:val="212121"/>
          <w:shd w:val="clear" w:color="auto" w:fill="FFFFFF"/>
        </w:rPr>
        <w:t xml:space="preserve"> DOI: 10.1186/s13058-019-1210-4]</w:t>
      </w:r>
    </w:p>
    <w:p w:rsidR="00DD33E9" w:rsidRDefault="00C061FA">
      <w:pPr>
        <w:shd w:val="clear" w:color="auto" w:fill="FFFFFF"/>
        <w:spacing w:line="360" w:lineRule="auto"/>
        <w:jc w:val="both"/>
        <w:rPr>
          <w:rFonts w:ascii="Book Antiqua" w:hAnsi="Book Antiqua" w:cs="Arial"/>
        </w:rPr>
      </w:pPr>
      <w:r>
        <w:rPr>
          <w:rFonts w:ascii="Book Antiqua" w:hAnsi="Book Antiqua" w:cs="Arial"/>
        </w:rPr>
        <w:t xml:space="preserve">90 </w:t>
      </w:r>
      <w:proofErr w:type="gramStart"/>
      <w:r>
        <w:rPr>
          <w:rStyle w:val="journalname"/>
          <w:rFonts w:ascii="Book Antiqua" w:hAnsi="Book Antiqua" w:cs="Arial" w:hint="eastAsia"/>
          <w:b/>
          <w:bCs/>
        </w:rPr>
        <w:t>Page</w:t>
      </w:r>
      <w:proofErr w:type="gramEnd"/>
      <w:r>
        <w:rPr>
          <w:rStyle w:val="journalname"/>
          <w:rFonts w:ascii="Book Antiqua" w:hAnsi="Book Antiqua" w:cs="Arial" w:hint="eastAsia"/>
          <w:b/>
          <w:bCs/>
        </w:rPr>
        <w:t xml:space="preserve"> DB</w:t>
      </w:r>
      <w:r>
        <w:rPr>
          <w:rStyle w:val="journalname"/>
          <w:rFonts w:ascii="Book Antiqua" w:hAnsi="Book Antiqua" w:cs="Arial" w:hint="eastAsia"/>
        </w:rPr>
        <w:t>,</w:t>
      </w:r>
      <w:r>
        <w:rPr>
          <w:rStyle w:val="journalname"/>
          <w:rFonts w:ascii="Book Antiqua" w:hAnsi="Book Antiqua" w:cs="Arial" w:hint="eastAsia"/>
          <w:b/>
          <w:bCs/>
        </w:rPr>
        <w:t xml:space="preserve"> </w:t>
      </w:r>
      <w:r>
        <w:rPr>
          <w:rStyle w:val="journalname"/>
          <w:rFonts w:ascii="Book Antiqua" w:hAnsi="Book Antiqua" w:cs="Arial" w:hint="eastAsia"/>
        </w:rPr>
        <w:t xml:space="preserve">Chun B, Pucilowska J, Kim I, Mcarthur HL. </w:t>
      </w:r>
      <w:proofErr w:type="gramStart"/>
      <w:r>
        <w:rPr>
          <w:rStyle w:val="journalname"/>
          <w:rFonts w:ascii="Book Antiqua" w:hAnsi="Book Antiqua" w:cs="Arial"/>
        </w:rPr>
        <w:t>Pembrolizumab (pembro) with paclitaxel (taxol) or capecitabine (cape) as early treatment of metastatic triple-negative breast cancer (mTNBC).</w:t>
      </w:r>
      <w:proofErr w:type="gramEnd"/>
      <w:r>
        <w:rPr>
          <w:rFonts w:ascii="Book Antiqua" w:hAnsi="Book Antiqua" w:cs="Arial"/>
        </w:rPr>
        <w:t xml:space="preserve"> </w:t>
      </w:r>
      <w:r>
        <w:rPr>
          <w:rStyle w:val="journalname"/>
          <w:rFonts w:ascii="Book Antiqua" w:hAnsi="Book Antiqua" w:cs="Arial"/>
          <w:i/>
          <w:iCs/>
          <w:shd w:val="clear" w:color="auto" w:fill="FFFFFF"/>
        </w:rPr>
        <w:t>J Clin Oncol</w:t>
      </w:r>
      <w:r>
        <w:rPr>
          <w:rFonts w:ascii="Book Antiqua" w:hAnsi="Book Antiqua" w:cs="Arial"/>
          <w:shd w:val="clear" w:color="auto" w:fill="FFFFFF"/>
        </w:rPr>
        <w:t xml:space="preserve"> </w:t>
      </w:r>
      <w:r>
        <w:rPr>
          <w:rStyle w:val="year"/>
          <w:rFonts w:ascii="Book Antiqua" w:hAnsi="Book Antiqua" w:cs="Arial"/>
          <w:shd w:val="clear" w:color="auto" w:fill="FFFFFF"/>
        </w:rPr>
        <w:t>2019,</w:t>
      </w:r>
      <w:r>
        <w:rPr>
          <w:rFonts w:ascii="Book Antiqua" w:hAnsi="Book Antiqua" w:cs="Arial"/>
          <w:shd w:val="clear" w:color="auto" w:fill="FFFFFF"/>
        </w:rPr>
        <w:t xml:space="preserve"> </w:t>
      </w:r>
      <w:r>
        <w:rPr>
          <w:rStyle w:val="volume"/>
          <w:rFonts w:ascii="Book Antiqua" w:hAnsi="Book Antiqua" w:cs="Arial"/>
          <w:shd w:val="clear" w:color="auto" w:fill="FFFFFF"/>
        </w:rPr>
        <w:t>37</w:t>
      </w:r>
      <w:r>
        <w:rPr>
          <w:rFonts w:ascii="Book Antiqua" w:hAnsi="Book Antiqua" w:cs="Arial"/>
          <w:shd w:val="clear" w:color="auto" w:fill="FFFFFF"/>
        </w:rPr>
        <w:t xml:space="preserve">: </w:t>
      </w:r>
      <w:r>
        <w:rPr>
          <w:rStyle w:val="issue"/>
          <w:rFonts w:ascii="Book Antiqua" w:hAnsi="Book Antiqua" w:cs="Arial"/>
          <w:b/>
          <w:bCs/>
          <w:shd w:val="clear" w:color="auto" w:fill="FFFFFF"/>
        </w:rPr>
        <w:t>15</w:t>
      </w:r>
      <w:r>
        <w:rPr>
          <w:rStyle w:val="issue"/>
          <w:rFonts w:ascii="Book Antiqua" w:hAnsi="Book Antiqua" w:cs="Arial"/>
          <w:shd w:val="clear" w:color="auto" w:fill="FFFFFF"/>
        </w:rPr>
        <w:t xml:space="preserve">: </w:t>
      </w:r>
      <w:r>
        <w:rPr>
          <w:rStyle w:val="page"/>
          <w:rFonts w:ascii="Book Antiqua" w:hAnsi="Book Antiqua" w:cs="Arial"/>
          <w:shd w:val="clear" w:color="auto" w:fill="FFFFFF"/>
        </w:rPr>
        <w:t>1015-1015 [DOI:</w:t>
      </w:r>
      <w:r>
        <w:rPr>
          <w:rStyle w:val="nlmstring-name"/>
        </w:rPr>
        <w:t xml:space="preserve"> </w:t>
      </w:r>
      <w:r>
        <w:rPr>
          <w:rStyle w:val="nlmstring-name"/>
          <w:rFonts w:ascii="Book Antiqua" w:hAnsi="Book Antiqua" w:cs="Arial" w:hint="eastAsia"/>
        </w:rPr>
        <w:t>10.1200/JCO.2019.37.15_suppl.</w:t>
      </w:r>
      <w:r>
        <w:rPr>
          <w:rStyle w:val="nlmstring-name"/>
          <w:rFonts w:ascii="Book Antiqua" w:hAnsi="Book Antiqua" w:cs="Arial" w:hint="eastAsia"/>
        </w:rPr>
        <w:t>1015</w:t>
      </w:r>
      <w:r>
        <w:rPr>
          <w:rStyle w:val="nlmstring-name"/>
        </w:rPr>
        <w:t>]</w:t>
      </w:r>
    </w:p>
    <w:bookmarkEnd w:id="2"/>
    <w:p w:rsidR="00DD33E9" w:rsidRDefault="00DD33E9">
      <w:pPr>
        <w:spacing w:line="360" w:lineRule="auto"/>
        <w:jc w:val="both"/>
        <w:rPr>
          <w:rFonts w:ascii="Book Antiqua" w:hAnsi="Book Antiqua"/>
        </w:rPr>
        <w:sectPr w:rsidR="00DD33E9">
          <w:pgSz w:w="12240" w:h="15840"/>
          <w:pgMar w:top="1440" w:right="1440" w:bottom="1440" w:left="1440" w:header="720" w:footer="720" w:gutter="0"/>
          <w:cols w:space="720"/>
          <w:docGrid w:linePitch="360"/>
        </w:sectPr>
      </w:pPr>
    </w:p>
    <w:p w:rsidR="00DD33E9" w:rsidRDefault="00C061FA">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interests to declare.</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w:t>
      </w:r>
      <w:r>
        <w:rPr>
          <w:rFonts w:ascii="Book Antiqua" w:eastAsia="Book Antiqua" w:hAnsi="Book Antiqua" w:cs="Book Antiqua"/>
          <w:color w:val="000000"/>
        </w:rPr>
        <w:t>distributed in accordance with the Creative Commons Attribution NonCommercial (CC BY-NC 4.0) license, which permits others to distribute, remix, adapt, build upon this work non-commercially, and license their derivative works on different terms, provided t</w:t>
      </w:r>
      <w:r>
        <w:rPr>
          <w:rFonts w:ascii="Book Antiqua" w:eastAsia="Book Antiqua" w:hAnsi="Book Antiqua" w:cs="Book Antiqua"/>
          <w:color w:val="000000"/>
        </w:rPr>
        <w:t>he original work is properly cited and the use is non-commercial. See: http://creativecommons.org/Licenses/by-nc/4.0/</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26, 2020</w:t>
      </w:r>
    </w:p>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11, 2020</w:t>
      </w:r>
    </w:p>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March 1</w:t>
      </w:r>
      <w:r>
        <w:rPr>
          <w:rFonts w:ascii="Book Antiqua" w:eastAsia="Book Antiqua" w:hAnsi="Book Antiqua" w:cs="Book Antiqua" w:hint="eastAsia"/>
          <w:bCs/>
          <w:color w:val="000000"/>
        </w:rPr>
        <w:t>, 2021</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Oncology</w:t>
      </w:r>
      <w:r>
        <w:rPr>
          <w:rFonts w:ascii="Book Antiqua" w:eastAsia="Book Antiqua" w:hAnsi="Book Antiqua" w:cs="Book Antiqua"/>
          <w:color w:val="000000"/>
        </w:rPr>
        <w:t xml:space="preserve"> </w:t>
      </w:r>
    </w:p>
    <w:p w:rsidR="00DD33E9" w:rsidRDefault="00C061F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Ireland</w:t>
      </w:r>
    </w:p>
    <w:p w:rsidR="00DD33E9" w:rsidRDefault="00C061F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DD33E9" w:rsidRDefault="00C061FA">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DD33E9" w:rsidRDefault="00C061FA">
      <w:pPr>
        <w:spacing w:line="360" w:lineRule="auto"/>
        <w:jc w:val="both"/>
        <w:rPr>
          <w:rFonts w:ascii="Book Antiqua" w:hAnsi="Book Antiqua"/>
        </w:rPr>
      </w:pPr>
      <w:r>
        <w:rPr>
          <w:rFonts w:ascii="Book Antiqua" w:eastAsia="Book Antiqua" w:hAnsi="Book Antiqua" w:cs="Book Antiqua"/>
          <w:color w:val="000000"/>
        </w:rPr>
        <w:t>Grade B (Very good): B</w:t>
      </w:r>
    </w:p>
    <w:p w:rsidR="00DD33E9" w:rsidRDefault="00C061FA">
      <w:pPr>
        <w:spacing w:line="360" w:lineRule="auto"/>
        <w:jc w:val="both"/>
        <w:rPr>
          <w:rFonts w:ascii="Book Antiqua" w:hAnsi="Book Antiqua"/>
        </w:rPr>
      </w:pPr>
      <w:r>
        <w:rPr>
          <w:rFonts w:ascii="Book Antiqua" w:eastAsia="Book Antiqua" w:hAnsi="Book Antiqua" w:cs="Book Antiqua"/>
          <w:color w:val="000000"/>
        </w:rPr>
        <w:t>Grade C (Good): 0</w:t>
      </w:r>
    </w:p>
    <w:p w:rsidR="00DD33E9" w:rsidRDefault="00C061FA">
      <w:pPr>
        <w:spacing w:line="360" w:lineRule="auto"/>
        <w:jc w:val="both"/>
        <w:rPr>
          <w:rFonts w:ascii="Book Antiqua" w:hAnsi="Book Antiqua"/>
        </w:rPr>
      </w:pPr>
      <w:r>
        <w:rPr>
          <w:rFonts w:ascii="Book Antiqua" w:eastAsia="Book Antiqua" w:hAnsi="Book Antiqua" w:cs="Book Antiqua"/>
          <w:color w:val="000000"/>
        </w:rPr>
        <w:t>Grade D (Fair): 0</w:t>
      </w:r>
    </w:p>
    <w:p w:rsidR="00DD33E9" w:rsidRDefault="00C061FA">
      <w:pPr>
        <w:spacing w:line="360" w:lineRule="auto"/>
        <w:jc w:val="both"/>
        <w:rPr>
          <w:rFonts w:ascii="Book Antiqua" w:hAnsi="Book Antiqua"/>
        </w:rPr>
      </w:pPr>
      <w:r>
        <w:rPr>
          <w:rFonts w:ascii="Book Antiqua" w:eastAsia="Book Antiqua" w:hAnsi="Book Antiqua" w:cs="Book Antiqua"/>
          <w:color w:val="000000"/>
        </w:rPr>
        <w:t>Grade E (Poor): 0</w:t>
      </w:r>
    </w:p>
    <w:p w:rsidR="00DD33E9" w:rsidRDefault="00DD33E9">
      <w:pPr>
        <w:spacing w:line="360" w:lineRule="auto"/>
        <w:jc w:val="both"/>
        <w:rPr>
          <w:rFonts w:ascii="Book Antiqua" w:hAnsi="Book Antiqua"/>
        </w:rPr>
      </w:pPr>
    </w:p>
    <w:p w:rsidR="00DD33E9" w:rsidRDefault="00C061F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Wongkajornsilp A</w:t>
      </w:r>
      <w:r>
        <w:rPr>
          <w:rFonts w:ascii="Book Antiqua" w:eastAsia="Book Antiqua" w:hAnsi="Book Antiqua" w:cs="Book Antiqua"/>
          <w:b/>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Yuan YY</w:t>
      </w:r>
    </w:p>
    <w:p w:rsidR="00DD33E9" w:rsidRDefault="00C061FA">
      <w:pPr>
        <w:spacing w:line="360" w:lineRule="auto"/>
        <w:jc w:val="both"/>
        <w:rPr>
          <w:rFonts w:ascii="Book Antiqua" w:hAnsi="Book Antiqua" w:cs="Arial"/>
          <w:b/>
        </w:rPr>
      </w:pPr>
      <w:r>
        <w:rPr>
          <w:rFonts w:ascii="Book Antiqua" w:eastAsia="Book Antiqua" w:hAnsi="Book Antiqua" w:cs="Book Antiqua"/>
          <w:b/>
          <w:color w:val="000000"/>
        </w:rPr>
        <w:br w:type="page"/>
      </w:r>
      <w:r>
        <w:rPr>
          <w:rFonts w:ascii="Book Antiqua" w:hAnsi="Book Antiqua" w:cs="Arial"/>
          <w:b/>
          <w:bCs/>
        </w:rPr>
        <w:lastRenderedPageBreak/>
        <w:t xml:space="preserve">Table 1 </w:t>
      </w:r>
      <w:r>
        <w:rPr>
          <w:rFonts w:ascii="Book Antiqua" w:hAnsi="Book Antiqua" w:cs="Arial"/>
          <w:b/>
        </w:rPr>
        <w:t xml:space="preserve">Historical </w:t>
      </w:r>
      <w:proofErr w:type="gramStart"/>
      <w:r>
        <w:rPr>
          <w:rFonts w:ascii="Book Antiqua" w:hAnsi="Book Antiqua" w:cs="Arial"/>
          <w:b/>
        </w:rPr>
        <w:t>outcomes</w:t>
      </w:r>
      <w:proofErr w:type="gramEnd"/>
      <w:r>
        <w:rPr>
          <w:rFonts w:ascii="Book Antiqua" w:hAnsi="Book Antiqua" w:cs="Arial"/>
          <w:b/>
        </w:rPr>
        <w:t xml:space="preserve"> in metastatic triple negative breast cancer </w:t>
      </w:r>
    </w:p>
    <w:tbl>
      <w:tblPr>
        <w:tblStyle w:val="a9"/>
        <w:tblW w:w="936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1782"/>
        <w:gridCol w:w="2091"/>
        <w:gridCol w:w="1937"/>
      </w:tblGrid>
      <w:tr w:rsidR="00DD33E9">
        <w:trPr>
          <w:trHeight w:val="421"/>
        </w:trPr>
        <w:tc>
          <w:tcPr>
            <w:tcW w:w="3551" w:type="dxa"/>
            <w:tcBorders>
              <w:top w:val="single" w:sz="4" w:space="0" w:color="auto"/>
              <w:bottom w:val="single" w:sz="4" w:space="0" w:color="auto"/>
            </w:tcBorders>
          </w:tcPr>
          <w:p w:rsidR="00DD33E9" w:rsidRDefault="00DD33E9">
            <w:pPr>
              <w:spacing w:line="360" w:lineRule="auto"/>
              <w:jc w:val="both"/>
              <w:rPr>
                <w:rFonts w:ascii="Book Antiqua" w:hAnsi="Book Antiqua" w:cs="Arial"/>
                <w:b/>
                <w:bCs/>
              </w:rPr>
            </w:pPr>
          </w:p>
        </w:tc>
        <w:tc>
          <w:tcPr>
            <w:tcW w:w="1782" w:type="dxa"/>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ORR (%)</w:t>
            </w:r>
          </w:p>
        </w:tc>
        <w:tc>
          <w:tcPr>
            <w:tcW w:w="2091" w:type="dxa"/>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PFS (mo)</w:t>
            </w:r>
          </w:p>
        </w:tc>
        <w:tc>
          <w:tcPr>
            <w:tcW w:w="1937" w:type="dxa"/>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OS (mo)</w:t>
            </w:r>
          </w:p>
        </w:tc>
      </w:tr>
      <w:tr w:rsidR="00DD33E9">
        <w:trPr>
          <w:trHeight w:val="386"/>
        </w:trPr>
        <w:tc>
          <w:tcPr>
            <w:tcW w:w="3551" w:type="dxa"/>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Single agent chemotherapy</w:t>
            </w:r>
          </w:p>
        </w:tc>
        <w:tc>
          <w:tcPr>
            <w:tcW w:w="1782" w:type="dxa"/>
            <w:tcBorders>
              <w:top w:val="single" w:sz="4" w:space="0" w:color="auto"/>
            </w:tcBorders>
          </w:tcPr>
          <w:p w:rsidR="00DD33E9" w:rsidRDefault="00DD33E9">
            <w:pPr>
              <w:spacing w:line="360" w:lineRule="auto"/>
              <w:jc w:val="both"/>
              <w:rPr>
                <w:rFonts w:ascii="Book Antiqua" w:hAnsi="Book Antiqua" w:cs="Arial"/>
                <w:b/>
                <w:bCs/>
              </w:rPr>
            </w:pPr>
          </w:p>
        </w:tc>
        <w:tc>
          <w:tcPr>
            <w:tcW w:w="2091" w:type="dxa"/>
            <w:tcBorders>
              <w:top w:val="single" w:sz="4" w:space="0" w:color="auto"/>
            </w:tcBorders>
          </w:tcPr>
          <w:p w:rsidR="00DD33E9" w:rsidRDefault="00DD33E9">
            <w:pPr>
              <w:spacing w:line="360" w:lineRule="auto"/>
              <w:jc w:val="both"/>
              <w:rPr>
                <w:rFonts w:ascii="Book Antiqua" w:hAnsi="Book Antiqua" w:cs="Arial"/>
                <w:b/>
                <w:bCs/>
              </w:rPr>
            </w:pPr>
          </w:p>
        </w:tc>
        <w:tc>
          <w:tcPr>
            <w:tcW w:w="1937" w:type="dxa"/>
            <w:tcBorders>
              <w:top w:val="single" w:sz="4" w:space="0" w:color="auto"/>
            </w:tcBorders>
          </w:tcPr>
          <w:p w:rsidR="00DD33E9" w:rsidRDefault="00DD33E9">
            <w:pPr>
              <w:spacing w:line="360" w:lineRule="auto"/>
              <w:jc w:val="both"/>
              <w:rPr>
                <w:rFonts w:ascii="Book Antiqua" w:hAnsi="Book Antiqua" w:cs="Arial"/>
                <w:b/>
                <w:bCs/>
              </w:rPr>
            </w:pPr>
          </w:p>
        </w:tc>
      </w:tr>
      <w:tr w:rsidR="00DD33E9">
        <w:trPr>
          <w:trHeight w:val="432"/>
        </w:trPr>
        <w:tc>
          <w:tcPr>
            <w:tcW w:w="3551"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1L</w:t>
            </w:r>
          </w:p>
        </w:tc>
        <w:tc>
          <w:tcPr>
            <w:tcW w:w="1782"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10.0-28.0</w:t>
            </w:r>
          </w:p>
        </w:tc>
        <w:tc>
          <w:tcPr>
            <w:tcW w:w="2091"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3.5-5.4</w:t>
            </w:r>
          </w:p>
        </w:tc>
        <w:tc>
          <w:tcPr>
            <w:tcW w:w="1937"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9.9-17.5</w:t>
            </w:r>
          </w:p>
        </w:tc>
      </w:tr>
      <w:tr w:rsidR="00DD33E9">
        <w:trPr>
          <w:trHeight w:val="287"/>
        </w:trPr>
        <w:tc>
          <w:tcPr>
            <w:tcW w:w="3551"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2L</w:t>
            </w:r>
          </w:p>
        </w:tc>
        <w:tc>
          <w:tcPr>
            <w:tcW w:w="1782"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eastAsia="en-IE"/>
              </w:rPr>
              <w:t>6.0-18.0</w:t>
            </w:r>
          </w:p>
        </w:tc>
        <w:tc>
          <w:tcPr>
            <w:tcW w:w="2091"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eastAsia="en-IE"/>
              </w:rPr>
              <w:t>2.7-3.4</w:t>
            </w:r>
          </w:p>
        </w:tc>
        <w:tc>
          <w:tcPr>
            <w:tcW w:w="1937"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eastAsia="en-IE"/>
              </w:rPr>
              <w:t>9.2-15.2</w:t>
            </w:r>
          </w:p>
        </w:tc>
      </w:tr>
      <w:tr w:rsidR="00DD33E9">
        <w:trPr>
          <w:trHeight w:val="453"/>
        </w:trPr>
        <w:tc>
          <w:tcPr>
            <w:tcW w:w="3551" w:type="dxa"/>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Combination chemotherapy</w:t>
            </w:r>
          </w:p>
        </w:tc>
        <w:tc>
          <w:tcPr>
            <w:tcW w:w="1782" w:type="dxa"/>
          </w:tcPr>
          <w:p w:rsidR="00DD33E9" w:rsidRDefault="00DD33E9">
            <w:pPr>
              <w:spacing w:line="360" w:lineRule="auto"/>
              <w:jc w:val="both"/>
              <w:rPr>
                <w:rFonts w:ascii="Book Antiqua" w:hAnsi="Book Antiqua" w:cs="Arial"/>
                <w:b/>
                <w:bCs/>
              </w:rPr>
            </w:pPr>
          </w:p>
        </w:tc>
        <w:tc>
          <w:tcPr>
            <w:tcW w:w="2091" w:type="dxa"/>
          </w:tcPr>
          <w:p w:rsidR="00DD33E9" w:rsidRDefault="00DD33E9">
            <w:pPr>
              <w:spacing w:line="360" w:lineRule="auto"/>
              <w:jc w:val="both"/>
              <w:rPr>
                <w:rFonts w:ascii="Book Antiqua" w:hAnsi="Book Antiqua" w:cs="Arial"/>
                <w:b/>
                <w:bCs/>
              </w:rPr>
            </w:pPr>
          </w:p>
        </w:tc>
        <w:tc>
          <w:tcPr>
            <w:tcW w:w="1937" w:type="dxa"/>
          </w:tcPr>
          <w:p w:rsidR="00DD33E9" w:rsidRDefault="00DD33E9">
            <w:pPr>
              <w:spacing w:line="360" w:lineRule="auto"/>
              <w:jc w:val="both"/>
              <w:rPr>
                <w:rFonts w:ascii="Book Antiqua" w:hAnsi="Book Antiqua" w:cs="Arial"/>
                <w:b/>
                <w:bCs/>
              </w:rPr>
            </w:pPr>
          </w:p>
        </w:tc>
      </w:tr>
      <w:tr w:rsidR="00DD33E9">
        <w:trPr>
          <w:trHeight w:val="445"/>
        </w:trPr>
        <w:tc>
          <w:tcPr>
            <w:tcW w:w="3551"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1L</w:t>
            </w:r>
          </w:p>
        </w:tc>
        <w:tc>
          <w:tcPr>
            <w:tcW w:w="1782"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14.8-64.3</w:t>
            </w:r>
          </w:p>
        </w:tc>
        <w:tc>
          <w:tcPr>
            <w:tcW w:w="2091"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4.8-9.0</w:t>
            </w:r>
          </w:p>
        </w:tc>
        <w:tc>
          <w:tcPr>
            <w:tcW w:w="1937"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13.9-24.2</w:t>
            </w:r>
          </w:p>
        </w:tc>
      </w:tr>
      <w:tr w:rsidR="00DD33E9">
        <w:trPr>
          <w:trHeight w:val="432"/>
        </w:trPr>
        <w:tc>
          <w:tcPr>
            <w:tcW w:w="3551"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2L+</w:t>
            </w:r>
          </w:p>
        </w:tc>
        <w:tc>
          <w:tcPr>
            <w:tcW w:w="1782"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eastAsia="en-IE"/>
              </w:rPr>
              <w:t>27.0</w:t>
            </w:r>
            <w:r>
              <w:rPr>
                <w:rFonts w:ascii="Book Antiqua" w:eastAsia="Times New Roman" w:hAnsi="Book Antiqua" w:cs="Arial"/>
                <w:kern w:val="24"/>
                <w:vertAlign w:val="superscript"/>
                <w:lang w:eastAsia="en-IE"/>
              </w:rPr>
              <w:t>1</w:t>
            </w:r>
            <w:r>
              <w:rPr>
                <w:rFonts w:ascii="Book Antiqua" w:eastAsia="Times New Roman" w:hAnsi="Book Antiqua" w:cs="Arial"/>
                <w:kern w:val="24"/>
                <w:lang w:eastAsia="en-IE"/>
              </w:rPr>
              <w:t>-60.0</w:t>
            </w:r>
          </w:p>
        </w:tc>
        <w:tc>
          <w:tcPr>
            <w:tcW w:w="2091"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2.9-7.0</w:t>
            </w:r>
          </w:p>
        </w:tc>
        <w:tc>
          <w:tcPr>
            <w:tcW w:w="1937"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8.1-16.5</w:t>
            </w:r>
          </w:p>
        </w:tc>
      </w:tr>
    </w:tbl>
    <w:p w:rsidR="00DD33E9" w:rsidRDefault="00C061FA">
      <w:pPr>
        <w:spacing w:line="360" w:lineRule="auto"/>
        <w:jc w:val="both"/>
        <w:rPr>
          <w:rFonts w:ascii="Book Antiqua" w:hAnsi="Book Antiqua" w:cs="Arial"/>
          <w:bCs/>
        </w:rPr>
      </w:pPr>
      <w:r>
        <w:rPr>
          <w:rFonts w:ascii="Book Antiqua" w:hAnsi="Book Antiqua" w:cs="Arial"/>
          <w:bCs/>
          <w:vertAlign w:val="superscript"/>
        </w:rPr>
        <w:t>1</w:t>
      </w:r>
      <w:r>
        <w:rPr>
          <w:rFonts w:ascii="Book Antiqua" w:hAnsi="Book Antiqua" w:cs="Arial"/>
          <w:bCs/>
        </w:rPr>
        <w:t>1-3Lines</w:t>
      </w:r>
      <w:r>
        <w:rPr>
          <w:rFonts w:ascii="Book Antiqua" w:hAnsi="Book Antiqua" w:cs="Arial"/>
          <w:lang w:eastAsia="zh-CN"/>
        </w:rPr>
        <w:t>.</w:t>
      </w:r>
      <w:r>
        <w:rPr>
          <w:rFonts w:ascii="Book Antiqua" w:hAnsi="Book Antiqua" w:cs="Arial"/>
          <w:b/>
          <w:bCs/>
          <w:lang w:eastAsia="zh-CN"/>
        </w:rPr>
        <w:t xml:space="preserve"> </w:t>
      </w:r>
      <w:r>
        <w:rPr>
          <w:rFonts w:ascii="Book Antiqua" w:hAnsi="Book Antiqua" w:cs="Arial"/>
          <w:bCs/>
        </w:rPr>
        <w:t xml:space="preserve">Adapted from: Li </w:t>
      </w:r>
      <w:r>
        <w:rPr>
          <w:rFonts w:ascii="Book Antiqua" w:hAnsi="Book Antiqua" w:cs="Arial"/>
          <w:bCs/>
          <w:i/>
          <w:iCs/>
        </w:rPr>
        <w:t xml:space="preserve">et </w:t>
      </w:r>
      <w:proofErr w:type="gramStart"/>
      <w:r>
        <w:rPr>
          <w:rFonts w:ascii="Book Antiqua" w:hAnsi="Book Antiqua" w:cs="Arial"/>
          <w:bCs/>
          <w:i/>
          <w:iCs/>
        </w:rPr>
        <w:t>al</w:t>
      </w:r>
      <w:r>
        <w:rPr>
          <w:rFonts w:ascii="Book Antiqua" w:eastAsia="Book Antiqua" w:hAnsi="Book Antiqua" w:cs="Book Antiqua"/>
          <w:shd w:val="clear" w:color="auto" w:fill="FFFFFF"/>
          <w:vertAlign w:val="superscript"/>
        </w:rPr>
        <w:t>[</w:t>
      </w:r>
      <w:proofErr w:type="gramEnd"/>
      <w:r>
        <w:rPr>
          <w:rFonts w:ascii="Book Antiqua" w:eastAsia="Book Antiqua" w:hAnsi="Book Antiqua" w:cs="Book Antiqua"/>
          <w:shd w:val="clear" w:color="auto" w:fill="FFFFFF"/>
          <w:vertAlign w:val="superscript"/>
        </w:rPr>
        <w:t>89]</w:t>
      </w:r>
      <w:r>
        <w:rPr>
          <w:rFonts w:ascii="Book Antiqua" w:hAnsi="Book Antiqua" w:cs="Arial"/>
          <w:bCs/>
        </w:rPr>
        <w:t xml:space="preserve">. </w:t>
      </w:r>
      <w:r>
        <w:rPr>
          <w:rFonts w:ascii="Book Antiqua" w:eastAsia="Times New Roman" w:hAnsi="Book Antiqua" w:cs="Arial"/>
          <w:kern w:val="24"/>
          <w:lang w:val="en-GB" w:eastAsia="en-IE"/>
        </w:rPr>
        <w:t xml:space="preserve">ORR: Overall response rate; PFS: </w:t>
      </w:r>
      <w:r>
        <w:rPr>
          <w:rFonts w:ascii="Book Antiqua" w:eastAsia="Book Antiqua" w:hAnsi="Book Antiqua" w:cs="Book Antiqua"/>
          <w:color w:val="000000"/>
        </w:rPr>
        <w:t>Progression free survival; OS: Overall survival.</w:t>
      </w:r>
      <w:r>
        <w:rPr>
          <w:rFonts w:ascii="Book Antiqua" w:eastAsia="Book Antiqua" w:hAnsi="Book Antiqua" w:cs="Book Antiqua"/>
          <w:color w:val="000000"/>
          <w:shd w:val="clear" w:color="auto" w:fill="FFFFFF"/>
          <w:vertAlign w:val="superscript"/>
        </w:rPr>
        <w:t xml:space="preserve"> </w:t>
      </w:r>
    </w:p>
    <w:p w:rsidR="00DD33E9" w:rsidRDefault="00C061FA">
      <w:pPr>
        <w:spacing w:line="360" w:lineRule="auto"/>
        <w:jc w:val="both"/>
        <w:rPr>
          <w:rFonts w:ascii="Book Antiqua" w:hAnsi="Book Antiqua"/>
          <w:b/>
        </w:rPr>
      </w:pPr>
      <w:r>
        <w:rPr>
          <w:rFonts w:ascii="Book Antiqua" w:hAnsi="Book Antiqua" w:cs="Arial"/>
          <w:b/>
          <w:bCs/>
        </w:rPr>
        <w:br w:type="page"/>
      </w:r>
      <w:r>
        <w:rPr>
          <w:rFonts w:ascii="Book Antiqua" w:hAnsi="Book Antiqua"/>
          <w:b/>
          <w:bCs/>
        </w:rPr>
        <w:lastRenderedPageBreak/>
        <w:t>Table 2</w:t>
      </w:r>
      <w:r>
        <w:rPr>
          <w:rFonts w:ascii="Book Antiqua" w:hAnsi="Book Antiqua"/>
          <w:b/>
        </w:rPr>
        <w:t xml:space="preserve"> Immunotherapy as a monotherapy in metastatic triple negative breast cancer</w:t>
      </w:r>
    </w:p>
    <w:tbl>
      <w:tblPr>
        <w:tblStyle w:val="a9"/>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7"/>
        <w:gridCol w:w="633"/>
        <w:gridCol w:w="880"/>
        <w:gridCol w:w="1134"/>
        <w:gridCol w:w="1134"/>
        <w:gridCol w:w="1134"/>
        <w:gridCol w:w="1418"/>
        <w:gridCol w:w="1246"/>
      </w:tblGrid>
      <w:tr w:rsidR="00DD33E9">
        <w:tc>
          <w:tcPr>
            <w:tcW w:w="1997" w:type="dxa"/>
            <w:tcBorders>
              <w:top w:val="single" w:sz="4" w:space="0" w:color="auto"/>
              <w:bottom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b/>
                <w:bCs/>
                <w:kern w:val="24"/>
                <w:lang w:val="en-GB" w:eastAsia="en-IE"/>
              </w:rPr>
              <w:t>Trial</w:t>
            </w:r>
          </w:p>
        </w:tc>
        <w:tc>
          <w:tcPr>
            <w:tcW w:w="633" w:type="dxa"/>
            <w:tcBorders>
              <w:top w:val="single" w:sz="4" w:space="0" w:color="auto"/>
              <w:bottom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b/>
                <w:bCs/>
                <w:i/>
                <w:iCs/>
                <w:kern w:val="24"/>
                <w:lang w:val="en-GB" w:eastAsia="en-IE"/>
              </w:rPr>
              <w:t>n</w:t>
            </w:r>
          </w:p>
        </w:tc>
        <w:tc>
          <w:tcPr>
            <w:tcW w:w="880" w:type="dxa"/>
            <w:tcBorders>
              <w:top w:val="single" w:sz="4" w:space="0" w:color="auto"/>
              <w:bottom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b/>
                <w:bCs/>
                <w:kern w:val="24"/>
                <w:lang w:val="en-GB" w:eastAsia="en-IE"/>
              </w:rPr>
              <w:t>Drug</w:t>
            </w:r>
          </w:p>
        </w:tc>
        <w:tc>
          <w:tcPr>
            <w:tcW w:w="1134" w:type="dxa"/>
            <w:tcBorders>
              <w:top w:val="single" w:sz="4" w:space="0" w:color="auto"/>
              <w:bottom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b/>
                <w:bCs/>
                <w:kern w:val="24"/>
                <w:lang w:val="en-GB" w:eastAsia="en-IE"/>
              </w:rPr>
              <w:t>ORR</w:t>
            </w:r>
            <w:r>
              <w:rPr>
                <w:rFonts w:ascii="Book Antiqua" w:hAnsi="Book Antiqua" w:cs="Arial"/>
                <w:b/>
                <w:bCs/>
                <w:kern w:val="24"/>
                <w:lang w:eastAsia="zh-CN"/>
              </w:rPr>
              <w:t xml:space="preserve"> </w:t>
            </w:r>
            <w:r>
              <w:rPr>
                <w:rFonts w:ascii="Book Antiqua" w:eastAsia="Times New Roman" w:hAnsi="Book Antiqua" w:cs="Arial"/>
                <w:b/>
                <w:bCs/>
                <w:kern w:val="24"/>
                <w:lang w:val="en-GB" w:eastAsia="en-IE"/>
              </w:rPr>
              <w:t>1</w:t>
            </w:r>
            <w:r>
              <w:rPr>
                <w:rFonts w:ascii="Book Antiqua" w:eastAsia="Times New Roman" w:hAnsi="Book Antiqua" w:cs="Arial"/>
                <w:b/>
                <w:bCs/>
                <w:kern w:val="24"/>
                <w:vertAlign w:val="superscript"/>
                <w:lang w:val="en-GB" w:eastAsia="en-IE"/>
              </w:rPr>
              <w:t>st</w:t>
            </w:r>
            <w:r>
              <w:rPr>
                <w:rFonts w:ascii="Book Antiqua" w:eastAsia="Times New Roman" w:hAnsi="Book Antiqua" w:cs="Arial"/>
                <w:b/>
                <w:bCs/>
                <w:kern w:val="24"/>
                <w:lang w:val="en-GB" w:eastAsia="en-IE"/>
              </w:rPr>
              <w:t xml:space="preserve"> line</w:t>
            </w:r>
          </w:p>
        </w:tc>
        <w:tc>
          <w:tcPr>
            <w:tcW w:w="1134" w:type="dxa"/>
            <w:tcBorders>
              <w:top w:val="single" w:sz="4" w:space="0" w:color="auto"/>
              <w:bottom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b/>
                <w:bCs/>
                <w:kern w:val="24"/>
                <w:lang w:val="en-GB" w:eastAsia="en-IE"/>
              </w:rPr>
              <w:t>ORR</w:t>
            </w:r>
            <w:r>
              <w:rPr>
                <w:rFonts w:ascii="Book Antiqua" w:hAnsi="Book Antiqua" w:cs="Arial"/>
                <w:b/>
                <w:bCs/>
                <w:kern w:val="24"/>
                <w:lang w:eastAsia="zh-CN"/>
              </w:rPr>
              <w:t xml:space="preserve"> </w:t>
            </w:r>
            <w:r>
              <w:rPr>
                <w:rFonts w:ascii="Book Antiqua" w:eastAsia="Times New Roman" w:hAnsi="Book Antiqua" w:cs="Arial"/>
                <w:b/>
                <w:bCs/>
                <w:kern w:val="24"/>
                <w:lang w:val="en-GB" w:eastAsia="en-IE"/>
              </w:rPr>
              <w:t>≥ 1 prior line</w:t>
            </w:r>
          </w:p>
        </w:tc>
        <w:tc>
          <w:tcPr>
            <w:tcW w:w="1134" w:type="dxa"/>
            <w:tcBorders>
              <w:top w:val="single" w:sz="4" w:space="0" w:color="auto"/>
              <w:bottom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b/>
                <w:bCs/>
                <w:kern w:val="24"/>
                <w:lang w:val="en-GB" w:eastAsia="en-IE"/>
              </w:rPr>
              <w:t>Median OS (mo)</w:t>
            </w:r>
            <w:r>
              <w:rPr>
                <w:rFonts w:ascii="Book Antiqua" w:hAnsi="Book Antiqua" w:cs="Arial"/>
                <w:b/>
                <w:bCs/>
                <w:kern w:val="24"/>
                <w:lang w:eastAsia="zh-CN"/>
              </w:rPr>
              <w:t xml:space="preserve"> </w:t>
            </w:r>
            <w:r>
              <w:rPr>
                <w:rFonts w:ascii="Book Antiqua" w:eastAsia="Times New Roman" w:hAnsi="Book Antiqua" w:cs="Arial"/>
                <w:b/>
                <w:bCs/>
                <w:kern w:val="24"/>
                <w:lang w:val="en-GB" w:eastAsia="en-IE"/>
              </w:rPr>
              <w:t>1</w:t>
            </w:r>
            <w:r>
              <w:rPr>
                <w:rFonts w:ascii="Book Antiqua" w:eastAsia="Times New Roman" w:hAnsi="Book Antiqua" w:cs="Arial"/>
                <w:b/>
                <w:bCs/>
                <w:kern w:val="24"/>
                <w:position w:val="7"/>
                <w:vertAlign w:val="superscript"/>
                <w:lang w:val="en-GB" w:eastAsia="en-IE"/>
              </w:rPr>
              <w:t>st</w:t>
            </w:r>
            <w:r>
              <w:rPr>
                <w:rFonts w:ascii="Book Antiqua" w:eastAsia="Times New Roman" w:hAnsi="Book Antiqua" w:cs="Arial"/>
                <w:b/>
                <w:bCs/>
                <w:kern w:val="24"/>
                <w:lang w:val="en-GB" w:eastAsia="en-IE"/>
              </w:rPr>
              <w:t xml:space="preserve"> line</w:t>
            </w:r>
          </w:p>
        </w:tc>
        <w:tc>
          <w:tcPr>
            <w:tcW w:w="1418" w:type="dxa"/>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Median OS (mo)</w:t>
            </w:r>
            <w:r>
              <w:rPr>
                <w:rFonts w:ascii="Book Antiqua" w:hAnsi="Book Antiqua" w:cs="Arial"/>
                <w:lang w:eastAsia="zh-CN"/>
              </w:rPr>
              <w:t xml:space="preserve"> </w:t>
            </w:r>
            <w:r>
              <w:rPr>
                <w:rFonts w:ascii="Book Antiqua" w:eastAsia="Times New Roman" w:hAnsi="Book Antiqua" w:cs="Arial"/>
                <w:b/>
                <w:bCs/>
                <w:kern w:val="24"/>
                <w:lang w:val="en-GB" w:eastAsia="en-IE"/>
              </w:rPr>
              <w:t>≥ 1 line</w:t>
            </w:r>
          </w:p>
        </w:tc>
        <w:tc>
          <w:tcPr>
            <w:tcW w:w="1246" w:type="dxa"/>
            <w:tcBorders>
              <w:top w:val="single" w:sz="4" w:space="0" w:color="auto"/>
              <w:bottom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b/>
                <w:bCs/>
                <w:kern w:val="24"/>
                <w:lang w:val="en-GB" w:eastAsia="en-IE"/>
              </w:rPr>
              <w:t>Ref.</w:t>
            </w:r>
          </w:p>
        </w:tc>
      </w:tr>
      <w:tr w:rsidR="00DD33E9">
        <w:tc>
          <w:tcPr>
            <w:tcW w:w="1997" w:type="dxa"/>
            <w:tcBorders>
              <w:top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kern w:val="24"/>
                <w:lang w:eastAsia="en-IE"/>
              </w:rPr>
              <w:t>NCT01375842</w:t>
            </w:r>
            <w:r>
              <w:rPr>
                <w:rFonts w:ascii="Book Antiqua" w:hAnsi="Book Antiqua" w:cs="Arial"/>
                <w:kern w:val="24"/>
                <w:lang w:eastAsia="zh-CN"/>
              </w:rPr>
              <w:t xml:space="preserve"> </w:t>
            </w:r>
            <w:r>
              <w:rPr>
                <w:rFonts w:ascii="Book Antiqua" w:eastAsia="Times New Roman" w:hAnsi="Book Antiqua" w:cs="Arial"/>
                <w:kern w:val="24"/>
                <w:lang w:eastAsia="en-IE"/>
              </w:rPr>
              <w:t>Phase Ia</w:t>
            </w:r>
          </w:p>
        </w:tc>
        <w:tc>
          <w:tcPr>
            <w:tcW w:w="633" w:type="dxa"/>
            <w:tcBorders>
              <w:top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116</w:t>
            </w:r>
          </w:p>
        </w:tc>
        <w:tc>
          <w:tcPr>
            <w:tcW w:w="880" w:type="dxa"/>
            <w:tcBorders>
              <w:top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Atezolizumab</w:t>
            </w:r>
          </w:p>
        </w:tc>
        <w:tc>
          <w:tcPr>
            <w:tcW w:w="1134" w:type="dxa"/>
            <w:tcBorders>
              <w:top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24%</w:t>
            </w:r>
          </w:p>
        </w:tc>
        <w:tc>
          <w:tcPr>
            <w:tcW w:w="1134" w:type="dxa"/>
            <w:tcBorders>
              <w:top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6%</w:t>
            </w:r>
          </w:p>
        </w:tc>
        <w:tc>
          <w:tcPr>
            <w:tcW w:w="1134" w:type="dxa"/>
            <w:tcBorders>
              <w:top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17.6</w:t>
            </w:r>
          </w:p>
        </w:tc>
        <w:tc>
          <w:tcPr>
            <w:tcW w:w="1418" w:type="dxa"/>
            <w:tcBorders>
              <w:top w:val="single" w:sz="4" w:space="0" w:color="auto"/>
            </w:tcBorders>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 xml:space="preserve">7.3 </w:t>
            </w:r>
          </w:p>
        </w:tc>
        <w:tc>
          <w:tcPr>
            <w:tcW w:w="1246" w:type="dxa"/>
            <w:tcBorders>
              <w:top w:val="single" w:sz="4" w:space="0" w:color="auto"/>
            </w:tcBorders>
          </w:tcPr>
          <w:p w:rsidR="00DD33E9" w:rsidRDefault="00C061FA">
            <w:pPr>
              <w:spacing w:line="360" w:lineRule="auto"/>
              <w:jc w:val="both"/>
              <w:rPr>
                <w:rFonts w:ascii="Book Antiqua" w:hAnsi="Book Antiqua"/>
                <w:b/>
                <w:lang w:val="pt-BR"/>
              </w:rPr>
            </w:pPr>
            <w:r>
              <w:rPr>
                <w:rFonts w:ascii="Book Antiqua" w:eastAsia="Times New Roman" w:hAnsi="Book Antiqua" w:cs="Arial"/>
                <w:kern w:val="24"/>
                <w:lang w:val="pt-BR" w:eastAsia="en-IE"/>
              </w:rPr>
              <w:t xml:space="preserve">Emens </w:t>
            </w:r>
            <w:r>
              <w:rPr>
                <w:rFonts w:ascii="Book Antiqua" w:eastAsia="Times New Roman" w:hAnsi="Book Antiqua" w:cs="Arial"/>
                <w:i/>
                <w:iCs/>
                <w:kern w:val="24"/>
                <w:lang w:val="pt-BR" w:eastAsia="en-IE"/>
              </w:rPr>
              <w:t>et al</w:t>
            </w:r>
            <w:r>
              <w:rPr>
                <w:rFonts w:ascii="Book Antiqua" w:eastAsia="Times New Roman" w:hAnsi="Book Antiqua" w:cs="Arial"/>
                <w:kern w:val="24"/>
                <w:vertAlign w:val="superscript"/>
                <w:lang w:val="pt-BR" w:eastAsia="en-IE"/>
              </w:rPr>
              <w:t>[52]</w:t>
            </w:r>
            <w:r>
              <w:rPr>
                <w:rFonts w:ascii="Book Antiqua" w:eastAsia="Times New Roman" w:hAnsi="Book Antiqua" w:cs="Arial"/>
                <w:kern w:val="24"/>
                <w:lang w:val="pt-BR" w:eastAsia="en-IE"/>
              </w:rPr>
              <w:t>, 2019</w:t>
            </w:r>
          </w:p>
        </w:tc>
      </w:tr>
      <w:tr w:rsidR="00DD33E9">
        <w:tc>
          <w:tcPr>
            <w:tcW w:w="1997" w:type="dxa"/>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KEYNOTE-012 Phase Ib</w:t>
            </w:r>
          </w:p>
        </w:tc>
        <w:tc>
          <w:tcPr>
            <w:tcW w:w="633" w:type="dxa"/>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32</w:t>
            </w:r>
          </w:p>
        </w:tc>
        <w:tc>
          <w:tcPr>
            <w:tcW w:w="880" w:type="dxa"/>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Pembrolizumab</w:t>
            </w:r>
          </w:p>
        </w:tc>
        <w:tc>
          <w:tcPr>
            <w:tcW w:w="1134" w:type="dxa"/>
          </w:tcPr>
          <w:p w:rsidR="00DD33E9" w:rsidRDefault="00DD33E9">
            <w:pPr>
              <w:spacing w:line="360" w:lineRule="auto"/>
              <w:jc w:val="both"/>
              <w:rPr>
                <w:rFonts w:ascii="Book Antiqua" w:hAnsi="Book Antiqua"/>
                <w:b/>
              </w:rPr>
            </w:pPr>
          </w:p>
        </w:tc>
        <w:tc>
          <w:tcPr>
            <w:tcW w:w="1134" w:type="dxa"/>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18.5</w:t>
            </w:r>
          </w:p>
        </w:tc>
        <w:tc>
          <w:tcPr>
            <w:tcW w:w="1134" w:type="dxa"/>
          </w:tcPr>
          <w:p w:rsidR="00DD33E9" w:rsidRDefault="00DD33E9">
            <w:pPr>
              <w:spacing w:line="360" w:lineRule="auto"/>
              <w:jc w:val="both"/>
              <w:rPr>
                <w:rFonts w:ascii="Book Antiqua" w:hAnsi="Book Antiqua"/>
                <w:b/>
              </w:rPr>
            </w:pPr>
          </w:p>
        </w:tc>
        <w:tc>
          <w:tcPr>
            <w:tcW w:w="1418" w:type="dxa"/>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11.2</w:t>
            </w:r>
          </w:p>
        </w:tc>
        <w:tc>
          <w:tcPr>
            <w:tcW w:w="1246" w:type="dxa"/>
          </w:tcPr>
          <w:p w:rsidR="00DD33E9" w:rsidRDefault="00C061FA">
            <w:pPr>
              <w:spacing w:line="360" w:lineRule="auto"/>
              <w:jc w:val="both"/>
              <w:rPr>
                <w:rFonts w:ascii="Book Antiqua" w:hAnsi="Book Antiqua"/>
                <w:b/>
                <w:lang w:val="pt-BR"/>
              </w:rPr>
            </w:pPr>
            <w:r>
              <w:rPr>
                <w:rFonts w:ascii="Book Antiqua" w:eastAsia="Times New Roman" w:hAnsi="Book Antiqua" w:cs="Arial"/>
                <w:kern w:val="24"/>
                <w:lang w:val="pt-BR" w:eastAsia="en-IE"/>
              </w:rPr>
              <w:t xml:space="preserve">Nanda </w:t>
            </w:r>
            <w:r>
              <w:rPr>
                <w:rFonts w:ascii="Book Antiqua" w:eastAsia="Times New Roman" w:hAnsi="Book Antiqua" w:cs="Arial"/>
                <w:i/>
                <w:iCs/>
                <w:kern w:val="24"/>
                <w:lang w:val="pt-BR" w:eastAsia="en-IE"/>
              </w:rPr>
              <w:t>et al</w:t>
            </w:r>
            <w:r>
              <w:rPr>
                <w:rFonts w:ascii="Book Antiqua" w:eastAsia="Times New Roman" w:hAnsi="Book Antiqua" w:cs="Arial"/>
                <w:kern w:val="24"/>
                <w:vertAlign w:val="superscript"/>
                <w:lang w:val="pt-BR" w:eastAsia="en-IE"/>
              </w:rPr>
              <w:t>[50]</w:t>
            </w:r>
            <w:r>
              <w:rPr>
                <w:rFonts w:ascii="Book Antiqua" w:eastAsia="Times New Roman" w:hAnsi="Book Antiqua" w:cs="Arial"/>
                <w:kern w:val="24"/>
                <w:lang w:val="pt-BR" w:eastAsia="en-IE"/>
              </w:rPr>
              <w:t>, 2016</w:t>
            </w:r>
          </w:p>
        </w:tc>
      </w:tr>
      <w:tr w:rsidR="00DD33E9">
        <w:tc>
          <w:tcPr>
            <w:tcW w:w="1997"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JAVELIN/Phase Ib</w:t>
            </w:r>
          </w:p>
        </w:tc>
        <w:tc>
          <w:tcPr>
            <w:tcW w:w="633"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58</w:t>
            </w:r>
          </w:p>
        </w:tc>
        <w:tc>
          <w:tcPr>
            <w:tcW w:w="880"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Avelumab</w:t>
            </w:r>
          </w:p>
        </w:tc>
        <w:tc>
          <w:tcPr>
            <w:tcW w:w="1134" w:type="dxa"/>
          </w:tcPr>
          <w:p w:rsidR="00DD33E9" w:rsidRDefault="00DD33E9">
            <w:pPr>
              <w:spacing w:line="360" w:lineRule="auto"/>
              <w:jc w:val="both"/>
              <w:rPr>
                <w:rFonts w:ascii="Book Antiqua" w:hAnsi="Book Antiqua"/>
                <w:b/>
              </w:rPr>
            </w:pPr>
          </w:p>
        </w:tc>
        <w:tc>
          <w:tcPr>
            <w:tcW w:w="1134"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5.2</w:t>
            </w:r>
          </w:p>
        </w:tc>
        <w:tc>
          <w:tcPr>
            <w:tcW w:w="1134" w:type="dxa"/>
          </w:tcPr>
          <w:p w:rsidR="00DD33E9" w:rsidRDefault="00DD33E9">
            <w:pPr>
              <w:spacing w:line="360" w:lineRule="auto"/>
              <w:jc w:val="both"/>
              <w:rPr>
                <w:rFonts w:ascii="Book Antiqua" w:hAnsi="Book Antiqua"/>
                <w:b/>
              </w:rPr>
            </w:pPr>
          </w:p>
        </w:tc>
        <w:tc>
          <w:tcPr>
            <w:tcW w:w="1418"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9.2</w:t>
            </w:r>
          </w:p>
        </w:tc>
        <w:tc>
          <w:tcPr>
            <w:tcW w:w="1246"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 xml:space="preserve">Dirix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[51]</w:t>
            </w:r>
            <w:r>
              <w:rPr>
                <w:rFonts w:ascii="Book Antiqua" w:eastAsia="Times New Roman" w:hAnsi="Book Antiqua" w:cs="Arial"/>
                <w:kern w:val="24"/>
                <w:lang w:val="en-GB" w:eastAsia="en-IE"/>
              </w:rPr>
              <w:t>, 2018</w:t>
            </w:r>
          </w:p>
        </w:tc>
      </w:tr>
      <w:tr w:rsidR="00DD33E9">
        <w:tc>
          <w:tcPr>
            <w:tcW w:w="1997"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KEYNOTE-086</w:t>
            </w:r>
            <w:r>
              <w:rPr>
                <w:rFonts w:ascii="Book Antiqua" w:hAnsi="Book Antiqua" w:cs="Arial"/>
                <w:kern w:val="24"/>
                <w:lang w:eastAsia="zh-CN"/>
              </w:rPr>
              <w:t xml:space="preserve"> </w:t>
            </w:r>
            <w:r>
              <w:rPr>
                <w:rFonts w:ascii="Book Antiqua" w:eastAsia="Times New Roman" w:hAnsi="Book Antiqua" w:cs="Arial"/>
                <w:kern w:val="24"/>
                <w:lang w:val="en-GB" w:eastAsia="en-IE"/>
              </w:rPr>
              <w:t>Phase II</w:t>
            </w:r>
          </w:p>
        </w:tc>
        <w:tc>
          <w:tcPr>
            <w:tcW w:w="633"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170</w:t>
            </w:r>
          </w:p>
        </w:tc>
        <w:tc>
          <w:tcPr>
            <w:tcW w:w="880"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Pembrolizumab</w:t>
            </w:r>
          </w:p>
        </w:tc>
        <w:tc>
          <w:tcPr>
            <w:tcW w:w="1134" w:type="dxa"/>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23.1%</w:t>
            </w:r>
          </w:p>
        </w:tc>
        <w:tc>
          <w:tcPr>
            <w:tcW w:w="1134"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5.3</w:t>
            </w:r>
          </w:p>
        </w:tc>
        <w:tc>
          <w:tcPr>
            <w:tcW w:w="1134" w:type="dxa"/>
          </w:tcPr>
          <w:p w:rsidR="00DD33E9" w:rsidRDefault="00C061FA">
            <w:pPr>
              <w:spacing w:line="360" w:lineRule="auto"/>
              <w:jc w:val="both"/>
              <w:rPr>
                <w:rFonts w:ascii="Book Antiqua" w:hAnsi="Book Antiqua"/>
                <w:b/>
              </w:rPr>
            </w:pPr>
            <w:r>
              <w:rPr>
                <w:rFonts w:ascii="Book Antiqua" w:eastAsia="Times New Roman" w:hAnsi="Book Antiqua" w:cs="Arial"/>
                <w:kern w:val="24"/>
                <w:lang w:val="en-GB" w:eastAsia="en-IE"/>
              </w:rPr>
              <w:t>18.0</w:t>
            </w:r>
          </w:p>
        </w:tc>
        <w:tc>
          <w:tcPr>
            <w:tcW w:w="1418"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9.0</w:t>
            </w:r>
          </w:p>
        </w:tc>
        <w:tc>
          <w:tcPr>
            <w:tcW w:w="1246"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 xml:space="preserve">Adams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[53]</w:t>
            </w:r>
            <w:r>
              <w:rPr>
                <w:rFonts w:ascii="Book Antiqua" w:eastAsia="Times New Roman" w:hAnsi="Book Antiqua" w:cs="Arial"/>
                <w:kern w:val="24"/>
                <w:lang w:val="en-GB" w:eastAsia="en-IE"/>
              </w:rPr>
              <w:t>, 2019</w:t>
            </w:r>
          </w:p>
        </w:tc>
      </w:tr>
      <w:tr w:rsidR="00DD33E9">
        <w:tc>
          <w:tcPr>
            <w:tcW w:w="1997"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KEYNOTE-119/Phase III</w:t>
            </w:r>
          </w:p>
        </w:tc>
        <w:tc>
          <w:tcPr>
            <w:tcW w:w="633"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622</w:t>
            </w:r>
          </w:p>
        </w:tc>
        <w:tc>
          <w:tcPr>
            <w:tcW w:w="880"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 xml:space="preserve">Pembrolizumab </w:t>
            </w:r>
            <w:r>
              <w:rPr>
                <w:rFonts w:ascii="Book Antiqua" w:eastAsia="Times New Roman" w:hAnsi="Book Antiqua" w:cs="Arial"/>
                <w:i/>
                <w:iCs/>
                <w:kern w:val="24"/>
                <w:lang w:val="en-GB" w:eastAsia="en-IE"/>
              </w:rPr>
              <w:t>vs</w:t>
            </w:r>
            <w:r>
              <w:rPr>
                <w:rFonts w:ascii="Book Antiqua" w:eastAsia="Times New Roman" w:hAnsi="Book Antiqua" w:cs="Arial"/>
                <w:kern w:val="24"/>
                <w:lang w:val="en-GB" w:eastAsia="en-IE"/>
              </w:rPr>
              <w:t xml:space="preserve"> chemo</w:t>
            </w:r>
          </w:p>
        </w:tc>
        <w:tc>
          <w:tcPr>
            <w:tcW w:w="1134" w:type="dxa"/>
          </w:tcPr>
          <w:p w:rsidR="00DD33E9" w:rsidRDefault="00DD33E9">
            <w:pPr>
              <w:spacing w:line="360" w:lineRule="auto"/>
              <w:jc w:val="both"/>
              <w:rPr>
                <w:rFonts w:ascii="Book Antiqua" w:hAnsi="Book Antiqua"/>
                <w:b/>
              </w:rPr>
            </w:pPr>
          </w:p>
        </w:tc>
        <w:tc>
          <w:tcPr>
            <w:tcW w:w="1134"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 xml:space="preserve">9.6 </w:t>
            </w:r>
            <w:r>
              <w:rPr>
                <w:rFonts w:ascii="Book Antiqua" w:eastAsia="Times New Roman" w:hAnsi="Book Antiqua" w:cs="Arial"/>
                <w:i/>
                <w:iCs/>
                <w:kern w:val="24"/>
                <w:lang w:val="en-GB" w:eastAsia="en-IE"/>
              </w:rPr>
              <w:t>vs</w:t>
            </w:r>
            <w:r>
              <w:rPr>
                <w:rFonts w:ascii="Book Antiqua" w:eastAsia="Times New Roman" w:hAnsi="Book Antiqua" w:cs="Arial"/>
                <w:kern w:val="24"/>
                <w:lang w:val="en-GB" w:eastAsia="en-IE"/>
              </w:rPr>
              <w:t xml:space="preserve"> 10.6</w:t>
            </w:r>
          </w:p>
        </w:tc>
        <w:tc>
          <w:tcPr>
            <w:tcW w:w="1134" w:type="dxa"/>
          </w:tcPr>
          <w:p w:rsidR="00DD33E9" w:rsidRDefault="00DD33E9">
            <w:pPr>
              <w:spacing w:line="360" w:lineRule="auto"/>
              <w:jc w:val="both"/>
              <w:rPr>
                <w:rFonts w:ascii="Book Antiqua" w:hAnsi="Book Antiqua"/>
                <w:b/>
              </w:rPr>
            </w:pPr>
          </w:p>
        </w:tc>
        <w:tc>
          <w:tcPr>
            <w:tcW w:w="1418" w:type="dxa"/>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eastAsia="en-IE"/>
              </w:rPr>
              <w:t xml:space="preserve">CPS ≥ 1; 10.7 </w:t>
            </w:r>
            <w:r>
              <w:rPr>
                <w:rFonts w:ascii="Book Antiqua" w:eastAsia="Times New Roman" w:hAnsi="Book Antiqua" w:cs="Arial"/>
                <w:i/>
                <w:iCs/>
                <w:kern w:val="24"/>
                <w:lang w:eastAsia="en-IE"/>
              </w:rPr>
              <w:t>vs</w:t>
            </w:r>
            <w:r>
              <w:rPr>
                <w:rFonts w:ascii="Book Antiqua" w:eastAsia="Times New Roman" w:hAnsi="Book Antiqua" w:cs="Arial"/>
                <w:kern w:val="24"/>
                <w:lang w:eastAsia="en-IE"/>
              </w:rPr>
              <w:t xml:space="preserve"> 10.2</w:t>
            </w:r>
            <w:r>
              <w:rPr>
                <w:rFonts w:ascii="Book Antiqua" w:hAnsi="Book Antiqua" w:cs="Arial"/>
                <w:kern w:val="24"/>
                <w:lang w:eastAsia="zh-CN"/>
              </w:rPr>
              <w:t xml:space="preserve">. </w:t>
            </w:r>
            <w:r>
              <w:rPr>
                <w:rFonts w:ascii="Book Antiqua" w:eastAsia="Times New Roman" w:hAnsi="Book Antiqua" w:cs="Arial"/>
                <w:kern w:val="24"/>
                <w:lang w:eastAsia="en-IE"/>
              </w:rPr>
              <w:t xml:space="preserve">CPS ≥10; 12.7 </w:t>
            </w:r>
            <w:r>
              <w:rPr>
                <w:rFonts w:ascii="Book Antiqua" w:eastAsia="Times New Roman" w:hAnsi="Book Antiqua" w:cs="Arial"/>
                <w:i/>
                <w:iCs/>
                <w:kern w:val="24"/>
                <w:lang w:eastAsia="en-IE"/>
              </w:rPr>
              <w:t>vs</w:t>
            </w:r>
            <w:r>
              <w:rPr>
                <w:rFonts w:ascii="Book Antiqua" w:eastAsia="Times New Roman" w:hAnsi="Book Antiqua" w:cs="Arial"/>
                <w:kern w:val="24"/>
                <w:lang w:eastAsia="en-IE"/>
              </w:rPr>
              <w:t xml:space="preserve"> 11.6</w:t>
            </w:r>
            <w:r>
              <w:rPr>
                <w:rFonts w:ascii="Book Antiqua" w:hAnsi="Book Antiqua" w:cs="Arial" w:hint="eastAsia"/>
                <w:lang w:eastAsia="zh-CN"/>
              </w:rPr>
              <w:t>.</w:t>
            </w:r>
            <w:r>
              <w:rPr>
                <w:rFonts w:ascii="Book Antiqua" w:hAnsi="Book Antiqua" w:cs="Arial"/>
                <w:lang w:eastAsia="zh-CN"/>
              </w:rPr>
              <w:t xml:space="preserve"> </w:t>
            </w:r>
            <w:r>
              <w:rPr>
                <w:rFonts w:ascii="Book Antiqua" w:eastAsia="Times New Roman" w:hAnsi="Book Antiqua" w:cs="Arial"/>
                <w:kern w:val="24"/>
                <w:lang w:eastAsia="en-IE"/>
              </w:rPr>
              <w:t xml:space="preserve">CPS ≥ 20; 14.9 </w:t>
            </w:r>
            <w:r>
              <w:rPr>
                <w:rFonts w:ascii="Book Antiqua" w:eastAsia="Times New Roman" w:hAnsi="Book Antiqua" w:cs="Arial"/>
                <w:i/>
                <w:iCs/>
                <w:kern w:val="24"/>
                <w:lang w:eastAsia="en-IE"/>
              </w:rPr>
              <w:t>vs</w:t>
            </w:r>
            <w:r>
              <w:rPr>
                <w:rFonts w:ascii="Book Antiqua" w:eastAsia="Times New Roman" w:hAnsi="Book Antiqua" w:cs="Arial"/>
                <w:kern w:val="24"/>
                <w:lang w:eastAsia="en-IE"/>
              </w:rPr>
              <w:t xml:space="preserve"> 12</w:t>
            </w:r>
          </w:p>
        </w:tc>
        <w:tc>
          <w:tcPr>
            <w:tcW w:w="1246" w:type="dxa"/>
          </w:tcPr>
          <w:p w:rsidR="00DD33E9" w:rsidRDefault="00C061FA">
            <w:pPr>
              <w:spacing w:line="360" w:lineRule="auto"/>
              <w:jc w:val="both"/>
              <w:rPr>
                <w:rFonts w:ascii="Book Antiqua" w:eastAsia="Times New Roman" w:hAnsi="Book Antiqua" w:cs="Arial"/>
                <w:kern w:val="24"/>
                <w:lang w:val="en-GB" w:eastAsia="en-IE"/>
              </w:rPr>
            </w:pPr>
            <w:r>
              <w:rPr>
                <w:rFonts w:ascii="Book Antiqua" w:eastAsia="Book Antiqua" w:hAnsi="Book Antiqua" w:cs="Book Antiqua"/>
                <w:color w:val="000000"/>
              </w:rPr>
              <w:t>Verret</w:t>
            </w:r>
            <w:r>
              <w:rPr>
                <w:rFonts w:ascii="Book Antiqua" w:eastAsia="Times New Roman" w:hAnsi="Book Antiqua" w:cs="Arial"/>
                <w:kern w:val="24"/>
                <w:lang w:val="en-GB" w:eastAsia="en-IE"/>
              </w:rPr>
              <w:t xml:space="preserve">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[83]</w:t>
            </w:r>
            <w:r>
              <w:rPr>
                <w:rFonts w:ascii="Book Antiqua" w:eastAsia="Times New Roman" w:hAnsi="Book Antiqua" w:cs="Arial"/>
                <w:kern w:val="24"/>
                <w:lang w:val="en-GB" w:eastAsia="en-IE"/>
              </w:rPr>
              <w:t>, 2019</w:t>
            </w:r>
          </w:p>
        </w:tc>
      </w:tr>
    </w:tbl>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 xml:space="preserve">ORR: Overall response rate; </w:t>
      </w:r>
      <w:r>
        <w:rPr>
          <w:rFonts w:ascii="Book Antiqua" w:eastAsia="Book Antiqua" w:hAnsi="Book Antiqua" w:cs="Book Antiqua"/>
          <w:color w:val="000000"/>
        </w:rPr>
        <w:t xml:space="preserve">OS: Overall survival; </w:t>
      </w:r>
      <w:r>
        <w:rPr>
          <w:rFonts w:ascii="Book Antiqua" w:hAnsi="Book Antiqua" w:cs="Arial"/>
          <w:kern w:val="24"/>
          <w:lang w:val="en-GB"/>
        </w:rPr>
        <w:t xml:space="preserve">CPS: </w:t>
      </w:r>
      <w:r>
        <w:rPr>
          <w:rFonts w:ascii="Book Antiqua" w:eastAsia="Book Antiqua" w:hAnsi="Book Antiqua" w:cs="Book Antiqua"/>
          <w:color w:val="000000"/>
        </w:rPr>
        <w:t>Combined positive score.</w:t>
      </w:r>
    </w:p>
    <w:p w:rsidR="00DD33E9" w:rsidRDefault="00C061FA">
      <w:pPr>
        <w:spacing w:line="360" w:lineRule="auto"/>
        <w:jc w:val="both"/>
        <w:rPr>
          <w:rFonts w:ascii="Book Antiqua" w:hAnsi="Book Antiqua"/>
          <w:b/>
        </w:rPr>
      </w:pPr>
      <w:r>
        <w:rPr>
          <w:rFonts w:ascii="Book Antiqua" w:hAnsi="Book Antiqua" w:cs="Arial"/>
          <w:b/>
          <w:bCs/>
        </w:rPr>
        <w:br w:type="page"/>
      </w:r>
      <w:r>
        <w:rPr>
          <w:rFonts w:ascii="Book Antiqua" w:hAnsi="Book Antiqua"/>
          <w:b/>
          <w:bCs/>
        </w:rPr>
        <w:lastRenderedPageBreak/>
        <w:t>Table 3</w:t>
      </w:r>
      <w:r>
        <w:rPr>
          <w:rFonts w:ascii="Book Antiqua" w:hAnsi="Book Antiqua"/>
          <w:bCs/>
        </w:rPr>
        <w:t xml:space="preserve"> </w:t>
      </w:r>
      <w:r>
        <w:rPr>
          <w:rFonts w:ascii="Book Antiqua" w:hAnsi="Book Antiqua"/>
          <w:b/>
        </w:rPr>
        <w:t xml:space="preserve">Early studies of Immunotherapy and chemotherapy in </w:t>
      </w:r>
      <w:r>
        <w:rPr>
          <w:rFonts w:ascii="Book Antiqua" w:hAnsi="Book Antiqua"/>
          <w:b/>
        </w:rPr>
        <w:t>metastatic triple negative breast cancer</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456"/>
        <w:gridCol w:w="1916"/>
        <w:gridCol w:w="1234"/>
        <w:gridCol w:w="763"/>
        <w:gridCol w:w="1046"/>
        <w:gridCol w:w="776"/>
        <w:gridCol w:w="1692"/>
      </w:tblGrid>
      <w:tr w:rsidR="00DD33E9">
        <w:tc>
          <w:tcPr>
            <w:tcW w:w="850"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b/>
                <w:bCs/>
                <w:kern w:val="24"/>
                <w:lang w:val="en-GB" w:eastAsia="en-IE"/>
              </w:rPr>
              <w:t>Trial</w:t>
            </w:r>
          </w:p>
        </w:tc>
        <w:tc>
          <w:tcPr>
            <w:tcW w:w="235"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i/>
                <w:iCs/>
                <w:lang w:val="pt-BR"/>
              </w:rPr>
            </w:pPr>
            <w:r>
              <w:rPr>
                <w:rFonts w:ascii="Book Antiqua" w:eastAsia="Times New Roman" w:hAnsi="Book Antiqua" w:cs="Arial"/>
                <w:b/>
                <w:bCs/>
                <w:i/>
                <w:iCs/>
                <w:kern w:val="24"/>
                <w:lang w:val="en-GB" w:eastAsia="en-IE"/>
              </w:rPr>
              <w:t>n</w:t>
            </w:r>
          </w:p>
        </w:tc>
        <w:tc>
          <w:tcPr>
            <w:tcW w:w="960"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b/>
                <w:bCs/>
                <w:kern w:val="24"/>
                <w:lang w:val="en-GB" w:eastAsia="en-IE"/>
              </w:rPr>
              <w:t>Drug</w:t>
            </w:r>
          </w:p>
        </w:tc>
        <w:tc>
          <w:tcPr>
            <w:tcW w:w="621"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ORR</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1</w:t>
            </w:r>
            <w:r>
              <w:rPr>
                <w:rFonts w:ascii="Book Antiqua" w:eastAsia="Times New Roman" w:hAnsi="Book Antiqua" w:cs="Arial"/>
                <w:b/>
                <w:bCs/>
                <w:kern w:val="24"/>
                <w:position w:val="10"/>
                <w:vertAlign w:val="superscript"/>
                <w:lang w:val="en-GB" w:eastAsia="en-IE"/>
              </w:rPr>
              <w:t>st</w:t>
            </w:r>
            <w:r>
              <w:rPr>
                <w:rFonts w:ascii="Book Antiqua" w:eastAsia="Times New Roman" w:hAnsi="Book Antiqua" w:cs="Arial"/>
                <w:b/>
                <w:bCs/>
                <w:kern w:val="24"/>
                <w:lang w:val="en-GB" w:eastAsia="en-IE"/>
              </w:rPr>
              <w:t xml:space="preserve"> line</w:t>
            </w:r>
          </w:p>
        </w:tc>
        <w:tc>
          <w:tcPr>
            <w:tcW w:w="387"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ORR</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 2 line</w:t>
            </w:r>
          </w:p>
        </w:tc>
        <w:tc>
          <w:tcPr>
            <w:tcW w:w="528"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mOS 1</w:t>
            </w:r>
            <w:r>
              <w:rPr>
                <w:rFonts w:ascii="Book Antiqua" w:eastAsia="Times New Roman" w:hAnsi="Book Antiqua" w:cs="Arial"/>
                <w:b/>
                <w:bCs/>
                <w:kern w:val="24"/>
                <w:position w:val="10"/>
                <w:vertAlign w:val="superscript"/>
                <w:lang w:val="en-GB" w:eastAsia="en-IE"/>
              </w:rPr>
              <w:t>st</w:t>
            </w:r>
            <w:r>
              <w:rPr>
                <w:rFonts w:ascii="Book Antiqua" w:eastAsia="Times New Roman" w:hAnsi="Book Antiqua" w:cs="Arial"/>
                <w:b/>
                <w:bCs/>
                <w:kern w:val="24"/>
                <w:lang w:val="en-GB" w:eastAsia="en-IE"/>
              </w:rPr>
              <w:t xml:space="preserve"> line</w:t>
            </w:r>
          </w:p>
        </w:tc>
        <w:tc>
          <w:tcPr>
            <w:tcW w:w="394"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mOS</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2</w:t>
            </w:r>
            <w:r>
              <w:rPr>
                <w:rFonts w:ascii="Book Antiqua" w:eastAsia="Times New Roman" w:hAnsi="Book Antiqua" w:cs="Arial"/>
                <w:b/>
                <w:bCs/>
                <w:kern w:val="24"/>
                <w:position w:val="10"/>
                <w:vertAlign w:val="superscript"/>
                <w:lang w:val="en-GB" w:eastAsia="en-IE"/>
              </w:rPr>
              <w:t>nd</w:t>
            </w:r>
            <w:r>
              <w:rPr>
                <w:rFonts w:ascii="Book Antiqua" w:eastAsia="Times New Roman" w:hAnsi="Book Antiqua" w:cs="Arial"/>
                <w:b/>
                <w:bCs/>
                <w:kern w:val="24"/>
                <w:lang w:val="en-GB" w:eastAsia="en-IE"/>
              </w:rPr>
              <w:t xml:space="preserve"> line</w:t>
            </w:r>
          </w:p>
        </w:tc>
        <w:tc>
          <w:tcPr>
            <w:tcW w:w="1025"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b/>
                <w:bCs/>
                <w:kern w:val="24"/>
                <w:lang w:val="en-GB" w:eastAsia="en-IE"/>
              </w:rPr>
              <w:t>Ref.</w:t>
            </w:r>
          </w:p>
        </w:tc>
      </w:tr>
      <w:tr w:rsidR="00DD33E9">
        <w:tc>
          <w:tcPr>
            <w:tcW w:w="850" w:type="pct"/>
            <w:tcBorders>
              <w:top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NCT01633970</w:t>
            </w:r>
            <w:r>
              <w:rPr>
                <w:rFonts w:ascii="Book Antiqua" w:hAnsi="Book Antiqua" w:cs="Arial"/>
                <w:kern w:val="24"/>
                <w:lang w:val="en-GB" w:eastAsia="zh-CN"/>
              </w:rPr>
              <w:t xml:space="preserve"> </w:t>
            </w:r>
            <w:r>
              <w:rPr>
                <w:rFonts w:ascii="Book Antiqua" w:eastAsia="Times New Roman" w:hAnsi="Book Antiqua" w:cs="Arial"/>
                <w:kern w:val="24"/>
                <w:lang w:val="en-GB" w:eastAsia="en-IE"/>
              </w:rPr>
              <w:t>Phase Ib</w:t>
            </w:r>
          </w:p>
        </w:tc>
        <w:tc>
          <w:tcPr>
            <w:tcW w:w="235" w:type="pct"/>
            <w:tcBorders>
              <w:top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33</w:t>
            </w:r>
          </w:p>
        </w:tc>
        <w:tc>
          <w:tcPr>
            <w:tcW w:w="960" w:type="pct"/>
            <w:tcBorders>
              <w:top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Atezolizumab + nab-paclitaxel</w:t>
            </w:r>
          </w:p>
        </w:tc>
        <w:tc>
          <w:tcPr>
            <w:tcW w:w="621" w:type="pct"/>
            <w:tcBorders>
              <w:top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53.8%</w:t>
            </w:r>
          </w:p>
        </w:tc>
        <w:tc>
          <w:tcPr>
            <w:tcW w:w="387" w:type="pct"/>
            <w:tcBorders>
              <w:top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30</w:t>
            </w:r>
          </w:p>
        </w:tc>
        <w:tc>
          <w:tcPr>
            <w:tcW w:w="528" w:type="pct"/>
            <w:tcBorders>
              <w:top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24.2</w:t>
            </w:r>
          </w:p>
        </w:tc>
        <w:tc>
          <w:tcPr>
            <w:tcW w:w="394" w:type="pct"/>
            <w:tcBorders>
              <w:top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12.4</w:t>
            </w:r>
          </w:p>
        </w:tc>
        <w:tc>
          <w:tcPr>
            <w:tcW w:w="1025" w:type="pct"/>
            <w:tcBorders>
              <w:top w:val="single" w:sz="4" w:space="0" w:color="auto"/>
            </w:tcBorders>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pt-BR" w:eastAsia="en-IE"/>
              </w:rPr>
              <w:t>Adams</w:t>
            </w:r>
            <w:r>
              <w:rPr>
                <w:rFonts w:ascii="Book Antiqua" w:eastAsia="Times New Roman" w:hAnsi="Book Antiqua" w:cs="Arial"/>
                <w:i/>
                <w:iCs/>
                <w:kern w:val="24"/>
                <w:lang w:val="pt-BR" w:eastAsia="en-IE"/>
              </w:rPr>
              <w:t xml:space="preserve"> et al</w:t>
            </w:r>
            <w:r>
              <w:rPr>
                <w:rFonts w:ascii="Book Antiqua" w:eastAsia="Times New Roman" w:hAnsi="Book Antiqua" w:cs="Arial"/>
                <w:kern w:val="24"/>
                <w:vertAlign w:val="superscript"/>
                <w:lang w:val="pt-BR" w:eastAsia="en-IE"/>
              </w:rPr>
              <w:t>[55]</w:t>
            </w:r>
            <w:r>
              <w:rPr>
                <w:rFonts w:ascii="Book Antiqua" w:eastAsia="Times New Roman" w:hAnsi="Book Antiqua" w:cs="Arial"/>
                <w:kern w:val="24"/>
                <w:lang w:val="pt-BR" w:eastAsia="en-IE"/>
              </w:rPr>
              <w:t>, 2019</w:t>
            </w:r>
          </w:p>
        </w:tc>
      </w:tr>
      <w:tr w:rsidR="00DD33E9">
        <w:tc>
          <w:tcPr>
            <w:tcW w:w="850" w:type="pct"/>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KEYNOTE-150</w:t>
            </w:r>
            <w:r>
              <w:rPr>
                <w:rFonts w:ascii="Book Antiqua" w:hAnsi="Book Antiqua" w:cs="Arial"/>
                <w:kern w:val="24"/>
                <w:lang w:val="en-GB" w:eastAsia="zh-CN"/>
              </w:rPr>
              <w:t xml:space="preserve"> </w:t>
            </w:r>
            <w:r>
              <w:rPr>
                <w:rFonts w:ascii="Book Antiqua" w:eastAsia="Times New Roman" w:hAnsi="Book Antiqua" w:cs="Arial"/>
                <w:kern w:val="24"/>
                <w:lang w:val="en-GB" w:eastAsia="en-IE"/>
              </w:rPr>
              <w:t>Phase 1b/II</w:t>
            </w:r>
          </w:p>
        </w:tc>
        <w:tc>
          <w:tcPr>
            <w:tcW w:w="235"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82</w:t>
            </w:r>
          </w:p>
        </w:tc>
        <w:tc>
          <w:tcPr>
            <w:tcW w:w="960"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 xml:space="preserve">Pembrolizumab + </w:t>
            </w:r>
            <w:r>
              <w:rPr>
                <w:rFonts w:ascii="Book Antiqua" w:eastAsia="Times New Roman" w:hAnsi="Book Antiqua" w:cs="Arial"/>
                <w:kern w:val="24"/>
                <w:lang w:val="en-GB" w:eastAsia="en-IE"/>
              </w:rPr>
              <w:t>Eribulin</w:t>
            </w:r>
          </w:p>
        </w:tc>
        <w:tc>
          <w:tcPr>
            <w:tcW w:w="621"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25%</w:t>
            </w:r>
          </w:p>
        </w:tc>
        <w:tc>
          <w:tcPr>
            <w:tcW w:w="387"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26.5</w:t>
            </w:r>
          </w:p>
        </w:tc>
        <w:tc>
          <w:tcPr>
            <w:tcW w:w="528"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17.7</w:t>
            </w:r>
          </w:p>
        </w:tc>
        <w:tc>
          <w:tcPr>
            <w:tcW w:w="394"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NE</w:t>
            </w:r>
          </w:p>
        </w:tc>
        <w:tc>
          <w:tcPr>
            <w:tcW w:w="1025"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 xml:space="preserve">Tolaney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[57]</w:t>
            </w:r>
            <w:r>
              <w:rPr>
                <w:rFonts w:ascii="Book Antiqua" w:eastAsia="Times New Roman" w:hAnsi="Book Antiqua" w:cs="Arial"/>
                <w:kern w:val="24"/>
                <w:lang w:val="en-GB" w:eastAsia="en-IE"/>
              </w:rPr>
              <w:t>, 2018</w:t>
            </w:r>
          </w:p>
        </w:tc>
      </w:tr>
      <w:tr w:rsidR="00DD33E9">
        <w:tc>
          <w:tcPr>
            <w:tcW w:w="850" w:type="pct"/>
          </w:tcPr>
          <w:p w:rsidR="00DD33E9" w:rsidRDefault="00C061FA">
            <w:pPr>
              <w:spacing w:line="360" w:lineRule="auto"/>
              <w:jc w:val="both"/>
              <w:rPr>
                <w:rFonts w:ascii="Book Antiqua" w:hAnsi="Book Antiqua" w:cs="Arial"/>
                <w:kern w:val="24"/>
                <w:lang w:val="en-GB" w:eastAsia="zh-CN"/>
              </w:rPr>
            </w:pPr>
            <w:r>
              <w:rPr>
                <w:rFonts w:ascii="Book Antiqua" w:eastAsia="Times New Roman" w:hAnsi="Book Antiqua" w:cs="Arial"/>
                <w:kern w:val="24"/>
                <w:lang w:val="en-GB" w:eastAsia="en-IE"/>
              </w:rPr>
              <w:t xml:space="preserve">Pilot and </w:t>
            </w:r>
            <w:proofErr w:type="gramStart"/>
            <w:r>
              <w:rPr>
                <w:rFonts w:ascii="Book Antiqua" w:eastAsia="Times New Roman" w:hAnsi="Book Antiqua" w:cs="Arial"/>
                <w:kern w:val="24"/>
                <w:lang w:val="en-GB" w:eastAsia="en-IE"/>
              </w:rPr>
              <w:t>phase</w:t>
            </w:r>
            <w:proofErr w:type="gramEnd"/>
            <w:r>
              <w:rPr>
                <w:rFonts w:ascii="Book Antiqua" w:eastAsia="Times New Roman" w:hAnsi="Book Antiqua" w:cs="Arial"/>
                <w:kern w:val="24"/>
                <w:lang w:val="en-GB" w:eastAsia="en-IE"/>
              </w:rPr>
              <w:t xml:space="preserve"> II.</w:t>
            </w:r>
            <w:r>
              <w:rPr>
                <w:rFonts w:ascii="Book Antiqua" w:hAnsi="Book Antiqua" w:cs="Arial"/>
                <w:kern w:val="24"/>
                <w:lang w:val="en-GB" w:eastAsia="zh-CN"/>
              </w:rPr>
              <w:t xml:space="preserve"> </w:t>
            </w:r>
          </w:p>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1-2L</w:t>
            </w:r>
            <w:r>
              <w:rPr>
                <w:rFonts w:ascii="Book Antiqua" w:eastAsia="Times New Roman" w:hAnsi="Book Antiqua" w:cs="Arial"/>
                <w:kern w:val="24"/>
                <w:vertAlign w:val="superscript"/>
                <w:lang w:val="en-GB" w:eastAsia="en-IE"/>
              </w:rPr>
              <w:t>1</w:t>
            </w:r>
          </w:p>
        </w:tc>
        <w:tc>
          <w:tcPr>
            <w:tcW w:w="235"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29</w:t>
            </w:r>
          </w:p>
        </w:tc>
        <w:tc>
          <w:tcPr>
            <w:tcW w:w="960"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Pembrolizumab + capecitabine or paclitaxel</w:t>
            </w:r>
          </w:p>
        </w:tc>
        <w:tc>
          <w:tcPr>
            <w:tcW w:w="621" w:type="pct"/>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43% pembro + cap</w:t>
            </w:r>
            <w:r>
              <w:rPr>
                <w:rFonts w:ascii="Book Antiqua" w:hAnsi="Book Antiqua" w:cs="Arial"/>
                <w:kern w:val="24"/>
                <w:lang w:val="en-GB" w:eastAsia="zh-CN"/>
              </w:rPr>
              <w:t xml:space="preserve">. </w:t>
            </w:r>
            <w:r>
              <w:rPr>
                <w:rFonts w:ascii="Book Antiqua" w:eastAsia="Times New Roman" w:hAnsi="Book Antiqua" w:cs="Arial"/>
                <w:kern w:val="24"/>
                <w:lang w:val="en-GB" w:eastAsia="en-IE"/>
              </w:rPr>
              <w:t>23% pembro + paclitaxel</w:t>
            </w:r>
          </w:p>
        </w:tc>
        <w:tc>
          <w:tcPr>
            <w:tcW w:w="387" w:type="pct"/>
          </w:tcPr>
          <w:p w:rsidR="00DD33E9" w:rsidRDefault="00DD33E9">
            <w:pPr>
              <w:spacing w:line="360" w:lineRule="auto"/>
              <w:jc w:val="both"/>
              <w:rPr>
                <w:rFonts w:ascii="Book Antiqua" w:hAnsi="Book Antiqua" w:cs="Arial"/>
                <w:b/>
                <w:bCs/>
                <w:lang w:val="pt-BR"/>
              </w:rPr>
            </w:pPr>
          </w:p>
        </w:tc>
        <w:tc>
          <w:tcPr>
            <w:tcW w:w="528" w:type="pct"/>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kern w:val="24"/>
                <w:lang w:val="en-GB" w:eastAsia="en-IE"/>
              </w:rPr>
              <w:t>13.8 pembro + cap</w:t>
            </w:r>
            <w:r>
              <w:rPr>
                <w:rFonts w:ascii="Book Antiqua" w:hAnsi="Book Antiqua" w:cs="Arial"/>
                <w:kern w:val="24"/>
                <w:lang w:val="en-GB" w:eastAsia="zh-CN"/>
              </w:rPr>
              <w:t xml:space="preserve"> </w:t>
            </w:r>
            <w:r>
              <w:rPr>
                <w:rFonts w:ascii="Book Antiqua" w:eastAsia="Times New Roman" w:hAnsi="Book Antiqua" w:cs="Arial"/>
                <w:kern w:val="24"/>
                <w:lang w:val="en-GB" w:eastAsia="en-IE"/>
              </w:rPr>
              <w:t>7.9 pembro + pac</w:t>
            </w:r>
          </w:p>
        </w:tc>
        <w:tc>
          <w:tcPr>
            <w:tcW w:w="394" w:type="pct"/>
          </w:tcPr>
          <w:p w:rsidR="00DD33E9" w:rsidRDefault="00DD33E9">
            <w:pPr>
              <w:spacing w:line="360" w:lineRule="auto"/>
              <w:jc w:val="both"/>
              <w:rPr>
                <w:rFonts w:ascii="Book Antiqua" w:hAnsi="Book Antiqua" w:cs="Arial"/>
                <w:b/>
                <w:bCs/>
                <w:lang w:val="pt-BR"/>
              </w:rPr>
            </w:pPr>
          </w:p>
        </w:tc>
        <w:tc>
          <w:tcPr>
            <w:tcW w:w="1025" w:type="pct"/>
          </w:tcPr>
          <w:p w:rsidR="00DD33E9" w:rsidRDefault="00C061FA">
            <w:pPr>
              <w:spacing w:line="360" w:lineRule="auto"/>
              <w:jc w:val="both"/>
              <w:rPr>
                <w:rFonts w:ascii="Book Antiqua" w:hAnsi="Book Antiqua" w:cs="Arial"/>
                <w:b/>
                <w:bCs/>
                <w:lang w:val="pt-BR"/>
              </w:rPr>
            </w:pPr>
            <w:r>
              <w:rPr>
                <w:rFonts w:ascii="Book Antiqua" w:eastAsia="Times New Roman" w:hAnsi="Book Antiqua" w:cs="Arial"/>
                <w:kern w:val="24"/>
                <w:lang w:val="en-GB" w:eastAsia="en-IE"/>
              </w:rPr>
              <w:t>Page</w:t>
            </w:r>
            <w:r>
              <w:rPr>
                <w:rFonts w:ascii="Book Antiqua" w:eastAsia="Times New Roman" w:hAnsi="Book Antiqua" w:cs="Arial"/>
                <w:kern w:val="24"/>
                <w:lang w:val="pt-BR" w:eastAsia="en-IE"/>
              </w:rPr>
              <w:t xml:space="preserve"> </w:t>
            </w:r>
            <w:r>
              <w:rPr>
                <w:rFonts w:ascii="Book Antiqua" w:eastAsia="Times New Roman" w:hAnsi="Book Antiqua" w:cs="Arial"/>
                <w:i/>
                <w:iCs/>
                <w:kern w:val="24"/>
                <w:lang w:val="pt-BR" w:eastAsia="en-IE"/>
              </w:rPr>
              <w:t>et al</w:t>
            </w:r>
            <w:r>
              <w:rPr>
                <w:rFonts w:ascii="Book Antiqua" w:eastAsia="Times New Roman" w:hAnsi="Book Antiqua" w:cs="Arial"/>
                <w:kern w:val="24"/>
                <w:vertAlign w:val="superscript"/>
                <w:lang w:val="en-GB" w:eastAsia="en-IE"/>
              </w:rPr>
              <w:t>[90]</w:t>
            </w:r>
            <w:r>
              <w:rPr>
                <w:rFonts w:ascii="Book Antiqua" w:eastAsia="Times New Roman" w:hAnsi="Book Antiqua" w:cs="Arial"/>
                <w:kern w:val="24"/>
                <w:lang w:val="pt-BR" w:eastAsia="en-IE"/>
              </w:rPr>
              <w:t>,</w:t>
            </w:r>
            <w:r>
              <w:rPr>
                <w:rFonts w:ascii="Book Antiqua" w:eastAsia="Times New Roman" w:hAnsi="Book Antiqua" w:cs="Arial"/>
                <w:kern w:val="24"/>
                <w:vertAlign w:val="superscript"/>
                <w:lang w:val="en-GB" w:eastAsia="en-IE"/>
              </w:rPr>
              <w:t xml:space="preserve"> </w:t>
            </w:r>
            <w:r>
              <w:rPr>
                <w:rFonts w:ascii="Book Antiqua" w:eastAsia="Times New Roman" w:hAnsi="Book Antiqua" w:cs="Arial"/>
                <w:kern w:val="24"/>
                <w:lang w:val="pt-BR" w:eastAsia="en-IE"/>
              </w:rPr>
              <w:t>2019</w:t>
            </w:r>
          </w:p>
        </w:tc>
      </w:tr>
    </w:tbl>
    <w:p w:rsidR="00DD33E9" w:rsidRDefault="00C061FA">
      <w:pPr>
        <w:spacing w:line="360" w:lineRule="auto"/>
        <w:jc w:val="both"/>
        <w:rPr>
          <w:rFonts w:ascii="Book Antiqua" w:eastAsia="Times New Roman" w:hAnsi="Book Antiqua" w:cs="Arial"/>
          <w:kern w:val="24"/>
          <w:lang w:val="en-GB" w:eastAsia="en-IE"/>
        </w:rPr>
      </w:pPr>
      <w:proofErr w:type="gramStart"/>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One to two lines of prior </w:t>
      </w:r>
      <w:r>
        <w:rPr>
          <w:rFonts w:ascii="Book Antiqua" w:eastAsia="Book Antiqua" w:hAnsi="Book Antiqua" w:cs="Book Antiqua"/>
          <w:color w:val="000000"/>
        </w:rPr>
        <w:t>treatment.</w:t>
      </w:r>
      <w:proofErr w:type="gramEnd"/>
      <w:r>
        <w:rPr>
          <w:rFonts w:ascii="Book Antiqua" w:hAnsi="Book Antiqua"/>
          <w:bCs/>
        </w:rPr>
        <w:t xml:space="preserve"> Pembro: Pembrolizumab; Cap: Capecitabine; Pac: Paclitaxel; </w:t>
      </w:r>
      <w:r>
        <w:rPr>
          <w:rFonts w:ascii="Book Antiqua" w:eastAsia="Times New Roman" w:hAnsi="Book Antiqua" w:cs="Arial"/>
          <w:kern w:val="24"/>
          <w:lang w:val="en-GB" w:eastAsia="en-IE"/>
        </w:rPr>
        <w:t xml:space="preserve">ORR: Overall response rate; </w:t>
      </w:r>
      <w:r>
        <w:rPr>
          <w:rFonts w:ascii="Book Antiqua" w:eastAsia="Book Antiqua" w:hAnsi="Book Antiqua" w:cs="Book Antiqua"/>
          <w:color w:val="000000"/>
        </w:rPr>
        <w:t xml:space="preserve">OS: Overall survival. </w:t>
      </w:r>
    </w:p>
    <w:p w:rsidR="00DD33E9" w:rsidRDefault="00C061FA">
      <w:pPr>
        <w:spacing w:line="360" w:lineRule="auto"/>
        <w:jc w:val="both"/>
        <w:rPr>
          <w:rFonts w:ascii="Book Antiqua" w:hAnsi="Book Antiqua"/>
          <w:b/>
        </w:rPr>
      </w:pPr>
      <w:r>
        <w:rPr>
          <w:rFonts w:ascii="Book Antiqua" w:hAnsi="Book Antiqua" w:cs="Arial"/>
          <w:b/>
          <w:bCs/>
        </w:rPr>
        <w:br w:type="page"/>
      </w:r>
      <w:r>
        <w:rPr>
          <w:rFonts w:ascii="Book Antiqua" w:hAnsi="Book Antiqua"/>
          <w:b/>
          <w:bCs/>
        </w:rPr>
        <w:lastRenderedPageBreak/>
        <w:t>Table 4</w:t>
      </w:r>
      <w:r>
        <w:rPr>
          <w:rFonts w:ascii="Book Antiqua" w:hAnsi="Book Antiqua"/>
          <w:bCs/>
        </w:rPr>
        <w:t xml:space="preserve"> </w:t>
      </w:r>
      <w:r>
        <w:rPr>
          <w:rFonts w:ascii="Book Antiqua" w:hAnsi="Book Antiqua"/>
          <w:b/>
        </w:rPr>
        <w:t>Phase III first line metastatic immunotherapy + chemotherapy</w:t>
      </w:r>
    </w:p>
    <w:tbl>
      <w:tblPr>
        <w:tblStyle w:val="a9"/>
        <w:tblW w:w="9641" w:type="dxa"/>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7"/>
        <w:gridCol w:w="2334"/>
        <w:gridCol w:w="3046"/>
        <w:gridCol w:w="2694"/>
      </w:tblGrid>
      <w:tr w:rsidR="00DD33E9">
        <w:trPr>
          <w:trHeight w:val="975"/>
        </w:trPr>
        <w:tc>
          <w:tcPr>
            <w:tcW w:w="1567" w:type="dxa"/>
            <w:tcBorders>
              <w:top w:val="single" w:sz="4" w:space="0" w:color="auto"/>
              <w:bottom w:val="single" w:sz="4" w:space="0" w:color="auto"/>
            </w:tcBorders>
          </w:tcPr>
          <w:p w:rsidR="00DD33E9" w:rsidRDefault="00DD33E9">
            <w:pPr>
              <w:spacing w:line="360" w:lineRule="auto"/>
              <w:jc w:val="both"/>
              <w:rPr>
                <w:rFonts w:ascii="Book Antiqua" w:hAnsi="Book Antiqua" w:cs="Arial"/>
                <w:b/>
                <w:bCs/>
              </w:rPr>
            </w:pPr>
          </w:p>
        </w:tc>
        <w:tc>
          <w:tcPr>
            <w:tcW w:w="2334" w:type="dxa"/>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hAnsi="Book Antiqua" w:cs="Arial"/>
                <w:b/>
                <w:bCs/>
                <w:kern w:val="24"/>
                <w:lang w:val="en-GB"/>
              </w:rPr>
              <w:t>IMpassion130 (PD-L1 inhibitor)</w:t>
            </w:r>
          </w:p>
        </w:tc>
        <w:tc>
          <w:tcPr>
            <w:tcW w:w="3046" w:type="dxa"/>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hAnsi="Book Antiqua" w:cs="Arial"/>
                <w:b/>
                <w:bCs/>
                <w:kern w:val="24"/>
                <w:lang w:val="en-GB"/>
              </w:rPr>
              <w:t>Keynote-355 (PD1 inhibitor)</w:t>
            </w:r>
          </w:p>
        </w:tc>
        <w:tc>
          <w:tcPr>
            <w:tcW w:w="2694" w:type="dxa"/>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hAnsi="Book Antiqua" w:cs="Arial"/>
                <w:b/>
                <w:bCs/>
                <w:kern w:val="24"/>
                <w:lang w:val="en-GB"/>
              </w:rPr>
              <w:t>IMpassion131 (PD-L1 inhibitor)</w:t>
            </w:r>
          </w:p>
        </w:tc>
      </w:tr>
      <w:tr w:rsidR="00DD33E9">
        <w:trPr>
          <w:trHeight w:val="2392"/>
        </w:trPr>
        <w:tc>
          <w:tcPr>
            <w:tcW w:w="1567" w:type="dxa"/>
            <w:tcBorders>
              <w:top w:val="single" w:sz="4" w:space="0" w:color="auto"/>
            </w:tcBorders>
          </w:tcPr>
          <w:p w:rsidR="00DD33E9" w:rsidRDefault="00C061FA">
            <w:pPr>
              <w:spacing w:line="360" w:lineRule="auto"/>
              <w:jc w:val="both"/>
              <w:rPr>
                <w:rFonts w:ascii="Book Antiqua" w:hAnsi="Book Antiqua" w:cs="Arial"/>
                <w:b/>
                <w:bCs/>
              </w:rPr>
            </w:pPr>
            <w:r>
              <w:rPr>
                <w:rFonts w:ascii="Book Antiqua" w:hAnsi="Book Antiqua" w:cs="Arial"/>
                <w:kern w:val="24"/>
                <w:lang w:val="en-GB"/>
              </w:rPr>
              <w:t>Drugs</w:t>
            </w:r>
          </w:p>
        </w:tc>
        <w:tc>
          <w:tcPr>
            <w:tcW w:w="2334" w:type="dxa"/>
            <w:tcBorders>
              <w:top w:val="single" w:sz="4" w:space="0" w:color="auto"/>
            </w:tcBorders>
          </w:tcPr>
          <w:p w:rsidR="00DD33E9" w:rsidRDefault="00C061FA">
            <w:pPr>
              <w:pStyle w:val="a7"/>
              <w:spacing w:before="0" w:beforeAutospacing="0" w:after="0" w:afterAutospacing="0" w:line="360" w:lineRule="auto"/>
              <w:jc w:val="both"/>
              <w:rPr>
                <w:rFonts w:ascii="Book Antiqua" w:hAnsi="Book Antiqua" w:cs="Arial"/>
              </w:rPr>
            </w:pPr>
            <w:r>
              <w:rPr>
                <w:rFonts w:ascii="Book Antiqua" w:hAnsi="Book Antiqua" w:cs="Arial"/>
                <w:kern w:val="24"/>
                <w:lang w:val="en-GB"/>
              </w:rPr>
              <w:t xml:space="preserve">Atezolizumab/nab-paclitaxel </w:t>
            </w:r>
            <w:r>
              <w:rPr>
                <w:rFonts w:ascii="Book Antiqua" w:hAnsi="Book Antiqua" w:cs="Arial"/>
                <w:i/>
                <w:iCs/>
                <w:kern w:val="24"/>
                <w:lang w:val="en-GB"/>
              </w:rPr>
              <w:t xml:space="preserve">vs </w:t>
            </w:r>
            <w:r>
              <w:rPr>
                <w:rFonts w:ascii="Book Antiqua" w:hAnsi="Book Antiqua" w:cs="Arial"/>
                <w:kern w:val="24"/>
                <w:lang w:val="en-GB"/>
              </w:rPr>
              <w:t>placebo/nab-paclitaxel</w:t>
            </w:r>
          </w:p>
        </w:tc>
        <w:tc>
          <w:tcPr>
            <w:tcW w:w="3046" w:type="dxa"/>
            <w:tcBorders>
              <w:top w:val="single" w:sz="4" w:space="0" w:color="auto"/>
            </w:tcBorders>
          </w:tcPr>
          <w:p w:rsidR="00DD33E9" w:rsidRDefault="00C061FA">
            <w:pPr>
              <w:spacing w:line="360" w:lineRule="auto"/>
              <w:jc w:val="both"/>
              <w:rPr>
                <w:rFonts w:ascii="Book Antiqua" w:hAnsi="Book Antiqua" w:cs="Arial"/>
                <w:b/>
                <w:bCs/>
              </w:rPr>
            </w:pPr>
            <w:r>
              <w:rPr>
                <w:rFonts w:ascii="Book Antiqua" w:hAnsi="Book Antiqua" w:cs="Arial"/>
                <w:kern w:val="24"/>
              </w:rPr>
              <w:t xml:space="preserve">Pembrolizumab + chemotherapy (nab-paclitaxel or paclitaxel or gemcitabine/carboplatin </w:t>
            </w:r>
            <w:r>
              <w:rPr>
                <w:rFonts w:ascii="Book Antiqua" w:hAnsi="Book Antiqua" w:cs="Arial"/>
                <w:i/>
                <w:iCs/>
                <w:kern w:val="24"/>
              </w:rPr>
              <w:t>vs</w:t>
            </w:r>
            <w:r>
              <w:rPr>
                <w:rFonts w:ascii="Book Antiqua" w:hAnsi="Book Antiqua" w:cs="Arial"/>
                <w:kern w:val="24"/>
              </w:rPr>
              <w:t xml:space="preserve"> placebo + chemo</w:t>
            </w:r>
          </w:p>
        </w:tc>
        <w:tc>
          <w:tcPr>
            <w:tcW w:w="2694" w:type="dxa"/>
            <w:tcBorders>
              <w:top w:val="single" w:sz="4" w:space="0" w:color="auto"/>
            </w:tcBorders>
          </w:tcPr>
          <w:p w:rsidR="00DD33E9" w:rsidRDefault="00C061FA">
            <w:pPr>
              <w:spacing w:line="360" w:lineRule="auto"/>
              <w:jc w:val="both"/>
              <w:rPr>
                <w:rFonts w:ascii="Book Antiqua" w:hAnsi="Book Antiqua" w:cs="Arial"/>
                <w:b/>
                <w:bCs/>
                <w:lang w:val="pt-BR"/>
              </w:rPr>
            </w:pPr>
            <w:r>
              <w:rPr>
                <w:rFonts w:ascii="Book Antiqua" w:hAnsi="Book Antiqua" w:cs="Arial"/>
                <w:kern w:val="24"/>
                <w:lang w:val="pt-BR"/>
              </w:rPr>
              <w:t xml:space="preserve">Atezolizumab/paclitaxel </w:t>
            </w:r>
            <w:r>
              <w:rPr>
                <w:rFonts w:ascii="Book Antiqua" w:hAnsi="Book Antiqua" w:cs="Arial"/>
                <w:i/>
                <w:iCs/>
                <w:kern w:val="24"/>
                <w:lang w:val="pt-BR"/>
              </w:rPr>
              <w:t>vs</w:t>
            </w:r>
            <w:r>
              <w:rPr>
                <w:rFonts w:ascii="Book Antiqua" w:hAnsi="Book Antiqua" w:cs="Arial"/>
                <w:kern w:val="24"/>
                <w:lang w:val="pt-BR"/>
              </w:rPr>
              <w:t xml:space="preserve"> placebo/paclitaxel</w:t>
            </w:r>
          </w:p>
        </w:tc>
      </w:tr>
      <w:tr w:rsidR="00DD33E9">
        <w:trPr>
          <w:trHeight w:val="971"/>
        </w:trPr>
        <w:tc>
          <w:tcPr>
            <w:tcW w:w="1567"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ITT (</w:t>
            </w:r>
            <w:r>
              <w:rPr>
                <w:rFonts w:ascii="Book Antiqua" w:hAnsi="Book Antiqua" w:cs="Arial"/>
                <w:i/>
                <w:iCs/>
                <w:kern w:val="24"/>
                <w:lang w:val="en-GB"/>
              </w:rPr>
              <w:t>N</w:t>
            </w:r>
            <w:r>
              <w:rPr>
                <w:rFonts w:ascii="Book Antiqua" w:hAnsi="Book Antiqua" w:cs="Arial"/>
                <w:kern w:val="24"/>
                <w:lang w:val="en-GB"/>
              </w:rPr>
              <w:t>)</w:t>
            </w:r>
          </w:p>
        </w:tc>
        <w:tc>
          <w:tcPr>
            <w:tcW w:w="233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 xml:space="preserve">451 </w:t>
            </w:r>
            <w:r>
              <w:rPr>
                <w:rFonts w:ascii="Book Antiqua" w:hAnsi="Book Antiqua" w:cs="Arial"/>
                <w:i/>
                <w:iCs/>
                <w:kern w:val="24"/>
                <w:lang w:val="en-GB"/>
              </w:rPr>
              <w:t>vs</w:t>
            </w:r>
            <w:r>
              <w:rPr>
                <w:rFonts w:ascii="Book Antiqua" w:hAnsi="Book Antiqua" w:cs="Arial"/>
                <w:kern w:val="24"/>
                <w:lang w:val="en-GB"/>
              </w:rPr>
              <w:t xml:space="preserve"> 451 (1:1 randomisation)</w:t>
            </w:r>
          </w:p>
        </w:tc>
        <w:tc>
          <w:tcPr>
            <w:tcW w:w="3046"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 xml:space="preserve">566 </w:t>
            </w:r>
            <w:r>
              <w:rPr>
                <w:rFonts w:ascii="Book Antiqua" w:hAnsi="Book Antiqua" w:cs="Arial"/>
                <w:i/>
                <w:iCs/>
                <w:kern w:val="24"/>
                <w:lang w:val="en-GB"/>
              </w:rPr>
              <w:t>vs</w:t>
            </w:r>
            <w:r>
              <w:rPr>
                <w:rFonts w:ascii="Book Antiqua" w:hAnsi="Book Antiqua" w:cs="Arial"/>
                <w:kern w:val="24"/>
                <w:lang w:val="en-GB"/>
              </w:rPr>
              <w:t xml:space="preserve"> 281 (2:1 randomisation)</w:t>
            </w:r>
          </w:p>
        </w:tc>
        <w:tc>
          <w:tcPr>
            <w:tcW w:w="269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 xml:space="preserve">430 </w:t>
            </w:r>
            <w:r>
              <w:rPr>
                <w:rFonts w:ascii="Book Antiqua" w:hAnsi="Book Antiqua" w:cs="Arial"/>
                <w:i/>
                <w:iCs/>
                <w:kern w:val="24"/>
                <w:lang w:val="en-GB"/>
              </w:rPr>
              <w:t>vs</w:t>
            </w:r>
            <w:r>
              <w:rPr>
                <w:rFonts w:ascii="Book Antiqua" w:hAnsi="Book Antiqua" w:cs="Arial"/>
                <w:kern w:val="24"/>
                <w:lang w:val="en-GB"/>
              </w:rPr>
              <w:t xml:space="preserve"> 221 (2:1 randomisation)</w:t>
            </w:r>
          </w:p>
        </w:tc>
      </w:tr>
      <w:tr w:rsidR="00DD33E9">
        <w:trPr>
          <w:trHeight w:val="645"/>
        </w:trPr>
        <w:tc>
          <w:tcPr>
            <w:tcW w:w="1567"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Inclusion</w:t>
            </w:r>
          </w:p>
        </w:tc>
        <w:tc>
          <w:tcPr>
            <w:tcW w:w="2334" w:type="dxa"/>
          </w:tcPr>
          <w:p w:rsidR="00DD33E9" w:rsidRDefault="00C061FA">
            <w:pPr>
              <w:spacing w:line="360" w:lineRule="auto"/>
              <w:jc w:val="both"/>
              <w:rPr>
                <w:rFonts w:ascii="Book Antiqua" w:hAnsi="Book Antiqua" w:cs="Arial"/>
                <w:b/>
                <w:bCs/>
              </w:rPr>
            </w:pPr>
            <w:r>
              <w:rPr>
                <w:rFonts w:ascii="Book Antiqua" w:hAnsi="Book Antiqua" w:cs="Arial"/>
                <w:kern w:val="24"/>
              </w:rPr>
              <w:t>≥ 1 yr DFI</w:t>
            </w:r>
          </w:p>
        </w:tc>
        <w:tc>
          <w:tcPr>
            <w:tcW w:w="3046" w:type="dxa"/>
          </w:tcPr>
          <w:p w:rsidR="00DD33E9" w:rsidRDefault="00C061FA">
            <w:pPr>
              <w:spacing w:line="360" w:lineRule="auto"/>
              <w:jc w:val="both"/>
              <w:rPr>
                <w:rFonts w:ascii="Book Antiqua" w:hAnsi="Book Antiqua" w:cs="Arial"/>
                <w:b/>
                <w:bCs/>
              </w:rPr>
            </w:pPr>
            <w:r>
              <w:rPr>
                <w:rFonts w:ascii="Book Antiqua" w:hAnsi="Book Antiqua" w:cs="Arial"/>
                <w:kern w:val="24"/>
              </w:rPr>
              <w:t>≥ 6 mo DFI</w:t>
            </w:r>
          </w:p>
        </w:tc>
        <w:tc>
          <w:tcPr>
            <w:tcW w:w="2694" w:type="dxa"/>
          </w:tcPr>
          <w:p w:rsidR="00DD33E9" w:rsidRDefault="00C061FA">
            <w:pPr>
              <w:spacing w:line="360" w:lineRule="auto"/>
              <w:jc w:val="both"/>
              <w:rPr>
                <w:rFonts w:ascii="Book Antiqua" w:hAnsi="Book Antiqua" w:cs="Arial"/>
                <w:b/>
                <w:bCs/>
              </w:rPr>
            </w:pPr>
            <w:r>
              <w:rPr>
                <w:rFonts w:ascii="Book Antiqua" w:hAnsi="Book Antiqua" w:cs="Arial"/>
                <w:kern w:val="24"/>
              </w:rPr>
              <w:t>≥ 1 yr DFI</w:t>
            </w:r>
          </w:p>
        </w:tc>
      </w:tr>
      <w:tr w:rsidR="00DD33E9">
        <w:tc>
          <w:tcPr>
            <w:tcW w:w="1567" w:type="dxa"/>
            <w:vMerge w:val="restart"/>
          </w:tcPr>
          <w:p w:rsidR="00DD33E9" w:rsidRDefault="00C061FA">
            <w:pPr>
              <w:spacing w:line="360" w:lineRule="auto"/>
              <w:jc w:val="both"/>
              <w:rPr>
                <w:rFonts w:ascii="Book Antiqua" w:hAnsi="Book Antiqua" w:cs="Arial"/>
                <w:b/>
                <w:bCs/>
              </w:rPr>
            </w:pPr>
            <w:r>
              <w:rPr>
                <w:rFonts w:ascii="Book Antiqua" w:hAnsi="Book Antiqua" w:cs="Arial"/>
                <w:kern w:val="24"/>
                <w:lang w:val="en-GB"/>
              </w:rPr>
              <w:t>PD-L1 status</w:t>
            </w:r>
          </w:p>
        </w:tc>
        <w:tc>
          <w:tcPr>
            <w:tcW w:w="2334" w:type="dxa"/>
          </w:tcPr>
          <w:p w:rsidR="00DD33E9" w:rsidRDefault="00C061FA">
            <w:pPr>
              <w:pStyle w:val="a7"/>
              <w:spacing w:before="0" w:beforeAutospacing="0" w:after="0" w:afterAutospacing="0" w:line="360" w:lineRule="auto"/>
              <w:jc w:val="both"/>
              <w:rPr>
                <w:rFonts w:ascii="Book Antiqua" w:hAnsi="Book Antiqua" w:cs="Arial"/>
              </w:rPr>
            </w:pPr>
            <w:r>
              <w:rPr>
                <w:rFonts w:ascii="Book Antiqua" w:hAnsi="Book Antiqua" w:cs="Arial"/>
                <w:kern w:val="24"/>
                <w:lang w:val="en-GB"/>
              </w:rPr>
              <w:t xml:space="preserve">IC [positive (≥ 1%) </w:t>
            </w:r>
            <w:r>
              <w:rPr>
                <w:rFonts w:ascii="Book Antiqua" w:hAnsi="Book Antiqua" w:cs="Arial"/>
                <w:i/>
                <w:iCs/>
                <w:kern w:val="24"/>
                <w:lang w:val="en-GB"/>
              </w:rPr>
              <w:t>vs</w:t>
            </w:r>
            <w:r>
              <w:rPr>
                <w:rFonts w:ascii="Book Antiqua" w:hAnsi="Book Antiqua" w:cs="Arial"/>
                <w:kern w:val="24"/>
                <w:lang w:val="en-GB"/>
              </w:rPr>
              <w:t xml:space="preserve"> negative (&lt; 1%)]</w:t>
            </w:r>
          </w:p>
        </w:tc>
        <w:tc>
          <w:tcPr>
            <w:tcW w:w="3046" w:type="dxa"/>
          </w:tcPr>
          <w:p w:rsidR="00DD33E9" w:rsidRDefault="00C061FA">
            <w:pPr>
              <w:pStyle w:val="a7"/>
              <w:spacing w:before="0" w:beforeAutospacing="0" w:after="0" w:afterAutospacing="0" w:line="360" w:lineRule="auto"/>
              <w:jc w:val="both"/>
              <w:rPr>
                <w:rFonts w:ascii="Book Antiqua" w:hAnsi="Book Antiqua" w:cs="Arial"/>
              </w:rPr>
            </w:pPr>
            <w:r>
              <w:rPr>
                <w:rFonts w:ascii="Book Antiqua" w:hAnsi="Book Antiqua" w:cs="Arial"/>
                <w:kern w:val="24"/>
                <w:lang w:val="en-GB"/>
              </w:rPr>
              <w:t xml:space="preserve">CPS [positive (≥ 1%) </w:t>
            </w:r>
            <w:r>
              <w:rPr>
                <w:rFonts w:ascii="Book Antiqua" w:hAnsi="Book Antiqua" w:cs="Arial"/>
                <w:i/>
                <w:iCs/>
                <w:kern w:val="24"/>
                <w:lang w:val="en-GB"/>
              </w:rPr>
              <w:t>vs</w:t>
            </w:r>
            <w:r>
              <w:rPr>
                <w:rFonts w:ascii="Book Antiqua" w:hAnsi="Book Antiqua" w:cs="Arial"/>
                <w:kern w:val="24"/>
                <w:lang w:val="en-GB"/>
              </w:rPr>
              <w:t xml:space="preserve"> negative (&lt; 1%)] </w:t>
            </w:r>
          </w:p>
        </w:tc>
        <w:tc>
          <w:tcPr>
            <w:tcW w:w="2694" w:type="dxa"/>
          </w:tcPr>
          <w:p w:rsidR="00DD33E9" w:rsidRDefault="00C061FA">
            <w:pPr>
              <w:pStyle w:val="a7"/>
              <w:spacing w:before="0" w:beforeAutospacing="0" w:after="0" w:afterAutospacing="0" w:line="360" w:lineRule="auto"/>
              <w:jc w:val="both"/>
              <w:rPr>
                <w:rFonts w:ascii="Book Antiqua" w:hAnsi="Book Antiqua" w:cs="Arial"/>
              </w:rPr>
            </w:pPr>
            <w:r>
              <w:rPr>
                <w:rFonts w:ascii="Book Antiqua" w:hAnsi="Book Antiqua" w:cs="Arial"/>
                <w:kern w:val="24"/>
                <w:lang w:val="en-GB"/>
              </w:rPr>
              <w:t>IC [positive (≥ 1%</w:t>
            </w:r>
            <w:r>
              <w:rPr>
                <w:rFonts w:ascii="Book Antiqua" w:eastAsia="宋体" w:hAnsi="Book Antiqua" w:cs="宋体"/>
                <w:kern w:val="24"/>
                <w:lang w:val="en-GB" w:eastAsia="zh-CN"/>
              </w:rPr>
              <w:t>)</w:t>
            </w:r>
            <w:r>
              <w:rPr>
                <w:rFonts w:ascii="Book Antiqua" w:hAnsi="Book Antiqua" w:cs="Arial"/>
                <w:kern w:val="24"/>
                <w:lang w:val="en-GB"/>
              </w:rPr>
              <w:t xml:space="preserve"> </w:t>
            </w:r>
            <w:r>
              <w:rPr>
                <w:rFonts w:ascii="Book Antiqua" w:hAnsi="Book Antiqua" w:cs="Arial"/>
                <w:i/>
                <w:iCs/>
                <w:kern w:val="24"/>
                <w:lang w:val="en-GB"/>
              </w:rPr>
              <w:t>vs</w:t>
            </w:r>
            <w:r>
              <w:rPr>
                <w:rFonts w:ascii="Book Antiqua" w:hAnsi="Book Antiqua" w:cs="Arial"/>
                <w:kern w:val="24"/>
                <w:lang w:val="en-GB"/>
              </w:rPr>
              <w:t xml:space="preserve"> negative (&lt; 1%)]</w:t>
            </w:r>
          </w:p>
        </w:tc>
      </w:tr>
      <w:tr w:rsidR="00DD33E9">
        <w:trPr>
          <w:trHeight w:val="1181"/>
        </w:trPr>
        <w:tc>
          <w:tcPr>
            <w:tcW w:w="1567" w:type="dxa"/>
            <w:vMerge/>
          </w:tcPr>
          <w:p w:rsidR="00DD33E9" w:rsidRDefault="00DD33E9">
            <w:pPr>
              <w:spacing w:line="360" w:lineRule="auto"/>
              <w:jc w:val="both"/>
              <w:rPr>
                <w:rFonts w:ascii="Book Antiqua" w:hAnsi="Book Antiqua" w:cs="Arial"/>
                <w:kern w:val="24"/>
                <w:lang w:val="en-GB"/>
              </w:rPr>
            </w:pPr>
          </w:p>
        </w:tc>
        <w:tc>
          <w:tcPr>
            <w:tcW w:w="2334" w:type="dxa"/>
          </w:tcPr>
          <w:p w:rsidR="00DD33E9" w:rsidRDefault="00C061FA">
            <w:pPr>
              <w:pStyle w:val="a7"/>
              <w:spacing w:before="0" w:beforeAutospacing="0" w:after="0" w:afterAutospacing="0" w:line="360" w:lineRule="auto"/>
              <w:jc w:val="both"/>
              <w:rPr>
                <w:rFonts w:ascii="Book Antiqua" w:hAnsi="Book Antiqua" w:cs="Arial"/>
                <w:kern w:val="24"/>
                <w:lang w:val="en-GB"/>
              </w:rPr>
            </w:pPr>
            <w:r>
              <w:rPr>
                <w:rFonts w:ascii="Book Antiqua" w:hAnsi="Book Antiqua" w:cs="Arial"/>
                <w:kern w:val="24"/>
                <w:lang w:val="en-GB"/>
              </w:rPr>
              <w:t>SP142 antibody ventana platform</w:t>
            </w:r>
          </w:p>
        </w:tc>
        <w:tc>
          <w:tcPr>
            <w:tcW w:w="3046" w:type="dxa"/>
          </w:tcPr>
          <w:p w:rsidR="00DD33E9" w:rsidRDefault="00C061FA">
            <w:pPr>
              <w:pStyle w:val="a7"/>
              <w:spacing w:before="0" w:beforeAutospacing="0" w:after="0" w:afterAutospacing="0" w:line="360" w:lineRule="auto"/>
              <w:jc w:val="both"/>
              <w:rPr>
                <w:rFonts w:ascii="Book Antiqua" w:hAnsi="Book Antiqua" w:cs="Arial"/>
                <w:kern w:val="24"/>
                <w:lang w:val="en-GB"/>
              </w:rPr>
            </w:pPr>
            <w:r>
              <w:rPr>
                <w:rFonts w:ascii="Book Antiqua" w:hAnsi="Book Antiqua" w:cs="Arial"/>
                <w:kern w:val="24"/>
                <w:lang w:val="en-GB"/>
              </w:rPr>
              <w:t>PD-L1 IHC 22C3 pharmDx kit</w:t>
            </w:r>
          </w:p>
        </w:tc>
        <w:tc>
          <w:tcPr>
            <w:tcW w:w="2694" w:type="dxa"/>
          </w:tcPr>
          <w:p w:rsidR="00DD33E9" w:rsidRDefault="00C061FA">
            <w:pPr>
              <w:pStyle w:val="a7"/>
              <w:spacing w:before="0" w:beforeAutospacing="0" w:after="0" w:afterAutospacing="0" w:line="360" w:lineRule="auto"/>
              <w:jc w:val="both"/>
              <w:rPr>
                <w:rFonts w:ascii="Book Antiqua" w:hAnsi="Book Antiqua" w:cs="Arial"/>
                <w:kern w:val="24"/>
                <w:lang w:val="en-GB"/>
              </w:rPr>
            </w:pPr>
            <w:r>
              <w:rPr>
                <w:rFonts w:ascii="Book Antiqua" w:hAnsi="Book Antiqua" w:cs="Arial"/>
                <w:kern w:val="24"/>
                <w:lang w:val="en-GB"/>
              </w:rPr>
              <w:t>SP142 antibody ventana platform</w:t>
            </w:r>
          </w:p>
        </w:tc>
      </w:tr>
      <w:tr w:rsidR="00DD33E9">
        <w:trPr>
          <w:trHeight w:val="1546"/>
        </w:trPr>
        <w:tc>
          <w:tcPr>
            <w:tcW w:w="1567"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Primary endpoints</w:t>
            </w:r>
          </w:p>
        </w:tc>
        <w:tc>
          <w:tcPr>
            <w:tcW w:w="233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PFS and OS in ITT population</w:t>
            </w:r>
          </w:p>
        </w:tc>
        <w:tc>
          <w:tcPr>
            <w:tcW w:w="3046"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PFS and OS by PD-L1 status (CPS ≥ 10 and ≥ 1) in ITT</w:t>
            </w:r>
          </w:p>
        </w:tc>
        <w:tc>
          <w:tcPr>
            <w:tcW w:w="269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PFS and OS in PD-L1 positive cohort</w:t>
            </w:r>
          </w:p>
        </w:tc>
      </w:tr>
      <w:tr w:rsidR="00DD33E9">
        <w:trPr>
          <w:trHeight w:val="1136"/>
        </w:trPr>
        <w:tc>
          <w:tcPr>
            <w:tcW w:w="1567"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 xml:space="preserve">Median </w:t>
            </w:r>
            <w:r>
              <w:rPr>
                <w:rFonts w:ascii="Book Antiqua" w:hAnsi="Book Antiqua" w:cs="Arial"/>
                <w:kern w:val="24"/>
                <w:lang w:val="en-GB"/>
              </w:rPr>
              <w:t>FU</w:t>
            </w:r>
          </w:p>
        </w:tc>
        <w:tc>
          <w:tcPr>
            <w:tcW w:w="233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18.0 mo (ASCO 2019)</w:t>
            </w:r>
          </w:p>
        </w:tc>
        <w:tc>
          <w:tcPr>
            <w:tcW w:w="3046"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25.9 mo and 26.3 mo (ASCO 2020)</w:t>
            </w:r>
          </w:p>
        </w:tc>
        <w:tc>
          <w:tcPr>
            <w:tcW w:w="269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8.6 and 9 mo (ESMO 2020)</w:t>
            </w:r>
          </w:p>
        </w:tc>
      </w:tr>
      <w:tr w:rsidR="00DD33E9">
        <w:trPr>
          <w:trHeight w:val="1010"/>
        </w:trPr>
        <w:tc>
          <w:tcPr>
            <w:tcW w:w="1567"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PFS in PD-L1 +</w:t>
            </w:r>
          </w:p>
        </w:tc>
        <w:tc>
          <w:tcPr>
            <w:tcW w:w="233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7.5 mo</w:t>
            </w:r>
            <w:r>
              <w:rPr>
                <w:rFonts w:ascii="Book Antiqua" w:hAnsi="Book Antiqua" w:cs="Arial"/>
                <w:i/>
                <w:iCs/>
                <w:kern w:val="24"/>
                <w:lang w:val="en-GB"/>
              </w:rPr>
              <w:t xml:space="preserve"> vs</w:t>
            </w:r>
            <w:r>
              <w:rPr>
                <w:rFonts w:ascii="Book Antiqua" w:hAnsi="Book Antiqua" w:cs="Arial"/>
                <w:kern w:val="24"/>
                <w:lang w:val="en-GB"/>
              </w:rPr>
              <w:t xml:space="preserve"> 5 mo</w:t>
            </w:r>
          </w:p>
        </w:tc>
        <w:tc>
          <w:tcPr>
            <w:tcW w:w="3046"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 xml:space="preserve">9.6 mo </w:t>
            </w:r>
            <w:r>
              <w:rPr>
                <w:rFonts w:ascii="Book Antiqua" w:hAnsi="Book Antiqua" w:cs="Arial"/>
                <w:i/>
                <w:iCs/>
                <w:kern w:val="24"/>
                <w:lang w:val="en-GB"/>
              </w:rPr>
              <w:t>vs</w:t>
            </w:r>
            <w:r>
              <w:rPr>
                <w:rFonts w:ascii="Book Antiqua" w:hAnsi="Book Antiqua" w:cs="Arial"/>
                <w:kern w:val="24"/>
                <w:lang w:val="en-GB"/>
              </w:rPr>
              <w:t xml:space="preserve"> 5.6 mo</w:t>
            </w:r>
          </w:p>
        </w:tc>
        <w:tc>
          <w:tcPr>
            <w:tcW w:w="269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5.7 mo</w:t>
            </w:r>
            <w:r>
              <w:rPr>
                <w:rFonts w:ascii="Book Antiqua" w:hAnsi="Book Antiqua" w:cs="Arial"/>
                <w:i/>
                <w:iCs/>
                <w:kern w:val="24"/>
                <w:lang w:val="en-GB"/>
              </w:rPr>
              <w:t xml:space="preserve"> vs</w:t>
            </w:r>
            <w:r>
              <w:rPr>
                <w:rFonts w:ascii="Book Antiqua" w:hAnsi="Book Antiqua" w:cs="Arial"/>
                <w:kern w:val="24"/>
                <w:lang w:val="en-GB"/>
              </w:rPr>
              <w:t xml:space="preserve"> 5.6 mo</w:t>
            </w:r>
          </w:p>
        </w:tc>
      </w:tr>
      <w:tr w:rsidR="00DD33E9">
        <w:tc>
          <w:tcPr>
            <w:tcW w:w="1567"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OS in PD-L1 +</w:t>
            </w:r>
          </w:p>
        </w:tc>
        <w:tc>
          <w:tcPr>
            <w:tcW w:w="233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25.4 mo</w:t>
            </w:r>
            <w:r>
              <w:rPr>
                <w:rFonts w:ascii="Book Antiqua" w:hAnsi="Book Antiqua" w:cs="Arial"/>
                <w:i/>
                <w:iCs/>
                <w:kern w:val="24"/>
                <w:lang w:val="en-GB"/>
              </w:rPr>
              <w:t xml:space="preserve"> vs</w:t>
            </w:r>
            <w:r>
              <w:rPr>
                <w:rFonts w:ascii="Book Antiqua" w:hAnsi="Book Antiqua" w:cs="Arial"/>
                <w:kern w:val="24"/>
                <w:lang w:val="en-GB"/>
              </w:rPr>
              <w:t xml:space="preserve"> 17.9 mo</w:t>
            </w:r>
          </w:p>
        </w:tc>
        <w:tc>
          <w:tcPr>
            <w:tcW w:w="3046"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Awaited</w:t>
            </w:r>
          </w:p>
        </w:tc>
        <w:tc>
          <w:tcPr>
            <w:tcW w:w="2694" w:type="dxa"/>
          </w:tcPr>
          <w:p w:rsidR="00DD33E9" w:rsidRDefault="00C061FA">
            <w:pPr>
              <w:spacing w:line="360" w:lineRule="auto"/>
              <w:jc w:val="both"/>
              <w:rPr>
                <w:rFonts w:ascii="Book Antiqua" w:hAnsi="Book Antiqua" w:cs="Arial"/>
                <w:b/>
                <w:bCs/>
              </w:rPr>
            </w:pPr>
            <w:r>
              <w:rPr>
                <w:rFonts w:ascii="Book Antiqua" w:hAnsi="Book Antiqua" w:cs="Arial"/>
                <w:kern w:val="24"/>
                <w:lang w:val="en-GB"/>
              </w:rPr>
              <w:t xml:space="preserve">22.1 mo </w:t>
            </w:r>
            <w:r>
              <w:rPr>
                <w:rFonts w:ascii="Book Antiqua" w:hAnsi="Book Antiqua" w:cs="Arial"/>
                <w:i/>
                <w:iCs/>
                <w:kern w:val="24"/>
                <w:lang w:val="en-GB"/>
              </w:rPr>
              <w:t>vs</w:t>
            </w:r>
            <w:r>
              <w:rPr>
                <w:rFonts w:ascii="Book Antiqua" w:hAnsi="Book Antiqua" w:cs="Arial"/>
                <w:kern w:val="24"/>
                <w:lang w:val="en-GB"/>
              </w:rPr>
              <w:t xml:space="preserve"> 28.3 mo</w:t>
            </w:r>
          </w:p>
        </w:tc>
      </w:tr>
    </w:tbl>
    <w:p w:rsidR="00DD33E9" w:rsidRDefault="00C061FA">
      <w:pPr>
        <w:spacing w:line="360" w:lineRule="auto"/>
        <w:jc w:val="both"/>
        <w:rPr>
          <w:rFonts w:ascii="Book Antiqua" w:hAnsi="Book Antiqua" w:cs="Arial"/>
          <w:kern w:val="24"/>
          <w:lang w:val="en-GB"/>
        </w:rPr>
      </w:pPr>
      <w:r>
        <w:rPr>
          <w:rFonts w:ascii="Book Antiqua" w:hAnsi="Book Antiqua" w:cs="Arial"/>
          <w:kern w:val="24"/>
          <w:lang w:val="en-GB"/>
        </w:rPr>
        <w:t xml:space="preserve">PD-1: Programmed death 1; PD-L1: Programmed death-ligand 1; ITT: </w:t>
      </w:r>
      <w:r>
        <w:rPr>
          <w:rFonts w:ascii="Book Antiqua" w:eastAsia="Book Antiqua" w:hAnsi="Book Antiqua" w:cs="Book Antiqua"/>
          <w:color w:val="000000"/>
          <w:lang w:val="en-GB"/>
        </w:rPr>
        <w:t>I</w:t>
      </w:r>
      <w:r>
        <w:rPr>
          <w:rFonts w:ascii="Book Antiqua" w:eastAsia="Book Antiqua" w:hAnsi="Book Antiqua" w:cs="Book Antiqua"/>
          <w:color w:val="000000"/>
        </w:rPr>
        <w:t>ntention-to-treat</w:t>
      </w:r>
      <w:r>
        <w:rPr>
          <w:rFonts w:ascii="Book Antiqua" w:hAnsi="Book Antiqua" w:cs="Arial"/>
          <w:kern w:val="24"/>
          <w:lang w:val="en-GB"/>
        </w:rPr>
        <w:t xml:space="preserve">; </w:t>
      </w:r>
      <w:bookmarkStart w:id="5" w:name="OLE_LINK129"/>
      <w:bookmarkStart w:id="6" w:name="OLE_LINK130"/>
      <w:r>
        <w:rPr>
          <w:rFonts w:ascii="Book Antiqua" w:hAnsi="Book Antiqua" w:cs="Arial"/>
          <w:kern w:val="24"/>
          <w:lang w:val="en-GB"/>
        </w:rPr>
        <w:t>DFI</w:t>
      </w:r>
      <w:bookmarkEnd w:id="5"/>
      <w:bookmarkEnd w:id="6"/>
      <w:r>
        <w:rPr>
          <w:rFonts w:ascii="Book Antiqua" w:hAnsi="Book Antiqua" w:cs="Arial"/>
          <w:kern w:val="24"/>
          <w:lang w:val="en-GB"/>
        </w:rPr>
        <w:t>: Disease Free Interval; IHC: Immunohistochemistry; OS: Over</w:t>
      </w:r>
      <w:r>
        <w:rPr>
          <w:rFonts w:ascii="Book Antiqua" w:eastAsia="Book Antiqua" w:hAnsi="Book Antiqua" w:cs="Book Antiqua"/>
          <w:color w:val="000000"/>
        </w:rPr>
        <w:t>all survival</w:t>
      </w:r>
      <w:r>
        <w:rPr>
          <w:rFonts w:ascii="Book Antiqua" w:hAnsi="Book Antiqua" w:cs="Arial"/>
          <w:kern w:val="24"/>
          <w:lang w:val="en-GB"/>
        </w:rPr>
        <w:t xml:space="preserve">; ASCO: </w:t>
      </w:r>
      <w:r>
        <w:rPr>
          <w:rFonts w:ascii="Book Antiqua" w:eastAsia="Book Antiqua" w:hAnsi="Book Antiqua" w:cs="Book Antiqua"/>
          <w:color w:val="000000"/>
        </w:rPr>
        <w:lastRenderedPageBreak/>
        <w:t>American Society of Clinical Oncology</w:t>
      </w:r>
      <w:r>
        <w:rPr>
          <w:rFonts w:ascii="Book Antiqua" w:hAnsi="Book Antiqua" w:cs="Arial"/>
          <w:kern w:val="24"/>
          <w:lang w:val="en-GB"/>
        </w:rPr>
        <w:t xml:space="preserve">; ESMO: </w:t>
      </w:r>
      <w:r>
        <w:rPr>
          <w:rFonts w:ascii="Book Antiqua" w:eastAsia="Book Antiqua" w:hAnsi="Book Antiqua" w:cs="Book Antiqua"/>
          <w:color w:val="000000"/>
        </w:rPr>
        <w:t>European Society of Medical Oncology</w:t>
      </w:r>
      <w:r>
        <w:rPr>
          <w:rFonts w:ascii="Book Antiqua" w:hAnsi="Book Antiqua" w:cs="Arial"/>
          <w:kern w:val="24"/>
          <w:lang w:val="en-GB"/>
        </w:rPr>
        <w:t xml:space="preserve">; PFS: </w:t>
      </w:r>
      <w:r>
        <w:rPr>
          <w:rFonts w:ascii="Book Antiqua" w:eastAsia="Book Antiqua" w:hAnsi="Book Antiqua" w:cs="Book Antiqua"/>
          <w:color w:val="000000"/>
        </w:rPr>
        <w:t>Progression free survival</w:t>
      </w:r>
      <w:r>
        <w:rPr>
          <w:rFonts w:ascii="Book Antiqua" w:hAnsi="Book Antiqua" w:cs="Arial"/>
          <w:kern w:val="24"/>
          <w:lang w:val="en-GB"/>
        </w:rPr>
        <w:t xml:space="preserve">; CPS: </w:t>
      </w:r>
      <w:r>
        <w:rPr>
          <w:rFonts w:ascii="Book Antiqua" w:eastAsia="Book Antiqua" w:hAnsi="Book Antiqua" w:cs="Book Antiqua"/>
          <w:color w:val="000000"/>
        </w:rPr>
        <w:t>Combined positive score.</w:t>
      </w:r>
    </w:p>
    <w:p w:rsidR="00DD33E9" w:rsidRDefault="00C061FA">
      <w:pPr>
        <w:spacing w:line="360" w:lineRule="auto"/>
        <w:jc w:val="both"/>
        <w:rPr>
          <w:rFonts w:ascii="Book Antiqua" w:hAnsi="Book Antiqua" w:cs="Arial"/>
          <w:kern w:val="24"/>
          <w:lang w:val="en-GB"/>
        </w:rPr>
      </w:pPr>
      <w:r>
        <w:rPr>
          <w:rFonts w:ascii="Book Antiqua" w:hAnsi="Book Antiqua" w:cs="Arial"/>
          <w:b/>
          <w:bCs/>
        </w:rPr>
        <w:br w:type="page"/>
      </w:r>
      <w:r>
        <w:rPr>
          <w:rFonts w:ascii="Book Antiqua" w:hAnsi="Book Antiqua"/>
          <w:b/>
          <w:bCs/>
        </w:rPr>
        <w:lastRenderedPageBreak/>
        <w:t>Table 5</w:t>
      </w:r>
      <w:r>
        <w:rPr>
          <w:rFonts w:ascii="Book Antiqua" w:hAnsi="Book Antiqua"/>
          <w:bCs/>
        </w:rPr>
        <w:t xml:space="preserve"> </w:t>
      </w:r>
      <w:r>
        <w:rPr>
          <w:rFonts w:ascii="Book Antiqua" w:hAnsi="Book Antiqua"/>
          <w:b/>
        </w:rPr>
        <w:t xml:space="preserve">Pivotal Phase III studies of </w:t>
      </w:r>
      <w:r>
        <w:rPr>
          <w:rFonts w:ascii="Book Antiqua" w:eastAsia="Book Antiqua" w:hAnsi="Book Antiqua" w:cs="Book Antiqua"/>
          <w:b/>
          <w:bCs/>
          <w:color w:val="000000"/>
        </w:rPr>
        <w:t>poly adenosine diphosphate ribose polymerase</w:t>
      </w:r>
      <w:r>
        <w:rPr>
          <w:rFonts w:ascii="Book Antiqua" w:hAnsi="Book Antiqua"/>
          <w:b/>
          <w:bCs/>
        </w:rPr>
        <w:t xml:space="preserve"> </w:t>
      </w:r>
      <w:r>
        <w:rPr>
          <w:rFonts w:ascii="Book Antiqua" w:hAnsi="Book Antiqua"/>
          <w:b/>
        </w:rPr>
        <w:t xml:space="preserve">inhibitors in patients with germline </w:t>
      </w:r>
      <w:r>
        <w:rPr>
          <w:rFonts w:ascii="Book Antiqua" w:hAnsi="Book Antiqua"/>
          <w:b/>
          <w:i/>
        </w:rPr>
        <w:t>BRCA1/BRCA2</w:t>
      </w:r>
      <w:r>
        <w:rPr>
          <w:rFonts w:ascii="Book Antiqua" w:hAnsi="Book Antiqua"/>
          <w:b/>
        </w:rPr>
        <w:t xml:space="preserve"> mutations</w:t>
      </w:r>
    </w:p>
    <w:tbl>
      <w:tblPr>
        <w:tblStyle w:val="a9"/>
        <w:tblW w:w="542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704"/>
        <w:gridCol w:w="1486"/>
        <w:gridCol w:w="1257"/>
        <w:gridCol w:w="1257"/>
        <w:gridCol w:w="1257"/>
        <w:gridCol w:w="1258"/>
        <w:gridCol w:w="1638"/>
      </w:tblGrid>
      <w:tr w:rsidR="00DD33E9">
        <w:tc>
          <w:tcPr>
            <w:tcW w:w="666"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Trial</w:t>
            </w:r>
          </w:p>
        </w:tc>
        <w:tc>
          <w:tcPr>
            <w:tcW w:w="351"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i/>
                <w:iCs/>
                <w:kern w:val="24"/>
                <w:lang w:val="en-GB" w:eastAsia="en-IE"/>
              </w:rPr>
              <w:t>n</w:t>
            </w:r>
          </w:p>
        </w:tc>
        <w:tc>
          <w:tcPr>
            <w:tcW w:w="715"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Drug</w:t>
            </w:r>
          </w:p>
        </w:tc>
        <w:tc>
          <w:tcPr>
            <w:tcW w:w="617"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Median PFS (mo)</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1</w:t>
            </w:r>
            <w:r>
              <w:rPr>
                <w:rFonts w:ascii="Book Antiqua" w:eastAsia="Times New Roman" w:hAnsi="Book Antiqua" w:cs="Arial"/>
                <w:b/>
                <w:bCs/>
                <w:kern w:val="24"/>
                <w:position w:val="7"/>
                <w:vertAlign w:val="superscript"/>
                <w:lang w:val="en-GB" w:eastAsia="en-IE"/>
              </w:rPr>
              <w:t>st</w:t>
            </w:r>
            <w:r>
              <w:rPr>
                <w:rFonts w:ascii="Book Antiqua" w:eastAsia="Times New Roman" w:hAnsi="Book Antiqua" w:cs="Arial"/>
                <w:b/>
                <w:bCs/>
                <w:kern w:val="24"/>
                <w:lang w:val="en-GB" w:eastAsia="en-IE"/>
              </w:rPr>
              <w:t xml:space="preserve"> line</w:t>
            </w:r>
          </w:p>
        </w:tc>
        <w:tc>
          <w:tcPr>
            <w:tcW w:w="617"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Media PFS (mo)</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 xml:space="preserve">≥ 1 </w:t>
            </w:r>
            <w:r>
              <w:rPr>
                <w:rFonts w:ascii="Book Antiqua" w:eastAsia="Times New Roman" w:hAnsi="Book Antiqua" w:cs="Arial"/>
                <w:b/>
                <w:bCs/>
                <w:kern w:val="24"/>
                <w:lang w:val="en-GB" w:eastAsia="en-IE"/>
              </w:rPr>
              <w:t>line</w:t>
            </w:r>
          </w:p>
        </w:tc>
        <w:tc>
          <w:tcPr>
            <w:tcW w:w="617"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Media OS (mo)</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1</w:t>
            </w:r>
            <w:r>
              <w:rPr>
                <w:rFonts w:ascii="Book Antiqua" w:eastAsia="Times New Roman" w:hAnsi="Book Antiqua" w:cs="Arial"/>
                <w:b/>
                <w:bCs/>
                <w:kern w:val="24"/>
                <w:position w:val="7"/>
                <w:vertAlign w:val="superscript"/>
                <w:lang w:val="en-GB" w:eastAsia="en-IE"/>
              </w:rPr>
              <w:t>st</w:t>
            </w:r>
            <w:r>
              <w:rPr>
                <w:rFonts w:ascii="Book Antiqua" w:eastAsia="Times New Roman" w:hAnsi="Book Antiqua" w:cs="Arial"/>
                <w:b/>
                <w:bCs/>
                <w:kern w:val="24"/>
                <w:lang w:val="en-GB" w:eastAsia="en-IE"/>
              </w:rPr>
              <w:t xml:space="preserve"> line</w:t>
            </w:r>
          </w:p>
        </w:tc>
        <w:tc>
          <w:tcPr>
            <w:tcW w:w="617"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val="pt-BR" w:eastAsia="en-IE"/>
              </w:rPr>
            </w:pPr>
            <w:r>
              <w:rPr>
                <w:rFonts w:ascii="Book Antiqua" w:eastAsia="Times New Roman" w:hAnsi="Book Antiqua" w:cs="Arial"/>
                <w:b/>
                <w:bCs/>
                <w:kern w:val="24"/>
                <w:lang w:val="pt-BR" w:eastAsia="en-IE"/>
              </w:rPr>
              <w:t>Media OS (mo)</w:t>
            </w:r>
            <w:r>
              <w:rPr>
                <w:rFonts w:ascii="Book Antiqua" w:hAnsi="Book Antiqua" w:cs="Arial"/>
                <w:b/>
                <w:bCs/>
                <w:kern w:val="24"/>
                <w:lang w:val="pt-BR" w:eastAsia="zh-CN"/>
              </w:rPr>
              <w:t xml:space="preserve"> </w:t>
            </w:r>
            <w:r>
              <w:rPr>
                <w:rFonts w:ascii="Book Antiqua" w:eastAsia="Times New Roman" w:hAnsi="Book Antiqua" w:cs="Arial"/>
                <w:b/>
                <w:bCs/>
                <w:kern w:val="24"/>
                <w:lang w:val="pt-BR" w:eastAsia="en-IE"/>
              </w:rPr>
              <w:t>≥ 1 line</w:t>
            </w:r>
          </w:p>
        </w:tc>
        <w:tc>
          <w:tcPr>
            <w:tcW w:w="800"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Ref.</w:t>
            </w:r>
          </w:p>
        </w:tc>
      </w:tr>
      <w:tr w:rsidR="00DD33E9">
        <w:tc>
          <w:tcPr>
            <w:tcW w:w="666"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eastAsia="en-IE"/>
              </w:rPr>
              <w:t>OLYMPIAD</w:t>
            </w:r>
          </w:p>
        </w:tc>
        <w:tc>
          <w:tcPr>
            <w:tcW w:w="351"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296</w:t>
            </w:r>
          </w:p>
        </w:tc>
        <w:tc>
          <w:tcPr>
            <w:tcW w:w="715"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Olaparib</w:t>
            </w:r>
          </w:p>
        </w:tc>
        <w:tc>
          <w:tcPr>
            <w:tcW w:w="617" w:type="pct"/>
            <w:tcBorders>
              <w:top w:val="single" w:sz="4" w:space="0" w:color="auto"/>
            </w:tcBorders>
          </w:tcPr>
          <w:p w:rsidR="00DD33E9" w:rsidRDefault="00DD33E9">
            <w:pPr>
              <w:spacing w:line="360" w:lineRule="auto"/>
              <w:jc w:val="both"/>
              <w:rPr>
                <w:rFonts w:ascii="Book Antiqua" w:hAnsi="Book Antiqua" w:cs="Arial"/>
                <w:b/>
                <w:bCs/>
              </w:rPr>
            </w:pPr>
          </w:p>
        </w:tc>
        <w:tc>
          <w:tcPr>
            <w:tcW w:w="617"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7.3</w:t>
            </w:r>
          </w:p>
        </w:tc>
        <w:tc>
          <w:tcPr>
            <w:tcW w:w="617" w:type="pct"/>
            <w:tcBorders>
              <w:top w:val="single" w:sz="4" w:space="0" w:color="auto"/>
            </w:tcBorders>
          </w:tcPr>
          <w:p w:rsidR="00DD33E9" w:rsidRDefault="00DD33E9">
            <w:pPr>
              <w:spacing w:line="360" w:lineRule="auto"/>
              <w:jc w:val="both"/>
              <w:rPr>
                <w:rFonts w:ascii="Book Antiqua" w:hAnsi="Book Antiqua" w:cs="Arial"/>
                <w:b/>
                <w:bCs/>
              </w:rPr>
            </w:pPr>
          </w:p>
        </w:tc>
        <w:tc>
          <w:tcPr>
            <w:tcW w:w="617"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19.3</w:t>
            </w:r>
          </w:p>
        </w:tc>
        <w:tc>
          <w:tcPr>
            <w:tcW w:w="800"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 xml:space="preserve">Robson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[67]</w:t>
            </w:r>
            <w:r>
              <w:rPr>
                <w:rFonts w:ascii="Book Antiqua" w:eastAsia="Times New Roman" w:hAnsi="Book Antiqua" w:cs="Arial"/>
                <w:kern w:val="24"/>
                <w:lang w:val="en-GB" w:eastAsia="en-IE"/>
              </w:rPr>
              <w:t>, 2017</w:t>
            </w:r>
          </w:p>
        </w:tc>
      </w:tr>
      <w:tr w:rsidR="00DD33E9">
        <w:tc>
          <w:tcPr>
            <w:tcW w:w="666"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EMBRCA</w:t>
            </w:r>
          </w:p>
        </w:tc>
        <w:tc>
          <w:tcPr>
            <w:tcW w:w="351"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431</w:t>
            </w:r>
          </w:p>
        </w:tc>
        <w:tc>
          <w:tcPr>
            <w:tcW w:w="715"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Talazoparib</w:t>
            </w:r>
          </w:p>
        </w:tc>
        <w:tc>
          <w:tcPr>
            <w:tcW w:w="617" w:type="pct"/>
          </w:tcPr>
          <w:p w:rsidR="00DD33E9" w:rsidRDefault="00DD33E9">
            <w:pPr>
              <w:spacing w:line="360" w:lineRule="auto"/>
              <w:jc w:val="both"/>
              <w:rPr>
                <w:rFonts w:ascii="Book Antiqua" w:hAnsi="Book Antiqua" w:cs="Arial"/>
                <w:b/>
                <w:bCs/>
              </w:rPr>
            </w:pPr>
          </w:p>
        </w:tc>
        <w:tc>
          <w:tcPr>
            <w:tcW w:w="617"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8.6</w:t>
            </w:r>
          </w:p>
        </w:tc>
        <w:tc>
          <w:tcPr>
            <w:tcW w:w="617" w:type="pct"/>
          </w:tcPr>
          <w:p w:rsidR="00DD33E9" w:rsidRDefault="00DD33E9">
            <w:pPr>
              <w:spacing w:line="360" w:lineRule="auto"/>
              <w:jc w:val="both"/>
              <w:rPr>
                <w:rFonts w:ascii="Book Antiqua" w:hAnsi="Book Antiqua" w:cs="Arial"/>
                <w:b/>
                <w:bCs/>
              </w:rPr>
            </w:pPr>
          </w:p>
        </w:tc>
        <w:tc>
          <w:tcPr>
            <w:tcW w:w="617"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19.6</w:t>
            </w:r>
          </w:p>
        </w:tc>
        <w:tc>
          <w:tcPr>
            <w:tcW w:w="800" w:type="pct"/>
          </w:tcPr>
          <w:p w:rsidR="00DD33E9" w:rsidRDefault="00C061FA">
            <w:pPr>
              <w:spacing w:line="360" w:lineRule="auto"/>
              <w:jc w:val="both"/>
              <w:rPr>
                <w:rFonts w:ascii="Book Antiqua" w:hAnsi="Book Antiqua" w:cs="Arial"/>
                <w:b/>
                <w:bCs/>
              </w:rPr>
            </w:pPr>
            <w:r>
              <w:rPr>
                <w:rFonts w:ascii="Book Antiqua" w:eastAsia="Book Antiqua" w:hAnsi="Book Antiqua" w:cs="Book Antiqua"/>
                <w:color w:val="000000"/>
              </w:rPr>
              <w:t>Litton</w:t>
            </w:r>
            <w:r>
              <w:rPr>
                <w:rFonts w:ascii="Book Antiqua" w:eastAsia="Times New Roman" w:hAnsi="Book Antiqua" w:cs="Arial"/>
                <w:kern w:val="24"/>
                <w:lang w:val="en-GB" w:eastAsia="en-IE"/>
              </w:rPr>
              <w:t xml:space="preserve">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[69]</w:t>
            </w:r>
            <w:r>
              <w:rPr>
                <w:rFonts w:ascii="Book Antiqua" w:eastAsia="Times New Roman" w:hAnsi="Book Antiqua" w:cs="Arial"/>
                <w:kern w:val="24"/>
                <w:lang w:val="en-GB" w:eastAsia="en-IE"/>
              </w:rPr>
              <w:t>, 2020</w:t>
            </w:r>
          </w:p>
        </w:tc>
      </w:tr>
      <w:tr w:rsidR="00DD33E9">
        <w:tc>
          <w:tcPr>
            <w:tcW w:w="666"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BROCADE3 (1</w:t>
            </w:r>
            <w:r>
              <w:rPr>
                <w:rFonts w:ascii="Book Antiqua" w:eastAsia="Times New Roman" w:hAnsi="Book Antiqua" w:cs="Arial"/>
                <w:kern w:val="24"/>
                <w:vertAlign w:val="superscript"/>
                <w:lang w:val="en-GB" w:eastAsia="en-IE"/>
              </w:rPr>
              <w:t>st</w:t>
            </w:r>
            <w:r>
              <w:rPr>
                <w:rFonts w:ascii="Book Antiqua" w:eastAsia="Times New Roman" w:hAnsi="Book Antiqua" w:cs="Arial"/>
                <w:kern w:val="24"/>
                <w:lang w:val="en-GB" w:eastAsia="en-IE"/>
              </w:rPr>
              <w:t xml:space="preserve"> line)</w:t>
            </w:r>
          </w:p>
        </w:tc>
        <w:tc>
          <w:tcPr>
            <w:tcW w:w="351"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337</w:t>
            </w:r>
          </w:p>
        </w:tc>
        <w:tc>
          <w:tcPr>
            <w:tcW w:w="715"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Veliparib</w:t>
            </w:r>
          </w:p>
        </w:tc>
        <w:tc>
          <w:tcPr>
            <w:tcW w:w="617"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14.5</w:t>
            </w:r>
          </w:p>
        </w:tc>
        <w:tc>
          <w:tcPr>
            <w:tcW w:w="617" w:type="pct"/>
          </w:tcPr>
          <w:p w:rsidR="00DD33E9" w:rsidRDefault="00DD33E9">
            <w:pPr>
              <w:spacing w:line="360" w:lineRule="auto"/>
              <w:jc w:val="both"/>
              <w:rPr>
                <w:rFonts w:ascii="Book Antiqua" w:hAnsi="Book Antiqua" w:cs="Arial"/>
                <w:b/>
                <w:bCs/>
              </w:rPr>
            </w:pPr>
          </w:p>
        </w:tc>
        <w:tc>
          <w:tcPr>
            <w:tcW w:w="617"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33.5</w:t>
            </w:r>
          </w:p>
        </w:tc>
        <w:tc>
          <w:tcPr>
            <w:tcW w:w="617" w:type="pct"/>
          </w:tcPr>
          <w:p w:rsidR="00DD33E9" w:rsidRDefault="00DD33E9">
            <w:pPr>
              <w:spacing w:line="360" w:lineRule="auto"/>
              <w:jc w:val="both"/>
              <w:rPr>
                <w:rFonts w:ascii="Book Antiqua" w:hAnsi="Book Antiqua" w:cs="Arial"/>
                <w:b/>
                <w:bCs/>
              </w:rPr>
            </w:pPr>
          </w:p>
        </w:tc>
        <w:tc>
          <w:tcPr>
            <w:tcW w:w="800" w:type="pct"/>
          </w:tcPr>
          <w:p w:rsidR="00DD33E9" w:rsidRDefault="00C061FA">
            <w:pPr>
              <w:spacing w:line="360" w:lineRule="auto"/>
              <w:jc w:val="both"/>
              <w:rPr>
                <w:rFonts w:ascii="Book Antiqua" w:hAnsi="Book Antiqua" w:cs="Arial"/>
                <w:b/>
                <w:bCs/>
              </w:rPr>
            </w:pPr>
            <w:r>
              <w:rPr>
                <w:rFonts w:ascii="Book Antiqua" w:eastAsia="Book Antiqua" w:hAnsi="Book Antiqua" w:cs="Book Antiqua"/>
                <w:color w:val="000000"/>
              </w:rPr>
              <w:t>Bardia</w:t>
            </w:r>
            <w:r>
              <w:rPr>
                <w:rFonts w:ascii="Book Antiqua" w:eastAsia="Times New Roman" w:hAnsi="Book Antiqua" w:cs="Arial"/>
                <w:kern w:val="24"/>
                <w:lang w:val="en-GB" w:eastAsia="en-IE"/>
              </w:rPr>
              <w:t xml:space="preserve">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[77]</w:t>
            </w:r>
            <w:r>
              <w:rPr>
                <w:rFonts w:ascii="Book Antiqua" w:eastAsia="Times New Roman" w:hAnsi="Book Antiqua" w:cs="Arial"/>
                <w:kern w:val="24"/>
                <w:lang w:val="en-GB" w:eastAsia="en-IE"/>
              </w:rPr>
              <w:t>, 2020</w:t>
            </w:r>
          </w:p>
        </w:tc>
      </w:tr>
    </w:tbl>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 xml:space="preserve">PFS: </w:t>
      </w:r>
      <w:r>
        <w:rPr>
          <w:rFonts w:ascii="Book Antiqua" w:eastAsia="Book Antiqua" w:hAnsi="Book Antiqua" w:cs="Book Antiqua"/>
          <w:color w:val="000000"/>
        </w:rPr>
        <w:t>Progression free survival; OS: Overall survival.</w:t>
      </w:r>
    </w:p>
    <w:p w:rsidR="00DD33E9" w:rsidRDefault="00C061FA">
      <w:pPr>
        <w:spacing w:line="360" w:lineRule="auto"/>
        <w:jc w:val="both"/>
        <w:rPr>
          <w:rFonts w:ascii="Book Antiqua" w:hAnsi="Book Antiqua"/>
          <w:b/>
          <w:bCs/>
        </w:rPr>
      </w:pPr>
      <w:r>
        <w:rPr>
          <w:rFonts w:ascii="Book Antiqua" w:hAnsi="Book Antiqua" w:cs="Arial"/>
          <w:b/>
          <w:bCs/>
        </w:rPr>
        <w:br w:type="page"/>
      </w:r>
      <w:r>
        <w:rPr>
          <w:rFonts w:ascii="Book Antiqua" w:hAnsi="Book Antiqua"/>
          <w:b/>
        </w:rPr>
        <w:lastRenderedPageBreak/>
        <w:t>Table 6</w:t>
      </w:r>
      <w:r>
        <w:rPr>
          <w:rFonts w:ascii="Book Antiqua" w:hAnsi="Book Antiqua"/>
          <w:b/>
          <w:bCs/>
        </w:rPr>
        <w:t xml:space="preserve"> Key phase I/II/III involving antibody drug conjugates and targeted therapies</w:t>
      </w:r>
    </w:p>
    <w:tbl>
      <w:tblPr>
        <w:tblStyle w:val="a9"/>
        <w:tblW w:w="5635" w:type="pct"/>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709"/>
        <w:gridCol w:w="1844"/>
        <w:gridCol w:w="1110"/>
        <w:gridCol w:w="764"/>
        <w:gridCol w:w="885"/>
        <w:gridCol w:w="1068"/>
        <w:gridCol w:w="913"/>
        <w:gridCol w:w="1655"/>
      </w:tblGrid>
      <w:tr w:rsidR="00DD33E9">
        <w:tc>
          <w:tcPr>
            <w:tcW w:w="854"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Trial</w:t>
            </w:r>
          </w:p>
        </w:tc>
        <w:tc>
          <w:tcPr>
            <w:tcW w:w="328"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i/>
                <w:iCs/>
              </w:rPr>
            </w:pPr>
            <w:r>
              <w:rPr>
                <w:rFonts w:ascii="Book Antiqua" w:eastAsia="Times New Roman" w:hAnsi="Book Antiqua" w:cs="Arial"/>
                <w:b/>
                <w:bCs/>
                <w:i/>
                <w:iCs/>
                <w:kern w:val="24"/>
                <w:lang w:val="en-GB" w:eastAsia="en-IE"/>
              </w:rPr>
              <w:t>n</w:t>
            </w:r>
          </w:p>
        </w:tc>
        <w:tc>
          <w:tcPr>
            <w:tcW w:w="854"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Drug</w:t>
            </w:r>
          </w:p>
        </w:tc>
        <w:tc>
          <w:tcPr>
            <w:tcW w:w="514"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b/>
                <w:bCs/>
                <w:kern w:val="24"/>
                <w:lang w:val="en-GB" w:eastAsia="en-IE"/>
              </w:rPr>
            </w:pPr>
            <w:r>
              <w:rPr>
                <w:rFonts w:ascii="Book Antiqua" w:eastAsia="Times New Roman" w:hAnsi="Book Antiqua" w:cs="Arial"/>
                <w:b/>
                <w:bCs/>
                <w:kern w:val="24"/>
                <w:lang w:val="en-GB" w:eastAsia="en-IE"/>
              </w:rPr>
              <w:t>ORR</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1</w:t>
            </w:r>
            <w:r>
              <w:rPr>
                <w:rFonts w:ascii="Book Antiqua" w:eastAsia="Times New Roman" w:hAnsi="Book Antiqua" w:cs="Arial"/>
                <w:b/>
                <w:bCs/>
                <w:kern w:val="24"/>
                <w:vertAlign w:val="superscript"/>
                <w:lang w:val="en-GB" w:eastAsia="en-IE"/>
              </w:rPr>
              <w:t>st</w:t>
            </w:r>
            <w:r>
              <w:rPr>
                <w:rFonts w:ascii="Book Antiqua" w:eastAsia="Times New Roman" w:hAnsi="Book Antiqua" w:cs="Arial"/>
                <w:b/>
                <w:bCs/>
                <w:kern w:val="24"/>
                <w:lang w:val="en-GB" w:eastAsia="en-IE"/>
              </w:rPr>
              <w:t xml:space="preserve"> line</w:t>
            </w:r>
          </w:p>
        </w:tc>
        <w:tc>
          <w:tcPr>
            <w:tcW w:w="354"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ORR</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 2 line</w:t>
            </w:r>
          </w:p>
        </w:tc>
        <w:tc>
          <w:tcPr>
            <w:tcW w:w="410"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b/>
                <w:bCs/>
                <w:kern w:val="24"/>
                <w:lang w:val="en-GB" w:eastAsia="en-IE"/>
              </w:rPr>
            </w:pPr>
            <w:r>
              <w:rPr>
                <w:rFonts w:ascii="Book Antiqua" w:eastAsia="Times New Roman" w:hAnsi="Book Antiqua" w:cs="Arial"/>
                <w:b/>
                <w:bCs/>
                <w:kern w:val="24"/>
                <w:lang w:val="en-GB" w:eastAsia="en-IE"/>
              </w:rPr>
              <w:t>mPFS</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 2 line</w:t>
            </w:r>
          </w:p>
        </w:tc>
        <w:tc>
          <w:tcPr>
            <w:tcW w:w="495"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b/>
                <w:bCs/>
                <w:kern w:val="24"/>
                <w:lang w:val="en-GB" w:eastAsia="en-IE"/>
              </w:rPr>
            </w:pPr>
            <w:r>
              <w:rPr>
                <w:rFonts w:ascii="Book Antiqua" w:eastAsia="Times New Roman" w:hAnsi="Book Antiqua" w:cs="Arial"/>
                <w:b/>
                <w:bCs/>
                <w:kern w:val="24"/>
                <w:lang w:val="en-GB" w:eastAsia="en-IE"/>
              </w:rPr>
              <w:t>mOS</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1</w:t>
            </w:r>
            <w:r>
              <w:rPr>
                <w:rFonts w:ascii="Book Antiqua" w:eastAsia="Times New Roman" w:hAnsi="Book Antiqua" w:cs="Arial"/>
                <w:b/>
                <w:bCs/>
                <w:kern w:val="24"/>
                <w:vertAlign w:val="superscript"/>
                <w:lang w:val="en-GB" w:eastAsia="en-IE"/>
              </w:rPr>
              <w:t>st</w:t>
            </w:r>
            <w:r>
              <w:rPr>
                <w:rFonts w:ascii="Book Antiqua" w:eastAsia="Times New Roman" w:hAnsi="Book Antiqua" w:cs="Arial"/>
                <w:b/>
                <w:bCs/>
                <w:kern w:val="24"/>
                <w:lang w:val="en-GB" w:eastAsia="en-IE"/>
              </w:rPr>
              <w:t xml:space="preserve"> line</w:t>
            </w:r>
          </w:p>
        </w:tc>
        <w:tc>
          <w:tcPr>
            <w:tcW w:w="423" w:type="pct"/>
            <w:tcBorders>
              <w:top w:val="single" w:sz="4" w:space="0" w:color="auto"/>
              <w:bottom w:val="single" w:sz="4" w:space="0" w:color="auto"/>
            </w:tcBorders>
          </w:tcPr>
          <w:p w:rsidR="00DD33E9" w:rsidRDefault="00C061FA">
            <w:pPr>
              <w:spacing w:line="360" w:lineRule="auto"/>
              <w:jc w:val="both"/>
              <w:rPr>
                <w:rFonts w:ascii="Book Antiqua" w:eastAsia="Times New Roman" w:hAnsi="Book Antiqua" w:cs="Arial"/>
                <w:lang w:eastAsia="en-IE"/>
              </w:rPr>
            </w:pPr>
            <w:r>
              <w:rPr>
                <w:rFonts w:ascii="Book Antiqua" w:eastAsia="Times New Roman" w:hAnsi="Book Antiqua" w:cs="Arial"/>
                <w:b/>
                <w:bCs/>
                <w:kern w:val="24"/>
                <w:lang w:val="en-GB" w:eastAsia="en-IE"/>
              </w:rPr>
              <w:t>mOS</w:t>
            </w:r>
            <w:r>
              <w:rPr>
                <w:rFonts w:ascii="Book Antiqua" w:hAnsi="Book Antiqua" w:cs="Arial"/>
                <w:b/>
                <w:bCs/>
                <w:kern w:val="24"/>
                <w:lang w:val="en-GB" w:eastAsia="zh-CN"/>
              </w:rPr>
              <w:t xml:space="preserve"> </w:t>
            </w:r>
            <w:r>
              <w:rPr>
                <w:rFonts w:ascii="Book Antiqua" w:eastAsia="Times New Roman" w:hAnsi="Book Antiqua" w:cs="Arial"/>
                <w:b/>
                <w:bCs/>
                <w:kern w:val="24"/>
                <w:lang w:val="en-GB" w:eastAsia="en-IE"/>
              </w:rPr>
              <w:t>≥ 2 line</w:t>
            </w:r>
          </w:p>
        </w:tc>
        <w:tc>
          <w:tcPr>
            <w:tcW w:w="767" w:type="pct"/>
            <w:tcBorders>
              <w:top w:val="single" w:sz="4" w:space="0" w:color="auto"/>
              <w:bottom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b/>
                <w:bCs/>
                <w:kern w:val="24"/>
                <w:lang w:val="en-GB" w:eastAsia="en-IE"/>
              </w:rPr>
              <w:t>Ref.</w:t>
            </w:r>
          </w:p>
        </w:tc>
      </w:tr>
      <w:tr w:rsidR="00DD33E9">
        <w:tc>
          <w:tcPr>
            <w:tcW w:w="854" w:type="pct"/>
            <w:tcBorders>
              <w:top w:val="single" w:sz="4" w:space="0" w:color="auto"/>
            </w:tcBorders>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NCT01631552</w:t>
            </w:r>
            <w:r>
              <w:rPr>
                <w:rFonts w:ascii="Book Antiqua" w:hAnsi="Book Antiqua" w:cs="Arial"/>
                <w:kern w:val="24"/>
                <w:lang w:val="en-GB" w:eastAsia="zh-CN"/>
              </w:rPr>
              <w:t xml:space="preserve"> </w:t>
            </w:r>
            <w:r>
              <w:rPr>
                <w:rFonts w:ascii="Book Antiqua" w:eastAsia="Times New Roman" w:hAnsi="Book Antiqua" w:cs="Arial"/>
                <w:kern w:val="24"/>
                <w:lang w:val="en-GB" w:eastAsia="en-IE"/>
              </w:rPr>
              <w:t>phase II</w:t>
            </w:r>
          </w:p>
        </w:tc>
        <w:tc>
          <w:tcPr>
            <w:tcW w:w="328"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108</w:t>
            </w:r>
          </w:p>
        </w:tc>
        <w:tc>
          <w:tcPr>
            <w:tcW w:w="854"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Sacituzumab</w:t>
            </w:r>
            <w:r>
              <w:rPr>
                <w:rFonts w:ascii="Book Antiqua" w:eastAsia="Times New Roman" w:hAnsi="Book Antiqua" w:cs="Arial"/>
                <w:kern w:val="24"/>
                <w:lang w:val="en-GB" w:eastAsia="en-IE"/>
              </w:rPr>
              <w:t xml:space="preserve"> govitecan</w:t>
            </w:r>
          </w:p>
        </w:tc>
        <w:tc>
          <w:tcPr>
            <w:tcW w:w="514" w:type="pct"/>
            <w:tcBorders>
              <w:top w:val="single" w:sz="4" w:space="0" w:color="auto"/>
            </w:tcBorders>
          </w:tcPr>
          <w:p w:rsidR="00DD33E9" w:rsidRDefault="00DD33E9">
            <w:pPr>
              <w:spacing w:line="360" w:lineRule="auto"/>
              <w:jc w:val="both"/>
              <w:rPr>
                <w:rFonts w:ascii="Book Antiqua" w:hAnsi="Book Antiqua" w:cs="Arial"/>
                <w:b/>
                <w:bCs/>
              </w:rPr>
            </w:pPr>
          </w:p>
        </w:tc>
        <w:tc>
          <w:tcPr>
            <w:tcW w:w="354"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33%</w:t>
            </w:r>
          </w:p>
        </w:tc>
        <w:tc>
          <w:tcPr>
            <w:tcW w:w="410"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5.5</w:t>
            </w:r>
          </w:p>
        </w:tc>
        <w:tc>
          <w:tcPr>
            <w:tcW w:w="495" w:type="pct"/>
            <w:tcBorders>
              <w:top w:val="single" w:sz="4" w:space="0" w:color="auto"/>
            </w:tcBorders>
          </w:tcPr>
          <w:p w:rsidR="00DD33E9" w:rsidRDefault="00DD33E9">
            <w:pPr>
              <w:spacing w:line="360" w:lineRule="auto"/>
              <w:jc w:val="both"/>
              <w:rPr>
                <w:rFonts w:ascii="Book Antiqua" w:hAnsi="Book Antiqua" w:cs="Arial"/>
                <w:b/>
                <w:bCs/>
              </w:rPr>
            </w:pPr>
          </w:p>
        </w:tc>
        <w:tc>
          <w:tcPr>
            <w:tcW w:w="423"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12.4</w:t>
            </w:r>
          </w:p>
        </w:tc>
        <w:tc>
          <w:tcPr>
            <w:tcW w:w="767" w:type="pct"/>
            <w:tcBorders>
              <w:top w:val="single" w:sz="4" w:space="0" w:color="auto"/>
            </w:tcBorders>
          </w:tcPr>
          <w:p w:rsidR="00DD33E9" w:rsidRDefault="00C061FA">
            <w:pPr>
              <w:spacing w:line="360" w:lineRule="auto"/>
              <w:jc w:val="both"/>
              <w:rPr>
                <w:rFonts w:ascii="Book Antiqua" w:hAnsi="Book Antiqua" w:cs="Arial"/>
                <w:b/>
                <w:bCs/>
              </w:rPr>
            </w:pPr>
            <w:r>
              <w:rPr>
                <w:rFonts w:ascii="Book Antiqua" w:eastAsia="Book Antiqua" w:hAnsi="Book Antiqua" w:cs="Book Antiqua"/>
                <w:color w:val="000000"/>
              </w:rPr>
              <w:t>Schmid</w:t>
            </w:r>
            <w:r>
              <w:rPr>
                <w:rFonts w:ascii="Book Antiqua" w:eastAsia="Times New Roman" w:hAnsi="Book Antiqua" w:cs="Arial"/>
                <w:kern w:val="24"/>
                <w:lang w:val="en-GB" w:eastAsia="en-IE"/>
              </w:rPr>
              <w:t xml:space="preserve">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[61]</w:t>
            </w:r>
            <w:r>
              <w:rPr>
                <w:rFonts w:ascii="Book Antiqua" w:eastAsia="Times New Roman" w:hAnsi="Book Antiqua" w:cs="Arial"/>
                <w:kern w:val="24"/>
                <w:lang w:val="en-GB" w:eastAsia="en-IE"/>
              </w:rPr>
              <w:t>, 2020</w:t>
            </w:r>
          </w:p>
        </w:tc>
      </w:tr>
      <w:tr w:rsidR="00DD33E9">
        <w:tc>
          <w:tcPr>
            <w:tcW w:w="854" w:type="pct"/>
          </w:tcPr>
          <w:p w:rsidR="00DD33E9" w:rsidRDefault="00C061FA">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NCT03310957</w:t>
            </w:r>
            <w:r>
              <w:rPr>
                <w:rFonts w:ascii="Book Antiqua" w:hAnsi="Book Antiqua"/>
                <w:color w:val="000000"/>
                <w:shd w:val="clear" w:color="auto" w:fill="FFFFFF"/>
                <w:lang w:eastAsia="zh-CN"/>
              </w:rPr>
              <w:t xml:space="preserve"> </w:t>
            </w:r>
            <w:r>
              <w:rPr>
                <w:rFonts w:ascii="Book Antiqua" w:hAnsi="Book Antiqua"/>
                <w:color w:val="000000"/>
                <w:shd w:val="clear" w:color="auto" w:fill="FFFFFF"/>
              </w:rPr>
              <w:t>phase I/II</w:t>
            </w:r>
          </w:p>
        </w:tc>
        <w:tc>
          <w:tcPr>
            <w:tcW w:w="328"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51</w:t>
            </w:r>
          </w:p>
        </w:tc>
        <w:tc>
          <w:tcPr>
            <w:tcW w:w="854"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Pembrolizumab + ladiratuzumab vedoitin</w:t>
            </w:r>
          </w:p>
        </w:tc>
        <w:tc>
          <w:tcPr>
            <w:tcW w:w="514"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54%</w:t>
            </w:r>
          </w:p>
        </w:tc>
        <w:tc>
          <w:tcPr>
            <w:tcW w:w="354" w:type="pct"/>
          </w:tcPr>
          <w:p w:rsidR="00DD33E9" w:rsidRDefault="00DD33E9">
            <w:pPr>
              <w:spacing w:line="360" w:lineRule="auto"/>
              <w:jc w:val="both"/>
              <w:rPr>
                <w:rFonts w:ascii="Book Antiqua" w:hAnsi="Book Antiqua" w:cs="Arial"/>
                <w:b/>
                <w:bCs/>
              </w:rPr>
            </w:pPr>
          </w:p>
        </w:tc>
        <w:tc>
          <w:tcPr>
            <w:tcW w:w="410"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w:t>
            </w:r>
          </w:p>
        </w:tc>
        <w:tc>
          <w:tcPr>
            <w:tcW w:w="495" w:type="pct"/>
          </w:tcPr>
          <w:p w:rsidR="00DD33E9" w:rsidRDefault="00DD33E9">
            <w:pPr>
              <w:spacing w:line="360" w:lineRule="auto"/>
              <w:jc w:val="both"/>
              <w:rPr>
                <w:rFonts w:ascii="Book Antiqua" w:hAnsi="Book Antiqua" w:cs="Arial"/>
                <w:b/>
                <w:bCs/>
              </w:rPr>
            </w:pPr>
          </w:p>
        </w:tc>
        <w:tc>
          <w:tcPr>
            <w:tcW w:w="423" w:type="pct"/>
          </w:tcPr>
          <w:p w:rsidR="00DD33E9" w:rsidRDefault="00DD33E9">
            <w:pPr>
              <w:spacing w:line="360" w:lineRule="auto"/>
              <w:jc w:val="both"/>
              <w:rPr>
                <w:rFonts w:ascii="Book Antiqua" w:hAnsi="Book Antiqua" w:cs="Arial"/>
                <w:b/>
                <w:bCs/>
              </w:rPr>
            </w:pPr>
          </w:p>
        </w:tc>
        <w:tc>
          <w:tcPr>
            <w:tcW w:w="767"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 xml:space="preserve">Han </w:t>
            </w:r>
            <w:r>
              <w:rPr>
                <w:rFonts w:ascii="Book Antiqua" w:eastAsia="Times New Roman" w:hAnsi="Book Antiqua" w:cs="Arial"/>
                <w:i/>
                <w:iCs/>
                <w:kern w:val="24"/>
                <w:lang w:val="en-GB" w:eastAsia="en-IE"/>
              </w:rPr>
              <w:t>et al</w:t>
            </w:r>
            <w:r>
              <w:rPr>
                <w:rFonts w:ascii="Book Antiqua" w:eastAsia="Times New Roman" w:hAnsi="Book Antiqua" w:cs="Arial"/>
                <w:kern w:val="24"/>
                <w:vertAlign w:val="superscript"/>
                <w:lang w:val="en-GB" w:eastAsia="en-IE"/>
              </w:rPr>
              <w:t>[78]</w:t>
            </w:r>
            <w:r>
              <w:rPr>
                <w:rFonts w:ascii="Book Antiqua" w:eastAsia="Times New Roman" w:hAnsi="Book Antiqua" w:cs="Arial"/>
                <w:kern w:val="24"/>
                <w:lang w:val="en-GB" w:eastAsia="en-IE"/>
              </w:rPr>
              <w:t>, 2020</w:t>
            </w:r>
          </w:p>
        </w:tc>
      </w:tr>
      <w:tr w:rsidR="00DD33E9">
        <w:tc>
          <w:tcPr>
            <w:tcW w:w="854" w:type="pct"/>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NCT029380341 phase Ib/II</w:t>
            </w:r>
          </w:p>
        </w:tc>
        <w:tc>
          <w:tcPr>
            <w:tcW w:w="328"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21</w:t>
            </w:r>
          </w:p>
        </w:tc>
        <w:tc>
          <w:tcPr>
            <w:tcW w:w="854"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US-1402</w:t>
            </w:r>
          </w:p>
        </w:tc>
        <w:tc>
          <w:tcPr>
            <w:tcW w:w="514" w:type="pct"/>
          </w:tcPr>
          <w:p w:rsidR="00DD33E9" w:rsidRDefault="00DD33E9">
            <w:pPr>
              <w:spacing w:line="360" w:lineRule="auto"/>
              <w:jc w:val="both"/>
              <w:rPr>
                <w:rFonts w:ascii="Book Antiqua" w:hAnsi="Book Antiqua" w:cs="Arial"/>
                <w:b/>
                <w:bCs/>
              </w:rPr>
            </w:pPr>
          </w:p>
        </w:tc>
        <w:tc>
          <w:tcPr>
            <w:tcW w:w="354"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33%</w:t>
            </w:r>
          </w:p>
        </w:tc>
        <w:tc>
          <w:tcPr>
            <w:tcW w:w="410"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w:t>
            </w:r>
          </w:p>
        </w:tc>
        <w:tc>
          <w:tcPr>
            <w:tcW w:w="495" w:type="pct"/>
          </w:tcPr>
          <w:p w:rsidR="00DD33E9" w:rsidRDefault="00DD33E9">
            <w:pPr>
              <w:spacing w:line="360" w:lineRule="auto"/>
              <w:jc w:val="both"/>
              <w:rPr>
                <w:rFonts w:ascii="Book Antiqua" w:hAnsi="Book Antiqua" w:cs="Arial"/>
                <w:b/>
                <w:bCs/>
              </w:rPr>
            </w:pPr>
          </w:p>
        </w:tc>
        <w:tc>
          <w:tcPr>
            <w:tcW w:w="423" w:type="pct"/>
          </w:tcPr>
          <w:p w:rsidR="00DD33E9" w:rsidRDefault="00DD33E9">
            <w:pPr>
              <w:spacing w:line="360" w:lineRule="auto"/>
              <w:jc w:val="both"/>
              <w:rPr>
                <w:rFonts w:ascii="Book Antiqua" w:hAnsi="Book Antiqua" w:cs="Arial"/>
                <w:b/>
                <w:bCs/>
              </w:rPr>
            </w:pPr>
          </w:p>
        </w:tc>
        <w:tc>
          <w:tcPr>
            <w:tcW w:w="767" w:type="pct"/>
          </w:tcPr>
          <w:p w:rsidR="00DD33E9" w:rsidRDefault="00C061FA">
            <w:pPr>
              <w:spacing w:line="360" w:lineRule="auto"/>
              <w:jc w:val="both"/>
              <w:rPr>
                <w:rFonts w:ascii="Book Antiqua" w:hAnsi="Book Antiqua" w:cs="Arial"/>
                <w:b/>
                <w:bCs/>
              </w:rPr>
            </w:pPr>
            <w:r>
              <w:rPr>
                <w:rFonts w:ascii="Book Antiqua" w:hAnsi="Book Antiqua"/>
              </w:rPr>
              <w:t>Kim</w:t>
            </w:r>
            <w:r>
              <w:rPr>
                <w:rFonts w:ascii="Book Antiqua" w:eastAsia="Times New Roman" w:hAnsi="Book Antiqua" w:cs="Arial"/>
                <w:lang w:eastAsia="en-IE"/>
              </w:rPr>
              <w:t xml:space="preserve"> </w:t>
            </w:r>
            <w:r>
              <w:rPr>
                <w:rFonts w:ascii="Book Antiqua" w:eastAsia="Times New Roman" w:hAnsi="Book Antiqua" w:cs="Arial"/>
                <w:i/>
                <w:iCs/>
                <w:lang w:eastAsia="en-IE"/>
              </w:rPr>
              <w:t>et al</w:t>
            </w:r>
            <w:r>
              <w:rPr>
                <w:rFonts w:ascii="Book Antiqua" w:eastAsia="Times New Roman" w:hAnsi="Book Antiqua" w:cs="Arial"/>
                <w:vertAlign w:val="superscript"/>
                <w:lang w:eastAsia="en-IE"/>
              </w:rPr>
              <w:t>[82]</w:t>
            </w:r>
            <w:r>
              <w:rPr>
                <w:rFonts w:ascii="Book Antiqua" w:eastAsia="Times New Roman" w:hAnsi="Book Antiqua" w:cs="Arial"/>
                <w:lang w:eastAsia="en-IE"/>
              </w:rPr>
              <w:t>, 2019</w:t>
            </w:r>
          </w:p>
        </w:tc>
      </w:tr>
      <w:tr w:rsidR="00DD33E9">
        <w:tc>
          <w:tcPr>
            <w:tcW w:w="854" w:type="pct"/>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NCT03279257</w:t>
            </w:r>
            <w:r>
              <w:rPr>
                <w:rFonts w:ascii="Book Antiqua" w:hAnsi="Book Antiqua" w:cs="Arial"/>
                <w:kern w:val="24"/>
                <w:lang w:val="en-GB" w:eastAsia="zh-CN"/>
              </w:rPr>
              <w:t xml:space="preserve"> </w:t>
            </w:r>
            <w:r>
              <w:rPr>
                <w:rFonts w:ascii="Book Antiqua" w:eastAsia="Times New Roman" w:hAnsi="Book Antiqua" w:cs="Arial"/>
                <w:kern w:val="24"/>
                <w:lang w:val="en-GB" w:eastAsia="en-IE"/>
              </w:rPr>
              <w:t>phase 1b/II</w:t>
            </w:r>
          </w:p>
        </w:tc>
        <w:tc>
          <w:tcPr>
            <w:tcW w:w="328"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40</w:t>
            </w:r>
          </w:p>
        </w:tc>
        <w:tc>
          <w:tcPr>
            <w:tcW w:w="854"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Alpelisib</w:t>
            </w:r>
          </w:p>
        </w:tc>
        <w:tc>
          <w:tcPr>
            <w:tcW w:w="514" w:type="pct"/>
          </w:tcPr>
          <w:p w:rsidR="00DD33E9" w:rsidRDefault="00DD33E9">
            <w:pPr>
              <w:spacing w:line="360" w:lineRule="auto"/>
              <w:jc w:val="both"/>
              <w:rPr>
                <w:rFonts w:ascii="Book Antiqua" w:hAnsi="Book Antiqua" w:cs="Arial"/>
                <w:b/>
                <w:bCs/>
              </w:rPr>
            </w:pPr>
          </w:p>
        </w:tc>
        <w:tc>
          <w:tcPr>
            <w:tcW w:w="354"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57%</w:t>
            </w:r>
          </w:p>
        </w:tc>
        <w:tc>
          <w:tcPr>
            <w:tcW w:w="410"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7</w:t>
            </w:r>
          </w:p>
        </w:tc>
        <w:tc>
          <w:tcPr>
            <w:tcW w:w="495" w:type="pct"/>
          </w:tcPr>
          <w:p w:rsidR="00DD33E9" w:rsidRDefault="00DD33E9">
            <w:pPr>
              <w:spacing w:line="360" w:lineRule="auto"/>
              <w:jc w:val="both"/>
              <w:rPr>
                <w:rFonts w:ascii="Book Antiqua" w:hAnsi="Book Antiqua" w:cs="Arial"/>
                <w:b/>
                <w:bCs/>
              </w:rPr>
            </w:pPr>
          </w:p>
        </w:tc>
        <w:tc>
          <w:tcPr>
            <w:tcW w:w="423" w:type="pct"/>
          </w:tcPr>
          <w:p w:rsidR="00DD33E9" w:rsidRDefault="00DD33E9">
            <w:pPr>
              <w:spacing w:line="360" w:lineRule="auto"/>
              <w:jc w:val="both"/>
              <w:rPr>
                <w:rFonts w:ascii="Book Antiqua" w:hAnsi="Book Antiqua" w:cs="Arial"/>
                <w:b/>
                <w:bCs/>
              </w:rPr>
            </w:pPr>
          </w:p>
        </w:tc>
        <w:tc>
          <w:tcPr>
            <w:tcW w:w="767"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 xml:space="preserve">Sharma </w:t>
            </w:r>
            <w:r>
              <w:rPr>
                <w:rFonts w:ascii="Book Antiqua" w:eastAsia="Times New Roman" w:hAnsi="Book Antiqua" w:cs="Arial"/>
                <w:i/>
                <w:iCs/>
                <w:lang w:eastAsia="en-IE"/>
              </w:rPr>
              <w:t>et al</w:t>
            </w:r>
            <w:r>
              <w:rPr>
                <w:rFonts w:ascii="Book Antiqua" w:eastAsia="Times New Roman" w:hAnsi="Book Antiqua" w:cs="Arial"/>
                <w:vertAlign w:val="superscript"/>
                <w:lang w:eastAsia="en-IE"/>
              </w:rPr>
              <w:t>[84]</w:t>
            </w:r>
            <w:r>
              <w:rPr>
                <w:rFonts w:ascii="Book Antiqua" w:eastAsia="Times New Roman" w:hAnsi="Book Antiqua" w:cs="Arial"/>
                <w:lang w:eastAsia="en-IE"/>
              </w:rPr>
              <w:t>, 2018</w:t>
            </w:r>
          </w:p>
        </w:tc>
      </w:tr>
      <w:tr w:rsidR="00DD33E9">
        <w:tc>
          <w:tcPr>
            <w:tcW w:w="854" w:type="pct"/>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LOTUS phase II</w:t>
            </w:r>
          </w:p>
        </w:tc>
        <w:tc>
          <w:tcPr>
            <w:tcW w:w="328"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124</w:t>
            </w:r>
          </w:p>
        </w:tc>
        <w:tc>
          <w:tcPr>
            <w:tcW w:w="854"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Ipatasertib</w:t>
            </w:r>
          </w:p>
        </w:tc>
        <w:tc>
          <w:tcPr>
            <w:tcW w:w="514" w:type="pct"/>
          </w:tcPr>
          <w:p w:rsidR="00DD33E9" w:rsidRDefault="00DD33E9">
            <w:pPr>
              <w:spacing w:line="360" w:lineRule="auto"/>
              <w:jc w:val="both"/>
              <w:rPr>
                <w:rFonts w:ascii="Book Antiqua" w:hAnsi="Book Antiqua" w:cs="Arial"/>
                <w:b/>
                <w:bCs/>
              </w:rPr>
            </w:pPr>
          </w:p>
        </w:tc>
        <w:tc>
          <w:tcPr>
            <w:tcW w:w="354"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40%</w:t>
            </w:r>
          </w:p>
        </w:tc>
        <w:tc>
          <w:tcPr>
            <w:tcW w:w="410"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6.2</w:t>
            </w:r>
          </w:p>
        </w:tc>
        <w:tc>
          <w:tcPr>
            <w:tcW w:w="495" w:type="pct"/>
          </w:tcPr>
          <w:p w:rsidR="00DD33E9" w:rsidRDefault="00DD33E9">
            <w:pPr>
              <w:spacing w:line="360" w:lineRule="auto"/>
              <w:jc w:val="both"/>
              <w:rPr>
                <w:rFonts w:ascii="Book Antiqua" w:hAnsi="Book Antiqua" w:cs="Arial"/>
                <w:b/>
                <w:bCs/>
              </w:rPr>
            </w:pPr>
          </w:p>
        </w:tc>
        <w:tc>
          <w:tcPr>
            <w:tcW w:w="423" w:type="pct"/>
          </w:tcPr>
          <w:p w:rsidR="00DD33E9" w:rsidRDefault="00DD33E9">
            <w:pPr>
              <w:spacing w:line="360" w:lineRule="auto"/>
              <w:jc w:val="both"/>
              <w:rPr>
                <w:rFonts w:ascii="Book Antiqua" w:hAnsi="Book Antiqua" w:cs="Arial"/>
                <w:b/>
                <w:bCs/>
              </w:rPr>
            </w:pPr>
          </w:p>
        </w:tc>
        <w:tc>
          <w:tcPr>
            <w:tcW w:w="767"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 xml:space="preserve">Kim </w:t>
            </w:r>
            <w:r>
              <w:rPr>
                <w:rFonts w:ascii="Book Antiqua" w:eastAsia="Times New Roman" w:hAnsi="Book Antiqua" w:cs="Arial"/>
                <w:i/>
                <w:iCs/>
                <w:lang w:eastAsia="en-IE"/>
              </w:rPr>
              <w:t>et al</w:t>
            </w:r>
            <w:r>
              <w:rPr>
                <w:rFonts w:ascii="Book Antiqua" w:eastAsia="Times New Roman" w:hAnsi="Book Antiqua" w:cs="Arial"/>
                <w:vertAlign w:val="superscript"/>
                <w:lang w:eastAsia="en-IE"/>
              </w:rPr>
              <w:t>[86]</w:t>
            </w:r>
            <w:r>
              <w:rPr>
                <w:rFonts w:ascii="Book Antiqua" w:eastAsia="Times New Roman" w:hAnsi="Book Antiqua" w:cs="Arial"/>
                <w:lang w:eastAsia="en-IE"/>
              </w:rPr>
              <w:t>, 2017</w:t>
            </w:r>
          </w:p>
        </w:tc>
      </w:tr>
      <w:tr w:rsidR="00DD33E9">
        <w:tc>
          <w:tcPr>
            <w:tcW w:w="854" w:type="pct"/>
          </w:tcPr>
          <w:p w:rsidR="00DD33E9" w:rsidRDefault="00C061FA">
            <w:pPr>
              <w:spacing w:line="360" w:lineRule="auto"/>
              <w:jc w:val="both"/>
              <w:rPr>
                <w:rFonts w:ascii="Book Antiqua" w:hAnsi="Book Antiqua"/>
                <w:color w:val="000000"/>
                <w:shd w:val="clear" w:color="auto" w:fill="FFFFFF"/>
              </w:rPr>
            </w:pPr>
            <w:r>
              <w:rPr>
                <w:rFonts w:ascii="Book Antiqua" w:hAnsi="Book Antiqua"/>
                <w:color w:val="000000"/>
                <w:shd w:val="clear" w:color="auto" w:fill="FFFFFF"/>
              </w:rPr>
              <w:t>NCT02978716</w:t>
            </w:r>
            <w:r>
              <w:rPr>
                <w:rFonts w:ascii="Book Antiqua" w:hAnsi="Book Antiqua"/>
                <w:color w:val="000000"/>
                <w:shd w:val="clear" w:color="auto" w:fill="FFFFFF"/>
                <w:lang w:eastAsia="zh-CN"/>
              </w:rPr>
              <w:t xml:space="preserve"> </w:t>
            </w:r>
            <w:r>
              <w:rPr>
                <w:rFonts w:ascii="Book Antiqua" w:eastAsia="Times New Roman" w:hAnsi="Book Antiqua" w:cs="Arial"/>
                <w:kern w:val="24"/>
                <w:lang w:val="en-GB" w:eastAsia="en-IE"/>
              </w:rPr>
              <w:t>phase II</w:t>
            </w:r>
          </w:p>
        </w:tc>
        <w:tc>
          <w:tcPr>
            <w:tcW w:w="328"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102</w:t>
            </w:r>
          </w:p>
        </w:tc>
        <w:tc>
          <w:tcPr>
            <w:tcW w:w="854"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Trilaciclib</w:t>
            </w:r>
          </w:p>
        </w:tc>
        <w:tc>
          <w:tcPr>
            <w:tcW w:w="514"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43%</w:t>
            </w:r>
          </w:p>
        </w:tc>
        <w:tc>
          <w:tcPr>
            <w:tcW w:w="354" w:type="pct"/>
          </w:tcPr>
          <w:p w:rsidR="00DD33E9" w:rsidRDefault="00DD33E9">
            <w:pPr>
              <w:spacing w:line="360" w:lineRule="auto"/>
              <w:jc w:val="both"/>
              <w:rPr>
                <w:rFonts w:ascii="Book Antiqua" w:hAnsi="Book Antiqua" w:cs="Arial"/>
                <w:b/>
                <w:bCs/>
              </w:rPr>
            </w:pPr>
          </w:p>
        </w:tc>
        <w:tc>
          <w:tcPr>
            <w:tcW w:w="410" w:type="pct"/>
          </w:tcPr>
          <w:p w:rsidR="00DD33E9" w:rsidRDefault="00DD33E9">
            <w:pPr>
              <w:spacing w:line="360" w:lineRule="auto"/>
              <w:jc w:val="both"/>
              <w:rPr>
                <w:rFonts w:ascii="Book Antiqua" w:hAnsi="Book Antiqua" w:cs="Arial"/>
                <w:b/>
                <w:bCs/>
              </w:rPr>
            </w:pPr>
          </w:p>
        </w:tc>
        <w:tc>
          <w:tcPr>
            <w:tcW w:w="495"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20.6/17.6</w:t>
            </w:r>
          </w:p>
        </w:tc>
        <w:tc>
          <w:tcPr>
            <w:tcW w:w="423" w:type="pct"/>
          </w:tcPr>
          <w:p w:rsidR="00DD33E9" w:rsidRDefault="00DD33E9">
            <w:pPr>
              <w:spacing w:line="360" w:lineRule="auto"/>
              <w:jc w:val="both"/>
              <w:rPr>
                <w:rFonts w:ascii="Book Antiqua" w:hAnsi="Book Antiqua" w:cs="Arial"/>
                <w:b/>
                <w:bCs/>
              </w:rPr>
            </w:pPr>
          </w:p>
        </w:tc>
        <w:tc>
          <w:tcPr>
            <w:tcW w:w="767"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 xml:space="preserve">Tan </w:t>
            </w:r>
            <w:r>
              <w:rPr>
                <w:rFonts w:ascii="Book Antiqua" w:eastAsia="Times New Roman" w:hAnsi="Book Antiqua" w:cs="Arial"/>
                <w:i/>
                <w:iCs/>
                <w:lang w:eastAsia="en-IE"/>
              </w:rPr>
              <w:t>et al</w:t>
            </w:r>
            <w:r>
              <w:rPr>
                <w:rFonts w:ascii="Book Antiqua" w:eastAsia="Times New Roman" w:hAnsi="Book Antiqua" w:cs="Arial"/>
                <w:vertAlign w:val="superscript"/>
                <w:lang w:eastAsia="en-IE"/>
              </w:rPr>
              <w:t>[88]</w:t>
            </w:r>
            <w:r>
              <w:rPr>
                <w:rFonts w:ascii="Book Antiqua" w:eastAsia="Times New Roman" w:hAnsi="Book Antiqua" w:cs="Arial"/>
                <w:lang w:eastAsia="en-IE"/>
              </w:rPr>
              <w:t>, 2019</w:t>
            </w:r>
          </w:p>
        </w:tc>
      </w:tr>
      <w:tr w:rsidR="00DD33E9">
        <w:tc>
          <w:tcPr>
            <w:tcW w:w="854" w:type="pct"/>
          </w:tcPr>
          <w:p w:rsidR="00DD33E9" w:rsidRDefault="00C061FA">
            <w:pPr>
              <w:spacing w:line="360" w:lineRule="auto"/>
              <w:jc w:val="both"/>
              <w:rPr>
                <w:rFonts w:ascii="Book Antiqua" w:eastAsia="Times New Roman" w:hAnsi="Book Antiqua" w:cs="Arial"/>
                <w:kern w:val="24"/>
                <w:lang w:val="en-GB" w:eastAsia="en-IE"/>
              </w:rPr>
            </w:pPr>
            <w:r>
              <w:rPr>
                <w:rFonts w:ascii="Book Antiqua" w:eastAsia="Times New Roman" w:hAnsi="Book Antiqua" w:cs="Arial"/>
                <w:kern w:val="24"/>
                <w:lang w:val="en-GB" w:eastAsia="en-IE"/>
              </w:rPr>
              <w:t>ASCENT</w:t>
            </w:r>
            <w:r>
              <w:rPr>
                <w:rFonts w:ascii="Book Antiqua" w:hAnsi="Book Antiqua" w:cs="Arial"/>
                <w:kern w:val="24"/>
                <w:lang w:val="en-GB" w:eastAsia="zh-CN"/>
              </w:rPr>
              <w:t xml:space="preserve"> </w:t>
            </w:r>
            <w:r>
              <w:rPr>
                <w:rFonts w:ascii="Book Antiqua" w:eastAsia="Times New Roman" w:hAnsi="Book Antiqua" w:cs="Arial"/>
                <w:kern w:val="24"/>
                <w:lang w:val="en-GB" w:eastAsia="en-IE"/>
              </w:rPr>
              <w:t>phase III</w:t>
            </w:r>
          </w:p>
        </w:tc>
        <w:tc>
          <w:tcPr>
            <w:tcW w:w="328"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529</w:t>
            </w:r>
          </w:p>
        </w:tc>
        <w:tc>
          <w:tcPr>
            <w:tcW w:w="854"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Sacituzumab Govitecan</w:t>
            </w:r>
          </w:p>
        </w:tc>
        <w:tc>
          <w:tcPr>
            <w:tcW w:w="514" w:type="pct"/>
          </w:tcPr>
          <w:p w:rsidR="00DD33E9" w:rsidRDefault="00DD33E9">
            <w:pPr>
              <w:spacing w:line="360" w:lineRule="auto"/>
              <w:jc w:val="both"/>
              <w:rPr>
                <w:rFonts w:ascii="Book Antiqua" w:hAnsi="Book Antiqua" w:cs="Arial"/>
                <w:b/>
                <w:bCs/>
              </w:rPr>
            </w:pPr>
          </w:p>
        </w:tc>
        <w:tc>
          <w:tcPr>
            <w:tcW w:w="354"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35%</w:t>
            </w:r>
          </w:p>
        </w:tc>
        <w:tc>
          <w:tcPr>
            <w:tcW w:w="410" w:type="pct"/>
          </w:tcPr>
          <w:p w:rsidR="00DD33E9" w:rsidRDefault="00C061FA">
            <w:pPr>
              <w:spacing w:line="360" w:lineRule="auto"/>
              <w:jc w:val="both"/>
              <w:rPr>
                <w:rFonts w:ascii="Book Antiqua" w:hAnsi="Book Antiqua" w:cs="Arial"/>
                <w:b/>
                <w:bCs/>
              </w:rPr>
            </w:pPr>
            <w:r>
              <w:rPr>
                <w:rFonts w:ascii="Book Antiqua" w:eastAsia="Times New Roman" w:hAnsi="Book Antiqua" w:cs="Arial"/>
                <w:kern w:val="24"/>
                <w:lang w:val="en-GB" w:eastAsia="en-IE"/>
              </w:rPr>
              <w:t>5.6</w:t>
            </w:r>
          </w:p>
        </w:tc>
        <w:tc>
          <w:tcPr>
            <w:tcW w:w="495" w:type="pct"/>
          </w:tcPr>
          <w:p w:rsidR="00DD33E9" w:rsidRDefault="00DD33E9">
            <w:pPr>
              <w:spacing w:line="360" w:lineRule="auto"/>
              <w:jc w:val="both"/>
              <w:rPr>
                <w:rFonts w:ascii="Book Antiqua" w:hAnsi="Book Antiqua" w:cs="Arial"/>
                <w:b/>
                <w:bCs/>
              </w:rPr>
            </w:pPr>
          </w:p>
        </w:tc>
        <w:tc>
          <w:tcPr>
            <w:tcW w:w="423"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12.1</w:t>
            </w:r>
          </w:p>
        </w:tc>
        <w:tc>
          <w:tcPr>
            <w:tcW w:w="767" w:type="pct"/>
          </w:tcPr>
          <w:p w:rsidR="00DD33E9" w:rsidRDefault="00C061FA">
            <w:pPr>
              <w:spacing w:line="360" w:lineRule="auto"/>
              <w:jc w:val="both"/>
              <w:rPr>
                <w:rFonts w:ascii="Book Antiqua" w:hAnsi="Book Antiqua" w:cs="Arial"/>
                <w:b/>
                <w:bCs/>
              </w:rPr>
            </w:pPr>
            <w:r>
              <w:rPr>
                <w:rFonts w:ascii="Book Antiqua" w:eastAsia="Times New Roman" w:hAnsi="Book Antiqua" w:cs="Arial"/>
                <w:lang w:eastAsia="en-IE"/>
              </w:rPr>
              <w:t xml:space="preserve">Bardia </w:t>
            </w:r>
            <w:r>
              <w:rPr>
                <w:rFonts w:ascii="Book Antiqua" w:eastAsia="Times New Roman" w:hAnsi="Book Antiqua" w:cs="Arial"/>
                <w:i/>
                <w:iCs/>
                <w:lang w:eastAsia="en-IE"/>
              </w:rPr>
              <w:t>et al</w:t>
            </w:r>
            <w:r>
              <w:rPr>
                <w:rFonts w:ascii="Book Antiqua" w:eastAsia="Times New Roman" w:hAnsi="Book Antiqua" w:cs="Arial"/>
                <w:vertAlign w:val="superscript"/>
                <w:lang w:eastAsia="en-IE"/>
              </w:rPr>
              <w:t>[77]</w:t>
            </w:r>
            <w:r>
              <w:rPr>
                <w:rFonts w:ascii="Book Antiqua" w:eastAsia="Times New Roman" w:hAnsi="Book Antiqua" w:cs="Arial"/>
                <w:lang w:eastAsia="en-IE"/>
              </w:rPr>
              <w:t>, 2020</w:t>
            </w:r>
          </w:p>
        </w:tc>
      </w:tr>
    </w:tbl>
    <w:p w:rsidR="00DD33E9" w:rsidRDefault="00C061FA">
      <w:pPr>
        <w:spacing w:line="360" w:lineRule="auto"/>
        <w:jc w:val="both"/>
        <w:rPr>
          <w:rFonts w:ascii="Book Antiqua" w:hAnsi="Book Antiqua" w:cs="Book Antiqua" w:hint="eastAsia"/>
          <w:color w:val="000000"/>
          <w:lang w:eastAsia="zh-CN"/>
        </w:rPr>
      </w:pPr>
      <w:r>
        <w:rPr>
          <w:rFonts w:ascii="Book Antiqua" w:eastAsia="Times New Roman" w:hAnsi="Book Antiqua" w:cs="Arial"/>
          <w:kern w:val="24"/>
          <w:lang w:val="en-GB" w:eastAsia="en-IE"/>
        </w:rPr>
        <w:t xml:space="preserve">ORR: Overall response rate; PFS: </w:t>
      </w:r>
      <w:r>
        <w:rPr>
          <w:rFonts w:ascii="Book Antiqua" w:eastAsia="Book Antiqua" w:hAnsi="Book Antiqua" w:cs="Book Antiqua"/>
          <w:color w:val="000000"/>
        </w:rPr>
        <w:t>Progression free survival; OS: Overall survival.</w:t>
      </w:r>
    </w:p>
    <w:p w:rsidR="002D0BD3" w:rsidRDefault="002D0BD3">
      <w:pPr>
        <w:spacing w:line="360" w:lineRule="auto"/>
        <w:jc w:val="both"/>
        <w:rPr>
          <w:rFonts w:ascii="Book Antiqua" w:hAnsi="Book Antiqua" w:cs="Book Antiqua" w:hint="eastAsia"/>
          <w:color w:val="000000"/>
          <w:lang w:eastAsia="zh-CN"/>
        </w:rPr>
      </w:pPr>
    </w:p>
    <w:p w:rsidR="002D0BD3" w:rsidRDefault="002D0BD3">
      <w:pPr>
        <w:spacing w:line="360" w:lineRule="auto"/>
        <w:jc w:val="both"/>
        <w:rPr>
          <w:rFonts w:ascii="Book Antiqua" w:hAnsi="Book Antiqua" w:cs="Book Antiqua" w:hint="eastAsia"/>
          <w:color w:val="000000"/>
          <w:lang w:eastAsia="zh-CN"/>
        </w:rPr>
      </w:pPr>
    </w:p>
    <w:p w:rsidR="002D0BD3" w:rsidRDefault="002D0BD3">
      <w:pPr>
        <w:spacing w:line="360" w:lineRule="auto"/>
        <w:jc w:val="both"/>
        <w:rPr>
          <w:rFonts w:ascii="Book Antiqua" w:hAnsi="Book Antiqua" w:cs="Book Antiqua" w:hint="eastAsia"/>
          <w:color w:val="000000"/>
          <w:lang w:eastAsia="zh-CN"/>
        </w:rPr>
      </w:pPr>
    </w:p>
    <w:p w:rsidR="002D0BD3" w:rsidRDefault="002D0BD3">
      <w:pPr>
        <w:spacing w:line="360" w:lineRule="auto"/>
        <w:jc w:val="both"/>
        <w:rPr>
          <w:rFonts w:ascii="Book Antiqua" w:hAnsi="Book Antiqua" w:cs="Book Antiqua" w:hint="eastAsia"/>
          <w:color w:val="000000"/>
          <w:lang w:eastAsia="zh-CN"/>
        </w:rPr>
      </w:pPr>
    </w:p>
    <w:p w:rsidR="002D0BD3" w:rsidRDefault="002D0BD3">
      <w:pPr>
        <w:spacing w:line="360" w:lineRule="auto"/>
        <w:jc w:val="both"/>
        <w:rPr>
          <w:rFonts w:ascii="Book Antiqua" w:hAnsi="Book Antiqua" w:cs="Book Antiqua" w:hint="eastAsia"/>
          <w:color w:val="000000"/>
          <w:lang w:eastAsia="zh-CN"/>
        </w:rPr>
      </w:pPr>
    </w:p>
    <w:p w:rsidR="002D0BD3" w:rsidRDefault="002D0BD3">
      <w:pPr>
        <w:spacing w:line="360" w:lineRule="auto"/>
        <w:jc w:val="both"/>
        <w:rPr>
          <w:rFonts w:ascii="Book Antiqua" w:hAnsi="Book Antiqua" w:cs="Book Antiqua" w:hint="eastAsia"/>
          <w:color w:val="000000"/>
          <w:lang w:eastAsia="zh-CN"/>
        </w:rPr>
      </w:pPr>
    </w:p>
    <w:p w:rsidR="002D0BD3" w:rsidRDefault="002D0BD3">
      <w:pPr>
        <w:spacing w:line="360" w:lineRule="auto"/>
        <w:jc w:val="both"/>
        <w:rPr>
          <w:rFonts w:ascii="Book Antiqua" w:hAnsi="Book Antiqua" w:cs="Book Antiqua" w:hint="eastAsia"/>
          <w:color w:val="000000"/>
          <w:lang w:eastAsia="zh-CN"/>
        </w:rPr>
      </w:pPr>
    </w:p>
    <w:p w:rsidR="002D0BD3" w:rsidRDefault="002D0BD3">
      <w:pPr>
        <w:spacing w:line="360" w:lineRule="auto"/>
        <w:jc w:val="both"/>
        <w:rPr>
          <w:rFonts w:ascii="Book Antiqua" w:hAnsi="Book Antiqua" w:cs="Book Antiqua" w:hint="eastAsia"/>
          <w:color w:val="000000"/>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r>
        <w:rPr>
          <w:rFonts w:ascii="Book Antiqua" w:hAnsi="Book Antiqua"/>
          <w:noProof/>
          <w:lang w:eastAsia="zh-CN"/>
        </w:rPr>
        <w:drawing>
          <wp:inline distT="0" distB="0" distL="0" distR="0">
            <wp:extent cx="2499360" cy="1442720"/>
            <wp:effectExtent l="0" t="0" r="0" b="508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2720"/>
                    </a:xfrm>
                    <a:prstGeom prst="rect">
                      <a:avLst/>
                    </a:prstGeom>
                    <a:noFill/>
                    <a:ln>
                      <a:noFill/>
                    </a:ln>
                  </pic:spPr>
                </pic:pic>
              </a:graphicData>
            </a:graphic>
          </wp:inline>
        </w:drawing>
      </w:r>
    </w:p>
    <w:p w:rsidR="002D0BD3" w:rsidRDefault="002D0BD3" w:rsidP="002D0BD3">
      <w:pPr>
        <w:jc w:val="center"/>
        <w:rPr>
          <w:rFonts w:ascii="Book Antiqua" w:hAnsi="Book Antiqua"/>
          <w:lang w:eastAsia="zh-CN"/>
        </w:rPr>
      </w:pPr>
    </w:p>
    <w:p w:rsidR="002D0BD3" w:rsidRDefault="002D0BD3" w:rsidP="002D0BD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2D0BD3" w:rsidRDefault="002D0BD3" w:rsidP="002D0BD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2D0BD3" w:rsidRDefault="002D0BD3" w:rsidP="002D0BD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2D0BD3" w:rsidRDefault="002D0BD3" w:rsidP="002D0BD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2D0BD3" w:rsidRDefault="002D0BD3" w:rsidP="002D0BD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2D0BD3" w:rsidRDefault="002D0BD3" w:rsidP="002D0BD3">
      <w:pPr>
        <w:jc w:val="center"/>
        <w:rPr>
          <w:rFonts w:ascii="Book Antiqua" w:hAnsi="Book Antiqua"/>
          <w:lang w:eastAsia="zh-CN"/>
        </w:rPr>
      </w:pPr>
      <w:r>
        <w:rPr>
          <w:rFonts w:ascii="Book Antiqua" w:eastAsia="TimesNewRomanPSMT" w:hAnsi="Book Antiqua" w:cs="Garamond"/>
          <w:color w:val="D56400"/>
          <w:sz w:val="28"/>
          <w:szCs w:val="28"/>
        </w:rPr>
        <w:t>https://www.wjgnet.com</w:t>
      </w: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r>
        <w:rPr>
          <w:rFonts w:ascii="Book Antiqua" w:hAnsi="Book Antiqua"/>
          <w:noProof/>
          <w:lang w:eastAsia="zh-CN"/>
        </w:rPr>
        <w:drawing>
          <wp:inline distT="0" distB="0" distL="0" distR="0">
            <wp:extent cx="1447800" cy="1442720"/>
            <wp:effectExtent l="0" t="0" r="0" b="508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2720"/>
                    </a:xfrm>
                    <a:prstGeom prst="rect">
                      <a:avLst/>
                    </a:prstGeom>
                    <a:noFill/>
                    <a:ln>
                      <a:noFill/>
                    </a:ln>
                  </pic:spPr>
                </pic:pic>
              </a:graphicData>
            </a:graphic>
          </wp:inline>
        </w:drawing>
      </w: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center"/>
        <w:rPr>
          <w:rFonts w:ascii="Book Antiqua" w:hAnsi="Book Antiqua"/>
          <w:lang w:eastAsia="zh-CN"/>
        </w:rPr>
      </w:pPr>
    </w:p>
    <w:p w:rsidR="002D0BD3" w:rsidRDefault="002D0BD3" w:rsidP="002D0BD3">
      <w:pPr>
        <w:jc w:val="right"/>
        <w:rPr>
          <w:rFonts w:ascii="Book Antiqua" w:hAnsi="Book Antiqua"/>
          <w:color w:val="000000" w:themeColor="text1"/>
          <w:lang w:eastAsia="zh-CN"/>
        </w:rPr>
      </w:pPr>
    </w:p>
    <w:p w:rsidR="002D0BD3" w:rsidRDefault="002D0BD3" w:rsidP="002D0BD3">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rsidR="002D0BD3" w:rsidRPr="002D0BD3" w:rsidRDefault="002D0BD3">
      <w:pPr>
        <w:spacing w:line="360" w:lineRule="auto"/>
        <w:jc w:val="both"/>
        <w:rPr>
          <w:rFonts w:ascii="Book Antiqua" w:hAnsi="Book Antiqua" w:cs="Arial" w:hint="eastAsia"/>
          <w:kern w:val="24"/>
          <w:lang w:eastAsia="zh-CN"/>
        </w:rPr>
      </w:pPr>
      <w:bookmarkStart w:id="7" w:name="_GoBack"/>
      <w:bookmarkEnd w:id="7"/>
    </w:p>
    <w:sectPr w:rsidR="002D0BD3" w:rsidRPr="002D0B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FA" w:rsidRDefault="00C061FA">
      <w:r>
        <w:separator/>
      </w:r>
    </w:p>
  </w:endnote>
  <w:endnote w:type="continuationSeparator" w:id="0">
    <w:p w:rsidR="00C061FA" w:rsidRDefault="00C0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3E9" w:rsidRDefault="00C061F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2D0BD3" w:rsidRPr="002D0BD3">
      <w:rPr>
        <w:rFonts w:ascii="Book Antiqua" w:hAnsi="Book Antiqua"/>
        <w:noProof/>
        <w:sz w:val="24"/>
        <w:szCs w:val="24"/>
        <w:lang w:val="zh-CN" w:eastAsia="zh-CN"/>
      </w:rPr>
      <w:t>48</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2D0BD3" w:rsidRPr="002D0BD3">
      <w:rPr>
        <w:rFonts w:ascii="Book Antiqua" w:hAnsi="Book Antiqua"/>
        <w:noProof/>
        <w:sz w:val="24"/>
        <w:szCs w:val="24"/>
        <w:lang w:val="zh-CN" w:eastAsia="zh-CN"/>
      </w:rPr>
      <w:t>49</w:t>
    </w:r>
    <w:r>
      <w:rPr>
        <w:rFonts w:ascii="Book Antiqua" w:hAnsi="Book Antiqua"/>
        <w:sz w:val="24"/>
        <w:szCs w:val="24"/>
      </w:rPr>
      <w:fldChar w:fldCharType="end"/>
    </w:r>
  </w:p>
  <w:p w:rsidR="00DD33E9" w:rsidRDefault="00DD33E9">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FA" w:rsidRDefault="00C061FA">
      <w:r>
        <w:separator/>
      </w:r>
    </w:p>
  </w:footnote>
  <w:footnote w:type="continuationSeparator" w:id="0">
    <w:p w:rsidR="00C061FA" w:rsidRDefault="00C06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1E9"/>
    <w:rsid w:val="00046D30"/>
    <w:rsid w:val="00047B8B"/>
    <w:rsid w:val="000525AF"/>
    <w:rsid w:val="00054E6D"/>
    <w:rsid w:val="0005667E"/>
    <w:rsid w:val="00074196"/>
    <w:rsid w:val="00075D50"/>
    <w:rsid w:val="0008306D"/>
    <w:rsid w:val="00084EAE"/>
    <w:rsid w:val="00096850"/>
    <w:rsid w:val="000E0F92"/>
    <w:rsid w:val="000F6630"/>
    <w:rsid w:val="0010179F"/>
    <w:rsid w:val="001102DF"/>
    <w:rsid w:val="00114B33"/>
    <w:rsid w:val="00115B44"/>
    <w:rsid w:val="00121156"/>
    <w:rsid w:val="00132059"/>
    <w:rsid w:val="001534BD"/>
    <w:rsid w:val="00192E3E"/>
    <w:rsid w:val="0019381D"/>
    <w:rsid w:val="001B0EFC"/>
    <w:rsid w:val="001B1529"/>
    <w:rsid w:val="001D415B"/>
    <w:rsid w:val="001E3C18"/>
    <w:rsid w:val="001F004C"/>
    <w:rsid w:val="002035C3"/>
    <w:rsid w:val="00205B47"/>
    <w:rsid w:val="002078EE"/>
    <w:rsid w:val="0022295F"/>
    <w:rsid w:val="00247A22"/>
    <w:rsid w:val="002753FC"/>
    <w:rsid w:val="00294444"/>
    <w:rsid w:val="00297A48"/>
    <w:rsid w:val="002D0BD3"/>
    <w:rsid w:val="002D6101"/>
    <w:rsid w:val="002F357F"/>
    <w:rsid w:val="002F597B"/>
    <w:rsid w:val="002F7E72"/>
    <w:rsid w:val="00303491"/>
    <w:rsid w:val="00312777"/>
    <w:rsid w:val="00313B05"/>
    <w:rsid w:val="003275F5"/>
    <w:rsid w:val="003300E6"/>
    <w:rsid w:val="00346536"/>
    <w:rsid w:val="00386BF8"/>
    <w:rsid w:val="00393454"/>
    <w:rsid w:val="003A2E2B"/>
    <w:rsid w:val="003B377F"/>
    <w:rsid w:val="003B58F7"/>
    <w:rsid w:val="003B741C"/>
    <w:rsid w:val="003D7DC7"/>
    <w:rsid w:val="003F0112"/>
    <w:rsid w:val="00401069"/>
    <w:rsid w:val="00421EA9"/>
    <w:rsid w:val="004428CF"/>
    <w:rsid w:val="004604D9"/>
    <w:rsid w:val="0047552C"/>
    <w:rsid w:val="0049654A"/>
    <w:rsid w:val="004A5E2A"/>
    <w:rsid w:val="004C20FB"/>
    <w:rsid w:val="004D4F93"/>
    <w:rsid w:val="004E0BE2"/>
    <w:rsid w:val="004F2C2F"/>
    <w:rsid w:val="004F46FA"/>
    <w:rsid w:val="00521D5F"/>
    <w:rsid w:val="005408E0"/>
    <w:rsid w:val="00545A36"/>
    <w:rsid w:val="0054797D"/>
    <w:rsid w:val="00575607"/>
    <w:rsid w:val="005A0500"/>
    <w:rsid w:val="005B2670"/>
    <w:rsid w:val="005B3F5E"/>
    <w:rsid w:val="005F03E1"/>
    <w:rsid w:val="00615F67"/>
    <w:rsid w:val="006204CD"/>
    <w:rsid w:val="00622ED0"/>
    <w:rsid w:val="00637A74"/>
    <w:rsid w:val="00643F68"/>
    <w:rsid w:val="00646F22"/>
    <w:rsid w:val="00646F68"/>
    <w:rsid w:val="00674CB8"/>
    <w:rsid w:val="00677D12"/>
    <w:rsid w:val="00687CE8"/>
    <w:rsid w:val="00694384"/>
    <w:rsid w:val="00694D76"/>
    <w:rsid w:val="00695FCF"/>
    <w:rsid w:val="006A0862"/>
    <w:rsid w:val="006F1F02"/>
    <w:rsid w:val="006F7C0C"/>
    <w:rsid w:val="006F7DC4"/>
    <w:rsid w:val="007030C9"/>
    <w:rsid w:val="00710683"/>
    <w:rsid w:val="007310A5"/>
    <w:rsid w:val="0075235F"/>
    <w:rsid w:val="0078543D"/>
    <w:rsid w:val="007A3F98"/>
    <w:rsid w:val="007C2BB6"/>
    <w:rsid w:val="007C3B33"/>
    <w:rsid w:val="007D5F41"/>
    <w:rsid w:val="007F0354"/>
    <w:rsid w:val="007F5AAE"/>
    <w:rsid w:val="00811070"/>
    <w:rsid w:val="00820B36"/>
    <w:rsid w:val="00833FCE"/>
    <w:rsid w:val="00840BA5"/>
    <w:rsid w:val="00845AD1"/>
    <w:rsid w:val="00851A04"/>
    <w:rsid w:val="0088584C"/>
    <w:rsid w:val="0089757E"/>
    <w:rsid w:val="008A0B3E"/>
    <w:rsid w:val="008A3F5D"/>
    <w:rsid w:val="008A7325"/>
    <w:rsid w:val="008F3534"/>
    <w:rsid w:val="00900A58"/>
    <w:rsid w:val="00910045"/>
    <w:rsid w:val="00910472"/>
    <w:rsid w:val="00910A52"/>
    <w:rsid w:val="00922E9B"/>
    <w:rsid w:val="009267D3"/>
    <w:rsid w:val="00927219"/>
    <w:rsid w:val="009418A6"/>
    <w:rsid w:val="00942E00"/>
    <w:rsid w:val="00951D33"/>
    <w:rsid w:val="00954162"/>
    <w:rsid w:val="00955D76"/>
    <w:rsid w:val="00967202"/>
    <w:rsid w:val="00970DFA"/>
    <w:rsid w:val="00987202"/>
    <w:rsid w:val="009B7EF2"/>
    <w:rsid w:val="009C7923"/>
    <w:rsid w:val="00A22F4B"/>
    <w:rsid w:val="00A44688"/>
    <w:rsid w:val="00A72919"/>
    <w:rsid w:val="00A73707"/>
    <w:rsid w:val="00A77B3E"/>
    <w:rsid w:val="00AA0234"/>
    <w:rsid w:val="00AC1A26"/>
    <w:rsid w:val="00AC1A93"/>
    <w:rsid w:val="00AD33C0"/>
    <w:rsid w:val="00AF122F"/>
    <w:rsid w:val="00AF59F9"/>
    <w:rsid w:val="00AF7118"/>
    <w:rsid w:val="00B61BE0"/>
    <w:rsid w:val="00B737F9"/>
    <w:rsid w:val="00B76D81"/>
    <w:rsid w:val="00B913A0"/>
    <w:rsid w:val="00BC597D"/>
    <w:rsid w:val="00BE2E45"/>
    <w:rsid w:val="00C061FA"/>
    <w:rsid w:val="00C62367"/>
    <w:rsid w:val="00C65E6A"/>
    <w:rsid w:val="00C71B28"/>
    <w:rsid w:val="00C80100"/>
    <w:rsid w:val="00C964AB"/>
    <w:rsid w:val="00CA2A55"/>
    <w:rsid w:val="00CC5F8D"/>
    <w:rsid w:val="00CC6B4C"/>
    <w:rsid w:val="00CE3DBD"/>
    <w:rsid w:val="00CF2766"/>
    <w:rsid w:val="00CF5441"/>
    <w:rsid w:val="00D00395"/>
    <w:rsid w:val="00D160B5"/>
    <w:rsid w:val="00D26E12"/>
    <w:rsid w:val="00D42DA4"/>
    <w:rsid w:val="00D5240F"/>
    <w:rsid w:val="00D53E9E"/>
    <w:rsid w:val="00D77E05"/>
    <w:rsid w:val="00D86220"/>
    <w:rsid w:val="00D863AB"/>
    <w:rsid w:val="00D937C6"/>
    <w:rsid w:val="00DA5A6A"/>
    <w:rsid w:val="00DA66EB"/>
    <w:rsid w:val="00DB3801"/>
    <w:rsid w:val="00DD0018"/>
    <w:rsid w:val="00DD1755"/>
    <w:rsid w:val="00DD33E9"/>
    <w:rsid w:val="00DE3D72"/>
    <w:rsid w:val="00DF4187"/>
    <w:rsid w:val="00E00EFF"/>
    <w:rsid w:val="00E0750D"/>
    <w:rsid w:val="00E17100"/>
    <w:rsid w:val="00E2183A"/>
    <w:rsid w:val="00E63B8A"/>
    <w:rsid w:val="00E65101"/>
    <w:rsid w:val="00E73B57"/>
    <w:rsid w:val="00EA3ED4"/>
    <w:rsid w:val="00EA6EC8"/>
    <w:rsid w:val="00EB18AA"/>
    <w:rsid w:val="00EC1D53"/>
    <w:rsid w:val="00EC63E6"/>
    <w:rsid w:val="00EC6788"/>
    <w:rsid w:val="00EF3936"/>
    <w:rsid w:val="00F17F7E"/>
    <w:rsid w:val="00F238C8"/>
    <w:rsid w:val="00F2709B"/>
    <w:rsid w:val="00F3612F"/>
    <w:rsid w:val="00F74C48"/>
    <w:rsid w:val="00FA11F2"/>
    <w:rsid w:val="00FB0670"/>
    <w:rsid w:val="00FB1EF3"/>
    <w:rsid w:val="00FC17EB"/>
    <w:rsid w:val="00FD0B6B"/>
    <w:rsid w:val="00FD36CA"/>
    <w:rsid w:val="16212F9D"/>
    <w:rsid w:val="1D9B548B"/>
    <w:rsid w:val="4B0D1547"/>
    <w:rsid w:val="55F854B7"/>
    <w:rsid w:val="616A0B93"/>
    <w:rsid w:val="70CB2FE5"/>
    <w:rsid w:val="724C2ABF"/>
    <w:rsid w:val="7A356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eastAsia="Times New Roman"/>
      <w:lang w:val="en-IE" w:eastAsia="en-IE"/>
    </w:rPr>
  </w:style>
  <w:style w:type="paragraph" w:styleId="a8">
    <w:name w:val="annotation subject"/>
    <w:basedOn w:val="a3"/>
    <w:next w:val="a3"/>
    <w:link w:val="Char3"/>
    <w:semiHidden/>
    <w:unhideWhenUsed/>
    <w:rPr>
      <w:b/>
      <w:bCs/>
    </w:r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semiHidden/>
    <w:unhideWhenUsed/>
    <w:rPr>
      <w:color w:val="800080" w:themeColor="followedHyperlink"/>
      <w:u w:val="single"/>
    </w:rPr>
  </w:style>
  <w:style w:type="character" w:styleId="ab">
    <w:name w:val="Hyperlink"/>
    <w:basedOn w:val="a0"/>
    <w:uiPriority w:val="99"/>
    <w:semiHidden/>
    <w:unhideWhenUsed/>
    <w:rPr>
      <w:color w:val="0000FF"/>
      <w:u w:val="single"/>
    </w:rPr>
  </w:style>
  <w:style w:type="character" w:styleId="ac">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table" w:customStyle="1" w:styleId="TableGridLight1">
    <w:name w:val="Table Grid Light1"/>
    <w:basedOn w:val="a1"/>
    <w:uiPriority w:val="40"/>
    <w:qFormat/>
    <w:rPr>
      <w:rFonts w:asciiTheme="minorHAnsi" w:hAnsiTheme="minorHAnsi" w:cstheme="minorBidi"/>
      <w:sz w:val="22"/>
      <w:szCs w:val="22"/>
      <w:lang w:val="en-I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apple-converted-space">
    <w:name w:val="apple-converted-space"/>
    <w:basedOn w:val="a0"/>
  </w:style>
  <w:style w:type="character" w:customStyle="1" w:styleId="Char0">
    <w:name w:val="批注框文本 Char"/>
    <w:basedOn w:val="a0"/>
    <w:link w:val="a4"/>
    <w:rPr>
      <w:rFonts w:ascii="Segoe UI" w:hAnsi="Segoe UI" w:cs="Segoe UI"/>
      <w:sz w:val="18"/>
      <w:szCs w:val="18"/>
    </w:rPr>
  </w:style>
  <w:style w:type="character" w:customStyle="1" w:styleId="nlmstring-name">
    <w:name w:val="nlm_string-name"/>
    <w:basedOn w:val="a0"/>
  </w:style>
  <w:style w:type="character" w:customStyle="1" w:styleId="journalname">
    <w:name w:val="journalname"/>
    <w:basedOn w:val="a0"/>
  </w:style>
  <w:style w:type="character" w:customStyle="1" w:styleId="year">
    <w:name w:val="year"/>
    <w:basedOn w:val="a0"/>
  </w:style>
  <w:style w:type="character" w:customStyle="1" w:styleId="volume">
    <w:name w:val="volume"/>
    <w:basedOn w:val="a0"/>
  </w:style>
  <w:style w:type="character" w:customStyle="1" w:styleId="issue">
    <w:name w:val="issue"/>
    <w:basedOn w:val="a0"/>
  </w:style>
  <w:style w:type="character" w:customStyle="1" w:styleId="page">
    <w:name w:val="page"/>
    <w:basedOn w:val="a0"/>
    <w:qFormat/>
  </w:style>
  <w:style w:type="paragraph" w:styleId="ad">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rFonts w:ascii="Segoe UI" w:hAnsi="Segoe UI" w:cs="Segoe UI"/>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spacing w:before="100" w:beforeAutospacing="1" w:after="100" w:afterAutospacing="1"/>
    </w:pPr>
    <w:rPr>
      <w:rFonts w:eastAsia="Times New Roman"/>
      <w:lang w:val="en-IE" w:eastAsia="en-IE"/>
    </w:rPr>
  </w:style>
  <w:style w:type="paragraph" w:styleId="a8">
    <w:name w:val="annotation subject"/>
    <w:basedOn w:val="a3"/>
    <w:next w:val="a3"/>
    <w:link w:val="Char3"/>
    <w:semiHidden/>
    <w:unhideWhenUsed/>
    <w:rPr>
      <w:b/>
      <w:bCs/>
    </w:rPr>
  </w:style>
  <w:style w:type="table" w:styleId="a9">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semiHidden/>
    <w:unhideWhenUsed/>
    <w:rPr>
      <w:color w:val="800080" w:themeColor="followedHyperlink"/>
      <w:u w:val="single"/>
    </w:rPr>
  </w:style>
  <w:style w:type="character" w:styleId="ab">
    <w:name w:val="Hyperlink"/>
    <w:basedOn w:val="a0"/>
    <w:uiPriority w:val="99"/>
    <w:semiHidden/>
    <w:unhideWhenUsed/>
    <w:rPr>
      <w:color w:val="0000FF"/>
      <w:u w:val="single"/>
    </w:rPr>
  </w:style>
  <w:style w:type="character" w:styleId="ac">
    <w:name w:val="annotation reference"/>
    <w:basedOn w:val="a0"/>
    <w:semiHidden/>
    <w:unhideWhenUsed/>
    <w:qFormat/>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table" w:customStyle="1" w:styleId="TableGridLight1">
    <w:name w:val="Table Grid Light1"/>
    <w:basedOn w:val="a1"/>
    <w:uiPriority w:val="40"/>
    <w:qFormat/>
    <w:rPr>
      <w:rFonts w:asciiTheme="minorHAnsi" w:hAnsiTheme="minorHAnsi" w:cstheme="minorBidi"/>
      <w:sz w:val="22"/>
      <w:szCs w:val="22"/>
      <w:lang w:val="en-I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har">
    <w:name w:val="批注文字 Char"/>
    <w:basedOn w:val="a0"/>
    <w:link w:val="a3"/>
    <w:semiHidden/>
    <w:rPr>
      <w:sz w:val="24"/>
      <w:szCs w:val="24"/>
    </w:rPr>
  </w:style>
  <w:style w:type="character" w:customStyle="1" w:styleId="Char3">
    <w:name w:val="批注主题 Char"/>
    <w:basedOn w:val="Char"/>
    <w:link w:val="a8"/>
    <w:semiHidden/>
    <w:rPr>
      <w:b/>
      <w:bCs/>
      <w:sz w:val="24"/>
      <w:szCs w:val="24"/>
    </w:rPr>
  </w:style>
  <w:style w:type="character" w:customStyle="1" w:styleId="apple-converted-space">
    <w:name w:val="apple-converted-space"/>
    <w:basedOn w:val="a0"/>
  </w:style>
  <w:style w:type="character" w:customStyle="1" w:styleId="Char0">
    <w:name w:val="批注框文本 Char"/>
    <w:basedOn w:val="a0"/>
    <w:link w:val="a4"/>
    <w:rPr>
      <w:rFonts w:ascii="Segoe UI" w:hAnsi="Segoe UI" w:cs="Segoe UI"/>
      <w:sz w:val="18"/>
      <w:szCs w:val="18"/>
    </w:rPr>
  </w:style>
  <w:style w:type="character" w:customStyle="1" w:styleId="nlmstring-name">
    <w:name w:val="nlm_string-name"/>
    <w:basedOn w:val="a0"/>
  </w:style>
  <w:style w:type="character" w:customStyle="1" w:styleId="journalname">
    <w:name w:val="journalname"/>
    <w:basedOn w:val="a0"/>
  </w:style>
  <w:style w:type="character" w:customStyle="1" w:styleId="year">
    <w:name w:val="year"/>
    <w:basedOn w:val="a0"/>
  </w:style>
  <w:style w:type="character" w:customStyle="1" w:styleId="volume">
    <w:name w:val="volume"/>
    <w:basedOn w:val="a0"/>
  </w:style>
  <w:style w:type="character" w:customStyle="1" w:styleId="issue">
    <w:name w:val="issue"/>
    <w:basedOn w:val="a0"/>
  </w:style>
  <w:style w:type="character" w:customStyle="1" w:styleId="page">
    <w:name w:val="page"/>
    <w:basedOn w:val="a0"/>
    <w:qFormat/>
  </w:style>
  <w:style w:type="paragraph" w:styleId="ad">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3177">
      <w:bodyDiv w:val="1"/>
      <w:marLeft w:val="0"/>
      <w:marRight w:val="0"/>
      <w:marTop w:val="0"/>
      <w:marBottom w:val="0"/>
      <w:divBdr>
        <w:top w:val="none" w:sz="0" w:space="0" w:color="auto"/>
        <w:left w:val="none" w:sz="0" w:space="0" w:color="auto"/>
        <w:bottom w:val="none" w:sz="0" w:space="0" w:color="auto"/>
        <w:right w:val="none" w:sz="0" w:space="0" w:color="auto"/>
      </w:divBdr>
    </w:div>
    <w:div w:id="1968078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doi.org/10.1016/j.annonc.2020.08.2245" TargetMode="External"/><Relationship Id="rId4" Type="http://schemas.openxmlformats.org/officeDocument/2006/relationships/settings" Target="settings.xml"/><Relationship Id="rId9" Type="http://schemas.openxmlformats.org/officeDocument/2006/relationships/hyperlink" Target="https://doi.org/10.1093/annonc/mdx6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48</Pages>
  <Words>12613</Words>
  <Characters>71899</Characters>
  <Application>Microsoft Office Word</Application>
  <DocSecurity>0</DocSecurity>
  <Lines>599</Lines>
  <Paragraphs>168</Paragraphs>
  <ScaleCrop>false</ScaleCrop>
  <Company/>
  <LinksUpToDate>false</LinksUpToDate>
  <CharactersWithSpaces>84344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 Reilly</dc:creator>
  <cp:lastModifiedBy>马玉杰</cp:lastModifiedBy>
  <cp:revision>3</cp:revision>
  <dcterms:created xsi:type="dcterms:W3CDTF">2021-03-06T23:12:00Z</dcterms:created>
  <dcterms:modified xsi:type="dcterms:W3CDTF">2021-03-10T11:39:00Z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