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7D04"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Name of Journal: </w:t>
      </w:r>
      <w:r w:rsidRPr="002772D1">
        <w:rPr>
          <w:rFonts w:ascii="Book Antiqua" w:eastAsia="Book Antiqua" w:hAnsi="Book Antiqua" w:cs="Book Antiqua"/>
          <w:i/>
          <w:color w:val="000000"/>
        </w:rPr>
        <w:t>World Journal of Clinical Oncology</w:t>
      </w:r>
    </w:p>
    <w:p w14:paraId="278AB87A"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Manuscript NO: </w:t>
      </w:r>
      <w:r w:rsidRPr="002772D1">
        <w:rPr>
          <w:rFonts w:ascii="Book Antiqua" w:eastAsia="Book Antiqua" w:hAnsi="Book Antiqua" w:cs="Book Antiqua"/>
          <w:color w:val="000000"/>
        </w:rPr>
        <w:t>63343</w:t>
      </w:r>
    </w:p>
    <w:p w14:paraId="0FD3F8BD"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Manuscript Type: </w:t>
      </w:r>
      <w:r w:rsidRPr="002772D1">
        <w:rPr>
          <w:rFonts w:ascii="Book Antiqua" w:eastAsia="Book Antiqua" w:hAnsi="Book Antiqua" w:cs="Book Antiqua"/>
          <w:color w:val="000000"/>
        </w:rPr>
        <w:t>REVIEW</w:t>
      </w:r>
    </w:p>
    <w:p w14:paraId="51FA3686" w14:textId="77777777" w:rsidR="00A77B3E" w:rsidRPr="002772D1" w:rsidRDefault="00A77B3E" w:rsidP="00E06D87">
      <w:pPr>
        <w:spacing w:line="360" w:lineRule="auto"/>
        <w:jc w:val="both"/>
        <w:rPr>
          <w:rFonts w:ascii="Book Antiqua" w:hAnsi="Book Antiqua"/>
        </w:rPr>
      </w:pPr>
    </w:p>
    <w:p w14:paraId="070A9C4B" w14:textId="326B87C3" w:rsidR="00A77B3E" w:rsidRPr="002772D1" w:rsidRDefault="00664C60" w:rsidP="00E06D87">
      <w:pPr>
        <w:spacing w:line="360" w:lineRule="auto"/>
        <w:jc w:val="both"/>
        <w:rPr>
          <w:rFonts w:ascii="Book Antiqua" w:hAnsi="Book Antiqua"/>
        </w:rPr>
      </w:pPr>
      <w:bookmarkStart w:id="0" w:name="OLE_LINK2773"/>
      <w:r w:rsidRPr="002772D1">
        <w:rPr>
          <w:rFonts w:ascii="Book Antiqua" w:eastAsia="Book Antiqua" w:hAnsi="Book Antiqua" w:cs="Book Antiqua"/>
          <w:b/>
          <w:color w:val="000000"/>
        </w:rPr>
        <w:t xml:space="preserve">Oncogenic driver mutations in </w:t>
      </w:r>
      <w:r w:rsidR="00C17FF1" w:rsidRPr="002772D1">
        <w:rPr>
          <w:rFonts w:ascii="Book Antiqua" w:eastAsia="Book Antiqua" w:hAnsi="Book Antiqua" w:cs="Book Antiqua"/>
          <w:b/>
          <w:bCs/>
          <w:color w:val="000000"/>
        </w:rPr>
        <w:t>non-small cell lung cancer</w:t>
      </w:r>
      <w:r w:rsidRPr="002772D1">
        <w:rPr>
          <w:rFonts w:ascii="Book Antiqua" w:eastAsia="Book Antiqua" w:hAnsi="Book Antiqua" w:cs="Book Antiqua"/>
          <w:b/>
          <w:color w:val="000000"/>
        </w:rPr>
        <w:t xml:space="preserve">: </w:t>
      </w:r>
      <w:r w:rsidR="00C17FF1" w:rsidRPr="002772D1">
        <w:rPr>
          <w:rFonts w:ascii="Book Antiqua" w:eastAsia="Book Antiqua" w:hAnsi="Book Antiqua" w:cs="Book Antiqua"/>
          <w:b/>
          <w:color w:val="000000"/>
        </w:rPr>
        <w:t>P</w:t>
      </w:r>
      <w:r w:rsidRPr="002772D1">
        <w:rPr>
          <w:rFonts w:ascii="Book Antiqua" w:eastAsia="Book Antiqua" w:hAnsi="Book Antiqua" w:cs="Book Antiqua"/>
          <w:b/>
          <w:color w:val="000000"/>
        </w:rPr>
        <w:t>ast, present and future</w:t>
      </w:r>
      <w:r w:rsidR="00E50CE0" w:rsidRPr="002772D1">
        <w:rPr>
          <w:rFonts w:ascii="Book Antiqua" w:eastAsia="Book Antiqua" w:hAnsi="Book Antiqua" w:cs="Book Antiqua"/>
          <w:b/>
          <w:color w:val="000000"/>
        </w:rPr>
        <w:t xml:space="preserve"> </w:t>
      </w:r>
    </w:p>
    <w:bookmarkEnd w:id="0"/>
    <w:p w14:paraId="3D1AB0BA" w14:textId="77777777" w:rsidR="00A77B3E" w:rsidRPr="002772D1" w:rsidRDefault="00A77B3E" w:rsidP="00E06D87">
      <w:pPr>
        <w:spacing w:line="360" w:lineRule="auto"/>
        <w:jc w:val="both"/>
        <w:rPr>
          <w:rFonts w:ascii="Book Antiqua" w:hAnsi="Book Antiqua"/>
        </w:rPr>
      </w:pPr>
    </w:p>
    <w:p w14:paraId="43FAB459" w14:textId="5AA246DE" w:rsidR="00A77B3E" w:rsidRPr="002772D1" w:rsidRDefault="001E1895" w:rsidP="00E06D87">
      <w:pPr>
        <w:spacing w:line="360" w:lineRule="auto"/>
        <w:jc w:val="both"/>
        <w:rPr>
          <w:rFonts w:ascii="Book Antiqua" w:hAnsi="Book Antiqua"/>
          <w:lang w:val="fr-CH"/>
        </w:rPr>
      </w:pPr>
      <w:r w:rsidRPr="002772D1">
        <w:rPr>
          <w:rFonts w:ascii="Book Antiqua" w:eastAsia="Book Antiqua" w:hAnsi="Book Antiqua" w:cs="Book Antiqua"/>
          <w:color w:val="000000"/>
          <w:lang w:val="fr-CH"/>
        </w:rPr>
        <w:t>Chevallier M</w:t>
      </w:r>
      <w:r w:rsidRPr="002772D1">
        <w:rPr>
          <w:rFonts w:ascii="Book Antiqua" w:eastAsia="Book Antiqua" w:hAnsi="Book Antiqua" w:cs="Book Antiqua"/>
          <w:i/>
          <w:iCs/>
          <w:color w:val="000000"/>
          <w:lang w:val="fr-CH"/>
        </w:rPr>
        <w:t xml:space="preserve"> et al</w:t>
      </w:r>
      <w:r w:rsidRPr="002772D1">
        <w:rPr>
          <w:rFonts w:ascii="Book Antiqua" w:eastAsia="Book Antiqua" w:hAnsi="Book Antiqua" w:cs="Book Antiqua"/>
          <w:color w:val="000000"/>
          <w:lang w:val="fr-CH"/>
        </w:rPr>
        <w:t>. O</w:t>
      </w:r>
      <w:r w:rsidR="00664C60" w:rsidRPr="002772D1">
        <w:rPr>
          <w:rFonts w:ascii="Book Antiqua" w:eastAsia="Book Antiqua" w:hAnsi="Book Antiqua" w:cs="Book Antiqua"/>
          <w:color w:val="000000"/>
          <w:lang w:val="fr-CH"/>
        </w:rPr>
        <w:t>ncogenes in NSCLC</w:t>
      </w:r>
    </w:p>
    <w:p w14:paraId="03E59FF0" w14:textId="77777777" w:rsidR="00A77B3E" w:rsidRPr="002772D1" w:rsidRDefault="00A77B3E" w:rsidP="00E06D87">
      <w:pPr>
        <w:spacing w:line="360" w:lineRule="auto"/>
        <w:jc w:val="both"/>
        <w:rPr>
          <w:rFonts w:ascii="Book Antiqua" w:hAnsi="Book Antiqua"/>
          <w:lang w:val="fr-CH"/>
        </w:rPr>
      </w:pPr>
    </w:p>
    <w:p w14:paraId="1B35795B" w14:textId="77777777" w:rsidR="00A77B3E" w:rsidRPr="002772D1" w:rsidRDefault="00664C60" w:rsidP="00E06D87">
      <w:pPr>
        <w:spacing w:line="360" w:lineRule="auto"/>
        <w:jc w:val="both"/>
        <w:rPr>
          <w:rFonts w:ascii="Book Antiqua" w:hAnsi="Book Antiqua"/>
          <w:lang w:val="fr-CH"/>
        </w:rPr>
      </w:pPr>
      <w:r w:rsidRPr="002772D1">
        <w:rPr>
          <w:rFonts w:ascii="Book Antiqua" w:eastAsia="Book Antiqua" w:hAnsi="Book Antiqua" w:cs="Book Antiqua"/>
          <w:color w:val="000000"/>
          <w:lang w:val="fr-CH"/>
        </w:rPr>
        <w:t>Mathieu Chevallier, Maxime Borgeaud, Alfredo Addeo, Alex Friedlaender</w:t>
      </w:r>
    </w:p>
    <w:p w14:paraId="6D7D5041" w14:textId="77777777" w:rsidR="00A77B3E" w:rsidRPr="002772D1" w:rsidRDefault="00A77B3E" w:rsidP="00E06D87">
      <w:pPr>
        <w:spacing w:line="360" w:lineRule="auto"/>
        <w:jc w:val="both"/>
        <w:rPr>
          <w:rFonts w:ascii="Book Antiqua" w:hAnsi="Book Antiqua"/>
          <w:lang w:val="fr-CH"/>
        </w:rPr>
      </w:pPr>
    </w:p>
    <w:p w14:paraId="7B7CB04A" w14:textId="4708922D" w:rsidR="00A77B3E" w:rsidRPr="002772D1" w:rsidRDefault="00664C60" w:rsidP="00E06D87">
      <w:pPr>
        <w:spacing w:line="360" w:lineRule="auto"/>
        <w:jc w:val="both"/>
        <w:rPr>
          <w:rFonts w:ascii="Book Antiqua" w:hAnsi="Book Antiqua"/>
          <w:lang w:val="fr-CH"/>
        </w:rPr>
      </w:pPr>
      <w:r w:rsidRPr="002772D1">
        <w:rPr>
          <w:rFonts w:ascii="Book Antiqua" w:eastAsia="Book Antiqua" w:hAnsi="Book Antiqua" w:cs="Book Antiqua"/>
          <w:b/>
          <w:bCs/>
          <w:color w:val="000000"/>
          <w:lang w:val="fr-CH"/>
        </w:rPr>
        <w:t>Mathieu Chevallier, Maxime Borgeaud,</w:t>
      </w:r>
      <w:r w:rsidR="00627E9D" w:rsidRPr="002772D1">
        <w:rPr>
          <w:rFonts w:ascii="Book Antiqua" w:eastAsia="Book Antiqua" w:hAnsi="Book Antiqua" w:cs="Book Antiqua"/>
          <w:color w:val="000000"/>
          <w:lang w:val="fr-CH"/>
        </w:rPr>
        <w:t xml:space="preserve"> </w:t>
      </w:r>
      <w:r w:rsidR="00627E9D" w:rsidRPr="002772D1">
        <w:rPr>
          <w:rFonts w:ascii="Book Antiqua" w:eastAsia="Book Antiqua" w:hAnsi="Book Antiqua" w:cs="Book Antiqua"/>
          <w:b/>
          <w:bCs/>
          <w:color w:val="000000"/>
          <w:lang w:val="fr-CH"/>
        </w:rPr>
        <w:t xml:space="preserve">Alfredo Addeo, Alex Friedlaender, </w:t>
      </w:r>
      <w:r w:rsidR="00627E9D" w:rsidRPr="002772D1">
        <w:rPr>
          <w:rFonts w:ascii="Book Antiqua" w:eastAsia="Book Antiqua" w:hAnsi="Book Antiqua" w:cs="Book Antiqua"/>
          <w:color w:val="000000"/>
          <w:lang w:val="fr-CH"/>
        </w:rPr>
        <w:t>Department of</w:t>
      </w:r>
      <w:r w:rsidRPr="002772D1">
        <w:rPr>
          <w:rFonts w:ascii="Book Antiqua" w:eastAsia="Book Antiqua" w:hAnsi="Book Antiqua" w:cs="Book Antiqua"/>
          <w:b/>
          <w:bCs/>
          <w:color w:val="000000"/>
          <w:lang w:val="fr-CH"/>
        </w:rPr>
        <w:t xml:space="preserve"> </w:t>
      </w:r>
      <w:r w:rsidRPr="002772D1">
        <w:rPr>
          <w:rFonts w:ascii="Book Antiqua" w:eastAsia="Book Antiqua" w:hAnsi="Book Antiqua" w:cs="Book Antiqua"/>
          <w:color w:val="000000"/>
          <w:lang w:val="fr-CH"/>
        </w:rPr>
        <w:t>Oncology, University Hospital Geneva, Geneva 1205, Switzerland</w:t>
      </w:r>
    </w:p>
    <w:p w14:paraId="56EA93D1" w14:textId="77777777" w:rsidR="00A77B3E" w:rsidRPr="002772D1" w:rsidRDefault="00A77B3E" w:rsidP="00E06D87">
      <w:pPr>
        <w:spacing w:line="360" w:lineRule="auto"/>
        <w:jc w:val="both"/>
        <w:rPr>
          <w:rFonts w:ascii="Book Antiqua" w:hAnsi="Book Antiqua"/>
          <w:lang w:val="fr-CH"/>
        </w:rPr>
      </w:pPr>
    </w:p>
    <w:p w14:paraId="00359F48" w14:textId="7B56EBD9"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Alex Friedlaender, </w:t>
      </w:r>
      <w:r w:rsidR="00627E9D" w:rsidRPr="002772D1">
        <w:rPr>
          <w:rFonts w:ascii="Book Antiqua" w:eastAsia="Book Antiqua" w:hAnsi="Book Antiqua" w:cs="Book Antiqua"/>
          <w:color w:val="000000"/>
        </w:rPr>
        <w:t>Department of</w:t>
      </w:r>
      <w:r w:rsidR="00627E9D" w:rsidRPr="002772D1">
        <w:rPr>
          <w:rFonts w:ascii="Book Antiqua" w:eastAsia="Book Antiqua" w:hAnsi="Book Antiqua" w:cs="Book Antiqua"/>
          <w:b/>
          <w:bCs/>
          <w:color w:val="000000"/>
        </w:rPr>
        <w:t xml:space="preserve"> </w:t>
      </w:r>
      <w:r w:rsidRPr="002772D1">
        <w:rPr>
          <w:rFonts w:ascii="Book Antiqua" w:eastAsia="Book Antiqua" w:hAnsi="Book Antiqua" w:cs="Book Antiqua"/>
          <w:color w:val="000000"/>
        </w:rPr>
        <w:t>Oncology, Clinique Générale Beaulieu, Geneva 1206, Switzerland</w:t>
      </w:r>
    </w:p>
    <w:p w14:paraId="242C4548" w14:textId="77777777" w:rsidR="00A77B3E" w:rsidRPr="002772D1" w:rsidRDefault="00A77B3E" w:rsidP="00E06D87">
      <w:pPr>
        <w:spacing w:line="360" w:lineRule="auto"/>
        <w:jc w:val="both"/>
        <w:rPr>
          <w:rFonts w:ascii="Book Antiqua" w:hAnsi="Book Antiqua"/>
        </w:rPr>
      </w:pPr>
    </w:p>
    <w:p w14:paraId="516A9082" w14:textId="0952A67C"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Author contributions: </w:t>
      </w:r>
      <w:r w:rsidRPr="002772D1">
        <w:rPr>
          <w:rFonts w:ascii="Book Antiqua" w:eastAsia="Book Antiqua" w:hAnsi="Book Antiqua" w:cs="Book Antiqua"/>
          <w:color w:val="000000"/>
        </w:rPr>
        <w:t xml:space="preserve">Chevallier </w:t>
      </w:r>
      <w:r w:rsidR="00627E9D" w:rsidRPr="002772D1">
        <w:rPr>
          <w:rFonts w:ascii="Book Antiqua" w:eastAsia="Book Antiqua" w:hAnsi="Book Antiqua" w:cs="Book Antiqua"/>
          <w:color w:val="000000"/>
        </w:rPr>
        <w:t xml:space="preserve">M </w:t>
      </w:r>
      <w:r w:rsidRPr="002772D1">
        <w:rPr>
          <w:rFonts w:ascii="Book Antiqua" w:eastAsia="Book Antiqua" w:hAnsi="Book Antiqua" w:cs="Book Antiqua"/>
          <w:color w:val="000000"/>
        </w:rPr>
        <w:t xml:space="preserve">and Borgeaud </w:t>
      </w:r>
      <w:r w:rsidR="00627E9D" w:rsidRPr="002772D1">
        <w:rPr>
          <w:rFonts w:ascii="Book Antiqua" w:eastAsia="Book Antiqua" w:hAnsi="Book Antiqua" w:cs="Book Antiqua"/>
          <w:color w:val="000000"/>
        </w:rPr>
        <w:t xml:space="preserve">M </w:t>
      </w:r>
      <w:r w:rsidRPr="002772D1">
        <w:rPr>
          <w:rFonts w:ascii="Book Antiqua" w:eastAsia="Book Antiqua" w:hAnsi="Book Antiqua" w:cs="Book Antiqua"/>
          <w:color w:val="000000"/>
        </w:rPr>
        <w:t xml:space="preserve">contributed equally to this work; </w:t>
      </w:r>
      <w:r w:rsidR="00627E9D" w:rsidRPr="002772D1">
        <w:rPr>
          <w:rFonts w:ascii="Book Antiqua" w:eastAsia="Book Antiqua" w:hAnsi="Book Antiqua" w:cs="Book Antiqua"/>
          <w:color w:val="000000"/>
        </w:rPr>
        <w:t xml:space="preserve">the concept was from Addeo A and Friedlaender A; </w:t>
      </w:r>
      <w:r w:rsidRPr="002772D1">
        <w:rPr>
          <w:rFonts w:ascii="Book Antiqua" w:eastAsia="Book Antiqua" w:hAnsi="Book Antiqua" w:cs="Book Antiqua"/>
          <w:color w:val="000000"/>
        </w:rPr>
        <w:t>all authors participated in drafting</w:t>
      </w:r>
      <w:r w:rsidR="00627E9D"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editing the manuscript</w:t>
      </w:r>
      <w:r w:rsidR="00627E9D"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read and approve the final manuscript.</w:t>
      </w:r>
    </w:p>
    <w:p w14:paraId="003699AE" w14:textId="77777777" w:rsidR="00A77B3E" w:rsidRPr="002772D1" w:rsidRDefault="00A77B3E" w:rsidP="00E06D87">
      <w:pPr>
        <w:spacing w:line="360" w:lineRule="auto"/>
        <w:jc w:val="both"/>
        <w:rPr>
          <w:rFonts w:ascii="Book Antiqua" w:hAnsi="Book Antiqua"/>
        </w:rPr>
      </w:pPr>
    </w:p>
    <w:p w14:paraId="49B26281" w14:textId="2D9DD9C0"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Corresponding author: Alex Friedlaender, MD, Professor, </w:t>
      </w:r>
      <w:r w:rsidR="00AD675F" w:rsidRPr="002772D1">
        <w:rPr>
          <w:rFonts w:ascii="Book Antiqua" w:eastAsia="Book Antiqua" w:hAnsi="Book Antiqua" w:cs="Book Antiqua"/>
          <w:color w:val="000000"/>
        </w:rPr>
        <w:t>Department of</w:t>
      </w:r>
      <w:r w:rsidR="00AD675F" w:rsidRPr="002772D1">
        <w:rPr>
          <w:rFonts w:ascii="Book Antiqua" w:eastAsia="Book Antiqua" w:hAnsi="Book Antiqua" w:cs="Book Antiqua"/>
          <w:b/>
          <w:bCs/>
          <w:color w:val="000000"/>
        </w:rPr>
        <w:t xml:space="preserve"> </w:t>
      </w:r>
      <w:r w:rsidRPr="002772D1">
        <w:rPr>
          <w:rFonts w:ascii="Book Antiqua" w:eastAsia="Book Antiqua" w:hAnsi="Book Antiqua" w:cs="Book Antiqua"/>
          <w:color w:val="000000"/>
        </w:rPr>
        <w:t>Oncology, University Hospital Geneva, 4 rue Gabrielle-Perret Gentil, Geneva 1205, Switzerland. alex.friedlaender@hcuge.ch</w:t>
      </w:r>
    </w:p>
    <w:p w14:paraId="5B79D4D7" w14:textId="77777777" w:rsidR="00A77B3E" w:rsidRPr="002772D1" w:rsidRDefault="00A77B3E" w:rsidP="00E06D87">
      <w:pPr>
        <w:spacing w:line="360" w:lineRule="auto"/>
        <w:jc w:val="both"/>
        <w:rPr>
          <w:rFonts w:ascii="Book Antiqua" w:hAnsi="Book Antiqua"/>
        </w:rPr>
      </w:pPr>
    </w:p>
    <w:p w14:paraId="6BE72C7F"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Received: </w:t>
      </w:r>
      <w:r w:rsidRPr="002772D1">
        <w:rPr>
          <w:rFonts w:ascii="Book Antiqua" w:eastAsia="Book Antiqua" w:hAnsi="Book Antiqua" w:cs="Book Antiqua"/>
          <w:color w:val="000000"/>
        </w:rPr>
        <w:t>January 27, 2021</w:t>
      </w:r>
    </w:p>
    <w:p w14:paraId="1EA2EFA9"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Revised: </w:t>
      </w:r>
      <w:r w:rsidRPr="002772D1">
        <w:rPr>
          <w:rFonts w:ascii="Book Antiqua" w:eastAsia="Book Antiqua" w:hAnsi="Book Antiqua" w:cs="Book Antiqua"/>
          <w:color w:val="000000"/>
        </w:rPr>
        <w:t>March 5, 2021</w:t>
      </w:r>
    </w:p>
    <w:p w14:paraId="6BD0F30B" w14:textId="16854BD1"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Accepted: </w:t>
      </w:r>
      <w:r w:rsidR="00850CAE" w:rsidRPr="002772D1">
        <w:rPr>
          <w:rFonts w:ascii="Book Antiqua" w:eastAsia="Book Antiqua" w:hAnsi="Book Antiqua" w:cs="Book Antiqua"/>
          <w:color w:val="000000"/>
        </w:rPr>
        <w:t>April 7, 2021</w:t>
      </w:r>
    </w:p>
    <w:p w14:paraId="4A08E63B" w14:textId="2A5D73AD" w:rsidR="00A77B3E" w:rsidRPr="002772D1" w:rsidRDefault="00664C60" w:rsidP="00E06D87">
      <w:pPr>
        <w:spacing w:line="360" w:lineRule="auto"/>
        <w:jc w:val="both"/>
        <w:rPr>
          <w:rFonts w:ascii="Book Antiqua" w:hAnsi="Book Antiqua"/>
          <w:lang w:eastAsia="zh-CN"/>
        </w:rPr>
      </w:pPr>
      <w:r w:rsidRPr="002772D1">
        <w:rPr>
          <w:rFonts w:ascii="Book Antiqua" w:eastAsia="Book Antiqua" w:hAnsi="Book Antiqua" w:cs="Book Antiqua"/>
          <w:b/>
          <w:bCs/>
          <w:color w:val="000000"/>
        </w:rPr>
        <w:t>Published online:</w:t>
      </w:r>
      <w:r w:rsidRPr="002772D1">
        <w:rPr>
          <w:rFonts w:ascii="Book Antiqua" w:eastAsia="Book Antiqua" w:hAnsi="Book Antiqua" w:cs="Book Antiqua"/>
          <w:bCs/>
          <w:color w:val="000000"/>
        </w:rPr>
        <w:t xml:space="preserve"> </w:t>
      </w:r>
      <w:r w:rsidR="000F7F25" w:rsidRPr="002772D1">
        <w:rPr>
          <w:rFonts w:ascii="Book Antiqua" w:eastAsia="Book Antiqua" w:hAnsi="Book Antiqua" w:cs="Book Antiqua"/>
          <w:bCs/>
          <w:color w:val="000000"/>
        </w:rPr>
        <w:t>April 24</w:t>
      </w:r>
      <w:r w:rsidR="000F7F25" w:rsidRPr="002772D1">
        <w:rPr>
          <w:rFonts w:ascii="Book Antiqua" w:hAnsi="Book Antiqua" w:cs="Book Antiqua" w:hint="eastAsia"/>
          <w:bCs/>
          <w:color w:val="000000"/>
          <w:lang w:eastAsia="zh-CN"/>
        </w:rPr>
        <w:t>, 2021</w:t>
      </w:r>
    </w:p>
    <w:p w14:paraId="52753B60" w14:textId="77777777" w:rsidR="00A77B3E" w:rsidRPr="002772D1" w:rsidRDefault="00A77B3E" w:rsidP="00E06D87">
      <w:pPr>
        <w:spacing w:line="360" w:lineRule="auto"/>
        <w:jc w:val="both"/>
        <w:rPr>
          <w:rFonts w:ascii="Book Antiqua" w:hAnsi="Book Antiqua"/>
        </w:rPr>
        <w:sectPr w:rsidR="00A77B3E" w:rsidRPr="002772D1">
          <w:footerReference w:type="default" r:id="rId8"/>
          <w:pgSz w:w="12240" w:h="15840"/>
          <w:pgMar w:top="1440" w:right="1440" w:bottom="1440" w:left="1440" w:header="720" w:footer="720" w:gutter="0"/>
          <w:cols w:space="720"/>
          <w:docGrid w:linePitch="360"/>
        </w:sectPr>
      </w:pPr>
    </w:p>
    <w:p w14:paraId="7673B8D3"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lastRenderedPageBreak/>
        <w:t>Abstract</w:t>
      </w:r>
    </w:p>
    <w:p w14:paraId="50866685" w14:textId="56728D0A"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Lung cancer, of which non-small lung cancer is the most common subtype, represents the leading cause of cancer related-death worldwide. It is now recognized that a significant proportion of these patients present alterations in certain genes that drive oncogenesis. In recent years, more of these so-called oncogenic drivers have been identified, and a better understanding of their biology has allowed the development new targeted agents. This review aims to provide an update about the current landscape of driver mutation in non-small-cell lung cancer. Alterations in </w:t>
      </w:r>
      <w:r w:rsidR="005E5AFC" w:rsidRPr="002772D1">
        <w:rPr>
          <w:rFonts w:ascii="Book Antiqua" w:eastAsia="Book Antiqua" w:hAnsi="Book Antiqua" w:cs="Book Antiqua"/>
          <w:i/>
          <w:iCs/>
          <w:color w:val="000000"/>
        </w:rPr>
        <w:t>K</w:t>
      </w:r>
      <w:r w:rsidR="00067119" w:rsidRPr="002772D1">
        <w:rPr>
          <w:rFonts w:ascii="Book Antiqua" w:eastAsia="Book Antiqua" w:hAnsi="Book Antiqua" w:cs="Book Antiqua"/>
          <w:i/>
          <w:iCs/>
          <w:color w:val="000000"/>
        </w:rPr>
        <w:t xml:space="preserve">irsten </w:t>
      </w:r>
      <w:r w:rsidR="005E5AFC" w:rsidRPr="002772D1">
        <w:rPr>
          <w:rFonts w:ascii="Book Antiqua" w:eastAsia="Book Antiqua" w:hAnsi="Book Antiqua" w:cs="Book Antiqua"/>
          <w:i/>
          <w:iCs/>
          <w:color w:val="000000"/>
        </w:rPr>
        <w:t>r</w:t>
      </w:r>
      <w:r w:rsidR="00067119" w:rsidRPr="002772D1">
        <w:rPr>
          <w:rFonts w:ascii="Book Antiqua" w:eastAsia="Book Antiqua" w:hAnsi="Book Antiqua" w:cs="Book Antiqua"/>
          <w:i/>
          <w:iCs/>
          <w:color w:val="000000"/>
        </w:rPr>
        <w:t xml:space="preserve">at </w:t>
      </w:r>
      <w:r w:rsidR="005E5AFC" w:rsidRPr="002772D1">
        <w:rPr>
          <w:rFonts w:ascii="Book Antiqua" w:eastAsia="Book Antiqua" w:hAnsi="Book Antiqua" w:cs="Book Antiqua"/>
          <w:i/>
          <w:iCs/>
          <w:color w:val="000000"/>
        </w:rPr>
        <w:t>s</w:t>
      </w:r>
      <w:r w:rsidR="00067119" w:rsidRPr="002772D1">
        <w:rPr>
          <w:rFonts w:ascii="Book Antiqua" w:eastAsia="Book Antiqua" w:hAnsi="Book Antiqua" w:cs="Book Antiqua"/>
          <w:i/>
          <w:iCs/>
          <w:color w:val="000000"/>
        </w:rPr>
        <w:t>arcoma</w:t>
      </w:r>
      <w:r w:rsidRPr="002772D1">
        <w:rPr>
          <w:rFonts w:ascii="Book Antiqua" w:eastAsia="Book Antiqua" w:hAnsi="Book Antiqua" w:cs="Book Antiqua"/>
          <w:i/>
          <w:iCs/>
          <w:color w:val="000000"/>
        </w:rPr>
        <w:t xml:space="preserve">, </w:t>
      </w:r>
      <w:r w:rsidR="00067119" w:rsidRPr="002772D1">
        <w:rPr>
          <w:rFonts w:ascii="Book Antiqua" w:eastAsia="Book Antiqua" w:hAnsi="Book Antiqua" w:cs="Book Antiqua"/>
          <w:i/>
          <w:iCs/>
          <w:color w:val="000000"/>
        </w:rPr>
        <w:t>epidermal growth factor receptor</w:t>
      </w:r>
      <w:r w:rsidRPr="002772D1">
        <w:rPr>
          <w:rFonts w:ascii="Book Antiqua" w:eastAsia="Book Antiqua" w:hAnsi="Book Antiqua" w:cs="Book Antiqua"/>
          <w:i/>
          <w:iCs/>
          <w:color w:val="000000"/>
        </w:rPr>
        <w:t xml:space="preserve">, </w:t>
      </w:r>
      <w:r w:rsidR="001C486E" w:rsidRPr="002772D1">
        <w:rPr>
          <w:rFonts w:ascii="Book Antiqua" w:eastAsia="Book Antiqua" w:hAnsi="Book Antiqua" w:cs="Book Antiqua"/>
          <w:i/>
          <w:iCs/>
          <w:color w:val="000000"/>
        </w:rPr>
        <w:t>MET</w:t>
      </w:r>
      <w:r w:rsidRPr="002772D1">
        <w:rPr>
          <w:rFonts w:ascii="Book Antiqua" w:eastAsia="Book Antiqua" w:hAnsi="Book Antiqua" w:cs="Book Antiqua"/>
          <w:i/>
          <w:iCs/>
          <w:color w:val="000000"/>
        </w:rPr>
        <w:t xml:space="preserve">, </w:t>
      </w:r>
      <w:r w:rsidR="00067119" w:rsidRPr="002772D1">
        <w:rPr>
          <w:rFonts w:ascii="Book Antiqua" w:eastAsia="Book Antiqua" w:hAnsi="Book Antiqua" w:cs="Book Antiqua"/>
          <w:i/>
          <w:iCs/>
          <w:color w:val="000000"/>
        </w:rPr>
        <w:t>anaplastic lymphoma kinase</w:t>
      </w:r>
      <w:r w:rsidRPr="002772D1">
        <w:rPr>
          <w:rFonts w:ascii="Book Antiqua" w:eastAsia="Book Antiqua" w:hAnsi="Book Antiqua" w:cs="Book Antiqua"/>
          <w:i/>
          <w:iCs/>
          <w:color w:val="000000"/>
        </w:rPr>
        <w:t xml:space="preserve">, </w:t>
      </w:r>
      <w:r w:rsidR="00067119" w:rsidRPr="002772D1">
        <w:rPr>
          <w:rFonts w:ascii="Book Antiqua" w:eastAsia="Book Antiqua" w:hAnsi="Book Antiqua" w:cs="Book Antiqua"/>
          <w:i/>
          <w:iCs/>
          <w:color w:val="000000"/>
        </w:rPr>
        <w:t>c-ROS oncogene 1</w:t>
      </w:r>
      <w:r w:rsidRPr="002772D1">
        <w:rPr>
          <w:rFonts w:ascii="Book Antiqua" w:eastAsia="Book Antiqua" w:hAnsi="Book Antiqua" w:cs="Book Antiqua"/>
          <w:i/>
          <w:iCs/>
          <w:color w:val="000000"/>
        </w:rPr>
        <w:t xml:space="preserve">, </w:t>
      </w:r>
      <w:r w:rsidR="00BB7718" w:rsidRPr="002772D1">
        <w:rPr>
          <w:rFonts w:ascii="Book Antiqua" w:eastAsia="Book Antiqua" w:hAnsi="Book Antiqua" w:cs="Book Antiqua"/>
          <w:i/>
          <w:iCs/>
          <w:color w:val="000000"/>
        </w:rPr>
        <w:t>v-raf murine sarcoma viral oncogene homolog B</w:t>
      </w:r>
      <w:r w:rsidRPr="002772D1">
        <w:rPr>
          <w:rFonts w:ascii="Book Antiqua" w:eastAsia="Book Antiqua" w:hAnsi="Book Antiqua" w:cs="Book Antiqua"/>
          <w:i/>
          <w:iCs/>
          <w:color w:val="000000"/>
        </w:rPr>
        <w:t xml:space="preserve">, </w:t>
      </w:r>
      <w:r w:rsidR="00067119" w:rsidRPr="002772D1">
        <w:rPr>
          <w:rFonts w:ascii="Book Antiqua" w:eastAsia="Book Antiqua" w:hAnsi="Book Antiqua" w:cs="Book Antiqua"/>
          <w:i/>
          <w:iCs/>
          <w:color w:val="000000"/>
        </w:rPr>
        <w:t>neurotrophic receptor tyrosine kinase</w:t>
      </w:r>
      <w:r w:rsidRPr="002772D1">
        <w:rPr>
          <w:rFonts w:ascii="Book Antiqua" w:eastAsia="Book Antiqua" w:hAnsi="Book Antiqua" w:cs="Book Antiqua"/>
          <w:i/>
          <w:iCs/>
          <w:color w:val="000000"/>
        </w:rPr>
        <w:t xml:space="preserve">, </w:t>
      </w:r>
      <w:r w:rsidR="00067119" w:rsidRPr="002772D1">
        <w:rPr>
          <w:rFonts w:ascii="Book Antiqua" w:eastAsia="Book Antiqua" w:hAnsi="Book Antiqua" w:cs="Book Antiqua"/>
          <w:i/>
          <w:iCs/>
          <w:color w:val="000000"/>
        </w:rPr>
        <w:t>human epidermal growth factor 2</w:t>
      </w:r>
      <w:r w:rsidRPr="002772D1">
        <w:rPr>
          <w:rFonts w:ascii="Book Antiqua" w:eastAsia="Book Antiqua" w:hAnsi="Book Antiqua" w:cs="Book Antiqua"/>
          <w:i/>
          <w:iCs/>
          <w:color w:val="000000"/>
        </w:rPr>
        <w:t xml:space="preserve">, </w:t>
      </w:r>
      <w:r w:rsidR="00067119" w:rsidRPr="002772D1">
        <w:rPr>
          <w:rFonts w:ascii="Book Antiqua" w:eastAsia="Book Antiqua" w:hAnsi="Book Antiqua" w:cs="Book Antiqua"/>
          <w:i/>
          <w:iCs/>
          <w:color w:val="000000"/>
        </w:rPr>
        <w:t>neuregulin-1</w:t>
      </w:r>
      <w:r w:rsidRPr="002772D1">
        <w:rPr>
          <w:rFonts w:ascii="Book Antiqua" w:eastAsia="Book Antiqua" w:hAnsi="Book Antiqua" w:cs="Book Antiqua"/>
          <w:color w:val="000000"/>
        </w:rPr>
        <w:t xml:space="preserve"> and </w:t>
      </w:r>
      <w:r w:rsidR="00067119" w:rsidRPr="002772D1">
        <w:rPr>
          <w:rFonts w:ascii="Book Antiqua" w:eastAsia="Book Antiqua" w:hAnsi="Book Antiqua" w:cs="Book Antiqua"/>
          <w:i/>
          <w:iCs/>
          <w:color w:val="000000"/>
        </w:rPr>
        <w:t>rearranged during transfection</w:t>
      </w:r>
      <w:r w:rsidRPr="002772D1">
        <w:rPr>
          <w:rFonts w:ascii="Book Antiqua" w:eastAsia="Book Antiqua" w:hAnsi="Book Antiqua" w:cs="Book Antiqua"/>
          <w:color w:val="000000"/>
        </w:rPr>
        <w:t xml:space="preserve"> are discussed, as well as agents targeting these alterations. Current standards of treatment as well as promising future strategies are presented. Currently, more than fifteen targeted agents are </w:t>
      </w:r>
      <w:r w:rsidR="005E5AFC" w:rsidRPr="002772D1">
        <w:rPr>
          <w:rFonts w:ascii="Book Antiqua" w:eastAsia="Book Antiqua" w:hAnsi="Book Antiqua" w:cs="Book Antiqua"/>
          <w:color w:val="000000"/>
        </w:rPr>
        <w:t>food and Drug administration</w:t>
      </w:r>
      <w:r w:rsidRPr="002772D1">
        <w:rPr>
          <w:rFonts w:ascii="Book Antiqua" w:eastAsia="Book Antiqua" w:hAnsi="Book Antiqua" w:cs="Book Antiqua"/>
          <w:color w:val="000000"/>
        </w:rPr>
        <w:t xml:space="preserve">-approved for seven oncogenic drivers in non-small-cell lung cancer, highlighting the </w:t>
      </w:r>
      <w:r w:rsidRPr="002772D1">
        <w:rPr>
          <w:rFonts w:ascii="Book Antiqua" w:eastAsia="Book Antiqua" w:hAnsi="Book Antiqua" w:cs="Book Antiqua"/>
          <w:color w:val="000000"/>
          <w:shd w:val="clear" w:color="auto" w:fill="FFFFFF"/>
        </w:rPr>
        <w:t>importance of actively searching for these mutations. Continuous and future efforts made in defining the biology of each of these alterations will help to elucidate their respective resistance mechanisms,</w:t>
      </w:r>
      <w:r w:rsidRPr="002772D1">
        <w:rPr>
          <w:rFonts w:ascii="Book Antiqua" w:eastAsia="Book Antiqua" w:hAnsi="Book Antiqua" w:cs="Book Antiqua"/>
          <w:color w:val="000000"/>
        </w:rPr>
        <w:t xml:space="preserve"> and to define the best treatment strategy and therapeutic sequence.</w:t>
      </w:r>
    </w:p>
    <w:p w14:paraId="4F17DD7F" w14:textId="77777777" w:rsidR="00A77B3E" w:rsidRPr="002772D1" w:rsidRDefault="00A77B3E" w:rsidP="00E06D87">
      <w:pPr>
        <w:spacing w:line="360" w:lineRule="auto"/>
        <w:jc w:val="both"/>
        <w:rPr>
          <w:rFonts w:ascii="Book Antiqua" w:hAnsi="Book Antiqua"/>
        </w:rPr>
      </w:pPr>
    </w:p>
    <w:p w14:paraId="61994187" w14:textId="751FCEE8"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Key Words: </w:t>
      </w:r>
      <w:r w:rsidRPr="002772D1">
        <w:rPr>
          <w:rFonts w:ascii="Book Antiqua" w:eastAsia="Book Antiqua" w:hAnsi="Book Antiqua" w:cs="Book Antiqua"/>
          <w:color w:val="000000"/>
        </w:rPr>
        <w:t>Non-</w:t>
      </w:r>
      <w:r w:rsidR="0089110F" w:rsidRPr="002772D1">
        <w:rPr>
          <w:rFonts w:ascii="Book Antiqua" w:eastAsia="Book Antiqua" w:hAnsi="Book Antiqua" w:cs="Book Antiqua"/>
          <w:color w:val="000000"/>
        </w:rPr>
        <w:t>s</w:t>
      </w:r>
      <w:r w:rsidRPr="002772D1">
        <w:rPr>
          <w:rFonts w:ascii="Book Antiqua" w:eastAsia="Book Antiqua" w:hAnsi="Book Antiqua" w:cs="Book Antiqua"/>
          <w:color w:val="000000"/>
        </w:rPr>
        <w:t xml:space="preserve">mall </w:t>
      </w:r>
      <w:r w:rsidR="0089110F" w:rsidRPr="002772D1">
        <w:rPr>
          <w:rFonts w:ascii="Book Antiqua" w:eastAsia="Book Antiqua" w:hAnsi="Book Antiqua" w:cs="Book Antiqua"/>
          <w:color w:val="000000"/>
        </w:rPr>
        <w:t>c</w:t>
      </w:r>
      <w:r w:rsidRPr="002772D1">
        <w:rPr>
          <w:rFonts w:ascii="Book Antiqua" w:eastAsia="Book Antiqua" w:hAnsi="Book Antiqua" w:cs="Book Antiqua"/>
          <w:color w:val="000000"/>
        </w:rPr>
        <w:t xml:space="preserve">ell </w:t>
      </w:r>
      <w:r w:rsidR="0089110F" w:rsidRPr="002772D1">
        <w:rPr>
          <w:rFonts w:ascii="Book Antiqua" w:eastAsia="Book Antiqua" w:hAnsi="Book Antiqua" w:cs="Book Antiqua"/>
          <w:color w:val="000000"/>
        </w:rPr>
        <w:t>l</w:t>
      </w:r>
      <w:r w:rsidRPr="002772D1">
        <w:rPr>
          <w:rFonts w:ascii="Book Antiqua" w:eastAsia="Book Antiqua" w:hAnsi="Book Antiqua" w:cs="Book Antiqua"/>
          <w:color w:val="000000"/>
        </w:rPr>
        <w:t xml:space="preserve">ung </w:t>
      </w:r>
      <w:r w:rsidR="0089110F" w:rsidRPr="002772D1">
        <w:rPr>
          <w:rFonts w:ascii="Book Antiqua" w:eastAsia="Book Antiqua" w:hAnsi="Book Antiqua" w:cs="Book Antiqua"/>
          <w:color w:val="000000"/>
        </w:rPr>
        <w:t>c</w:t>
      </w:r>
      <w:r w:rsidRPr="002772D1">
        <w:rPr>
          <w:rFonts w:ascii="Book Antiqua" w:eastAsia="Book Antiqua" w:hAnsi="Book Antiqua" w:cs="Book Antiqua"/>
          <w:color w:val="000000"/>
        </w:rPr>
        <w:t>ancer; Driver mutations; Tyrosine kinase inhibitors; Targeted agents; Oncogenes</w:t>
      </w:r>
    </w:p>
    <w:p w14:paraId="4F73C390" w14:textId="77777777" w:rsidR="00A77B3E" w:rsidRPr="002772D1" w:rsidRDefault="00A77B3E" w:rsidP="00E06D87">
      <w:pPr>
        <w:spacing w:line="360" w:lineRule="auto"/>
        <w:jc w:val="both"/>
        <w:rPr>
          <w:rFonts w:ascii="Book Antiqua" w:hAnsi="Book Antiqua" w:hint="eastAsia"/>
          <w:lang w:eastAsia="zh-CN"/>
        </w:rPr>
      </w:pPr>
    </w:p>
    <w:p w14:paraId="63C17745" w14:textId="77777777" w:rsidR="002772D1" w:rsidRPr="002772D1" w:rsidRDefault="002772D1" w:rsidP="002772D1">
      <w:pPr>
        <w:spacing w:line="360" w:lineRule="auto"/>
        <w:jc w:val="both"/>
        <w:rPr>
          <w:rFonts w:ascii="Book Antiqua" w:eastAsia="Book Antiqua" w:hAnsi="Book Antiqua" w:cs="Book Antiqua"/>
          <w:color w:val="000000"/>
        </w:rPr>
      </w:pPr>
      <w:proofErr w:type="gramStart"/>
      <w:r w:rsidRPr="002772D1">
        <w:rPr>
          <w:rFonts w:ascii="Book Antiqua" w:eastAsia="Book Antiqua" w:hAnsi="Book Antiqua" w:cs="Book Antiqua"/>
          <w:b/>
          <w:color w:val="000000"/>
        </w:rPr>
        <w:t>©The</w:t>
      </w:r>
      <w:r w:rsidRPr="002772D1">
        <w:rPr>
          <w:rFonts w:ascii="Book Antiqua" w:eastAsia="Book Antiqua" w:hAnsi="Book Antiqua" w:cs="Book Antiqua"/>
          <w:color w:val="000000"/>
        </w:rPr>
        <w:t xml:space="preserve"> </w:t>
      </w:r>
      <w:r w:rsidRPr="002772D1">
        <w:rPr>
          <w:rFonts w:ascii="Book Antiqua" w:eastAsia="Book Antiqua" w:hAnsi="Book Antiqua" w:cs="Book Antiqua"/>
          <w:b/>
          <w:color w:val="000000"/>
        </w:rPr>
        <w:t>Author(s) 2021.</w:t>
      </w:r>
      <w:proofErr w:type="gramEnd"/>
      <w:r w:rsidRPr="002772D1">
        <w:rPr>
          <w:rFonts w:ascii="Book Antiqua" w:eastAsia="Book Antiqua" w:hAnsi="Book Antiqua" w:cs="Book Antiqua"/>
          <w:b/>
          <w:color w:val="000000"/>
        </w:rPr>
        <w:t xml:space="preserve"> </w:t>
      </w:r>
      <w:proofErr w:type="gramStart"/>
      <w:r w:rsidRPr="002772D1">
        <w:rPr>
          <w:rFonts w:ascii="Book Antiqua" w:eastAsia="Book Antiqua" w:hAnsi="Book Antiqua" w:cs="Book Antiqua"/>
          <w:color w:val="000000"/>
        </w:rPr>
        <w:t>Published by Baishideng Publishing Group Inc.</w:t>
      </w:r>
      <w:proofErr w:type="gramEnd"/>
      <w:r w:rsidRPr="002772D1">
        <w:rPr>
          <w:rFonts w:ascii="Book Antiqua" w:eastAsia="Book Antiqua" w:hAnsi="Book Antiqua" w:cs="Book Antiqua"/>
          <w:color w:val="000000"/>
        </w:rPr>
        <w:t xml:space="preserve"> All rights reserved. </w:t>
      </w:r>
    </w:p>
    <w:p w14:paraId="4C9638D2" w14:textId="77777777" w:rsidR="002772D1" w:rsidRPr="002772D1" w:rsidRDefault="002772D1" w:rsidP="00E06D87">
      <w:pPr>
        <w:spacing w:line="360" w:lineRule="auto"/>
        <w:jc w:val="both"/>
        <w:rPr>
          <w:rFonts w:ascii="Book Antiqua" w:hAnsi="Book Antiqua" w:hint="eastAsia"/>
          <w:lang w:eastAsia="zh-CN"/>
        </w:rPr>
      </w:pPr>
    </w:p>
    <w:p w14:paraId="7A8865C5" w14:textId="0076B67E" w:rsidR="002772D1" w:rsidRPr="002772D1" w:rsidRDefault="002772D1" w:rsidP="00E06D87">
      <w:pPr>
        <w:spacing w:line="360" w:lineRule="auto"/>
        <w:jc w:val="both"/>
        <w:rPr>
          <w:rFonts w:ascii="Book Antiqua" w:hAnsi="Book Antiqua" w:cs="Book Antiqua" w:hint="eastAsia"/>
          <w:color w:val="000000"/>
          <w:lang w:eastAsia="zh-CN"/>
        </w:rPr>
      </w:pPr>
      <w:r w:rsidRPr="002772D1">
        <w:rPr>
          <w:rFonts w:ascii="Book Antiqua" w:hAnsi="Book Antiqua" w:cs="Book Antiqua" w:hint="eastAsia"/>
          <w:b/>
          <w:color w:val="000000"/>
          <w:lang w:eastAsia="zh-CN"/>
        </w:rPr>
        <w:t>Citation:</w:t>
      </w:r>
      <w:r w:rsidRPr="002772D1">
        <w:rPr>
          <w:rFonts w:ascii="Book Antiqua" w:hAnsi="Book Antiqua" w:cs="Book Antiqua" w:hint="eastAsia"/>
          <w:color w:val="000000"/>
          <w:lang w:eastAsia="zh-CN"/>
        </w:rPr>
        <w:t xml:space="preserve"> </w:t>
      </w:r>
      <w:r w:rsidR="00664C60" w:rsidRPr="002772D1">
        <w:rPr>
          <w:rFonts w:ascii="Book Antiqua" w:eastAsia="Book Antiqua" w:hAnsi="Book Antiqua" w:cs="Book Antiqua"/>
          <w:color w:val="000000"/>
        </w:rPr>
        <w:t xml:space="preserve">Chevallier M, Borgeaud M, Addeo A, Friedlaender A. </w:t>
      </w:r>
      <w:r w:rsidR="00E50CE0" w:rsidRPr="002772D1">
        <w:rPr>
          <w:rFonts w:ascii="Book Antiqua" w:eastAsia="Book Antiqua" w:hAnsi="Book Antiqua" w:cs="Book Antiqua"/>
          <w:bCs/>
          <w:color w:val="000000"/>
        </w:rPr>
        <w:t>Oncogenic driver mutations in non-small cell lung cancer: Past, present and future</w:t>
      </w:r>
      <w:r w:rsidR="00664C60" w:rsidRPr="002772D1">
        <w:rPr>
          <w:rFonts w:ascii="Book Antiqua" w:eastAsia="Book Antiqua" w:hAnsi="Book Antiqua" w:cs="Book Antiqua"/>
          <w:color w:val="000000"/>
        </w:rPr>
        <w:t xml:space="preserve">. </w:t>
      </w:r>
      <w:r w:rsidR="00664C60" w:rsidRPr="002772D1">
        <w:rPr>
          <w:rFonts w:ascii="Book Antiqua" w:eastAsia="Book Antiqua" w:hAnsi="Book Antiqua" w:cs="Book Antiqua"/>
          <w:i/>
          <w:iCs/>
          <w:color w:val="000000"/>
        </w:rPr>
        <w:t>World J Clin Oncol</w:t>
      </w:r>
      <w:r w:rsidR="00664C60" w:rsidRPr="002772D1">
        <w:rPr>
          <w:rFonts w:ascii="Book Antiqua" w:eastAsia="Book Antiqua" w:hAnsi="Book Antiqua" w:cs="Book Antiqua"/>
          <w:color w:val="000000"/>
        </w:rPr>
        <w:t xml:space="preserve"> 2021; </w:t>
      </w:r>
      <w:r w:rsidR="000F7F25" w:rsidRPr="002772D1">
        <w:rPr>
          <w:rFonts w:ascii="Book Antiqua" w:eastAsia="Book Antiqua" w:hAnsi="Book Antiqua" w:cs="Book Antiqua" w:hint="eastAsia"/>
          <w:color w:val="000000"/>
        </w:rPr>
        <w:t>12(</w:t>
      </w:r>
      <w:r w:rsidR="000F7F25" w:rsidRPr="002772D1">
        <w:rPr>
          <w:rFonts w:ascii="Book Antiqua" w:hAnsi="Book Antiqua" w:cs="Book Antiqua" w:hint="eastAsia"/>
          <w:color w:val="000000"/>
          <w:lang w:eastAsia="zh-CN"/>
        </w:rPr>
        <w:t>4</w:t>
      </w:r>
      <w:r w:rsidR="000F7F25" w:rsidRPr="002772D1">
        <w:rPr>
          <w:rFonts w:ascii="Book Antiqua" w:eastAsia="Book Antiqua" w:hAnsi="Book Antiqua" w:cs="Book Antiqua" w:hint="eastAsia"/>
          <w:color w:val="000000"/>
        </w:rPr>
        <w:t xml:space="preserve">): </w:t>
      </w:r>
      <w:r w:rsidRPr="002772D1">
        <w:rPr>
          <w:rFonts w:ascii="Book Antiqua" w:eastAsia="Book Antiqua" w:hAnsi="Book Antiqua" w:cs="Book Antiqua" w:hint="eastAsia"/>
          <w:color w:val="000000"/>
        </w:rPr>
        <w:t>217</w:t>
      </w:r>
      <w:r w:rsidR="000F7F25" w:rsidRPr="002772D1">
        <w:rPr>
          <w:rFonts w:ascii="Book Antiqua" w:eastAsia="Book Antiqua" w:hAnsi="Book Antiqua" w:cs="Book Antiqua" w:hint="eastAsia"/>
          <w:color w:val="000000"/>
        </w:rPr>
        <w:t>-</w:t>
      </w:r>
      <w:r w:rsidRPr="002772D1">
        <w:rPr>
          <w:rFonts w:ascii="Book Antiqua" w:eastAsia="Book Antiqua" w:hAnsi="Book Antiqua" w:cs="Book Antiqua" w:hint="eastAsia"/>
          <w:color w:val="000000"/>
        </w:rPr>
        <w:t>237</w:t>
      </w:r>
    </w:p>
    <w:p w14:paraId="0DC08132" w14:textId="04EEC96E" w:rsidR="002772D1" w:rsidRPr="002772D1" w:rsidRDefault="000F7F25" w:rsidP="00E06D87">
      <w:pPr>
        <w:spacing w:line="360" w:lineRule="auto"/>
        <w:jc w:val="both"/>
        <w:rPr>
          <w:rFonts w:ascii="Book Antiqua" w:hAnsi="Book Antiqua" w:cs="Book Antiqua" w:hint="eastAsia"/>
          <w:color w:val="000000"/>
          <w:lang w:eastAsia="zh-CN"/>
        </w:rPr>
      </w:pPr>
      <w:r w:rsidRPr="002772D1">
        <w:rPr>
          <w:rFonts w:ascii="Book Antiqua" w:hAnsi="Book Antiqua" w:cs="Book Antiqua" w:hint="eastAsia"/>
          <w:b/>
          <w:color w:val="000000"/>
          <w:lang w:eastAsia="zh-CN"/>
        </w:rPr>
        <w:t xml:space="preserve">URL: </w:t>
      </w:r>
      <w:r w:rsidRPr="002772D1">
        <w:rPr>
          <w:rFonts w:ascii="Book Antiqua" w:eastAsia="Book Antiqua" w:hAnsi="Book Antiqua" w:cs="Book Antiqua" w:hint="eastAsia"/>
          <w:color w:val="000000"/>
        </w:rPr>
        <w:t>https://www.wjgnet.com/2218-4333/full/v12/i</w:t>
      </w:r>
      <w:r w:rsidRPr="002772D1">
        <w:rPr>
          <w:rFonts w:ascii="Book Antiqua" w:hAnsi="Book Antiqua" w:cs="Book Antiqua" w:hint="eastAsia"/>
          <w:color w:val="000000"/>
          <w:lang w:eastAsia="zh-CN"/>
        </w:rPr>
        <w:t>4</w:t>
      </w:r>
      <w:r w:rsidRPr="002772D1">
        <w:rPr>
          <w:rFonts w:ascii="Book Antiqua" w:eastAsia="Book Antiqua" w:hAnsi="Book Antiqua" w:cs="Book Antiqua" w:hint="eastAsia"/>
          <w:color w:val="000000"/>
        </w:rPr>
        <w:t>/</w:t>
      </w:r>
      <w:r w:rsidR="002772D1" w:rsidRPr="002772D1">
        <w:rPr>
          <w:rFonts w:ascii="Book Antiqua" w:eastAsia="Book Antiqua" w:hAnsi="Book Antiqua" w:cs="Book Antiqua" w:hint="eastAsia"/>
          <w:color w:val="000000"/>
        </w:rPr>
        <w:t>217</w:t>
      </w:r>
      <w:r w:rsidRPr="002772D1">
        <w:rPr>
          <w:rFonts w:ascii="Book Antiqua" w:eastAsia="Book Antiqua" w:hAnsi="Book Antiqua" w:cs="Book Antiqua" w:hint="eastAsia"/>
          <w:color w:val="000000"/>
        </w:rPr>
        <w:t xml:space="preserve">.htm  </w:t>
      </w:r>
    </w:p>
    <w:p w14:paraId="27225E41" w14:textId="6302A496" w:rsidR="00A77B3E" w:rsidRPr="002772D1" w:rsidRDefault="000F7F25" w:rsidP="00E06D87">
      <w:pPr>
        <w:spacing w:line="360" w:lineRule="auto"/>
        <w:jc w:val="both"/>
        <w:rPr>
          <w:rFonts w:ascii="Book Antiqua" w:hAnsi="Book Antiqua"/>
        </w:rPr>
      </w:pPr>
      <w:r w:rsidRPr="002772D1">
        <w:rPr>
          <w:rFonts w:ascii="Book Antiqua" w:hAnsi="Book Antiqua" w:cs="Book Antiqua" w:hint="eastAsia"/>
          <w:b/>
          <w:color w:val="000000"/>
          <w:lang w:eastAsia="zh-CN"/>
        </w:rPr>
        <w:lastRenderedPageBreak/>
        <w:t>DOI:</w:t>
      </w:r>
      <w:r w:rsidRPr="002772D1">
        <w:rPr>
          <w:rFonts w:ascii="Book Antiqua" w:eastAsia="Book Antiqua" w:hAnsi="Book Antiqua" w:cs="Book Antiqua" w:hint="eastAsia"/>
          <w:color w:val="000000"/>
        </w:rPr>
        <w:t xml:space="preserve"> https://dx.doi.org/10.5306/wjco.v12.i</w:t>
      </w:r>
      <w:r w:rsidRPr="002772D1">
        <w:rPr>
          <w:rFonts w:ascii="Book Antiqua" w:hAnsi="Book Antiqua" w:cs="Book Antiqua" w:hint="eastAsia"/>
          <w:color w:val="000000"/>
          <w:lang w:eastAsia="zh-CN"/>
        </w:rPr>
        <w:t>4</w:t>
      </w:r>
      <w:r w:rsidRPr="002772D1">
        <w:rPr>
          <w:rFonts w:ascii="Book Antiqua" w:eastAsia="Book Antiqua" w:hAnsi="Book Antiqua" w:cs="Book Antiqua" w:hint="eastAsia"/>
          <w:color w:val="000000"/>
        </w:rPr>
        <w:t>.</w:t>
      </w:r>
      <w:r w:rsidR="002772D1" w:rsidRPr="002772D1">
        <w:rPr>
          <w:rFonts w:ascii="Book Antiqua" w:eastAsia="Book Antiqua" w:hAnsi="Book Antiqua" w:cs="Book Antiqua" w:hint="eastAsia"/>
          <w:color w:val="000000"/>
        </w:rPr>
        <w:t>217</w:t>
      </w:r>
    </w:p>
    <w:p w14:paraId="6C86AF83" w14:textId="77777777" w:rsidR="00A77B3E" w:rsidRPr="002772D1" w:rsidRDefault="00A77B3E" w:rsidP="00E06D87">
      <w:pPr>
        <w:spacing w:line="360" w:lineRule="auto"/>
        <w:jc w:val="both"/>
        <w:rPr>
          <w:rFonts w:ascii="Book Antiqua" w:hAnsi="Book Antiqua"/>
        </w:rPr>
      </w:pPr>
    </w:p>
    <w:p w14:paraId="060834DF" w14:textId="0AE92FD1"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Core Tip: </w:t>
      </w:r>
      <w:r w:rsidRPr="002772D1">
        <w:rPr>
          <w:rFonts w:ascii="Book Antiqua" w:eastAsia="Book Antiqua" w:hAnsi="Book Antiqua" w:cs="Book Antiqua"/>
          <w:color w:val="000000"/>
        </w:rPr>
        <w:t xml:space="preserve">We have reviewed the current literature about the impact of detecting oncogenic mutations in </w:t>
      </w:r>
      <w:r w:rsidR="00E50CE0" w:rsidRPr="002772D1">
        <w:rPr>
          <w:rFonts w:ascii="Book Antiqua" w:eastAsia="Book Antiqua" w:hAnsi="Book Antiqua" w:cs="Book Antiqua"/>
          <w:bCs/>
          <w:color w:val="000000"/>
        </w:rPr>
        <w:t>non-small cell lung cancer</w:t>
      </w:r>
      <w:r w:rsidR="00E50CE0"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NSCLC</w:t>
      </w:r>
      <w:r w:rsidR="00E50CE0"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Over the years, the adoption of </w:t>
      </w:r>
      <w:r w:rsidR="00E50CE0" w:rsidRPr="002772D1">
        <w:rPr>
          <w:rFonts w:ascii="Book Antiqua" w:eastAsia="Book Antiqua" w:hAnsi="Book Antiqua" w:cs="Book Antiqua"/>
          <w:color w:val="000000"/>
        </w:rPr>
        <w:t>next generation sequencing</w:t>
      </w:r>
      <w:r w:rsidRPr="002772D1">
        <w:rPr>
          <w:rFonts w:ascii="Book Antiqua" w:eastAsia="Book Antiqua" w:hAnsi="Book Antiqua" w:cs="Book Antiqua"/>
          <w:color w:val="000000"/>
        </w:rPr>
        <w:t xml:space="preserve"> has rendered it easier to determine and detect possible oncogenic driver mutations</w:t>
      </w:r>
      <w:r w:rsidR="00FA37E7" w:rsidRPr="002772D1">
        <w:rPr>
          <w:rFonts w:ascii="Book Antiqua" w:eastAsia="Book Antiqua" w:hAnsi="Book Antiqua" w:cs="Book Antiqua"/>
          <w:color w:val="000000"/>
        </w:rPr>
        <w:t>, le</w:t>
      </w:r>
      <w:r w:rsidR="005627BC" w:rsidRPr="002772D1">
        <w:rPr>
          <w:rFonts w:ascii="Book Antiqua" w:eastAsia="Book Antiqua" w:hAnsi="Book Antiqua" w:cs="Book Antiqua"/>
          <w:color w:val="000000"/>
        </w:rPr>
        <w:t>a</w:t>
      </w:r>
      <w:r w:rsidR="00FA37E7" w:rsidRPr="002772D1">
        <w:rPr>
          <w:rFonts w:ascii="Book Antiqua" w:eastAsia="Book Antiqua" w:hAnsi="Book Antiqua" w:cs="Book Antiqua"/>
          <w:color w:val="000000"/>
        </w:rPr>
        <w:t>d</w:t>
      </w:r>
      <w:r w:rsidR="005627BC" w:rsidRPr="002772D1">
        <w:rPr>
          <w:rFonts w:ascii="Book Antiqua" w:eastAsia="Book Antiqua" w:hAnsi="Book Antiqua" w:cs="Book Antiqua"/>
          <w:color w:val="000000"/>
        </w:rPr>
        <w:t>ing</w:t>
      </w:r>
      <w:r w:rsidRPr="002772D1">
        <w:rPr>
          <w:rFonts w:ascii="Book Antiqua" w:eastAsia="Book Antiqua" w:hAnsi="Book Antiqua" w:cs="Book Antiqua"/>
          <w:color w:val="000000"/>
        </w:rPr>
        <w:t xml:space="preserve"> </w:t>
      </w:r>
      <w:r w:rsidR="00FA37E7" w:rsidRPr="002772D1">
        <w:rPr>
          <w:rFonts w:ascii="Book Antiqua" w:eastAsia="Book Antiqua" w:hAnsi="Book Antiqua" w:cs="Book Antiqua"/>
          <w:color w:val="000000"/>
        </w:rPr>
        <w:t>to</w:t>
      </w:r>
      <w:r w:rsidRPr="002772D1">
        <w:rPr>
          <w:rFonts w:ascii="Book Antiqua" w:eastAsia="Book Antiqua" w:hAnsi="Book Antiqua" w:cs="Book Antiqua"/>
          <w:color w:val="000000"/>
        </w:rPr>
        <w:t xml:space="preserve"> the development of several </w:t>
      </w:r>
      <w:r w:rsidR="00FA37E7" w:rsidRPr="002772D1">
        <w:rPr>
          <w:rFonts w:ascii="Book Antiqua" w:eastAsia="Book Antiqua" w:hAnsi="Book Antiqua" w:cs="Book Antiqua"/>
          <w:color w:val="000000"/>
        </w:rPr>
        <w:t>targeted therapies</w:t>
      </w:r>
      <w:r w:rsidRPr="002772D1">
        <w:rPr>
          <w:rFonts w:ascii="Book Antiqua" w:eastAsia="Book Antiqua" w:hAnsi="Book Antiqua" w:cs="Book Antiqua"/>
          <w:color w:val="000000"/>
        </w:rPr>
        <w:t xml:space="preserve">. The clinical impact and benefit for patients is important in terms of quality </w:t>
      </w:r>
      <w:r w:rsidR="00FA37E7" w:rsidRPr="002772D1">
        <w:rPr>
          <w:rFonts w:ascii="Book Antiqua" w:eastAsia="Book Antiqua" w:hAnsi="Book Antiqua" w:cs="Book Antiqua"/>
          <w:color w:val="000000"/>
        </w:rPr>
        <w:t xml:space="preserve">and </w:t>
      </w:r>
      <w:r w:rsidRPr="002772D1">
        <w:rPr>
          <w:rFonts w:ascii="Book Antiqua" w:eastAsia="Book Antiqua" w:hAnsi="Book Antiqua" w:cs="Book Antiqua"/>
          <w:color w:val="000000"/>
        </w:rPr>
        <w:t xml:space="preserve">quantity of life. These therapies are more effective than standard chemotherapy treatment. </w:t>
      </w:r>
      <w:r w:rsidR="00FA37E7" w:rsidRPr="002772D1">
        <w:rPr>
          <w:rFonts w:ascii="Book Antiqua" w:eastAsia="Book Antiqua" w:hAnsi="Book Antiqua" w:cs="Book Antiqua"/>
          <w:color w:val="000000"/>
        </w:rPr>
        <w:t>W</w:t>
      </w:r>
      <w:r w:rsidRPr="002772D1">
        <w:rPr>
          <w:rFonts w:ascii="Book Antiqua" w:eastAsia="Book Antiqua" w:hAnsi="Book Antiqua" w:cs="Book Antiqua"/>
          <w:color w:val="000000"/>
        </w:rPr>
        <w:t>e have reviewed the data to explain what has been done, is ongoing and shall be done in the future for patients with oncogene-driven NSCLC.</w:t>
      </w:r>
    </w:p>
    <w:p w14:paraId="03E1014B" w14:textId="77777777" w:rsidR="00A77B3E" w:rsidRPr="002772D1" w:rsidRDefault="00A77B3E" w:rsidP="00E06D87">
      <w:pPr>
        <w:spacing w:line="360" w:lineRule="auto"/>
        <w:jc w:val="both"/>
        <w:rPr>
          <w:rFonts w:ascii="Book Antiqua" w:hAnsi="Book Antiqua"/>
        </w:rPr>
      </w:pPr>
    </w:p>
    <w:p w14:paraId="69FB4926" w14:textId="12F5263C" w:rsidR="00A77B3E" w:rsidRPr="002772D1" w:rsidRDefault="004C6929" w:rsidP="00E06D87">
      <w:pPr>
        <w:spacing w:line="360" w:lineRule="auto"/>
        <w:jc w:val="both"/>
        <w:rPr>
          <w:rFonts w:ascii="Book Antiqua" w:hAnsi="Book Antiqua"/>
        </w:rPr>
      </w:pPr>
      <w:r w:rsidRPr="002772D1">
        <w:rPr>
          <w:rFonts w:ascii="Book Antiqua" w:eastAsia="Book Antiqua" w:hAnsi="Book Antiqua" w:cs="Book Antiqua"/>
          <w:b/>
          <w:caps/>
          <w:color w:val="000000"/>
          <w:u w:val="single"/>
        </w:rPr>
        <w:br w:type="page"/>
      </w:r>
      <w:r w:rsidR="00664C60" w:rsidRPr="002772D1">
        <w:rPr>
          <w:rFonts w:ascii="Book Antiqua" w:eastAsia="Book Antiqua" w:hAnsi="Book Antiqua" w:cs="Book Antiqua"/>
          <w:b/>
          <w:caps/>
          <w:color w:val="000000"/>
          <w:u w:val="single"/>
        </w:rPr>
        <w:lastRenderedPageBreak/>
        <w:t>INTRODUCTION</w:t>
      </w:r>
    </w:p>
    <w:p w14:paraId="67C5ECCC" w14:textId="12BA3EDC" w:rsidR="00A77B3E" w:rsidRPr="002772D1" w:rsidRDefault="00664C60" w:rsidP="00E06D87">
      <w:pPr>
        <w:spacing w:line="360" w:lineRule="auto"/>
        <w:jc w:val="both"/>
        <w:rPr>
          <w:rFonts w:ascii="Book Antiqua" w:eastAsia="Book Antiqua" w:hAnsi="Book Antiqua" w:cs="Book Antiqua"/>
          <w:color w:val="000000"/>
        </w:rPr>
      </w:pPr>
      <w:r w:rsidRPr="002772D1">
        <w:rPr>
          <w:rFonts w:ascii="Book Antiqua" w:eastAsia="Book Antiqua" w:hAnsi="Book Antiqua" w:cs="Book Antiqua"/>
          <w:color w:val="000000"/>
        </w:rPr>
        <w:t>Lung cancer is the most common malignancy and the leading cause of cancer related deaths worldwide (18.4% of total cancer deaths), with non-small cell lung cancer (NSCLC) being the most common subtype, accounting for approximately 85% of all diagnosed cases</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vertAlign w:val="superscript"/>
        </w:rPr>
        <w:t>1</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xml:space="preserve">. The majority of NSCLC patients display advanced disease when diagnosed and thus have poor </w:t>
      </w:r>
      <w:proofErr w:type="gramStart"/>
      <w:r w:rsidRPr="002772D1">
        <w:rPr>
          <w:rFonts w:ascii="Book Antiqua" w:eastAsia="Book Antiqua" w:hAnsi="Book Antiqua" w:cs="Book Antiqua"/>
          <w:color w:val="000000"/>
        </w:rPr>
        <w:t>prognosis</w:t>
      </w:r>
      <w:r w:rsidR="004C6929"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It is well established that acquired genetic alterations in certain driver genes result in tumor growth and invasiveness, and that patients harbouring certain mutations may benefit from targeted therapies</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vertAlign w:val="superscript"/>
        </w:rPr>
        <w:t>3</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xml:space="preserve"> (</w:t>
      </w:r>
      <w:r w:rsidR="00CD46D4" w:rsidRPr="002772D1">
        <w:rPr>
          <w:rFonts w:ascii="Book Antiqua" w:eastAsia="Book Antiqua" w:hAnsi="Book Antiqua" w:cs="Book Antiqua"/>
          <w:color w:val="000000"/>
        </w:rPr>
        <w:t>F</w:t>
      </w:r>
      <w:r w:rsidRPr="002772D1">
        <w:rPr>
          <w:rFonts w:ascii="Book Antiqua" w:eastAsia="Book Antiqua" w:hAnsi="Book Antiqua" w:cs="Book Antiqua"/>
          <w:color w:val="000000"/>
        </w:rPr>
        <w:t>igure 1). Indeed, a randomized clinical trial reported that advanced NSCLC patients harbouring activating mutations in</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the </w:t>
      </w:r>
      <w:r w:rsidRPr="002772D1">
        <w:rPr>
          <w:rFonts w:ascii="Book Antiqua" w:eastAsia="Book Antiqua" w:hAnsi="Book Antiqua" w:cs="Book Antiqua"/>
          <w:i/>
          <w:iCs/>
          <w:color w:val="000000"/>
        </w:rPr>
        <w:t xml:space="preserve">epidermal growth factor receptor </w:t>
      </w:r>
      <w:r w:rsidRPr="002772D1">
        <w:rPr>
          <w:rFonts w:ascii="Book Antiqua" w:eastAsia="Book Antiqua" w:hAnsi="Book Antiqua" w:cs="Book Antiqua"/>
          <w:color w:val="000000"/>
        </w:rPr>
        <w:t>(</w:t>
      </w:r>
      <w:r w:rsidRPr="002772D1">
        <w:rPr>
          <w:rFonts w:ascii="Book Antiqua" w:eastAsia="Book Antiqua" w:hAnsi="Book Antiqua" w:cs="Book Antiqua"/>
          <w:i/>
          <w:iCs/>
          <w:color w:val="000000"/>
        </w:rPr>
        <w:t>EGFR)</w:t>
      </w:r>
      <w:r w:rsidRPr="002772D1">
        <w:rPr>
          <w:rFonts w:ascii="Book Antiqua" w:eastAsia="Book Antiqua" w:hAnsi="Book Antiqua" w:cs="Book Antiqua"/>
          <w:color w:val="000000"/>
        </w:rPr>
        <w:t xml:space="preserve">, one of the major oncogenic drivers of NSCLC, exhibited longer progression-free survival (PFS) when treated with a tyrosine kinase inhibitor (TKI), gefitinib, compared to those treated with standard platinum-based </w:t>
      </w:r>
      <w:proofErr w:type="gramStart"/>
      <w:r w:rsidRPr="002772D1">
        <w:rPr>
          <w:rFonts w:ascii="Book Antiqua" w:eastAsia="Book Antiqua" w:hAnsi="Book Antiqua" w:cs="Book Antiqua"/>
          <w:color w:val="000000"/>
        </w:rPr>
        <w:t>chemotherapy</w:t>
      </w:r>
      <w:r w:rsidR="004C6929"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4</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xml:space="preserve">. However, those who were treated with TKI drugs can acquire secondary resistance mutations, in which case a new treatment regimen is needed to maintain therapeutic </w:t>
      </w:r>
      <w:proofErr w:type="gramStart"/>
      <w:r w:rsidRPr="002772D1">
        <w:rPr>
          <w:rFonts w:ascii="Book Antiqua" w:eastAsia="Book Antiqua" w:hAnsi="Book Antiqua" w:cs="Book Antiqua"/>
          <w:color w:val="000000"/>
        </w:rPr>
        <w:t>effects</w:t>
      </w:r>
      <w:r w:rsidR="004C6929"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5,6</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In addition to</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EGFR</w:t>
      </w:r>
      <w:r w:rsidRPr="002772D1">
        <w:rPr>
          <w:rFonts w:ascii="Book Antiqua" w:eastAsia="Book Antiqua" w:hAnsi="Book Antiqua" w:cs="Book Antiqua"/>
          <w:color w:val="000000"/>
        </w:rPr>
        <w:t>, NSCLC patients carrying</w:t>
      </w:r>
      <w:r w:rsidR="004C6929" w:rsidRPr="002772D1">
        <w:rPr>
          <w:rFonts w:ascii="Book Antiqua" w:eastAsia="Book Antiqua" w:hAnsi="Book Antiqua" w:cs="Book Antiqua"/>
          <w:color w:val="000000"/>
        </w:rPr>
        <w:t xml:space="preserve"> </w:t>
      </w:r>
      <w:r w:rsidR="004C6929" w:rsidRPr="002772D1">
        <w:rPr>
          <w:rFonts w:ascii="Book Antiqua" w:eastAsia="Book Antiqua" w:hAnsi="Book Antiqua" w:cs="Book Antiqua"/>
          <w:i/>
          <w:iCs/>
          <w:color w:val="000000"/>
        </w:rPr>
        <w:t>anaplastic lymphoma kinase</w:t>
      </w:r>
      <w:r w:rsidR="004C6929" w:rsidRPr="002772D1">
        <w:rPr>
          <w:rFonts w:ascii="Book Antiqua" w:eastAsia="Book Antiqua" w:hAnsi="Book Antiqua" w:cs="Book Antiqua"/>
          <w:color w:val="000000"/>
        </w:rPr>
        <w:t xml:space="preserve"> (</w:t>
      </w:r>
      <w:r w:rsidR="004C6929" w:rsidRPr="002772D1">
        <w:rPr>
          <w:rFonts w:ascii="Book Antiqua" w:eastAsia="Book Antiqua" w:hAnsi="Book Antiqua" w:cs="Book Antiqua"/>
          <w:i/>
          <w:iCs/>
          <w:color w:val="000000"/>
        </w:rPr>
        <w:t>ALK</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or</w:t>
      </w:r>
      <w:r w:rsidR="004C6929" w:rsidRPr="002772D1">
        <w:rPr>
          <w:rFonts w:ascii="Book Antiqua" w:eastAsia="Book Antiqua" w:hAnsi="Book Antiqua" w:cs="Book Antiqua"/>
          <w:color w:val="000000"/>
        </w:rPr>
        <w:t xml:space="preserve"> </w:t>
      </w:r>
      <w:r w:rsidR="004C6929" w:rsidRPr="002772D1">
        <w:rPr>
          <w:rFonts w:ascii="Book Antiqua" w:eastAsia="Book Antiqua" w:hAnsi="Book Antiqua" w:cs="Book Antiqua"/>
          <w:i/>
          <w:iCs/>
          <w:color w:val="000000"/>
        </w:rPr>
        <w:t>c-ROS oncogene 1</w:t>
      </w:r>
      <w:r w:rsidR="004C6929" w:rsidRPr="002772D1">
        <w:rPr>
          <w:rFonts w:ascii="Book Antiqua" w:eastAsia="Book Antiqua" w:hAnsi="Book Antiqua" w:cs="Book Antiqua"/>
          <w:color w:val="000000"/>
        </w:rPr>
        <w:t xml:space="preserve"> (</w:t>
      </w:r>
      <w:r w:rsidR="004C6929" w:rsidRPr="002772D1">
        <w:rPr>
          <w:rFonts w:ascii="Book Antiqua" w:eastAsia="Book Antiqua" w:hAnsi="Book Antiqua" w:cs="Book Antiqua"/>
          <w:i/>
          <w:iCs/>
          <w:color w:val="000000"/>
        </w:rPr>
        <w:t>ROS1</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rearrangement were shown to respond well to a different TKI drug</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vertAlign w:val="superscript"/>
        </w:rPr>
        <w:t>7-9</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crizotinib, while</w:t>
      </w:r>
      <w:r w:rsidR="004C6929" w:rsidRPr="002772D1">
        <w:rPr>
          <w:rFonts w:ascii="Book Antiqua" w:eastAsia="Book Antiqua" w:hAnsi="Book Antiqua" w:cs="Book Antiqua"/>
          <w:color w:val="000000"/>
        </w:rPr>
        <w:t xml:space="preserve"> </w:t>
      </w:r>
      <w:r w:rsidR="00BB7718" w:rsidRPr="002772D1">
        <w:rPr>
          <w:rFonts w:ascii="Book Antiqua" w:eastAsia="Book Antiqua" w:hAnsi="Book Antiqua" w:cs="Book Antiqua"/>
          <w:i/>
          <w:iCs/>
          <w:color w:val="000000"/>
        </w:rPr>
        <w:t>v-raf murine sarcoma viral oncogene homolog B</w:t>
      </w:r>
      <w:r w:rsidR="00BB7718"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BRAF</w:t>
      </w:r>
      <w:r w:rsidR="00BB7718" w:rsidRPr="002772D1">
        <w:rPr>
          <w:rFonts w:ascii="Book Antiqua" w:eastAsia="Book Antiqua" w:hAnsi="Book Antiqua" w:cs="Book Antiqua"/>
          <w:color w:val="000000"/>
        </w:rPr>
        <w:t>)</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mutated NSCLC patients can be treated with a combination of BRAF inhibitors, dabrafenib and trametinib</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vertAlign w:val="superscript"/>
        </w:rPr>
        <w:t>10</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These findings suggest that the identification of mutation profiles of NSCLC is critical in order to prescribe suitable TKI therapy as well as elucidate the molecular basis of drug resistance to provide timely treatment adjustment. Since 2018, the American Society of Clinical Oncology (ASCO) has recommended routine mutation testing for driver genes including</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EGFR</w:t>
      </w:r>
      <w:r w:rsidRPr="002772D1">
        <w:rPr>
          <w:rFonts w:ascii="Book Antiqua" w:eastAsia="Book Antiqua" w:hAnsi="Book Antiqua" w:cs="Book Antiqua"/>
          <w:color w:val="000000"/>
        </w:rPr>
        <w:t>,</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ALK</w:t>
      </w:r>
      <w:r w:rsidRPr="002772D1">
        <w:rPr>
          <w:rFonts w:ascii="Book Antiqua" w:eastAsia="Book Antiqua" w:hAnsi="Book Antiqua" w:cs="Book Antiqua"/>
          <w:color w:val="000000"/>
        </w:rPr>
        <w:t>,</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ROS1</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and</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BRAF</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in clinical practice for patients with metastatic NSCLC. Although there are currently no targeted drugs for </w:t>
      </w:r>
      <w:r w:rsidR="004C6929" w:rsidRPr="002772D1">
        <w:rPr>
          <w:rFonts w:ascii="Book Antiqua" w:eastAsia="Book Antiqua" w:hAnsi="Book Antiqua" w:cs="Book Antiqua"/>
          <w:i/>
          <w:iCs/>
          <w:color w:val="000000"/>
        </w:rPr>
        <w:t>K</w:t>
      </w:r>
      <w:r w:rsidRPr="002772D1">
        <w:rPr>
          <w:rFonts w:ascii="Book Antiqua" w:eastAsia="Book Antiqua" w:hAnsi="Book Antiqua" w:cs="Book Antiqua"/>
          <w:i/>
          <w:iCs/>
          <w:color w:val="000000"/>
        </w:rPr>
        <w:t xml:space="preserve">irsten </w:t>
      </w:r>
      <w:r w:rsidR="004C6929" w:rsidRPr="002772D1">
        <w:rPr>
          <w:rFonts w:ascii="Book Antiqua" w:eastAsia="Book Antiqua" w:hAnsi="Book Antiqua" w:cs="Book Antiqua"/>
          <w:i/>
          <w:iCs/>
          <w:color w:val="000000"/>
        </w:rPr>
        <w:t>r</w:t>
      </w:r>
      <w:r w:rsidRPr="002772D1">
        <w:rPr>
          <w:rFonts w:ascii="Book Antiqua" w:eastAsia="Book Antiqua" w:hAnsi="Book Antiqua" w:cs="Book Antiqua"/>
          <w:i/>
          <w:iCs/>
          <w:color w:val="000000"/>
        </w:rPr>
        <w:t xml:space="preserve">at </w:t>
      </w:r>
      <w:r w:rsidR="004C6929" w:rsidRPr="002772D1">
        <w:rPr>
          <w:rFonts w:ascii="Book Antiqua" w:eastAsia="Book Antiqua" w:hAnsi="Book Antiqua" w:cs="Book Antiqua"/>
          <w:i/>
          <w:iCs/>
          <w:color w:val="000000"/>
        </w:rPr>
        <w:t>s</w:t>
      </w:r>
      <w:r w:rsidRPr="002772D1">
        <w:rPr>
          <w:rFonts w:ascii="Book Antiqua" w:eastAsia="Book Antiqua" w:hAnsi="Book Antiqua" w:cs="Book Antiqua"/>
          <w:i/>
          <w:iCs/>
          <w:color w:val="000000"/>
        </w:rPr>
        <w:t>arcoma</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w:t>
      </w:r>
      <w:r w:rsidRPr="002772D1">
        <w:rPr>
          <w:rFonts w:ascii="Book Antiqua" w:eastAsia="Book Antiqua" w:hAnsi="Book Antiqua" w:cs="Book Antiqua"/>
          <w:i/>
          <w:iCs/>
          <w:color w:val="000000"/>
        </w:rPr>
        <w:t>KRAS</w:t>
      </w:r>
      <w:r w:rsidRPr="002772D1">
        <w:rPr>
          <w:rFonts w:ascii="Book Antiqua" w:eastAsia="Book Antiqua" w:hAnsi="Book Antiqua" w:cs="Book Antiqua"/>
          <w:color w:val="000000"/>
        </w:rPr>
        <w:t>)</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or</w:t>
      </w:r>
      <w:r w:rsidR="004C6929" w:rsidRPr="002772D1">
        <w:rPr>
          <w:rFonts w:ascii="Book Antiqua" w:eastAsia="Book Antiqua" w:hAnsi="Book Antiqua" w:cs="Book Antiqua"/>
          <w:color w:val="000000"/>
        </w:rPr>
        <w:t xml:space="preserve"> </w:t>
      </w:r>
      <w:r w:rsidR="004C6929" w:rsidRPr="002772D1">
        <w:rPr>
          <w:rFonts w:ascii="Book Antiqua" w:eastAsia="Book Antiqua" w:hAnsi="Book Antiqua" w:cs="Book Antiqua"/>
          <w:i/>
          <w:iCs/>
          <w:color w:val="000000"/>
        </w:rPr>
        <w:t xml:space="preserve">neuroblastoma rat sarcoma </w:t>
      </w:r>
      <w:r w:rsidR="004C6929" w:rsidRPr="002772D1">
        <w:rPr>
          <w:rFonts w:ascii="Book Antiqua" w:eastAsia="Book Antiqua" w:hAnsi="Book Antiqua" w:cs="Book Antiqua"/>
          <w:color w:val="000000"/>
        </w:rPr>
        <w:t>(</w:t>
      </w:r>
      <w:r w:rsidRPr="002772D1">
        <w:rPr>
          <w:rFonts w:ascii="Book Antiqua" w:eastAsia="Book Antiqua" w:hAnsi="Book Antiqua" w:cs="Book Antiqua"/>
          <w:i/>
          <w:iCs/>
          <w:color w:val="000000"/>
        </w:rPr>
        <w:t>NRAS</w:t>
      </w:r>
      <w:r w:rsidR="004C6929"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mutated </w:t>
      </w:r>
      <w:proofErr w:type="gramStart"/>
      <w:r w:rsidRPr="002772D1">
        <w:rPr>
          <w:rFonts w:ascii="Book Antiqua" w:eastAsia="Book Antiqua" w:hAnsi="Book Antiqua" w:cs="Book Antiqua"/>
          <w:color w:val="000000"/>
        </w:rPr>
        <w:t>NSCLCs</w:t>
      </w:r>
      <w:r w:rsidR="004C6929"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11,12</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mutation testing for these genes has also been recommended due to their proven impact on clinical outcomes of NSCLC patients</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vertAlign w:val="superscript"/>
        </w:rPr>
        <w:t>13</w:t>
      </w:r>
      <w:r w:rsidR="004C6929"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w:t>
      </w:r>
      <w:r w:rsidR="004C6929" w:rsidRPr="002772D1">
        <w:rPr>
          <w:rFonts w:ascii="Book Antiqua" w:hAnsi="Book Antiqua"/>
          <w:lang w:eastAsia="zh-CN"/>
        </w:rPr>
        <w:t xml:space="preserve"> </w:t>
      </w:r>
      <w:r w:rsidRPr="002772D1">
        <w:rPr>
          <w:rFonts w:ascii="Book Antiqua" w:eastAsia="Book Antiqua" w:hAnsi="Book Antiqua" w:cs="Book Antiqua"/>
          <w:color w:val="000000"/>
        </w:rPr>
        <w:t>This review aims to provide an update about the impact and importance of detecting mutations in oncogenes in patients with advanced NSCLC.</w:t>
      </w:r>
    </w:p>
    <w:p w14:paraId="0E0A3EAA" w14:textId="77777777" w:rsidR="00850CAE" w:rsidRPr="002772D1" w:rsidRDefault="00850CAE" w:rsidP="00E06D87">
      <w:pPr>
        <w:spacing w:line="360" w:lineRule="auto"/>
        <w:jc w:val="both"/>
        <w:rPr>
          <w:rFonts w:ascii="Book Antiqua" w:hAnsi="Book Antiqua"/>
        </w:rPr>
      </w:pPr>
    </w:p>
    <w:p w14:paraId="1476D3FC" w14:textId="77777777"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KRAS</w:t>
      </w:r>
    </w:p>
    <w:p w14:paraId="2DAF25E4" w14:textId="1EB87044"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w:t>
      </w:r>
      <w:r w:rsidR="008338D4" w:rsidRPr="002772D1">
        <w:rPr>
          <w:rFonts w:ascii="Book Antiqua" w:eastAsia="Book Antiqua" w:hAnsi="Book Antiqua" w:cs="Book Antiqua"/>
          <w:i/>
          <w:iCs/>
          <w:color w:val="000000"/>
        </w:rPr>
        <w:t xml:space="preserve">rat sarcoma </w:t>
      </w:r>
      <w:r w:rsidR="008338D4" w:rsidRPr="002772D1">
        <w:rPr>
          <w:rFonts w:ascii="Book Antiqua" w:eastAsia="Book Antiqua" w:hAnsi="Book Antiqua" w:cs="Book Antiqua"/>
          <w:color w:val="000000"/>
        </w:rPr>
        <w:t>(</w:t>
      </w:r>
      <w:r w:rsidRPr="002772D1">
        <w:rPr>
          <w:rFonts w:ascii="Book Antiqua" w:eastAsia="Book Antiqua" w:hAnsi="Book Antiqua" w:cs="Book Antiqua"/>
          <w:i/>
          <w:iCs/>
          <w:color w:val="000000"/>
        </w:rPr>
        <w:t>RAS</w:t>
      </w:r>
      <w:r w:rsidR="008338D4"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genes (</w:t>
      </w:r>
      <w:r w:rsidRPr="002772D1">
        <w:rPr>
          <w:rFonts w:ascii="Book Antiqua" w:eastAsia="Book Antiqua" w:hAnsi="Book Antiqua" w:cs="Book Antiqua"/>
          <w:i/>
          <w:iCs/>
          <w:color w:val="000000"/>
        </w:rPr>
        <w:t>KRAS</w:t>
      </w:r>
      <w:r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NRAS</w:t>
      </w:r>
      <w:r w:rsidRPr="002772D1">
        <w:rPr>
          <w:rFonts w:ascii="Book Antiqua" w:eastAsia="Book Antiqua" w:hAnsi="Book Antiqua" w:cs="Book Antiqua"/>
          <w:color w:val="000000"/>
        </w:rPr>
        <w:t xml:space="preserve">, </w:t>
      </w:r>
      <w:r w:rsidR="005336BF" w:rsidRPr="002772D1">
        <w:rPr>
          <w:rFonts w:ascii="Book Antiqua" w:eastAsia="Book Antiqua" w:hAnsi="Book Antiqua" w:cs="Book Antiqua"/>
          <w:i/>
          <w:iCs/>
          <w:color w:val="000000"/>
        </w:rPr>
        <w:t>Harvey rat sarcoma viral oncogene homolog</w:t>
      </w:r>
      <w:r w:rsidRPr="002772D1">
        <w:rPr>
          <w:rFonts w:ascii="Book Antiqua" w:eastAsia="Book Antiqua" w:hAnsi="Book Antiqua" w:cs="Book Antiqua"/>
          <w:color w:val="000000"/>
        </w:rPr>
        <w:t xml:space="preserve">) represent the most frequent human oncogenes. Up to 30% of NSCLC harbor a mutation in the </w:t>
      </w:r>
      <w:r w:rsidRPr="002772D1">
        <w:rPr>
          <w:rFonts w:ascii="Book Antiqua" w:eastAsia="Book Antiqua" w:hAnsi="Book Antiqua" w:cs="Book Antiqua"/>
          <w:i/>
          <w:iCs/>
          <w:color w:val="000000"/>
        </w:rPr>
        <w:t>KRAS</w:t>
      </w:r>
      <w:r w:rsidRPr="002772D1">
        <w:rPr>
          <w:rFonts w:ascii="Book Antiqua" w:eastAsia="Book Antiqua" w:hAnsi="Book Antiqua" w:cs="Book Antiqua"/>
          <w:color w:val="000000"/>
        </w:rPr>
        <w:t xml:space="preserve"> oncogene, making KRAS the most commonly detected oncogenic driver in lung </w:t>
      </w:r>
      <w:proofErr w:type="gramStart"/>
      <w:r w:rsidRPr="002772D1">
        <w:rPr>
          <w:rFonts w:ascii="Book Antiqua" w:eastAsia="Book Antiqua" w:hAnsi="Book Antiqua" w:cs="Book Antiqua"/>
          <w:color w:val="000000"/>
        </w:rPr>
        <w:t>cancer</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w:t>
      </w:r>
      <w:r w:rsidRPr="002772D1">
        <w:rPr>
          <w:rFonts w:ascii="Book Antiqua" w:eastAsia="Book Antiqua" w:hAnsi="Book Antiqua" w:cs="Book Antiqua"/>
          <w:color w:val="000000"/>
        </w:rPr>
        <w:t xml:space="preserve">. The KRAS proteins belong to the small </w:t>
      </w:r>
      <w:r w:rsidR="002B758D" w:rsidRPr="002772D1">
        <w:rPr>
          <w:rFonts w:ascii="Book Antiqua" w:eastAsia="Book Antiqua" w:hAnsi="Book Antiqua" w:cs="Book Antiqua"/>
          <w:color w:val="000000"/>
        </w:rPr>
        <w:t>guanosine triphosphate (</w:t>
      </w:r>
      <w:r w:rsidRPr="002772D1">
        <w:rPr>
          <w:rFonts w:ascii="Book Antiqua" w:eastAsia="Book Antiqua" w:hAnsi="Book Antiqua" w:cs="Book Antiqua"/>
          <w:color w:val="000000"/>
        </w:rPr>
        <w:t>GTP</w:t>
      </w:r>
      <w:r w:rsidR="002B758D"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ase family, involved in intracellular signaling. In response to extracellular signaling, KRAS proteins switch between two states: </w:t>
      </w:r>
      <w:r w:rsidR="00E3389C" w:rsidRPr="002772D1">
        <w:rPr>
          <w:rFonts w:ascii="Book Antiqua" w:eastAsia="Book Antiqua" w:hAnsi="Book Antiqua" w:cs="Book Antiqua"/>
          <w:color w:val="000000"/>
        </w:rPr>
        <w:t>T</w:t>
      </w:r>
      <w:r w:rsidRPr="002772D1">
        <w:rPr>
          <w:rFonts w:ascii="Book Antiqua" w:eastAsia="Book Antiqua" w:hAnsi="Book Antiqua" w:cs="Book Antiqua"/>
          <w:color w:val="000000"/>
        </w:rPr>
        <w:t xml:space="preserve">he GTP-bound “on-state” and </w:t>
      </w:r>
      <w:r w:rsidR="002B758D" w:rsidRPr="002772D1">
        <w:rPr>
          <w:rFonts w:ascii="Book Antiqua" w:eastAsia="Book Antiqua" w:hAnsi="Book Antiqua" w:cs="Book Antiqua"/>
          <w:color w:val="000000"/>
        </w:rPr>
        <w:t>general dental practitioner</w:t>
      </w:r>
      <w:r w:rsidRPr="002772D1">
        <w:rPr>
          <w:rFonts w:ascii="Book Antiqua" w:eastAsia="Book Antiqua" w:hAnsi="Book Antiqua" w:cs="Book Antiqua"/>
          <w:color w:val="000000"/>
        </w:rPr>
        <w:t xml:space="preserve">-bound “off-states”. When “on”, KRAS activates downstream signaling pathways, mainly the </w:t>
      </w:r>
      <w:r w:rsidR="00E3389C" w:rsidRPr="002772D1">
        <w:rPr>
          <w:rFonts w:ascii="Book Antiqua" w:eastAsia="Book Antiqua" w:hAnsi="Book Antiqua" w:cs="Book Antiqua"/>
          <w:color w:val="000000"/>
        </w:rPr>
        <w:t>mitogen activated protein kinase and extracellular signal regulated kinase (MAPK/ERK)</w:t>
      </w:r>
      <w:r w:rsidRPr="002772D1">
        <w:rPr>
          <w:rFonts w:ascii="Book Antiqua" w:eastAsia="Book Antiqua" w:hAnsi="Book Antiqua" w:cs="Book Antiqua"/>
          <w:color w:val="000000"/>
        </w:rPr>
        <w:t xml:space="preserve"> and </w:t>
      </w:r>
      <w:r w:rsidR="00E3389C" w:rsidRPr="002772D1">
        <w:rPr>
          <w:rFonts w:ascii="Book Antiqua" w:eastAsia="Book Antiqua" w:hAnsi="Book Antiqua" w:cs="Book Antiqua"/>
          <w:color w:val="000000"/>
        </w:rPr>
        <w:t>phosphatidy</w:t>
      </w:r>
      <w:r w:rsidR="00250200" w:rsidRPr="002772D1">
        <w:rPr>
          <w:rFonts w:ascii="Book Antiqua" w:hAnsi="Book Antiqua" w:cs="Book Antiqua" w:hint="eastAsia"/>
          <w:color w:val="000000"/>
          <w:lang w:eastAsia="zh-CN"/>
        </w:rPr>
        <w:t>-</w:t>
      </w:r>
      <w:r w:rsidR="00E3389C" w:rsidRPr="002772D1">
        <w:rPr>
          <w:rFonts w:ascii="Book Antiqua" w:eastAsia="Book Antiqua" w:hAnsi="Book Antiqua" w:cs="Book Antiqua"/>
          <w:color w:val="000000"/>
        </w:rPr>
        <w:t xml:space="preserve">linositol 3-kinase (PI3K)/AKT/mammalian target of rapamycin (mTOR) </w:t>
      </w:r>
      <w:r w:rsidRPr="002772D1">
        <w:rPr>
          <w:rFonts w:ascii="Book Antiqua" w:eastAsia="Book Antiqua" w:hAnsi="Book Antiqua" w:cs="Book Antiqua"/>
          <w:color w:val="000000"/>
        </w:rPr>
        <w:t>C1 signaling pathways, ultimately promoting cellular division and proliferation.</w:t>
      </w:r>
    </w:p>
    <w:p w14:paraId="334D7046"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Some KRAS mutations, such as those in exons 2 and 3, which prevent GTP hydrolysis and prevent switching KRAS signaling off, result in a constitutive activation of KRAS proteins. KRAS mutation is more frequent in adenocarcinoma, and can be detected by next generation sequencing (NGS</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14]</w:t>
      </w:r>
      <w:r w:rsidRPr="002772D1">
        <w:rPr>
          <w:rFonts w:ascii="Book Antiqua" w:eastAsia="Book Antiqua" w:hAnsi="Book Antiqua" w:cs="Book Antiqua"/>
          <w:color w:val="000000"/>
        </w:rPr>
        <w:t xml:space="preserve">. The most common mutations involve a substitution in the codon 12 or 13. The KRAS G12C mutation found in approximately 13% of </w:t>
      </w:r>
      <w:proofErr w:type="gramStart"/>
      <w:r w:rsidRPr="002772D1">
        <w:rPr>
          <w:rFonts w:ascii="Book Antiqua" w:eastAsia="Book Antiqua" w:hAnsi="Book Antiqua" w:cs="Book Antiqua"/>
          <w:color w:val="000000"/>
        </w:rPr>
        <w:t>NSCLC</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15]</w:t>
      </w:r>
      <w:r w:rsidRPr="002772D1">
        <w:rPr>
          <w:rFonts w:ascii="Book Antiqua" w:eastAsia="Book Antiqua" w:hAnsi="Book Antiqua" w:cs="Book Antiqua"/>
          <w:color w:val="000000"/>
        </w:rPr>
        <w:t>, is of particular interest, as it has become a therapeutic target. It is more frequently detected in smokers, while KRAS G12D is more common among non-</w:t>
      </w:r>
      <w:proofErr w:type="gramStart"/>
      <w:r w:rsidRPr="002772D1">
        <w:rPr>
          <w:rFonts w:ascii="Book Antiqua" w:eastAsia="Book Antiqua" w:hAnsi="Book Antiqua" w:cs="Book Antiqua"/>
          <w:color w:val="000000"/>
        </w:rPr>
        <w:t>smokers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w:t>
      </w:r>
    </w:p>
    <w:p w14:paraId="3CD8FC1B"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Currently, the standard of care for KRAS-mutated NSCLC follows that of non-oncogene-driven NSCLC, consisting of immunotherapy with or without platinum-based chemotherapy.</w:t>
      </w:r>
    </w:p>
    <w:p w14:paraId="6B4C6701"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Two Specific KRAS G12C TKIs have emerged, sotorasib (AMG510) and adagrasib (MRTX849). In the Codebreak100 phase I/II trial, 59 KRAS G12C mutated, previously treated advanced or metastatic NSCLC patients received sotorasib orally. The objective response rate (ORR) was 32.2%, with a median duration of response of 10.9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16]</w:t>
      </w:r>
      <w:r w:rsidRPr="002772D1">
        <w:rPr>
          <w:rFonts w:ascii="Book Antiqua" w:eastAsia="Book Antiqua" w:hAnsi="Book Antiqua" w:cs="Book Antiqua"/>
          <w:color w:val="000000"/>
        </w:rPr>
        <w:t>.</w:t>
      </w:r>
    </w:p>
    <w:p w14:paraId="6D189157"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lastRenderedPageBreak/>
        <w:t xml:space="preserve">Sotorasib is currently being tested in the randomized phase III, Codebreak200 trial,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docetaxel in the second-line setting (NCT04303780). The primary endpoint is PFS, with overall survival (OS) as a secondary </w:t>
      </w:r>
      <w:proofErr w:type="gramStart"/>
      <w:r w:rsidRPr="002772D1">
        <w:rPr>
          <w:rFonts w:ascii="Book Antiqua" w:eastAsia="Book Antiqua" w:hAnsi="Book Antiqua" w:cs="Book Antiqua"/>
          <w:color w:val="000000"/>
        </w:rPr>
        <w:t>endpoint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17]</w:t>
      </w:r>
      <w:r w:rsidRPr="002772D1">
        <w:rPr>
          <w:rFonts w:ascii="Book Antiqua" w:eastAsia="Book Antiqua" w:hAnsi="Book Antiqua" w:cs="Book Antiqua"/>
          <w:color w:val="000000"/>
        </w:rPr>
        <w:t>.</w:t>
      </w:r>
    </w:p>
    <w:p w14:paraId="628C99BC" w14:textId="3436F15A"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Adagrasib represents another specific KRAS G12C TKI. In the phase I/II KRYSTAL-1 </w:t>
      </w:r>
      <w:proofErr w:type="gramStart"/>
      <w:r w:rsidRPr="002772D1">
        <w:rPr>
          <w:rFonts w:ascii="Book Antiqua" w:eastAsia="Book Antiqua" w:hAnsi="Book Antiqua" w:cs="Book Antiqua"/>
          <w:color w:val="000000"/>
        </w:rPr>
        <w:t>trial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18]</w:t>
      </w:r>
      <w:r w:rsidRPr="002772D1">
        <w:rPr>
          <w:rFonts w:ascii="Book Antiqua" w:eastAsia="Book Antiqua" w:hAnsi="Book Antiqua" w:cs="Book Antiqua"/>
          <w:color w:val="000000"/>
        </w:rPr>
        <w:t>, 79 patients with pre-treated NSCLC received adagrasib 600</w:t>
      </w:r>
      <w:r w:rsidR="00E3389C"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mg twice daily. Among the 51 patients evaluable for response, an ORR of 45% was observed. The most frequent side effects included nausea, vomiting and diarrhea, mostly grade 1-2.</w:t>
      </w:r>
    </w:p>
    <w:p w14:paraId="46F2A720" w14:textId="402AE39E"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Others KRAS G12C inhibitors are currently being tested in phase I/II clinical trials: JNJ-74699157</w:t>
      </w:r>
      <w:r w:rsidRPr="002772D1">
        <w:rPr>
          <w:rFonts w:ascii="Book Antiqua" w:eastAsia="Book Antiqua" w:hAnsi="Book Antiqua" w:cs="Book Antiqua"/>
          <w:color w:val="000000"/>
          <w:vertAlign w:val="superscript"/>
        </w:rPr>
        <w:t>[19]</w:t>
      </w:r>
      <w:r w:rsidRPr="002772D1">
        <w:rPr>
          <w:rFonts w:ascii="Book Antiqua" w:eastAsia="Book Antiqua" w:hAnsi="Book Antiqua" w:cs="Book Antiqua"/>
          <w:color w:val="000000"/>
        </w:rPr>
        <w:t xml:space="preserve"> and </w:t>
      </w:r>
      <w:r w:rsidR="000249C3" w:rsidRPr="002772D1">
        <w:rPr>
          <w:rFonts w:ascii="Book Antiqua" w:eastAsia="Book Antiqua" w:hAnsi="Book Antiqua" w:cs="Book Antiqua"/>
          <w:color w:val="000000"/>
        </w:rPr>
        <w:t>Gadolinia-Doped Ceria</w:t>
      </w:r>
      <w:r w:rsidRPr="002772D1">
        <w:rPr>
          <w:rFonts w:ascii="Book Antiqua" w:eastAsia="Book Antiqua" w:hAnsi="Book Antiqua" w:cs="Book Antiqua"/>
          <w:color w:val="000000"/>
        </w:rPr>
        <w:t>-6036</w:t>
      </w:r>
      <w:r w:rsidRPr="002772D1">
        <w:rPr>
          <w:rFonts w:ascii="Book Antiqua" w:eastAsia="Book Antiqua" w:hAnsi="Book Antiqua" w:cs="Book Antiqua"/>
          <w:color w:val="000000"/>
          <w:vertAlign w:val="superscript"/>
        </w:rPr>
        <w:t>[20]</w:t>
      </w:r>
      <w:r w:rsidRPr="002772D1">
        <w:rPr>
          <w:rFonts w:ascii="Book Antiqua" w:eastAsia="Book Antiqua" w:hAnsi="Book Antiqua" w:cs="Book Antiqua"/>
          <w:color w:val="000000"/>
        </w:rPr>
        <w:t>.</w:t>
      </w:r>
      <w:r w:rsidR="00E3389C"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As fewer than 50% of patients initially respond to sotorasib or adagrasib, we can assume that some patients present intrinsic resistance to KRAS G12C inhibition. This hypothesis is supported by preclinical evidence demonstrating resistant cell </w:t>
      </w:r>
      <w:proofErr w:type="gramStart"/>
      <w:r w:rsidRPr="002772D1">
        <w:rPr>
          <w:rFonts w:ascii="Book Antiqua" w:eastAsia="Book Antiqua" w:hAnsi="Book Antiqua" w:cs="Book Antiqua"/>
          <w:color w:val="000000"/>
        </w:rPr>
        <w:t>lines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21]</w:t>
      </w:r>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 xml:space="preserve"> </w:t>
      </w:r>
      <w:r w:rsidRPr="002772D1">
        <w:rPr>
          <w:rFonts w:ascii="Book Antiqua" w:eastAsia="Book Antiqua" w:hAnsi="Book Antiqua" w:cs="Book Antiqua"/>
          <w:color w:val="000000"/>
        </w:rPr>
        <w:t xml:space="preserve">One explanation is that tumor cells may not exclusively rely on the RAS pathway for survival and </w:t>
      </w:r>
      <w:proofErr w:type="gramStart"/>
      <w:r w:rsidRPr="002772D1">
        <w:rPr>
          <w:rFonts w:ascii="Book Antiqua" w:eastAsia="Book Antiqua" w:hAnsi="Book Antiqua" w:cs="Book Antiqua"/>
          <w:color w:val="000000"/>
        </w:rPr>
        <w:t>proliferation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22]</w:t>
      </w:r>
      <w:r w:rsidRPr="002772D1">
        <w:rPr>
          <w:rFonts w:ascii="Book Antiqua" w:eastAsia="Book Antiqua" w:hAnsi="Book Antiqua" w:cs="Book Antiqua"/>
          <w:color w:val="000000"/>
        </w:rPr>
        <w:t xml:space="preserve">. As an example, RAS-independent activation of the PI3K/AKT/mTORC1 signaling pathway could be associated with resistance to KRAS </w:t>
      </w:r>
      <w:proofErr w:type="gramStart"/>
      <w:r w:rsidRPr="002772D1">
        <w:rPr>
          <w:rFonts w:ascii="Book Antiqua" w:eastAsia="Book Antiqua" w:hAnsi="Book Antiqua" w:cs="Book Antiqua"/>
          <w:color w:val="000000"/>
        </w:rPr>
        <w:t>inhibition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23]</w:t>
      </w:r>
      <w:r w:rsidRPr="002772D1">
        <w:rPr>
          <w:rFonts w:ascii="Book Antiqua" w:eastAsia="Book Antiqua" w:hAnsi="Book Antiqua" w:cs="Book Antiqua"/>
          <w:color w:val="000000"/>
        </w:rPr>
        <w:t xml:space="preserve">. Another mechanism of resistance could be the heterogeneous distribution of KRAS mutations in different tumor sites within the same </w:t>
      </w:r>
      <w:proofErr w:type="gramStart"/>
      <w:r w:rsidRPr="002772D1">
        <w:rPr>
          <w:rFonts w:ascii="Book Antiqua" w:eastAsia="Book Antiqua" w:hAnsi="Book Antiqua" w:cs="Book Antiqua"/>
          <w:color w:val="000000"/>
        </w:rPr>
        <w:t>patient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24]</w:t>
      </w:r>
      <w:r w:rsidRPr="002772D1">
        <w:rPr>
          <w:rFonts w:ascii="Book Antiqua" w:eastAsia="Book Antiqua" w:hAnsi="Book Antiqua" w:cs="Book Antiqua"/>
          <w:color w:val="000000"/>
        </w:rPr>
        <w:t xml:space="preserve">. Adaptive resistance also emerges under the selective pressure of KRAS TKIs. One mechanism of adaptive resistance could consist in the amplification of upstream drivers, such as </w:t>
      </w:r>
      <w:r w:rsidR="005514B5" w:rsidRPr="002772D1">
        <w:rPr>
          <w:rFonts w:ascii="Book Antiqua" w:eastAsia="Book Antiqua" w:hAnsi="Book Antiqua" w:cs="Book Antiqua"/>
          <w:color w:val="000000"/>
        </w:rPr>
        <w:t>receptor tyrosine kinases/ Src homology 2 domain-containing phosphatase 2</w:t>
      </w:r>
      <w:r w:rsidR="005514B5" w:rsidRPr="002772D1">
        <w:t xml:space="preserve"> (</w:t>
      </w:r>
      <w:r w:rsidRPr="002772D1">
        <w:rPr>
          <w:rFonts w:ascii="Book Antiqua" w:eastAsia="Book Antiqua" w:hAnsi="Book Antiqua" w:cs="Book Antiqua"/>
          <w:color w:val="000000"/>
        </w:rPr>
        <w:t>RTKs/SHP2</w:t>
      </w:r>
      <w:r w:rsidR="005514B5" w:rsidRPr="002772D1">
        <w:rPr>
          <w:rFonts w:ascii="Book Antiqua" w:eastAsia="Book Antiqua" w:hAnsi="Book Antiqua" w:cs="Book Antiqua"/>
          <w:color w:val="000000"/>
        </w:rPr>
        <w:t>)</w:t>
      </w:r>
      <w:r w:rsidRPr="002772D1">
        <w:rPr>
          <w:rFonts w:ascii="Book Antiqua" w:eastAsia="Book Antiqua" w:hAnsi="Book Antiqua" w:cs="Book Antiqua"/>
          <w:color w:val="000000"/>
        </w:rPr>
        <w:t>, that result from KRAS inhibition. Indeed, the diminution of ERK activity driven by KRAS G12C TKIs has been shown to suppress the ERK-mediated feedback inhibition of RTKs/SHP2, further activating N-Ras, H-Ras, and K-RasG12C, and ultimately restoring the activity of the MAPK/ERK signaling</w:t>
      </w:r>
      <w:r w:rsidRPr="002772D1">
        <w:rPr>
          <w:rFonts w:ascii="Book Antiqua" w:eastAsia="Book Antiqua" w:hAnsi="Book Antiqua" w:cs="Book Antiqua"/>
          <w:color w:val="000000"/>
          <w:vertAlign w:val="superscript"/>
        </w:rPr>
        <w:t>[21,25]</w:t>
      </w:r>
      <w:r w:rsidRPr="002772D1">
        <w:rPr>
          <w:rFonts w:ascii="Book Antiqua" w:eastAsia="Book Antiqua" w:hAnsi="Book Antiqua" w:cs="Book Antiqua"/>
          <w:color w:val="000000"/>
        </w:rPr>
        <w:t>.</w:t>
      </w:r>
    </w:p>
    <w:p w14:paraId="00F860DD" w14:textId="44196C9A"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Although clinical data are scarce, it is likely that KRAS G12C inhibitors are not effective in the majority of the patients harboring KRAS G12C mutations. There has been a growing interest to combine the KRAS G12C inhibitors with targeted agents or </w:t>
      </w:r>
      <w:r w:rsidR="00C1122E" w:rsidRPr="002772D1">
        <w:rPr>
          <w:rFonts w:ascii="Book Antiqua" w:eastAsia="Book Antiqua" w:hAnsi="Book Antiqua" w:cs="Book Antiqua"/>
          <w:color w:val="000000"/>
        </w:rPr>
        <w:t>immune checkpoint inhibitors (ICIs</w:t>
      </w:r>
      <w:proofErr w:type="gramStart"/>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26]</w:t>
      </w:r>
      <w:r w:rsidRPr="002772D1">
        <w:rPr>
          <w:rFonts w:ascii="Book Antiqua" w:eastAsia="Book Antiqua" w:hAnsi="Book Antiqua" w:cs="Book Antiqua"/>
          <w:color w:val="000000"/>
        </w:rPr>
        <w:t xml:space="preserve">. Based on preclinical data discussed above, </w:t>
      </w:r>
      <w:r w:rsidRPr="002772D1">
        <w:rPr>
          <w:rFonts w:ascii="Book Antiqua" w:eastAsia="Book Antiqua" w:hAnsi="Book Antiqua" w:cs="Book Antiqua"/>
          <w:color w:val="000000"/>
        </w:rPr>
        <w:lastRenderedPageBreak/>
        <w:t xml:space="preserve">adagrasib is currently being tested in association with the SHP2 inhibitor TNO155 in early clinical </w:t>
      </w:r>
      <w:proofErr w:type="gramStart"/>
      <w:r w:rsidRPr="002772D1">
        <w:rPr>
          <w:rFonts w:ascii="Book Antiqua" w:eastAsia="Book Antiqua" w:hAnsi="Book Antiqua" w:cs="Book Antiqua"/>
          <w:color w:val="000000"/>
        </w:rPr>
        <w:t>phases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27]</w:t>
      </w:r>
      <w:r w:rsidRPr="002772D1">
        <w:rPr>
          <w:rFonts w:ascii="Book Antiqua" w:eastAsia="Book Antiqua" w:hAnsi="Book Antiqua" w:cs="Book Antiqua"/>
          <w:color w:val="000000"/>
        </w:rPr>
        <w:t xml:space="preserve">. Associations with </w:t>
      </w:r>
      <w:r w:rsidR="00C1122E" w:rsidRPr="002772D1">
        <w:rPr>
          <w:rFonts w:ascii="Book Antiqua" w:eastAsia="Book Antiqua" w:hAnsi="Book Antiqua" w:cs="Book Antiqua"/>
          <w:color w:val="000000"/>
        </w:rPr>
        <w:t>ICIs</w:t>
      </w:r>
      <w:r w:rsidRPr="002772D1">
        <w:rPr>
          <w:rFonts w:ascii="Book Antiqua" w:eastAsia="Book Antiqua" w:hAnsi="Book Antiqua" w:cs="Book Antiqua"/>
          <w:color w:val="000000"/>
        </w:rPr>
        <w:t xml:space="preserve"> also represent an interesting approach, as in some preclinical models, KRAS G12C positive tumor cell lines exhibit an immunosuppressive environment that is disrupted by KRAS </w:t>
      </w:r>
      <w:proofErr w:type="gramStart"/>
      <w:r w:rsidRPr="002772D1">
        <w:rPr>
          <w:rFonts w:ascii="Book Antiqua" w:eastAsia="Book Antiqua" w:hAnsi="Book Antiqua" w:cs="Book Antiqua"/>
          <w:color w:val="000000"/>
        </w:rPr>
        <w:t>inhibition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28,29]</w:t>
      </w:r>
      <w:r w:rsidRPr="002772D1">
        <w:rPr>
          <w:rFonts w:ascii="Book Antiqua" w:eastAsia="Book Antiqua" w:hAnsi="Book Antiqua" w:cs="Book Antiqua"/>
          <w:color w:val="000000"/>
        </w:rPr>
        <w:t>.</w:t>
      </w:r>
    </w:p>
    <w:p w14:paraId="0B36A651" w14:textId="1CC54CC2"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Besides those targeting G12C, other KRAS inhibitors are in development, such as MRTX1133, a KRAS G12D inhibitor currently in investigational new drug enabling </w:t>
      </w:r>
      <w:proofErr w:type="gramStart"/>
      <w:r w:rsidRPr="002772D1">
        <w:rPr>
          <w:rFonts w:ascii="Book Antiqua" w:eastAsia="Book Antiqua" w:hAnsi="Book Antiqua" w:cs="Book Antiqua"/>
          <w:color w:val="000000"/>
        </w:rPr>
        <w:t>studies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30]</w:t>
      </w:r>
      <w:r w:rsidRPr="002772D1">
        <w:rPr>
          <w:rFonts w:ascii="Book Antiqua" w:eastAsia="Book Antiqua" w:hAnsi="Book Antiqua" w:cs="Book Antiqua"/>
          <w:color w:val="000000"/>
        </w:rPr>
        <w:t xml:space="preserve">, or BI 1701963, a molecule targeting </w:t>
      </w:r>
      <w:r w:rsidR="000864F3" w:rsidRPr="002772D1">
        <w:rPr>
          <w:rFonts w:ascii="Book Antiqua" w:eastAsia="Book Antiqua" w:hAnsi="Book Antiqua" w:cs="Book Antiqua"/>
          <w:color w:val="000000"/>
        </w:rPr>
        <w:t>son of sevenless-1</w:t>
      </w:r>
      <w:r w:rsidRPr="002772D1">
        <w:rPr>
          <w:rFonts w:ascii="Book Antiqua" w:eastAsia="Book Antiqua" w:hAnsi="Book Antiqua" w:cs="Book Antiqua"/>
          <w:color w:val="000000"/>
        </w:rPr>
        <w:t>, an activator of KRAS, which could allow inhibition of the KRAS pathway regardless of the mutation</w:t>
      </w:r>
      <w:r w:rsidRPr="002772D1">
        <w:rPr>
          <w:rFonts w:ascii="Book Antiqua" w:eastAsia="Book Antiqua" w:hAnsi="Book Antiqua" w:cs="Book Antiqua"/>
          <w:color w:val="000000"/>
          <w:vertAlign w:val="superscript"/>
        </w:rPr>
        <w:t>[31]</w:t>
      </w:r>
      <w:r w:rsidRPr="002772D1">
        <w:rPr>
          <w:rFonts w:ascii="Book Antiqua" w:eastAsia="Book Antiqua" w:hAnsi="Book Antiqua" w:cs="Book Antiqua"/>
          <w:color w:val="000000"/>
        </w:rPr>
        <w:t>.</w:t>
      </w:r>
    </w:p>
    <w:p w14:paraId="4A9724E7"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Finally, other approaches targeting KRAS include an mRNA vaccine targeting KRAS mutant cells, a strategy that has already entered a phase I clinical </w:t>
      </w:r>
      <w:proofErr w:type="gramStart"/>
      <w:r w:rsidRPr="002772D1">
        <w:rPr>
          <w:rFonts w:ascii="Book Antiqua" w:eastAsia="Book Antiqua" w:hAnsi="Book Antiqua" w:cs="Book Antiqua"/>
          <w:color w:val="000000"/>
        </w:rPr>
        <w:t>trial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32]</w:t>
      </w:r>
      <w:r w:rsidRPr="002772D1">
        <w:rPr>
          <w:rFonts w:ascii="Book Antiqua" w:eastAsia="Book Antiqua" w:hAnsi="Book Antiqua" w:cs="Book Antiqua"/>
          <w:color w:val="000000"/>
        </w:rPr>
        <w:t>, as preclinical data revealed an immune cell response in animal models</w:t>
      </w:r>
      <w:r w:rsidRPr="002772D1">
        <w:rPr>
          <w:rFonts w:ascii="Book Antiqua" w:eastAsia="Book Antiqua" w:hAnsi="Book Antiqua" w:cs="Book Antiqua"/>
          <w:color w:val="000000"/>
          <w:vertAlign w:val="superscript"/>
        </w:rPr>
        <w:t>[33]</w:t>
      </w:r>
      <w:r w:rsidRPr="002772D1">
        <w:rPr>
          <w:rFonts w:ascii="Book Antiqua" w:eastAsia="Book Antiqua" w:hAnsi="Book Antiqua" w:cs="Book Antiqua"/>
          <w:color w:val="000000"/>
        </w:rPr>
        <w:t>.</w:t>
      </w:r>
    </w:p>
    <w:p w14:paraId="236F8398" w14:textId="77777777" w:rsidR="00A77B3E" w:rsidRPr="002772D1" w:rsidRDefault="00A77B3E" w:rsidP="00E06D87">
      <w:pPr>
        <w:spacing w:line="360" w:lineRule="auto"/>
        <w:jc w:val="both"/>
        <w:rPr>
          <w:rFonts w:ascii="Book Antiqua" w:hAnsi="Book Antiqua"/>
        </w:rPr>
      </w:pPr>
    </w:p>
    <w:p w14:paraId="1E5A6C1D" w14:textId="77777777"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EGFR</w:t>
      </w:r>
    </w:p>
    <w:p w14:paraId="0DF2604B" w14:textId="786FD230"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EGFR</w:t>
      </w:r>
      <w:r w:rsidRPr="002772D1">
        <w:rPr>
          <w:rFonts w:ascii="Book Antiqua" w:eastAsia="Book Antiqua" w:hAnsi="Book Antiqua" w:cs="Book Antiqua"/>
          <w:color w:val="000000"/>
          <w:shd w:val="clear" w:color="auto" w:fill="FFFFFF"/>
        </w:rPr>
        <w:t xml:space="preserve"> is one of the four members of the </w:t>
      </w:r>
      <w:r w:rsidR="00C1122E" w:rsidRPr="002772D1">
        <w:rPr>
          <w:rFonts w:ascii="Book Antiqua" w:eastAsia="Book Antiqua" w:hAnsi="Book Antiqua" w:cs="Book Antiqua"/>
          <w:color w:val="000000"/>
        </w:rPr>
        <w:t>human epidermal growth factor</w:t>
      </w:r>
      <w:r w:rsidR="00C1122E" w:rsidRPr="002772D1">
        <w:rPr>
          <w:rFonts w:ascii="Book Antiqua" w:eastAsia="Book Antiqua" w:hAnsi="Book Antiqua" w:cs="Book Antiqua"/>
          <w:color w:val="000000"/>
          <w:shd w:val="clear" w:color="auto" w:fill="FFFFFF"/>
        </w:rPr>
        <w:t xml:space="preserve"> (</w:t>
      </w:r>
      <w:r w:rsidRPr="002772D1">
        <w:rPr>
          <w:rFonts w:ascii="Book Antiqua" w:eastAsia="Book Antiqua" w:hAnsi="Book Antiqua" w:cs="Book Antiqua"/>
          <w:color w:val="000000"/>
          <w:shd w:val="clear" w:color="auto" w:fill="FFFFFF"/>
        </w:rPr>
        <w:t>HER</w:t>
      </w:r>
      <w:r w:rsidR="00C1122E" w:rsidRPr="002772D1">
        <w:rPr>
          <w:rFonts w:ascii="Book Antiqua" w:eastAsia="Book Antiqua" w:hAnsi="Book Antiqua" w:cs="Book Antiqua"/>
          <w:color w:val="000000"/>
          <w:shd w:val="clear" w:color="auto" w:fill="FFFFFF"/>
        </w:rPr>
        <w:t>)</w:t>
      </w:r>
      <w:r w:rsidRPr="002772D1">
        <w:rPr>
          <w:rFonts w:ascii="Book Antiqua" w:eastAsia="Book Antiqua" w:hAnsi="Book Antiqua" w:cs="Book Antiqua"/>
          <w:color w:val="000000"/>
          <w:shd w:val="clear" w:color="auto" w:fill="FFFFFF"/>
        </w:rPr>
        <w:t xml:space="preserve"> family </w:t>
      </w:r>
      <w:r w:rsidRPr="002772D1">
        <w:rPr>
          <w:rFonts w:ascii="Book Antiqua" w:eastAsia="Book Antiqua" w:hAnsi="Book Antiqua" w:cs="Book Antiqua"/>
          <w:color w:val="000000"/>
        </w:rPr>
        <w:t>transmembrane</w:t>
      </w:r>
      <w:r w:rsidRPr="002772D1">
        <w:rPr>
          <w:rFonts w:ascii="Book Antiqua" w:eastAsia="Book Antiqua" w:hAnsi="Book Antiqua" w:cs="Book Antiqua"/>
          <w:color w:val="000000"/>
          <w:shd w:val="clear" w:color="auto" w:fill="FFFFFF"/>
        </w:rPr>
        <w:t xml:space="preserve"> receptors (</w:t>
      </w:r>
      <w:r w:rsidRPr="002772D1">
        <w:rPr>
          <w:rFonts w:ascii="Book Antiqua" w:eastAsia="Book Antiqua" w:hAnsi="Book Antiqua" w:cs="Book Antiqua"/>
          <w:color w:val="000000"/>
        </w:rPr>
        <w:t>HER1/EGFR, HER2, HER3, and HER4</w:t>
      </w:r>
      <w:r w:rsidRPr="002772D1">
        <w:rPr>
          <w:rFonts w:ascii="Book Antiqua" w:eastAsia="Book Antiqua" w:hAnsi="Book Antiqua" w:cs="Book Antiqua"/>
          <w:color w:val="000000"/>
          <w:shd w:val="clear" w:color="auto" w:fill="FFFFFF"/>
        </w:rPr>
        <w:t xml:space="preserve">). </w:t>
      </w:r>
      <w:r w:rsidRPr="002772D1">
        <w:rPr>
          <w:rFonts w:ascii="Book Antiqua" w:eastAsia="Book Antiqua" w:hAnsi="Book Antiqua" w:cs="Book Antiqua"/>
          <w:color w:val="000000"/>
        </w:rPr>
        <w:t xml:space="preserve">Each HER receptor is an inactive monomer that dimerizes with a receptor of the same type or with another member of the HER family in response to ligand binding. The receptor activation triggers a complex downstream signaling network which leads cell </w:t>
      </w:r>
      <w:proofErr w:type="gramStart"/>
      <w:r w:rsidRPr="002772D1">
        <w:rPr>
          <w:rFonts w:ascii="Book Antiqua" w:eastAsia="Book Antiqua" w:hAnsi="Book Antiqua" w:cs="Book Antiqua"/>
          <w:color w:val="000000"/>
        </w:rPr>
        <w:t>replication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34]</w:t>
      </w:r>
      <w:r w:rsidRPr="002772D1">
        <w:rPr>
          <w:rFonts w:ascii="Book Antiqua" w:eastAsia="Book Antiqua" w:hAnsi="Book Antiqua" w:cs="Book Antiqua"/>
          <w:color w:val="000000"/>
        </w:rPr>
        <w:t>. The dysregulated receptor function or disruptions in any downstream EGFR processes</w:t>
      </w:r>
      <w:r w:rsidRPr="002772D1">
        <w:rPr>
          <w:rFonts w:ascii="Book Antiqua" w:eastAsia="Book Antiqua" w:hAnsi="Book Antiqua" w:cs="Book Antiqua"/>
          <w:color w:val="000000"/>
          <w:shd w:val="clear" w:color="auto" w:fill="FFFFFF"/>
        </w:rPr>
        <w:t xml:space="preserve"> </w:t>
      </w:r>
      <w:r w:rsidRPr="002772D1">
        <w:rPr>
          <w:rFonts w:ascii="Book Antiqua" w:eastAsia="Book Antiqua" w:hAnsi="Book Antiqua" w:cs="Book Antiqua"/>
          <w:color w:val="000000"/>
        </w:rPr>
        <w:t>may result in cell transformation and malignancy.</w:t>
      </w:r>
    </w:p>
    <w:p w14:paraId="2664C2DD" w14:textId="324FEB29"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shd w:val="clear" w:color="auto" w:fill="FFFFFF"/>
        </w:rPr>
        <w:t xml:space="preserve">The prevalence of the mutation in the EGFR oncogenes is 50% among Asian patients with lung adenocarcinoma and 15% among Western </w:t>
      </w:r>
      <w:proofErr w:type="gramStart"/>
      <w:r w:rsidRPr="002772D1">
        <w:rPr>
          <w:rFonts w:ascii="Book Antiqua" w:eastAsia="Book Antiqua" w:hAnsi="Book Antiqua" w:cs="Book Antiqua"/>
          <w:color w:val="000000"/>
          <w:shd w:val="clear" w:color="auto" w:fill="FFFFFF"/>
        </w:rPr>
        <w:t>patients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35]</w:t>
      </w:r>
      <w:r w:rsidRPr="002772D1">
        <w:rPr>
          <w:rFonts w:ascii="Book Antiqua" w:eastAsia="Book Antiqua" w:hAnsi="Book Antiqua" w:cs="Book Antiqua"/>
          <w:color w:val="000000"/>
          <w:shd w:val="clear" w:color="auto" w:fill="FFFFFF"/>
        </w:rPr>
        <w:t>. Mutations leading to</w:t>
      </w:r>
      <w:r w:rsidR="00E3389C" w:rsidRPr="002772D1">
        <w:rPr>
          <w:rFonts w:ascii="Book Antiqua" w:eastAsia="Book Antiqua" w:hAnsi="Book Antiqua" w:cs="Book Antiqua"/>
          <w:color w:val="000000"/>
          <w:shd w:val="clear" w:color="auto" w:fill="FFFFFF"/>
        </w:rPr>
        <w:t xml:space="preserve"> </w:t>
      </w:r>
      <w:r w:rsidRPr="002772D1">
        <w:rPr>
          <w:rFonts w:ascii="Book Antiqua" w:eastAsia="Book Antiqua" w:hAnsi="Book Antiqua" w:cs="Book Antiqua"/>
          <w:color w:val="000000"/>
          <w:shd w:val="clear" w:color="auto" w:fill="FFFFFF"/>
        </w:rPr>
        <w:t xml:space="preserve">excessive </w:t>
      </w:r>
      <w:r w:rsidRPr="002772D1">
        <w:rPr>
          <w:rStyle w:val="markkfpyv3yvq"/>
          <w:rFonts w:ascii="Book Antiqua" w:eastAsia="Book Antiqua" w:hAnsi="Book Antiqua" w:cs="Book Antiqua"/>
          <w:color w:val="000000"/>
          <w:shd w:val="clear" w:color="auto" w:fill="FFFFFF"/>
        </w:rPr>
        <w:t>EGFR</w:t>
      </w:r>
      <w:r w:rsidRPr="002772D1">
        <w:rPr>
          <w:rFonts w:ascii="Book Antiqua" w:eastAsia="Book Antiqua" w:hAnsi="Book Antiqua" w:cs="Book Antiqua"/>
          <w:color w:val="000000"/>
          <w:shd w:val="clear" w:color="auto" w:fill="FFFFFF"/>
        </w:rPr>
        <w:t xml:space="preserve"> activity are most common among non-smokers, young, female, Asian lung cancer </w:t>
      </w:r>
      <w:proofErr w:type="gramStart"/>
      <w:r w:rsidRPr="002772D1">
        <w:rPr>
          <w:rFonts w:ascii="Book Antiqua" w:eastAsia="Book Antiqua" w:hAnsi="Book Antiqua" w:cs="Book Antiqua"/>
          <w:color w:val="000000"/>
          <w:shd w:val="clear" w:color="auto" w:fill="FFFFFF"/>
        </w:rPr>
        <w:t>patients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36]</w:t>
      </w:r>
      <w:r w:rsidRPr="002772D1">
        <w:rPr>
          <w:rFonts w:ascii="Book Antiqua" w:eastAsia="Book Antiqua" w:hAnsi="Book Antiqua" w:cs="Book Antiqua"/>
          <w:color w:val="000000"/>
          <w:shd w:val="clear" w:color="auto" w:fill="FFFFFF"/>
        </w:rPr>
        <w:t>.</w:t>
      </w:r>
      <w:r w:rsidRPr="002772D1">
        <w:rPr>
          <w:rFonts w:ascii="Book Antiqua" w:eastAsia="Book Antiqua" w:hAnsi="Book Antiqua" w:cs="Book Antiqua"/>
          <w:color w:val="000000"/>
        </w:rPr>
        <w:t xml:space="preserve"> Exon 19 deletions or L858R point mutations in exon 21 account for 90% percent of the activating mutations in the tyrosine kinase domain of EGFR, resulting in constitutional activation of EGFR without ligand-induced stimulation, thus promoting cell proliferation, survival, and dissemination</w:t>
      </w:r>
      <w:r w:rsidRPr="002772D1">
        <w:rPr>
          <w:rFonts w:ascii="Book Antiqua" w:eastAsia="Book Antiqua" w:hAnsi="Book Antiqua" w:cs="Book Antiqua"/>
          <w:color w:val="000000"/>
          <w:vertAlign w:val="superscript"/>
        </w:rPr>
        <w:t>[37,38]</w:t>
      </w:r>
      <w:r w:rsidRPr="002772D1">
        <w:rPr>
          <w:rFonts w:ascii="Book Antiqua" w:eastAsia="Book Antiqua" w:hAnsi="Book Antiqua" w:cs="Book Antiqua"/>
          <w:color w:val="000000"/>
        </w:rPr>
        <w:t>.</w:t>
      </w:r>
    </w:p>
    <w:p w14:paraId="029452CF" w14:textId="52D0302B"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EGFR mutations can be detected by </w:t>
      </w:r>
      <w:r w:rsidRPr="002772D1">
        <w:rPr>
          <w:rFonts w:ascii="Book Antiqua" w:eastAsia="Book Antiqua" w:hAnsi="Book Antiqua" w:cs="Book Antiqua"/>
          <w:color w:val="000000"/>
          <w:shd w:val="clear" w:color="auto" w:fill="FFFFFF"/>
        </w:rPr>
        <w:t xml:space="preserve">immunohistochemistry (IHC) or NGS. </w:t>
      </w:r>
      <w:r w:rsidRPr="002772D1">
        <w:rPr>
          <w:rFonts w:ascii="Book Antiqua" w:eastAsia="Book Antiqua" w:hAnsi="Book Antiqua" w:cs="Book Antiqua"/>
          <w:color w:val="000000"/>
        </w:rPr>
        <w:t xml:space="preserve">TKIs are the standard front-line therapy for metastatic EGFR mutant NSCLC for a decade, with </w:t>
      </w:r>
      <w:r w:rsidRPr="002772D1">
        <w:rPr>
          <w:rFonts w:ascii="Book Antiqua" w:eastAsia="Book Antiqua" w:hAnsi="Book Antiqua" w:cs="Book Antiqua"/>
          <w:color w:val="000000"/>
        </w:rPr>
        <w:lastRenderedPageBreak/>
        <w:t>three generations of TKIs that demonstrated better outcomes and lower toxicity compared to standard chemotherapy</w:t>
      </w:r>
      <w:r w:rsidRPr="002772D1">
        <w:rPr>
          <w:rFonts w:ascii="Book Antiqua" w:eastAsia="Book Antiqua" w:hAnsi="Book Antiqua" w:cs="Book Antiqua"/>
          <w:color w:val="000000"/>
          <w:vertAlign w:val="superscript"/>
        </w:rPr>
        <w:t>[39]</w:t>
      </w:r>
      <w:r w:rsidRPr="002772D1">
        <w:rPr>
          <w:rFonts w:ascii="Book Antiqua" w:eastAsia="Book Antiqua" w:hAnsi="Book Antiqua" w:cs="Book Antiqua"/>
          <w:color w:val="000000"/>
        </w:rPr>
        <w:t xml:space="preserve">, with a median PFS of 11.0 mo </w:t>
      </w:r>
      <w:r w:rsidRPr="002772D1">
        <w:rPr>
          <w:rFonts w:ascii="Book Antiqua" w:eastAsia="Book Antiqua" w:hAnsi="Book Antiqua" w:cs="Book Antiqua"/>
          <w:color w:val="000000"/>
          <w:shd w:val="clear" w:color="auto" w:fill="FFFFFF"/>
        </w:rPr>
        <w:t>(gefitinib or erlotinib)</w:t>
      </w:r>
      <w:r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5.6 mo (chemotherapy)</w:t>
      </w:r>
      <w:r w:rsidRPr="002772D1">
        <w:rPr>
          <w:rFonts w:ascii="Book Antiqua" w:eastAsia="Book Antiqua" w:hAnsi="Book Antiqua" w:cs="Book Antiqua"/>
          <w:color w:val="000000"/>
          <w:vertAlign w:val="superscript"/>
        </w:rPr>
        <w:t>[40]</w:t>
      </w:r>
      <w:r w:rsidRPr="002772D1">
        <w:rPr>
          <w:rFonts w:ascii="Book Antiqua" w:eastAsia="Book Antiqua" w:hAnsi="Book Antiqua" w:cs="Book Antiqua"/>
          <w:color w:val="000000"/>
        </w:rPr>
        <w:t>. To date, there are five U</w:t>
      </w:r>
      <w:r w:rsidR="00651E27" w:rsidRPr="002772D1">
        <w:rPr>
          <w:rFonts w:ascii="Book Antiqua" w:eastAsia="Book Antiqua" w:hAnsi="Book Antiqua" w:cs="Book Antiqua"/>
          <w:color w:val="000000"/>
        </w:rPr>
        <w:t>nited States</w:t>
      </w:r>
      <w:r w:rsidRPr="002772D1">
        <w:rPr>
          <w:rFonts w:ascii="Book Antiqua" w:eastAsia="Book Antiqua" w:hAnsi="Book Antiqua" w:cs="Book Antiqua"/>
          <w:color w:val="000000"/>
        </w:rPr>
        <w:t xml:space="preserve"> Food and Drug Administration (FDA)-approved TKIs as the standard treatment for patients with activating EGFR mutations in NSCLC, including first-generation gefitinib and erlotinib, second-generation afatinib and dacomitinib, and third generation osimertinib</w:t>
      </w:r>
      <w:r w:rsidRPr="002772D1">
        <w:rPr>
          <w:rFonts w:ascii="Book Antiqua" w:eastAsia="Book Antiqua" w:hAnsi="Book Antiqua" w:cs="Book Antiqua"/>
          <w:color w:val="000000"/>
          <w:vertAlign w:val="superscript"/>
        </w:rPr>
        <w:t>[41]</w:t>
      </w:r>
      <w:r w:rsidRPr="002772D1">
        <w:rPr>
          <w:rFonts w:ascii="Book Antiqua" w:eastAsia="Book Antiqua" w:hAnsi="Book Antiqua" w:cs="Book Antiqua"/>
          <w:color w:val="000000"/>
        </w:rPr>
        <w:t xml:space="preserve">. However, it has been shown that resistance systematically develops to those </w:t>
      </w:r>
      <w:proofErr w:type="gramStart"/>
      <w:r w:rsidRPr="002772D1">
        <w:rPr>
          <w:rFonts w:ascii="Book Antiqua" w:eastAsia="Book Antiqua" w:hAnsi="Book Antiqua" w:cs="Book Antiqua"/>
          <w:color w:val="000000"/>
        </w:rPr>
        <w:t>treatments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42,43]</w:t>
      </w:r>
      <w:r w:rsidRPr="002772D1">
        <w:rPr>
          <w:rFonts w:ascii="Book Antiqua" w:eastAsia="Book Antiqua" w:hAnsi="Book Antiqua" w:cs="Book Antiqua"/>
          <w:color w:val="000000"/>
        </w:rPr>
        <w:t>, mediated by mechanisms such as T790M secondary mutations, activation of other EGFR pathways, development of concurrent mutations or histological transformation. The</w:t>
      </w:r>
      <w:r w:rsidR="00651E27"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T790M</w:t>
      </w:r>
      <w:r w:rsidR="00651E27" w:rsidRPr="002772D1">
        <w:rPr>
          <w:rFonts w:ascii="Book Antiqua" w:eastAsia="Book Antiqua" w:hAnsi="Book Antiqua" w:cs="Book Antiqua"/>
          <w:i/>
          <w:iCs/>
          <w:color w:val="000000"/>
        </w:rPr>
        <w:t xml:space="preserve"> </w:t>
      </w:r>
      <w:r w:rsidRPr="002772D1">
        <w:rPr>
          <w:rFonts w:ascii="Book Antiqua" w:eastAsia="Book Antiqua" w:hAnsi="Book Antiqua" w:cs="Book Antiqua"/>
          <w:color w:val="000000"/>
        </w:rPr>
        <w:t>exon 20 mutation is rarely found in EGFR TKI-naive disease but is the most frequent cause of resistance to first- and second-generation EGFR TKIs (50%</w:t>
      </w:r>
      <w:r w:rsidR="00717663" w:rsidRPr="002772D1">
        <w:rPr>
          <w:rFonts w:ascii="Book Antiqua" w:eastAsia="Book Antiqua" w:hAnsi="Book Antiqua" w:cs="Book Antiqua"/>
          <w:color w:val="000000"/>
        </w:rPr>
        <w:t>-</w:t>
      </w:r>
      <w:r w:rsidRPr="002772D1">
        <w:rPr>
          <w:rFonts w:ascii="Book Antiqua" w:eastAsia="Book Antiqua" w:hAnsi="Book Antiqua" w:cs="Book Antiqua"/>
          <w:color w:val="000000"/>
        </w:rPr>
        <w:t>60% of cases)</w:t>
      </w:r>
      <w:r w:rsidR="00651E27"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vertAlign w:val="superscript"/>
        </w:rPr>
        <w:t>44</w:t>
      </w:r>
      <w:r w:rsidR="00651E27"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xml:space="preserve"> possibly by the presence of a mutated clone before treatment, which would be free to grow into the dominant clone under selective TKI pressure. It is the indication for which osimertinib, an EGFR-TKI that </w:t>
      </w:r>
      <w:r w:rsidRPr="002772D1">
        <w:rPr>
          <w:rFonts w:ascii="Book Antiqua" w:eastAsia="Book Antiqua" w:hAnsi="Book Antiqua" w:cs="Book Antiqua"/>
          <w:color w:val="000000"/>
          <w:shd w:val="clear" w:color="auto" w:fill="FFFFFF"/>
        </w:rPr>
        <w:t>selectively inhibits both EGFR-TKI-sensitizing and EGFR T790M resistance mutations,</w:t>
      </w:r>
      <w:r w:rsidRPr="002772D1">
        <w:rPr>
          <w:rFonts w:ascii="Book Antiqua" w:eastAsia="Book Antiqua" w:hAnsi="Book Antiqua" w:cs="Book Antiqua"/>
          <w:color w:val="000000"/>
        </w:rPr>
        <w:t xml:space="preserve"> was first developed. It improves outcomes in second-line after disease progression with </w:t>
      </w:r>
      <w:r w:rsidRPr="002772D1">
        <w:rPr>
          <w:rFonts w:ascii="Book Antiqua" w:eastAsia="Book Antiqua" w:hAnsi="Book Antiqua" w:cs="Book Antiqua"/>
          <w:i/>
          <w:iCs/>
          <w:color w:val="000000"/>
        </w:rPr>
        <w:t>T790M</w:t>
      </w:r>
      <w:r w:rsidRPr="002772D1">
        <w:rPr>
          <w:rFonts w:ascii="Book Antiqua" w:eastAsia="Book Antiqua" w:hAnsi="Book Antiqua" w:cs="Book Antiqua"/>
          <w:color w:val="000000"/>
        </w:rPr>
        <w:t xml:space="preserve"> </w:t>
      </w:r>
      <w:proofErr w:type="gramStart"/>
      <w:r w:rsidRPr="002772D1">
        <w:rPr>
          <w:rFonts w:ascii="Book Antiqua" w:eastAsia="Book Antiqua" w:hAnsi="Book Antiqua" w:cs="Book Antiqua"/>
          <w:color w:val="000000"/>
        </w:rPr>
        <w:t>mutations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44,45]</w:t>
      </w:r>
      <w:r w:rsidRPr="002772D1">
        <w:rPr>
          <w:rFonts w:ascii="Book Antiqua" w:eastAsia="Book Antiqua" w:hAnsi="Book Antiqua" w:cs="Book Antiqua"/>
          <w:color w:val="000000"/>
        </w:rPr>
        <w:t xml:space="preserve">, as well as in the front-line setting (PFS </w:t>
      </w:r>
      <w:r w:rsidRPr="002772D1">
        <w:rPr>
          <w:rFonts w:ascii="Book Antiqua" w:eastAsia="Book Antiqua" w:hAnsi="Book Antiqua" w:cs="Book Antiqua"/>
          <w:color w:val="000000"/>
          <w:shd w:val="clear" w:color="auto" w:fill="FFFFFF"/>
        </w:rPr>
        <w:t xml:space="preserve">18.9 mo </w:t>
      </w:r>
      <w:r w:rsidRPr="002772D1">
        <w:rPr>
          <w:rFonts w:ascii="Book Antiqua" w:eastAsia="Book Antiqua" w:hAnsi="Book Antiqua" w:cs="Book Antiqua"/>
          <w:i/>
          <w:iCs/>
          <w:color w:val="000000"/>
          <w:shd w:val="clear" w:color="auto" w:fill="FFFFFF"/>
        </w:rPr>
        <w:t>vs</w:t>
      </w:r>
      <w:r w:rsidRPr="002772D1">
        <w:rPr>
          <w:rFonts w:ascii="Book Antiqua" w:eastAsia="Book Antiqua" w:hAnsi="Book Antiqua" w:cs="Book Antiqua"/>
          <w:color w:val="000000"/>
          <w:shd w:val="clear" w:color="auto" w:fill="FFFFFF"/>
        </w:rPr>
        <w:t xml:space="preserve"> 10.2 mo; OS 38.6 mo </w:t>
      </w:r>
      <w:r w:rsidRPr="002772D1">
        <w:rPr>
          <w:rFonts w:ascii="Book Antiqua" w:eastAsia="Book Antiqua" w:hAnsi="Book Antiqua" w:cs="Book Antiqua"/>
          <w:i/>
          <w:iCs/>
          <w:color w:val="000000"/>
          <w:shd w:val="clear" w:color="auto" w:fill="FFFFFF"/>
        </w:rPr>
        <w:t>vs</w:t>
      </w:r>
      <w:r w:rsidRPr="002772D1">
        <w:rPr>
          <w:rFonts w:ascii="Book Antiqua" w:eastAsia="Book Antiqua" w:hAnsi="Book Antiqua" w:cs="Book Antiqua"/>
          <w:color w:val="000000"/>
          <w:shd w:val="clear" w:color="auto" w:fill="FFFFFF"/>
        </w:rPr>
        <w:t xml:space="preserve"> 31.8 mo</w:t>
      </w:r>
      <w:r w:rsidRPr="002772D1">
        <w:rPr>
          <w:rFonts w:ascii="Book Antiqua" w:eastAsia="Book Antiqua" w:hAnsi="Book Antiqua" w:cs="Book Antiqua"/>
          <w:color w:val="000000"/>
        </w:rPr>
        <w:t>) with an improved safety profile</w:t>
      </w:r>
      <w:r w:rsidRPr="002772D1">
        <w:rPr>
          <w:rFonts w:ascii="Book Antiqua" w:eastAsia="Book Antiqua" w:hAnsi="Book Antiqua" w:cs="Book Antiqua"/>
          <w:color w:val="000000"/>
          <w:vertAlign w:val="superscript"/>
        </w:rPr>
        <w:t>[43,46]</w:t>
      </w:r>
      <w:r w:rsidRPr="002772D1">
        <w:rPr>
          <w:rFonts w:ascii="Book Antiqua" w:eastAsia="Book Antiqua" w:hAnsi="Book Antiqua" w:cs="Book Antiqua"/>
          <w:color w:val="000000"/>
        </w:rPr>
        <w:t>.</w:t>
      </w:r>
    </w:p>
    <w:p w14:paraId="0F397D5C" w14:textId="4DDBD64F"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In order to improve outcomes of EGFR mutant NSCLC patients, combination therapy of EGFR TKIs with other agents have been tested, with interesting perspectives. A meta-analysis was conducted regarding the efficacy and safety of vascular </w:t>
      </w:r>
      <w:r w:rsidR="00651E27" w:rsidRPr="002772D1">
        <w:rPr>
          <w:rFonts w:ascii="Book Antiqua" w:eastAsia="Book Antiqua" w:hAnsi="Book Antiqua" w:cs="Book Antiqua"/>
          <w:color w:val="000000"/>
        </w:rPr>
        <w:t>EGFR</w:t>
      </w:r>
      <w:r w:rsidRPr="002772D1">
        <w:rPr>
          <w:rFonts w:ascii="Book Antiqua" w:eastAsia="Book Antiqua" w:hAnsi="Book Antiqua" w:cs="Book Antiqua"/>
          <w:color w:val="000000"/>
        </w:rPr>
        <w:t xml:space="preserve"> inhibitors in combination with chemotherapy for patients with advanced NSCLC showing improved PFS, ORR and disease control rate, but without an impact on </w:t>
      </w:r>
      <w:proofErr w:type="gramStart"/>
      <w:r w:rsidRPr="002772D1">
        <w:rPr>
          <w:rFonts w:ascii="Book Antiqua" w:eastAsia="Book Antiqua" w:hAnsi="Book Antiqua" w:cs="Book Antiqua"/>
          <w:color w:val="000000"/>
        </w:rPr>
        <w:t>OS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47]</w:t>
      </w:r>
      <w:r w:rsidRPr="002772D1">
        <w:rPr>
          <w:rFonts w:ascii="Book Antiqua" w:eastAsia="Book Antiqua" w:hAnsi="Book Antiqua" w:cs="Book Antiqua"/>
          <w:color w:val="000000"/>
        </w:rPr>
        <w:t xml:space="preserve">. Results are pending from the Japanese phase II study comparing osimertinib alone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osimertinib plus chemotherapy in second-line setting for patients with T790M mutation. Also, the phase III FLAURA2 study started recruiting in 2019, studying osimertinib with or without platinum-pemetrexed chemotherapy as first-line treatment in</w:t>
      </w:r>
      <w:r w:rsidR="00651E27"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EGFR</w:t>
      </w:r>
      <w:r w:rsidR="00651E27"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mutated advanced patientswith NSCLC (ClinicalTrials.gov Identifier: NCT04035486). </w:t>
      </w:r>
      <w:r w:rsidRPr="002772D1">
        <w:rPr>
          <w:rFonts w:ascii="Book Antiqua" w:eastAsia="Book Antiqua" w:hAnsi="Book Antiqua" w:cs="Book Antiqua"/>
          <w:color w:val="000000"/>
        </w:rPr>
        <w:lastRenderedPageBreak/>
        <w:t>Numerous studies are ongoing regarding the best sequence to use. At this time, the combination of chemotherapy and TKIs is not standard practice.</w:t>
      </w:r>
    </w:p>
    <w:p w14:paraId="2B8AE1B5" w14:textId="77777777" w:rsidR="00A77B3E" w:rsidRPr="002772D1" w:rsidRDefault="00A77B3E" w:rsidP="00E06D87">
      <w:pPr>
        <w:spacing w:line="360" w:lineRule="auto"/>
        <w:jc w:val="both"/>
        <w:rPr>
          <w:rFonts w:ascii="Book Antiqua" w:hAnsi="Book Antiqua"/>
        </w:rPr>
      </w:pPr>
    </w:p>
    <w:p w14:paraId="144148D7" w14:textId="2307ADB5" w:rsidR="00651E27" w:rsidRPr="002772D1" w:rsidRDefault="001C486E" w:rsidP="00E06D87">
      <w:pPr>
        <w:spacing w:line="360" w:lineRule="auto"/>
        <w:jc w:val="both"/>
        <w:rPr>
          <w:rFonts w:ascii="Book Antiqua" w:eastAsia="Book Antiqua" w:hAnsi="Book Antiqua" w:cs="Book Antiqua"/>
          <w:b/>
          <w:bCs/>
          <w:color w:val="000000"/>
          <w:u w:val="single"/>
        </w:rPr>
      </w:pPr>
      <w:r w:rsidRPr="002772D1">
        <w:rPr>
          <w:rFonts w:ascii="Book Antiqua" w:eastAsia="Book Antiqua" w:hAnsi="Book Antiqua" w:cs="Book Antiqua"/>
          <w:b/>
          <w:bCs/>
          <w:color w:val="000000"/>
          <w:u w:val="single"/>
        </w:rPr>
        <w:t>MET</w:t>
      </w:r>
      <w:r w:rsidR="00651E27" w:rsidRPr="002772D1">
        <w:rPr>
          <w:rFonts w:ascii="Book Antiqua" w:eastAsia="Book Antiqua" w:hAnsi="Book Antiqua" w:cs="Book Antiqua"/>
          <w:b/>
          <w:bCs/>
          <w:color w:val="000000"/>
          <w:u w:val="single"/>
        </w:rPr>
        <w:t xml:space="preserve"> </w:t>
      </w:r>
    </w:p>
    <w:p w14:paraId="7DD0DA2B" w14:textId="10538138"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proto-oncogene </w:t>
      </w:r>
      <w:r w:rsidRPr="002772D1">
        <w:rPr>
          <w:rFonts w:ascii="Book Antiqua" w:eastAsia="Book Antiqua" w:hAnsi="Book Antiqua" w:cs="Book Antiqua"/>
          <w:i/>
          <w:iCs/>
          <w:color w:val="000000"/>
        </w:rPr>
        <w:t>MET</w:t>
      </w:r>
      <w:r w:rsidRPr="002772D1">
        <w:rPr>
          <w:rFonts w:ascii="Book Antiqua" w:eastAsia="Book Antiqua" w:hAnsi="Book Antiqua" w:cs="Book Antiqua"/>
          <w:color w:val="000000"/>
        </w:rPr>
        <w:t xml:space="preserve"> is located on chromosome 7q21-q31. It encodes for a transmembrane receptor (c-Met or MET) also known as hepatocyte growth factor receptor. This tyrosine kinase receptor activates downstream RAS/ERK/MAPK, PI3K/AKT,</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Wnt/β-catenin, and </w:t>
      </w:r>
      <w:r w:rsidR="00765DB6" w:rsidRPr="002772D1">
        <w:rPr>
          <w:rFonts w:ascii="Book Antiqua" w:eastAsia="Book Antiqua" w:hAnsi="Book Antiqua" w:cs="Book Antiqua"/>
          <w:color w:val="000000"/>
        </w:rPr>
        <w:t xml:space="preserve">signal transducer and activator of transcription (STAT) </w:t>
      </w:r>
      <w:r w:rsidRPr="002772D1">
        <w:rPr>
          <w:rFonts w:ascii="Book Antiqua" w:eastAsia="Book Antiqua" w:hAnsi="Book Antiqua" w:cs="Book Antiqua"/>
          <w:color w:val="000000"/>
        </w:rPr>
        <w:t>signaling pathways, that can drive</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cell proliferation, survival, migration, invasion,</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angiogenesis, and transition from epithelial to </w:t>
      </w:r>
      <w:proofErr w:type="gramStart"/>
      <w:r w:rsidRPr="002772D1">
        <w:rPr>
          <w:rFonts w:ascii="Book Antiqua" w:eastAsia="Book Antiqua" w:hAnsi="Book Antiqua" w:cs="Book Antiqua"/>
          <w:color w:val="000000"/>
        </w:rPr>
        <w:t>mesenchymal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48]</w:t>
      </w:r>
      <w:r w:rsidRPr="002772D1">
        <w:rPr>
          <w:rFonts w:ascii="Book Antiqua" w:eastAsia="Book Antiqua" w:hAnsi="Book Antiqua" w:cs="Book Antiqua"/>
          <w:color w:val="000000"/>
        </w:rPr>
        <w:t xml:space="preserve">. MET dysregulation encompasses a heterogeneous array of alterations, with two main subgroups: MET amplifications and MET exon 14 mutations, leading to prolonged activation of the cellular MET receptor and downstream proliferation </w:t>
      </w:r>
      <w:proofErr w:type="gramStart"/>
      <w:r w:rsidRPr="002772D1">
        <w:rPr>
          <w:rFonts w:ascii="Book Antiqua" w:eastAsia="Book Antiqua" w:hAnsi="Book Antiqua" w:cs="Book Antiqua"/>
          <w:color w:val="000000"/>
        </w:rPr>
        <w:t>pathways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w:t>
      </w:r>
      <w:r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shd w:val="clear" w:color="auto" w:fill="FFFFFF"/>
        </w:rPr>
        <w:t xml:space="preserve">Regarding exon 14, aberrant splicing and skipping of exon in the messenger RNA transcript can result from somatic missense mutations, insertions, deletions, and concomitant insertions and deletions. </w:t>
      </w:r>
    </w:p>
    <w:p w14:paraId="504E9B22" w14:textId="5BBD336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MET alterations are found in fewer than 5% of patients with NSCLC, mainly adenocarcinoma, often with concurrent mutations (</w:t>
      </w:r>
      <w:r w:rsidRPr="002772D1">
        <w:rPr>
          <w:rFonts w:ascii="Book Antiqua" w:eastAsia="Book Antiqua" w:hAnsi="Book Antiqua" w:cs="Book Antiqua"/>
          <w:i/>
          <w:iCs/>
          <w:color w:val="000000"/>
        </w:rPr>
        <w:t>i</w:t>
      </w:r>
      <w:r w:rsidR="00765DB6" w:rsidRPr="002772D1">
        <w:rPr>
          <w:rFonts w:ascii="Book Antiqua" w:eastAsia="Book Antiqua" w:hAnsi="Book Antiqua" w:cs="Book Antiqua"/>
          <w:i/>
          <w:iCs/>
          <w:color w:val="000000"/>
        </w:rPr>
        <w:t>.</w:t>
      </w:r>
      <w:r w:rsidRPr="002772D1">
        <w:rPr>
          <w:rFonts w:ascii="Book Antiqua" w:eastAsia="Book Antiqua" w:hAnsi="Book Antiqua" w:cs="Book Antiqua"/>
          <w:i/>
          <w:iCs/>
          <w:color w:val="000000"/>
        </w:rPr>
        <w:t>e</w:t>
      </w:r>
      <w:r w:rsidR="00765DB6" w:rsidRPr="002772D1">
        <w:rPr>
          <w:rFonts w:ascii="Book Antiqua" w:eastAsia="Book Antiqua" w:hAnsi="Book Antiqua" w:cs="Book Antiqua"/>
          <w:i/>
          <w:iCs/>
          <w:color w:val="000000"/>
        </w:rPr>
        <w:t>.</w:t>
      </w:r>
      <w:r w:rsidR="00717663" w:rsidRPr="002772D1">
        <w:rPr>
          <w:rFonts w:ascii="Book Antiqua" w:eastAsia="Book Antiqua" w:hAnsi="Book Antiqua" w:cs="Book Antiqua"/>
          <w:i/>
          <w:iCs/>
          <w:color w:val="000000"/>
        </w:rPr>
        <w:t>,</w:t>
      </w:r>
      <w:r w:rsidRPr="002772D1">
        <w:rPr>
          <w:rFonts w:ascii="Book Antiqua" w:eastAsia="Book Antiqua" w:hAnsi="Book Antiqua" w:cs="Book Antiqua"/>
          <w:color w:val="000000"/>
        </w:rPr>
        <w:t xml:space="preserve"> EGFR, ALK). Detection of MET amplification is assessed by fluorescence </w:t>
      </w:r>
      <w:r w:rsidRPr="002772D1">
        <w:rPr>
          <w:rFonts w:ascii="Book Antiqua" w:eastAsia="Book Antiqua" w:hAnsi="Book Antiqua" w:cs="Book Antiqua"/>
          <w:i/>
          <w:iCs/>
          <w:color w:val="000000"/>
        </w:rPr>
        <w:t>in situ</w:t>
      </w:r>
      <w:r w:rsidRPr="002772D1">
        <w:rPr>
          <w:rFonts w:ascii="Book Antiqua" w:eastAsia="Book Antiqua" w:hAnsi="Book Antiqua" w:cs="Book Antiqua"/>
          <w:color w:val="000000"/>
        </w:rPr>
        <w:t xml:space="preserve"> hybridization (FISH), and exon 14 skipping is most often completed through DNA or RNA NGS.</w:t>
      </w:r>
    </w:p>
    <w:p w14:paraId="72A23666" w14:textId="6C470DFC"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Due to the various diversity of MET dysregulation, there was a need to identify the oncogenic role of each type of MET alteration and defining the adequate targeted therapy. Over the last 20 years, several agents have been developed to target MET such as multikinase MET inhibitors (crizotinib,</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cabozantinib, MGCD265, AMG208, altiratinib, golvatinib), selective MET inhibitors (capmatinib, tepotinib, tivantinib) and monoclonal antibody (onartuzumab, emibetuzumab,</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ficlatuzumab, rilotumumab). A retrospective registry (IMMUNOTARGET) of advanced NSCLC patients who received immunotherapy showed that only 16% of them demonstrated a partial response, with a short median PFS of 3.4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49]</w:t>
      </w:r>
      <w:r w:rsidRPr="002772D1">
        <w:rPr>
          <w:rFonts w:ascii="Book Antiqua" w:eastAsia="Book Antiqua" w:hAnsi="Book Antiqua" w:cs="Book Antiqua"/>
          <w:color w:val="000000"/>
        </w:rPr>
        <w:t xml:space="preserve">. Small cohorts showed that MET TKIs offer a promising </w:t>
      </w:r>
      <w:r w:rsidRPr="002772D1">
        <w:rPr>
          <w:rFonts w:ascii="Book Antiqua" w:eastAsia="Book Antiqua" w:hAnsi="Book Antiqua" w:cs="Book Antiqua"/>
          <w:color w:val="000000"/>
        </w:rPr>
        <w:lastRenderedPageBreak/>
        <w:t xml:space="preserve">treatment option in patients with exon 14 skipping with response rates from 25% to 68%, and a median duration of response of 9 to 16 mo. In the retrospective data analysis of a phase 1 PROFILE 1001 study, data supported that MET exon 14 skipping in NSCLC confers sensitivity to direct MET inhibitors with a median OS of 24.6 mo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8.1 mo among patients receiving crizotinib compared with those who did </w:t>
      </w:r>
      <w:proofErr w:type="gramStart"/>
      <w:r w:rsidRPr="002772D1">
        <w:rPr>
          <w:rFonts w:ascii="Book Antiqua" w:eastAsia="Book Antiqua" w:hAnsi="Book Antiqua" w:cs="Book Antiqua"/>
          <w:color w:val="000000"/>
        </w:rPr>
        <w:t>not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50]</w:t>
      </w:r>
      <w:r w:rsidRPr="002772D1">
        <w:rPr>
          <w:rFonts w:ascii="Book Antiqua" w:eastAsia="Book Antiqua" w:hAnsi="Book Antiqua" w:cs="Book Antiqua"/>
          <w:color w:val="000000"/>
        </w:rPr>
        <w:t>. In patients with advanced or metastatic NSCLC with a confirmed</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MET</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exon 14 skipping mutation, the use of tepotinib, a highly selective oral MET inhibitor, was associated with a partial response in approximately half the patients</w:t>
      </w:r>
      <w:r w:rsidR="00E3389C"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(ORR 46%, with a median duration of response of 11.1 moin a recent phase 2 </w:t>
      </w:r>
      <w:proofErr w:type="gramStart"/>
      <w:r w:rsidRPr="002772D1">
        <w:rPr>
          <w:rFonts w:ascii="Book Antiqua" w:eastAsia="Book Antiqua" w:hAnsi="Book Antiqua" w:cs="Book Antiqua"/>
          <w:color w:val="000000"/>
        </w:rPr>
        <w:t>study</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51]</w:t>
      </w:r>
      <w:r w:rsidRPr="002772D1">
        <w:rPr>
          <w:rFonts w:ascii="Book Antiqua" w:eastAsia="Book Antiqua" w:hAnsi="Book Antiqua" w:cs="Book Antiqua"/>
          <w:color w:val="000000"/>
        </w:rPr>
        <w:t>. In advanced MET</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exon 14 skipping NSCLC, capmatinib showed substantial antitumor activity particularly in previously untreated patients (ORR 68%), with a median duration of response of 12.6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51]</w:t>
      </w:r>
      <w:r w:rsidRPr="002772D1">
        <w:rPr>
          <w:rFonts w:ascii="Book Antiqua" w:eastAsia="Book Antiqua" w:hAnsi="Book Antiqua" w:cs="Book Antiqua"/>
          <w:color w:val="000000"/>
        </w:rPr>
        <w:t>.</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Limited efficacy was observed in previously treated patients with</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MET</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amplification (ORR 7 to 12% of patients with capmatinib).</w:t>
      </w:r>
    </w:p>
    <w:p w14:paraId="540DD918" w14:textId="77777777" w:rsidR="00A77B3E" w:rsidRPr="002772D1" w:rsidRDefault="00A77B3E" w:rsidP="00E06D87">
      <w:pPr>
        <w:spacing w:line="360" w:lineRule="auto"/>
        <w:jc w:val="both"/>
        <w:rPr>
          <w:rFonts w:ascii="Book Antiqua" w:hAnsi="Book Antiqua"/>
        </w:rPr>
      </w:pPr>
    </w:p>
    <w:p w14:paraId="02C26C1B" w14:textId="77777777"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ALK</w:t>
      </w:r>
    </w:p>
    <w:p w14:paraId="77B9ED58" w14:textId="661399B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ALK is a transmembrane receptor tyrosine kinase that can activate multiple signaling cascades such as the PI3K-AKT, C</w:t>
      </w:r>
      <w:r w:rsidR="008C161A" w:rsidRPr="002772D1">
        <w:rPr>
          <w:rFonts w:ascii="Book Antiqua" w:eastAsia="Book Antiqua" w:hAnsi="Book Antiqua" w:cs="Book Antiqua"/>
          <w:color w:val="000000"/>
        </w:rPr>
        <w:t>rkl</w:t>
      </w:r>
      <w:r w:rsidRPr="002772D1">
        <w:rPr>
          <w:rFonts w:ascii="Book Antiqua" w:eastAsia="Book Antiqua" w:hAnsi="Book Antiqua" w:cs="Book Antiqua"/>
          <w:color w:val="000000"/>
        </w:rPr>
        <w:t xml:space="preserve">-C3G, </w:t>
      </w:r>
      <w:r w:rsidR="00B06B69" w:rsidRPr="002772D1">
        <w:rPr>
          <w:rFonts w:ascii="Book Antiqua" w:eastAsia="Book Antiqua" w:hAnsi="Book Antiqua" w:cs="Book Antiqua"/>
          <w:color w:val="000000"/>
        </w:rPr>
        <w:t xml:space="preserve">MAP kinase kinase kinase </w:t>
      </w:r>
      <w:r w:rsidRPr="002772D1">
        <w:rPr>
          <w:rFonts w:ascii="Book Antiqua" w:eastAsia="Book Antiqua" w:hAnsi="Book Antiqua" w:cs="Book Antiqua"/>
          <w:color w:val="000000"/>
        </w:rPr>
        <w:t>2/3-</w:t>
      </w:r>
      <w:r w:rsidR="00B06B69" w:rsidRPr="002772D1">
        <w:rPr>
          <w:rFonts w:ascii="Book Antiqua" w:eastAsia="Book Antiqua" w:hAnsi="Book Antiqua" w:cs="Book Antiqua"/>
          <w:color w:val="000000"/>
        </w:rPr>
        <w:t>mitogen-activated protein kinase kinase (</w:t>
      </w:r>
      <w:r w:rsidRPr="002772D1">
        <w:rPr>
          <w:rFonts w:ascii="Book Antiqua" w:eastAsia="Book Antiqua" w:hAnsi="Book Antiqua" w:cs="Book Antiqua"/>
          <w:color w:val="000000"/>
        </w:rPr>
        <w:t>MEK</w:t>
      </w:r>
      <w:r w:rsidR="00B06B69"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5-ERK5, </w:t>
      </w:r>
      <w:r w:rsidR="00765DB6" w:rsidRPr="002772D1">
        <w:rPr>
          <w:rFonts w:ascii="Book Antiqua" w:eastAsia="Book Antiqua" w:hAnsi="Book Antiqua" w:cs="Book Antiqua"/>
          <w:color w:val="000000"/>
        </w:rPr>
        <w:t>Janus kinase (</w:t>
      </w:r>
      <w:r w:rsidRPr="002772D1">
        <w:rPr>
          <w:rFonts w:ascii="Book Antiqua" w:eastAsia="Book Antiqua" w:hAnsi="Book Antiqua" w:cs="Book Antiqua"/>
          <w:color w:val="000000"/>
        </w:rPr>
        <w:t>JAK</w:t>
      </w:r>
      <w:r w:rsidR="00765DB6"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-STAT, and MAPK pathways. Its involvement is known in development, then subsequently silenced in adult tissues. However, several </w:t>
      </w:r>
      <w:r w:rsidRPr="002772D1">
        <w:rPr>
          <w:rFonts w:ascii="Book Antiqua" w:eastAsia="Book Antiqua" w:hAnsi="Book Antiqua" w:cs="Book Antiqua"/>
          <w:i/>
          <w:iCs/>
          <w:color w:val="000000"/>
        </w:rPr>
        <w:t>ALK</w:t>
      </w:r>
      <w:r w:rsidRPr="002772D1">
        <w:rPr>
          <w:rFonts w:ascii="Book Antiqua" w:eastAsia="Book Antiqua" w:hAnsi="Book Antiqua" w:cs="Book Antiqua"/>
          <w:color w:val="000000"/>
        </w:rPr>
        <w:t xml:space="preserve"> gene alterations have been identified in tumors, including point mutations, deletions, and rearrangements leading to ALK reactivation. Various ALK-fusion proteins have been described that result from numerous chromosomal rearrangements, with formation of dimers by the amino-terminal portion of the ALK fusion proteins resulting in the activation of the ALK protein kinase domain that plays a key role in the tumorigenic process. The consequent ALK expression can activate multiple downstream known cancer signaling pathways </w:t>
      </w:r>
      <w:r w:rsidR="00B06B69" w:rsidRPr="002772D1">
        <w:rPr>
          <w:rFonts w:ascii="Book Antiqua" w:eastAsia="Book Antiqua" w:hAnsi="Book Antiqua" w:cs="Book Antiqua"/>
          <w:color w:val="000000"/>
        </w:rPr>
        <w:t>[</w:t>
      </w:r>
      <w:r w:rsidRPr="002772D1">
        <w:rPr>
          <w:rFonts w:ascii="Book Antiqua" w:eastAsia="Book Antiqua" w:hAnsi="Book Antiqua" w:cs="Book Antiqua"/>
          <w:color w:val="000000"/>
        </w:rPr>
        <w:t>PI3K/AKT, JAK/STAT, and RAS/</w:t>
      </w:r>
      <w:r w:rsidR="00B06B69" w:rsidRPr="002772D1">
        <w:rPr>
          <w:rFonts w:ascii="Book Antiqua" w:eastAsia="Book Antiqua" w:hAnsi="Book Antiqua" w:cs="Book Antiqua"/>
          <w:color w:val="000000"/>
        </w:rPr>
        <w:t>rapidly accelerated fibrosarcoma (</w:t>
      </w:r>
      <w:r w:rsidRPr="002772D1">
        <w:rPr>
          <w:rFonts w:ascii="Book Antiqua" w:eastAsia="Book Antiqua" w:hAnsi="Book Antiqua" w:cs="Book Antiqua"/>
          <w:color w:val="000000"/>
        </w:rPr>
        <w:t>RAF</w:t>
      </w:r>
      <w:r w:rsidR="00B06B69" w:rsidRPr="002772D1">
        <w:rPr>
          <w:rFonts w:ascii="Book Antiqua" w:eastAsia="Book Antiqua" w:hAnsi="Book Antiqua" w:cs="Book Antiqua"/>
          <w:color w:val="000000"/>
        </w:rPr>
        <w:t>)</w:t>
      </w:r>
      <w:r w:rsidRPr="002772D1">
        <w:rPr>
          <w:rFonts w:ascii="Book Antiqua" w:eastAsia="Book Antiqua" w:hAnsi="Book Antiqua" w:cs="Book Antiqua"/>
          <w:color w:val="000000"/>
        </w:rPr>
        <w:t>/</w:t>
      </w:r>
      <w:r w:rsidR="00250200" w:rsidRPr="002772D1">
        <w:rPr>
          <w:rFonts w:ascii="Book Antiqua" w:hAnsi="Book Antiqua" w:cs="Book Antiqua" w:hint="eastAsia"/>
          <w:color w:val="000000"/>
          <w:lang w:eastAsia="zh-CN"/>
        </w:rPr>
        <w:t xml:space="preserve"> </w:t>
      </w:r>
      <w:r w:rsidRPr="002772D1">
        <w:rPr>
          <w:rFonts w:ascii="Book Antiqua" w:eastAsia="Book Antiqua" w:hAnsi="Book Antiqua" w:cs="Book Antiqua"/>
          <w:color w:val="000000"/>
        </w:rPr>
        <w:t>MEK/ERK</w:t>
      </w:r>
      <w:proofErr w:type="gramStart"/>
      <w:r w:rsidR="00B06B69"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52]</w:t>
      </w:r>
      <w:r w:rsidRPr="002772D1">
        <w:rPr>
          <w:rFonts w:ascii="Book Antiqua" w:eastAsia="Book Antiqua" w:hAnsi="Book Antiqua" w:cs="Book Antiqua"/>
          <w:color w:val="000000"/>
        </w:rPr>
        <w:t>.</w:t>
      </w:r>
    </w:p>
    <w:p w14:paraId="6EADE59A" w14:textId="01101935" w:rsidR="00A77B3E" w:rsidRPr="002772D1" w:rsidRDefault="00664C60" w:rsidP="00717663">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ALK rearrangements are detected in approximately 5% of advanced </w:t>
      </w:r>
      <w:proofErr w:type="gramStart"/>
      <w:r w:rsidRPr="002772D1">
        <w:rPr>
          <w:rFonts w:ascii="Book Antiqua" w:eastAsia="Book Antiqua" w:hAnsi="Book Antiqua" w:cs="Book Antiqua"/>
          <w:color w:val="000000"/>
        </w:rPr>
        <w:t>NSCLC</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w:t>
      </w:r>
      <w:r w:rsidRPr="002772D1">
        <w:rPr>
          <w:rFonts w:ascii="Book Antiqua" w:eastAsia="Book Antiqua" w:hAnsi="Book Antiqua" w:cs="Book Antiqua"/>
          <w:color w:val="000000"/>
        </w:rPr>
        <w:t>, 2 to 7% in all, up to 19% for stage IV. ALK alterations are mainly found in adeno</w:t>
      </w:r>
      <w:r w:rsidR="00251673" w:rsidRPr="002772D1">
        <w:rPr>
          <w:rFonts w:ascii="Book Antiqua" w:hAnsi="Book Antiqua" w:cs="Book Antiqua" w:hint="eastAsia"/>
          <w:color w:val="000000"/>
          <w:lang w:eastAsia="zh-CN"/>
        </w:rPr>
        <w:t>-</w:t>
      </w:r>
      <w:r w:rsidRPr="002772D1">
        <w:rPr>
          <w:rFonts w:ascii="Book Antiqua" w:eastAsia="Book Antiqua" w:hAnsi="Book Antiqua" w:cs="Book Antiqua"/>
          <w:color w:val="000000"/>
        </w:rPr>
        <w:t xml:space="preserve">carcinomas </w:t>
      </w:r>
      <w:r w:rsidRPr="002772D1">
        <w:rPr>
          <w:rFonts w:ascii="Book Antiqua" w:eastAsia="Book Antiqua" w:hAnsi="Book Antiqua" w:cs="Book Antiqua"/>
          <w:color w:val="000000"/>
        </w:rPr>
        <w:lastRenderedPageBreak/>
        <w:t>(97%), while squamous cell carcinomas comprise 3</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w:t>
      </w:r>
      <w:r w:rsidRPr="002772D1">
        <w:rPr>
          <w:rFonts w:ascii="Book Antiqua" w:eastAsia="Book Antiqua" w:hAnsi="Book Antiqua" w:cs="Book Antiqua"/>
          <w:color w:val="000000"/>
        </w:rPr>
        <w:t>. ALK positivity is found in a fifth of never to light smokers with lung cancer.</w:t>
      </w:r>
      <w:r w:rsidR="00717663" w:rsidRPr="002772D1">
        <w:rPr>
          <w:rFonts w:ascii="Book Antiqua" w:hAnsi="Book Antiqua" w:hint="eastAsia"/>
          <w:lang w:eastAsia="zh-CN"/>
        </w:rPr>
        <w:t xml:space="preserve"> </w:t>
      </w:r>
      <w:r w:rsidRPr="002772D1">
        <w:rPr>
          <w:rFonts w:ascii="Book Antiqua" w:eastAsia="Book Antiqua" w:hAnsi="Book Antiqua" w:cs="Book Antiqua"/>
          <w:color w:val="000000"/>
        </w:rPr>
        <w:t xml:space="preserve">Methods of diagnosis can include FISH, IHC, or NGS. </w:t>
      </w:r>
    </w:p>
    <w:p w14:paraId="74BFC022" w14:textId="5AFE395E"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The superiority of the TKI, crizotinib, over chemotherapy in first-line ALK+ advanced NSCLC was proven in 2014, with an ORR of 74%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45%, PFS 10.9 </w:t>
      </w:r>
      <w:r w:rsidR="00765DB6" w:rsidRPr="002772D1">
        <w:rPr>
          <w:rFonts w:ascii="Book Antiqua" w:eastAsia="Book Antiqua" w:hAnsi="Book Antiqua" w:cs="Book Antiqua"/>
          <w:color w:val="000000"/>
        </w:rPr>
        <w:t>mo</w:t>
      </w:r>
      <w:r w:rsidR="00765DB6" w:rsidRPr="002772D1">
        <w:rPr>
          <w:rFonts w:ascii="Book Antiqua" w:eastAsia="Book Antiqua" w:hAnsi="Book Antiqua" w:cs="Book Antiqua"/>
          <w:i/>
          <w:iCs/>
          <w:color w:val="000000"/>
        </w:rPr>
        <w:t xml:space="preserve">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7 mo,</w:t>
      </w:r>
      <w:r w:rsidR="00765DB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and 1-year survival 84% </w:t>
      </w:r>
      <w:r w:rsidRPr="002772D1">
        <w:rPr>
          <w:rFonts w:ascii="Book Antiqua" w:eastAsia="Book Antiqua" w:hAnsi="Book Antiqua" w:cs="Book Antiqua"/>
          <w:i/>
          <w:iCs/>
          <w:color w:val="000000"/>
        </w:rPr>
        <w:t>vs</w:t>
      </w:r>
      <w:r w:rsidR="00765DB6" w:rsidRPr="002772D1">
        <w:rPr>
          <w:rFonts w:ascii="Book Antiqua" w:hAnsi="Book Antiqua"/>
          <w:lang w:eastAsia="zh-CN"/>
        </w:rPr>
        <w:t xml:space="preserve"> </w:t>
      </w:r>
      <w:r w:rsidRPr="002772D1">
        <w:rPr>
          <w:rFonts w:ascii="Book Antiqua" w:eastAsia="Book Antiqua" w:hAnsi="Book Antiqua" w:cs="Book Antiqua"/>
          <w:color w:val="000000"/>
        </w:rPr>
        <w:t>79% (median OS not reached in the crizotinib group)</w:t>
      </w:r>
      <w:r w:rsidRPr="002772D1">
        <w:rPr>
          <w:rFonts w:ascii="Book Antiqua" w:eastAsia="Book Antiqua" w:hAnsi="Book Antiqua" w:cs="Book Antiqua"/>
          <w:color w:val="000000"/>
          <w:vertAlign w:val="superscript"/>
        </w:rPr>
        <w:t>[53]</w:t>
      </w:r>
      <w:r w:rsidRPr="002772D1">
        <w:rPr>
          <w:rFonts w:ascii="Book Antiqua" w:eastAsia="Book Antiqua" w:hAnsi="Book Antiqua" w:cs="Book Antiqua"/>
          <w:color w:val="000000"/>
        </w:rPr>
        <w:t xml:space="preserve">. However, resistance to treatment invariably develops, often with progression in the brain, motivating the development of new generations of TKI. Second- (alectinib, brigatinib, ceritinib) and third-generation (lorlatinib) TKIs have proven their efficacy, with the third-generation lorlatinib who led to a 72% improvement in PFS compared with crizotinib in first-line </w:t>
      </w:r>
      <w:proofErr w:type="gramStart"/>
      <w:r w:rsidRPr="002772D1">
        <w:rPr>
          <w:rFonts w:ascii="Book Antiqua" w:eastAsia="Book Antiqua" w:hAnsi="Book Antiqua" w:cs="Book Antiqua"/>
          <w:color w:val="000000"/>
        </w:rPr>
        <w:t>treatment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54]</w:t>
      </w:r>
      <w:r w:rsidRPr="002772D1">
        <w:rPr>
          <w:rFonts w:ascii="Book Antiqua" w:eastAsia="Book Antiqua" w:hAnsi="Book Antiqua" w:cs="Book Antiqua"/>
          <w:color w:val="000000"/>
        </w:rPr>
        <w:t>. After failure of second-generation ALK TKIs, concurrent administration of platinum/pemetrexed-based chemotherapy with an ALK TKI shows efficacy in a recent retrospective study</w:t>
      </w:r>
      <w:r w:rsidRPr="002772D1">
        <w:rPr>
          <w:rFonts w:ascii="Book Antiqua" w:eastAsia="Book Antiqua" w:hAnsi="Book Antiqua" w:cs="Book Antiqua"/>
          <w:color w:val="000000"/>
          <w:vertAlign w:val="superscript"/>
        </w:rPr>
        <w:t>[55]</w:t>
      </w:r>
      <w:r w:rsidRPr="002772D1">
        <w:rPr>
          <w:rFonts w:ascii="Book Antiqua" w:eastAsia="Book Antiqua" w:hAnsi="Book Antiqua" w:cs="Book Antiqua"/>
          <w:color w:val="000000"/>
        </w:rPr>
        <w:t xml:space="preserve"> (PFS 6.8 mo with the combination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3.2 mo for chemotherapy alone; suggesting a potential role for continued ALK inhibition. Some studies are currently underway, evaluating the addition of ceritinib to nivolumab (NCT02393625, completion June 2021) or ceritinib with trametinib (NCT03087448, completion June 2022).</w:t>
      </w:r>
    </w:p>
    <w:p w14:paraId="7B3AD52E" w14:textId="38753EB4"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Recently, a next-generation ALK inhibitor, ensartinib, demonstrated promising efficacy in the first-line treatment for advanced disease in a preplanned interim analysis (phase III eXalt3 study), with a median PFS of 25.8 mo with ensartinib in the intent-to-treat population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12.7 mo with crizotinib) (NCT02767804, study completion March 2021). Another new ALK inhibitor, TQ-B3139, is being tested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crizotinib in the first line setting (NCT04009317, completion April 2022).</w:t>
      </w:r>
    </w:p>
    <w:p w14:paraId="1B11373B" w14:textId="77777777" w:rsidR="00A77B3E" w:rsidRPr="002772D1" w:rsidRDefault="00A77B3E" w:rsidP="00E06D87">
      <w:pPr>
        <w:spacing w:line="360" w:lineRule="auto"/>
        <w:jc w:val="both"/>
        <w:rPr>
          <w:rFonts w:ascii="Book Antiqua" w:hAnsi="Book Antiqua"/>
        </w:rPr>
      </w:pPr>
    </w:p>
    <w:p w14:paraId="24B200E7" w14:textId="77777777"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ROS1</w:t>
      </w:r>
    </w:p>
    <w:p w14:paraId="5BD96B78" w14:textId="0EC158CC"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ROS1 encodes a tyrosine kinase receptor, belonging to the insulin receptor family, and structurally related to the ALK protein. Its natural ligand remains undefined.</w:t>
      </w:r>
    </w:p>
    <w:p w14:paraId="3EFCB45C"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ROS1 rearrangement was described in glioblastoma, before being recognized as a potential oncogenic driver in </w:t>
      </w:r>
      <w:proofErr w:type="gramStart"/>
      <w:r w:rsidRPr="002772D1">
        <w:rPr>
          <w:rFonts w:ascii="Book Antiqua" w:eastAsia="Book Antiqua" w:hAnsi="Book Antiqua" w:cs="Book Antiqua"/>
          <w:color w:val="000000"/>
        </w:rPr>
        <w:t>NSCLC</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56]</w:t>
      </w:r>
      <w:r w:rsidRPr="002772D1">
        <w:rPr>
          <w:rFonts w:ascii="Book Antiqua" w:eastAsia="Book Antiqua" w:hAnsi="Book Antiqua" w:cs="Book Antiqua"/>
          <w:color w:val="000000"/>
        </w:rPr>
        <w:t xml:space="preserve">. Various ROS1 alterations have been described </w:t>
      </w:r>
      <w:r w:rsidRPr="002772D1">
        <w:rPr>
          <w:rFonts w:ascii="Book Antiqua" w:eastAsia="Book Antiqua" w:hAnsi="Book Antiqua" w:cs="Book Antiqua"/>
          <w:color w:val="000000"/>
        </w:rPr>
        <w:lastRenderedPageBreak/>
        <w:t xml:space="preserve">in cancers: overexpression, splice variants (usually leading to a truncated protein lacking the intracellular domain), amplification, mutations and finally fusions with another partner gene. In contrast to fusions, the pathogenic significance of other alterations is </w:t>
      </w:r>
      <w:proofErr w:type="gramStart"/>
      <w:r w:rsidRPr="002772D1">
        <w:rPr>
          <w:rFonts w:ascii="Book Antiqua" w:eastAsia="Book Antiqua" w:hAnsi="Book Antiqua" w:cs="Book Antiqua"/>
          <w:color w:val="000000"/>
        </w:rPr>
        <w:t>undetermined</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57]</w:t>
      </w:r>
      <w:r w:rsidRPr="002772D1">
        <w:rPr>
          <w:rFonts w:ascii="Book Antiqua" w:eastAsia="Book Antiqua" w:hAnsi="Book Antiqua" w:cs="Book Antiqua"/>
          <w:color w:val="000000"/>
        </w:rPr>
        <w:t>.</w:t>
      </w:r>
    </w:p>
    <w:p w14:paraId="7F9FF81F"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At the moment, ROS1 fusions have identified with 55 different partners genes in different cancer types, including more than 20 fusion partners in NSCLC. The CD74-ROS1, EZR-ROS1, SDC4-ROS1 and SLC34A2-ROS1 fusion represent the most common </w:t>
      </w:r>
      <w:proofErr w:type="gramStart"/>
      <w:r w:rsidRPr="002772D1">
        <w:rPr>
          <w:rFonts w:ascii="Book Antiqua" w:eastAsia="Book Antiqua" w:hAnsi="Book Antiqua" w:cs="Book Antiqua"/>
          <w:color w:val="000000"/>
        </w:rPr>
        <w:t>rearrangements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58]</w:t>
      </w:r>
      <w:r w:rsidRPr="002772D1">
        <w:rPr>
          <w:rFonts w:ascii="Book Antiqua" w:eastAsia="Book Antiqua" w:hAnsi="Book Antiqua" w:cs="Book Antiqua"/>
          <w:color w:val="000000"/>
        </w:rPr>
        <w:t>. All resultant fusion proteins retain an intact ROS1 intracellular kinase domain which, as a result of the rearrangement, becomes constitutively activated. The activated kinase triggers intracellular signaling pathways, such as the RAS–RAF-MEK-ERK, PI3K-AKT-mTOR and JAK-STAT3 pathways, ultimately leading to cellular survival and division.</w:t>
      </w:r>
    </w:p>
    <w:p w14:paraId="66442990" w14:textId="203BA74F"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As with other common driver mutations, patients harboring a ROS1 rearrangement tend to be younger and more frequently non-smokers and </w:t>
      </w:r>
      <w:proofErr w:type="gramStart"/>
      <w:r w:rsidRPr="002772D1">
        <w:rPr>
          <w:rFonts w:ascii="Book Antiqua" w:eastAsia="Book Antiqua" w:hAnsi="Book Antiqua" w:cs="Book Antiqua"/>
          <w:color w:val="000000"/>
        </w:rPr>
        <w:t>Asian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56]</w:t>
      </w:r>
      <w:r w:rsidRPr="002772D1">
        <w:rPr>
          <w:rFonts w:ascii="Book Antiqua" w:eastAsia="Book Antiqua" w:hAnsi="Book Antiqua" w:cs="Book Antiqua"/>
          <w:color w:val="000000"/>
        </w:rPr>
        <w:t>. ROS1 is almost always found in adenocarcinoma subtypes, where it represents 1</w:t>
      </w:r>
      <w:r w:rsidR="00765DB6"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-2% of the </w:t>
      </w:r>
      <w:proofErr w:type="gramStart"/>
      <w:r w:rsidRPr="002772D1">
        <w:rPr>
          <w:rFonts w:ascii="Book Antiqua" w:eastAsia="Book Antiqua" w:hAnsi="Book Antiqua" w:cs="Book Antiqua"/>
          <w:color w:val="000000"/>
        </w:rPr>
        <w:t>cases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59]</w:t>
      </w:r>
      <w:r w:rsidRPr="002772D1">
        <w:rPr>
          <w:rFonts w:ascii="Book Antiqua" w:eastAsia="Book Antiqua" w:hAnsi="Book Antiqua" w:cs="Book Antiqua"/>
          <w:color w:val="000000"/>
        </w:rPr>
        <w:t xml:space="preserve">. ROS1 alterations rarely occur with other driver </w:t>
      </w:r>
      <w:proofErr w:type="gramStart"/>
      <w:r w:rsidRPr="002772D1">
        <w:rPr>
          <w:rFonts w:ascii="Book Antiqua" w:eastAsia="Book Antiqua" w:hAnsi="Book Antiqua" w:cs="Book Antiqua"/>
          <w:color w:val="000000"/>
        </w:rPr>
        <w:t>mutations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60]</w:t>
      </w:r>
      <w:r w:rsidRPr="002772D1">
        <w:rPr>
          <w:rFonts w:ascii="Book Antiqua" w:eastAsia="Book Antiqua" w:hAnsi="Book Antiqua" w:cs="Book Antiqua"/>
          <w:color w:val="000000"/>
        </w:rPr>
        <w:t>.</w:t>
      </w:r>
    </w:p>
    <w:p w14:paraId="5FFB6EF3"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ROS1 rearrangement can be detected by FISH or </w:t>
      </w:r>
      <w:proofErr w:type="gramStart"/>
      <w:r w:rsidRPr="002772D1">
        <w:rPr>
          <w:rFonts w:ascii="Book Antiqua" w:eastAsia="Book Antiqua" w:hAnsi="Book Antiqua" w:cs="Book Antiqua"/>
          <w:color w:val="000000"/>
        </w:rPr>
        <w:t>NGS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14]</w:t>
      </w:r>
      <w:r w:rsidRPr="002772D1">
        <w:rPr>
          <w:rFonts w:ascii="Book Antiqua" w:eastAsia="Book Antiqua" w:hAnsi="Book Antiqua" w:cs="Book Antiqua"/>
          <w:color w:val="000000"/>
        </w:rPr>
        <w:t>. IHC is sensitive and can be used as a screening test. However, specificity remains poor and a positive result must be confirmed by FISH assays or NGS. A treatment decision should not be based on IHC results alone.</w:t>
      </w:r>
    </w:p>
    <w:p w14:paraId="5BB116EE" w14:textId="65031073"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ROS1 rearranged NSCLC seem to have better response to chemotherapy, especially pemetrexed-based, when compared to both tumors with other driver mutations and wild-type </w:t>
      </w:r>
      <w:proofErr w:type="gramStart"/>
      <w:r w:rsidRPr="002772D1">
        <w:rPr>
          <w:rFonts w:ascii="Book Antiqua" w:eastAsia="Book Antiqua" w:hAnsi="Book Antiqua" w:cs="Book Antiqua"/>
          <w:color w:val="000000"/>
        </w:rPr>
        <w:t>tumors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61]</w:t>
      </w:r>
      <w:r w:rsidRPr="002772D1">
        <w:rPr>
          <w:rFonts w:ascii="Book Antiqua" w:eastAsia="Book Antiqua" w:hAnsi="Book Antiqua" w:cs="Book Antiqua"/>
          <w:color w:val="000000"/>
        </w:rPr>
        <w:t xml:space="preserve">. On the other hand, some data, although scarce, show modest response to </w:t>
      </w:r>
      <w:proofErr w:type="gramStart"/>
      <w:r w:rsidR="00C1122E" w:rsidRPr="002772D1">
        <w:rPr>
          <w:rFonts w:ascii="Book Antiqua" w:eastAsia="Book Antiqua" w:hAnsi="Book Antiqua" w:cs="Book Antiqua"/>
          <w:color w:val="000000"/>
        </w:rPr>
        <w:t>ICIs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62]</w:t>
      </w:r>
      <w:r w:rsidRPr="002772D1">
        <w:rPr>
          <w:rFonts w:ascii="Book Antiqua" w:eastAsia="Book Antiqua" w:hAnsi="Book Antiqua" w:cs="Book Antiqua"/>
          <w:color w:val="000000"/>
        </w:rPr>
        <w:t>.</w:t>
      </w:r>
    </w:p>
    <w:p w14:paraId="33C98E97" w14:textId="6EF7121D"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Several tyrosine kinase inhibitors have shown clinical activity in ROS1-positive NSCLC. The phase I PROFILE 1001 trial of crizotinib included 50 patients with ROS1-fusion NSCLC, among which an overall response rate of 72%, and a median PFS of 19.2 mo were </w:t>
      </w:r>
      <w:proofErr w:type="gramStart"/>
      <w:r w:rsidRPr="002772D1">
        <w:rPr>
          <w:rFonts w:ascii="Book Antiqua" w:eastAsia="Book Antiqua" w:hAnsi="Book Antiqua" w:cs="Book Antiqua"/>
          <w:color w:val="000000"/>
        </w:rPr>
        <w:t>reported</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63]</w:t>
      </w:r>
      <w:r w:rsidRPr="002772D1">
        <w:rPr>
          <w:rFonts w:ascii="Book Antiqua" w:eastAsia="Book Antiqua" w:hAnsi="Book Antiqua" w:cs="Book Antiqua"/>
          <w:color w:val="000000"/>
        </w:rPr>
        <w:t xml:space="preserve">. Importantly, more than 80% of patients had received at least one previous line of treatment. An updated analysis reported an impressive median OS of </w:t>
      </w:r>
      <w:r w:rsidRPr="002772D1">
        <w:rPr>
          <w:rFonts w:ascii="Book Antiqua" w:eastAsia="Book Antiqua" w:hAnsi="Book Antiqua" w:cs="Book Antiqua"/>
          <w:color w:val="000000"/>
        </w:rPr>
        <w:lastRenderedPageBreak/>
        <w:t xml:space="preserve">51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64]</w:t>
      </w:r>
      <w:r w:rsidRPr="002772D1">
        <w:rPr>
          <w:rFonts w:ascii="Book Antiqua" w:eastAsia="Book Antiqua" w:hAnsi="Book Antiqua" w:cs="Book Antiqua"/>
          <w:color w:val="000000"/>
        </w:rPr>
        <w:t>. Phases 2 trials in Europe and East Asia have consistently reported similar ORRs of 63</w:t>
      </w:r>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rPr>
        <w:t>-69</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65,66]</w:t>
      </w:r>
      <w:r w:rsidRPr="002772D1">
        <w:rPr>
          <w:rFonts w:ascii="Book Antiqua" w:eastAsia="Book Antiqua" w:hAnsi="Book Antiqua" w:cs="Book Antiqua"/>
          <w:color w:val="000000"/>
        </w:rPr>
        <w:t xml:space="preserve">. In these studies, crizotinib demonstrated a favorable safety profile. However, crizotinib has limited intracranial activity. The central nervous system represents a common site of progression in ROS1-positive NSCLC treated with </w:t>
      </w:r>
      <w:proofErr w:type="gramStart"/>
      <w:r w:rsidRPr="002772D1">
        <w:rPr>
          <w:rFonts w:ascii="Book Antiqua" w:eastAsia="Book Antiqua" w:hAnsi="Book Antiqua" w:cs="Book Antiqua"/>
          <w:color w:val="000000"/>
        </w:rPr>
        <w:t>crizotinib</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67]</w:t>
      </w:r>
      <w:r w:rsidRPr="002772D1">
        <w:rPr>
          <w:rFonts w:ascii="Book Antiqua" w:eastAsia="Book Antiqua" w:hAnsi="Book Antiqua" w:cs="Book Antiqua"/>
          <w:color w:val="000000"/>
        </w:rPr>
        <w:t>. Crizotinib should be avoided as a first-line agent in case of untreated brain metastasis.</w:t>
      </w:r>
    </w:p>
    <w:p w14:paraId="5670006F" w14:textId="0CAE8D6F"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After progression on crizotinib, lorlatinib represents an option. It was evaluated in 69 patients with ROS1-positive </w:t>
      </w:r>
      <w:proofErr w:type="gramStart"/>
      <w:r w:rsidRPr="002772D1">
        <w:rPr>
          <w:rFonts w:ascii="Book Antiqua" w:eastAsia="Book Antiqua" w:hAnsi="Book Antiqua" w:cs="Book Antiqua"/>
          <w:color w:val="000000"/>
        </w:rPr>
        <w:t>NSCLC</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68]</w:t>
      </w:r>
      <w:r w:rsidRPr="002772D1">
        <w:rPr>
          <w:rFonts w:ascii="Book Antiqua" w:eastAsia="Book Antiqua" w:hAnsi="Book Antiqua" w:cs="Book Antiqua"/>
          <w:color w:val="000000"/>
        </w:rPr>
        <w:t>. In 40 patients that had received prior crizotinib, the ORR was 35%, with a median PFS of 8.5 mo. In 21 crizotinib-naive patients in the same study, lorlatinib demonstrated an ORR of 62%, with a median duration of response comparable to crizotinib of 25.3 mo and a median PFS of 19.3 mo. Lorlatinib also showed intracranial activity, with intracranial response rates of 50% and 64% in crizotinib pretreated and crizotinib-naïve patients respectively.</w:t>
      </w:r>
    </w:p>
    <w:p w14:paraId="21CD8A67"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Ceritinib is a selective ALK inhibitor that also exhibits activity against ROS1 kinase. In a phase phase II trial involving 32 Asian patients with ROS1-rearranged NSCLC the ORR was 67</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69]</w:t>
      </w:r>
      <w:r w:rsidRPr="002772D1">
        <w:rPr>
          <w:rFonts w:ascii="Book Antiqua" w:eastAsia="Book Antiqua" w:hAnsi="Book Antiqua" w:cs="Book Antiqua"/>
          <w:color w:val="000000"/>
        </w:rPr>
        <w:t>. Interestingly, two patients that had received prior crizotinib experienced no response.</w:t>
      </w:r>
    </w:p>
    <w:p w14:paraId="6543505B" w14:textId="7960ECD2"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Entrectinib represents another tyrosine kinase inhibitor with activity against the ROS1 kinase. In a phase II study among 53 patients with ROS1-positive NSCLC, the majority of which had received previous platinum-based chemotherapy, the ORR reached 77</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70]</w:t>
      </w:r>
      <w:r w:rsidRPr="002772D1">
        <w:rPr>
          <w:rFonts w:ascii="Book Antiqua" w:eastAsia="Book Antiqua" w:hAnsi="Book Antiqua" w:cs="Book Antiqua"/>
          <w:color w:val="000000"/>
        </w:rPr>
        <w:t xml:space="preserve">. Responses seem durable, with median duration of response of 24.6 mo. Intracranial activity was also observed, with an intracranial ORR of 55%, with a median duration of response for </w:t>
      </w:r>
      <w:r w:rsidR="006D6A8F" w:rsidRPr="002772D1">
        <w:rPr>
          <w:rFonts w:ascii="Book Antiqua" w:hAnsi="Book Antiqua"/>
        </w:rPr>
        <w:t>central nervous system</w:t>
      </w:r>
      <w:r w:rsidRPr="002772D1">
        <w:rPr>
          <w:rFonts w:ascii="Book Antiqua" w:eastAsia="Book Antiqua" w:hAnsi="Book Antiqua" w:cs="Book Antiqua"/>
          <w:color w:val="000000"/>
        </w:rPr>
        <w:t xml:space="preserve"> lesions of 12.9 mo.</w:t>
      </w:r>
    </w:p>
    <w:p w14:paraId="626EA313" w14:textId="56E53F5C"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Repotrectinib represents a next generation TKI targeting ROS1, ALK and </w:t>
      </w:r>
      <w:r w:rsidR="00071A04" w:rsidRPr="002772D1">
        <w:rPr>
          <w:rFonts w:ascii="Book Antiqua" w:eastAsia="Book Antiqua" w:hAnsi="Book Antiqua" w:cs="Book Antiqua"/>
          <w:color w:val="000000"/>
        </w:rPr>
        <w:t>tropomyosin receptor kinase</w:t>
      </w:r>
      <w:r w:rsidR="00613391" w:rsidRPr="002772D1">
        <w:rPr>
          <w:rFonts w:ascii="Book Antiqua" w:eastAsia="Book Antiqua" w:hAnsi="Book Antiqua" w:cs="Book Antiqua"/>
          <w:color w:val="000000"/>
        </w:rPr>
        <w:t xml:space="preserve"> (TRK)</w:t>
      </w:r>
      <w:r w:rsidRPr="002772D1">
        <w:rPr>
          <w:rFonts w:ascii="Book Antiqua" w:eastAsia="Book Antiqua" w:hAnsi="Book Antiqua" w:cs="Book Antiqua"/>
          <w:color w:val="000000"/>
        </w:rPr>
        <w:t xml:space="preserve">. Its potency for ROS1 exceeds that of crizotinib by more than 90-fold. Reprotrectinib also shown early signs of efficacy against ROS1 resistance </w:t>
      </w:r>
      <w:proofErr w:type="gramStart"/>
      <w:r w:rsidRPr="002772D1">
        <w:rPr>
          <w:rFonts w:ascii="Book Antiqua" w:eastAsia="Book Antiqua" w:hAnsi="Book Antiqua" w:cs="Book Antiqua"/>
          <w:color w:val="000000"/>
        </w:rPr>
        <w:t>mutations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70,71]</w:t>
      </w:r>
      <w:r w:rsidRPr="002772D1">
        <w:rPr>
          <w:rFonts w:ascii="Book Antiqua" w:eastAsia="Book Antiqua" w:hAnsi="Book Antiqua" w:cs="Book Antiqua"/>
          <w:color w:val="000000"/>
        </w:rPr>
        <w:t>.</w:t>
      </w:r>
    </w:p>
    <w:p w14:paraId="4972FEF2" w14:textId="3A2141EE"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Resistance to TKIs ultimately arise in nearly all patients. Intrinsic resistance to ROS1 inhibition implies solvent-front or gate-keeper point mutations in the ROS1 </w:t>
      </w:r>
      <w:r w:rsidRPr="002772D1">
        <w:rPr>
          <w:rFonts w:ascii="Book Antiqua" w:eastAsia="Book Antiqua" w:hAnsi="Book Antiqua" w:cs="Book Antiqua"/>
          <w:color w:val="000000"/>
        </w:rPr>
        <w:lastRenderedPageBreak/>
        <w:t xml:space="preserve">kinase domain, the most common being the ROS1 G2032R, that precludes binding to </w:t>
      </w:r>
      <w:proofErr w:type="gramStart"/>
      <w:r w:rsidRPr="002772D1">
        <w:rPr>
          <w:rFonts w:ascii="Book Antiqua" w:eastAsia="Book Antiqua" w:hAnsi="Book Antiqua" w:cs="Book Antiqua"/>
          <w:color w:val="000000"/>
        </w:rPr>
        <w:t>crizotinib</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72]</w:t>
      </w:r>
      <w:r w:rsidRPr="002772D1">
        <w:rPr>
          <w:rFonts w:ascii="Book Antiqua" w:eastAsia="Book Antiqua" w:hAnsi="Book Antiqua" w:cs="Book Antiqua"/>
          <w:color w:val="000000"/>
        </w:rPr>
        <w:t xml:space="preserve">. To date, more than 20 mutations conferring resistance to various TKI have </w:t>
      </w:r>
      <w:proofErr w:type="gramStart"/>
      <w:r w:rsidRPr="002772D1">
        <w:rPr>
          <w:rFonts w:ascii="Book Antiqua" w:eastAsia="Book Antiqua" w:hAnsi="Book Antiqua" w:cs="Book Antiqua"/>
          <w:color w:val="000000"/>
        </w:rPr>
        <w:t>described</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57]</w:t>
      </w:r>
      <w:r w:rsidRPr="002772D1">
        <w:rPr>
          <w:rFonts w:ascii="Book Antiqua" w:eastAsia="Book Antiqua" w:hAnsi="Book Antiqua" w:cs="Book Antiqua"/>
          <w:color w:val="000000"/>
        </w:rPr>
        <w:t xml:space="preserve">. Moreover, resistance to ROS1 inhibition may probably arise from the activation of parallel signaling pathways such as KRAS, BRAF or MET. Emergence of BRAF and KRAS activating mutations and MET-amplification in ROS1 positive NSCLC treated with crizotinib or lorlatinib have been </w:t>
      </w:r>
      <w:proofErr w:type="gramStart"/>
      <w:r w:rsidRPr="002772D1">
        <w:rPr>
          <w:rFonts w:ascii="Book Antiqua" w:eastAsia="Book Antiqua" w:hAnsi="Book Antiqua" w:cs="Book Antiqua"/>
          <w:color w:val="000000"/>
        </w:rPr>
        <w:t>described</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73,74]</w:t>
      </w:r>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 xml:space="preserve"> </w:t>
      </w:r>
      <w:r w:rsidRPr="002772D1">
        <w:rPr>
          <w:rFonts w:ascii="Book Antiqua" w:eastAsia="Book Antiqua" w:hAnsi="Book Antiqua" w:cs="Book Antiqua"/>
          <w:color w:val="000000"/>
          <w:shd w:val="clear" w:color="auto" w:fill="FFFFFF"/>
        </w:rPr>
        <w:t>Upon progression, the role of sequencing ROS1 TKIs remains unclear.</w:t>
      </w:r>
    </w:p>
    <w:p w14:paraId="5BAB6B18" w14:textId="77777777" w:rsidR="00A77B3E" w:rsidRPr="002772D1" w:rsidRDefault="00A77B3E" w:rsidP="00E06D87">
      <w:pPr>
        <w:spacing w:line="360" w:lineRule="auto"/>
        <w:jc w:val="both"/>
        <w:rPr>
          <w:rFonts w:ascii="Book Antiqua" w:hAnsi="Book Antiqua"/>
        </w:rPr>
      </w:pPr>
    </w:p>
    <w:p w14:paraId="5A38681C" w14:textId="77777777"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BRAF</w:t>
      </w:r>
    </w:p>
    <w:p w14:paraId="40FEE5B2" w14:textId="68707BB4"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BRAF is an intracellular protein kinase that plays a relevant role in the MAPK/ERK pathway, including numerous proteins with kinase domains (RAF, MEK, ERK) that carry signal transduction from membrane receptors to DNA in the nucleus of the </w:t>
      </w:r>
      <w:proofErr w:type="gramStart"/>
      <w:r w:rsidRPr="002772D1">
        <w:rPr>
          <w:rFonts w:ascii="Book Antiqua" w:eastAsia="Book Antiqua" w:hAnsi="Book Antiqua" w:cs="Book Antiqua"/>
          <w:color w:val="000000"/>
        </w:rPr>
        <w:t>cell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75]</w:t>
      </w:r>
      <w:r w:rsidRPr="002772D1">
        <w:rPr>
          <w:rFonts w:ascii="Book Antiqua" w:eastAsia="Book Antiqua" w:hAnsi="Book Antiqua" w:cs="Book Antiqua"/>
          <w:color w:val="000000"/>
        </w:rPr>
        <w:t>. BRAF is an oncogene located on chromosome 7 involved in several cell functions, including growth, proliferation, survival and differentiation.</w:t>
      </w:r>
    </w:p>
    <w:p w14:paraId="0DBEAA3F"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BRAF mutations are found in about about 5.5% of cancers, with almost 200 BRAF mutants and many RAF translocations identified in human </w:t>
      </w:r>
      <w:proofErr w:type="gramStart"/>
      <w:r w:rsidRPr="002772D1">
        <w:rPr>
          <w:rFonts w:ascii="Book Antiqua" w:eastAsia="Book Antiqua" w:hAnsi="Book Antiqua" w:cs="Book Antiqua"/>
          <w:color w:val="000000"/>
        </w:rPr>
        <w:t>cancers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76]</w:t>
      </w:r>
      <w:r w:rsidRPr="002772D1">
        <w:rPr>
          <w:rFonts w:ascii="Book Antiqua" w:eastAsia="Book Antiqua" w:hAnsi="Book Antiqua" w:cs="Book Antiqua"/>
          <w:color w:val="000000"/>
        </w:rPr>
        <w:t xml:space="preserve">. Those alterations generate structural modifications of the protein that are responsible for permanent activation of MAPK pathway and resistance to inhibitory feedback signals. </w:t>
      </w:r>
    </w:p>
    <w:p w14:paraId="6695D86C" w14:textId="4AFCE951"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The frequency of BRAF mutations is about 5 to 8% in lung </w:t>
      </w:r>
      <w:proofErr w:type="gramStart"/>
      <w:r w:rsidRPr="002772D1">
        <w:rPr>
          <w:rFonts w:ascii="Book Antiqua" w:eastAsia="Book Antiqua" w:hAnsi="Book Antiqua" w:cs="Book Antiqua"/>
          <w:color w:val="000000"/>
        </w:rPr>
        <w:t>adenocarcinomas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w:t>
      </w:r>
      <w:r w:rsidRPr="002772D1">
        <w:rPr>
          <w:rFonts w:ascii="Book Antiqua" w:eastAsia="Book Antiqua" w:hAnsi="Book Antiqua" w:cs="Book Antiqua"/>
          <w:color w:val="000000"/>
        </w:rPr>
        <w:t>, with higher incidence in melanoma (50%), thyroid carcinoma (30</w:t>
      </w:r>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to 70%) and colorectal cancer (5</w:t>
      </w:r>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to 20%). Its presence predicts poor outcome for the latter three. While the V600E activating mutation is the most common BRAF variant found in solid tumors (90%), it only accounts for half of BRAF mutations in NSCLC. Non-V600E variants are more common in males, and all BRAF variant are more common among smokers. It is important to note that clinical characteristics of patients with NSCLC harboring BRAF mutation are difficult to clearly identify due to small numbers of patients in trials. </w:t>
      </w:r>
    </w:p>
    <w:p w14:paraId="1D9CA784" w14:textId="1AA101BD"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BRAF</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mutations can be detected by using immunohistochemistry for V600E exclusively or DNA sequencing on the tumor tissue for the two types.</w:t>
      </w:r>
    </w:p>
    <w:p w14:paraId="1DD3253C" w14:textId="0E591D96"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lastRenderedPageBreak/>
        <w:t xml:space="preserve">The efficacy of ICIs is uncertain, and is based on conflicting retrospective data and case series, thus not routinely recommended. Therapies targeting BRAF mutations were developed for melanoma with great success, then used for NSCLC. For lung cancer, numerous small studies tested RAF inhibitors (vemurafenib, dabrafenib) alone or in combination with MEK inhibitors (trametinib, cobimetinib). Best responses were observed when treatment was combined, especially in V600E patients in first-line of dabrafenib-trametinib with a mOS of 24.6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77]</w:t>
      </w:r>
      <w:r w:rsidRPr="002772D1">
        <w:rPr>
          <w:rFonts w:ascii="Book Antiqua" w:eastAsia="Book Antiqua" w:hAnsi="Book Antiqua" w:cs="Book Antiqua"/>
          <w:color w:val="000000"/>
        </w:rPr>
        <w:t xml:space="preserve">. Front-line use of double BRAF/MEK inhibition if V600E mutation is found in advanced NSCLC is now suggested in current guidelines. Other agents such as multikinase inhibitors sorafenib and dasatinib showed responses in case </w:t>
      </w:r>
      <w:proofErr w:type="gramStart"/>
      <w:r w:rsidRPr="002772D1">
        <w:rPr>
          <w:rFonts w:ascii="Book Antiqua" w:eastAsia="Book Antiqua" w:hAnsi="Book Antiqua" w:cs="Book Antiqua"/>
          <w:color w:val="000000"/>
        </w:rPr>
        <w:t>reports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78,79]</w:t>
      </w:r>
      <w:r w:rsidRPr="002772D1">
        <w:rPr>
          <w:rFonts w:ascii="Book Antiqua" w:eastAsia="Book Antiqua" w:hAnsi="Book Antiqua" w:cs="Book Antiqua"/>
          <w:color w:val="000000"/>
        </w:rPr>
        <w:t xml:space="preserve">. </w:t>
      </w:r>
    </w:p>
    <w:p w14:paraId="48481DB4" w14:textId="3DF8A47E"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Combining MEK and BRAF inhibitors has proven to be more effective than single-agents for the treatment of BRAF-mutant advanced tumors, but does not prevent the emergence of </w:t>
      </w:r>
      <w:proofErr w:type="gramStart"/>
      <w:r w:rsidRPr="002772D1">
        <w:rPr>
          <w:rFonts w:ascii="Book Antiqua" w:eastAsia="Book Antiqua" w:hAnsi="Book Antiqua" w:cs="Book Antiqua"/>
          <w:color w:val="000000"/>
        </w:rPr>
        <w:t>resistance</w:t>
      </w:r>
      <w:r w:rsidR="00C1122E" w:rsidRPr="002772D1">
        <w:rPr>
          <w:rFonts w:ascii="Book Antiqua" w:eastAsia="Book Antiqua" w:hAnsi="Book Antiqua" w:cs="Book Antiqua"/>
          <w:color w:val="000000"/>
          <w:vertAlign w:val="superscript"/>
        </w:rPr>
        <w:t>[</w:t>
      </w:r>
      <w:proofErr w:type="gramEnd"/>
      <w:r w:rsidR="00B96399" w:rsidRPr="002772D1">
        <w:rPr>
          <w:rFonts w:ascii="Book Antiqua" w:eastAsia="Book Antiqua" w:hAnsi="Book Antiqua" w:cs="Book Antiqua"/>
          <w:color w:val="000000"/>
          <w:vertAlign w:val="superscript"/>
        </w:rPr>
        <w:t>7</w:t>
      </w:r>
      <w:r w:rsidRPr="002772D1">
        <w:rPr>
          <w:rFonts w:ascii="Book Antiqua" w:eastAsia="Book Antiqua" w:hAnsi="Book Antiqua" w:cs="Book Antiqua"/>
          <w:color w:val="000000"/>
          <w:vertAlign w:val="superscript"/>
        </w:rPr>
        <w:t>9</w:t>
      </w:r>
      <w:r w:rsidR="00C1122E"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Indeed, studies on melanoma describe intrinsic adaptive (other pathways alteration) or acquired (</w:t>
      </w:r>
      <w:r w:rsidRPr="002772D1">
        <w:rPr>
          <w:rFonts w:ascii="Book Antiqua" w:eastAsia="Book Antiqua" w:hAnsi="Book Antiqua" w:cs="Book Antiqua"/>
          <w:i/>
          <w:iCs/>
          <w:color w:val="000000"/>
        </w:rPr>
        <w:t>de novo</w:t>
      </w:r>
      <w:r w:rsidRPr="002772D1">
        <w:rPr>
          <w:rFonts w:ascii="Book Antiqua" w:eastAsia="Book Antiqua" w:hAnsi="Book Antiqua" w:cs="Book Antiqua"/>
          <w:color w:val="000000"/>
        </w:rPr>
        <w:t>) resistance in BRAF mutated cancers treated with targeted inhibitors. Thus, further research is warranted to establish clear therapeutic algorithms.</w:t>
      </w:r>
    </w:p>
    <w:p w14:paraId="11A850FE" w14:textId="77777777" w:rsidR="00A77B3E" w:rsidRPr="002772D1" w:rsidRDefault="00A77B3E" w:rsidP="00E06D87">
      <w:pPr>
        <w:spacing w:line="360" w:lineRule="auto"/>
        <w:jc w:val="both"/>
        <w:rPr>
          <w:rFonts w:ascii="Book Antiqua" w:hAnsi="Book Antiqua"/>
        </w:rPr>
      </w:pPr>
    </w:p>
    <w:p w14:paraId="0B38C8A7" w14:textId="0900ED67" w:rsidR="00E43561" w:rsidRPr="002772D1" w:rsidRDefault="00E43561" w:rsidP="00E06D87">
      <w:pPr>
        <w:spacing w:line="360" w:lineRule="auto"/>
        <w:jc w:val="both"/>
        <w:rPr>
          <w:rFonts w:ascii="Book Antiqua" w:eastAsia="Book Antiqua" w:hAnsi="Book Antiqua" w:cs="Book Antiqua"/>
          <w:b/>
          <w:bCs/>
          <w:color w:val="000000"/>
          <w:u w:val="single"/>
        </w:rPr>
      </w:pPr>
      <w:r w:rsidRPr="002772D1">
        <w:rPr>
          <w:rFonts w:ascii="Book Antiqua" w:eastAsia="Book Antiqua" w:hAnsi="Book Antiqua" w:cs="Book Antiqua"/>
          <w:b/>
          <w:bCs/>
          <w:color w:val="000000"/>
          <w:u w:val="single"/>
        </w:rPr>
        <w:t xml:space="preserve">NEUROTROPHIC RECEPTOR TYROSINE KINASE </w:t>
      </w:r>
    </w:p>
    <w:p w14:paraId="58DF7A99" w14:textId="560EA766"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three </w:t>
      </w:r>
      <w:r w:rsidR="00C1122E" w:rsidRPr="002772D1">
        <w:rPr>
          <w:rFonts w:ascii="Book Antiqua" w:eastAsia="Book Antiqua" w:hAnsi="Book Antiqua" w:cs="Book Antiqua"/>
          <w:i/>
          <w:iCs/>
          <w:color w:val="000000"/>
        </w:rPr>
        <w:t>n</w:t>
      </w:r>
      <w:r w:rsidRPr="002772D1">
        <w:rPr>
          <w:rFonts w:ascii="Book Antiqua" w:eastAsia="Book Antiqua" w:hAnsi="Book Antiqua" w:cs="Book Antiqua"/>
          <w:i/>
          <w:iCs/>
          <w:color w:val="000000"/>
        </w:rPr>
        <w:t xml:space="preserve">eurotrophic </w:t>
      </w:r>
      <w:r w:rsidR="00C1122E" w:rsidRPr="002772D1">
        <w:rPr>
          <w:rFonts w:ascii="Book Antiqua" w:eastAsia="Book Antiqua" w:hAnsi="Book Antiqua" w:cs="Book Antiqua"/>
          <w:i/>
          <w:iCs/>
          <w:color w:val="000000"/>
        </w:rPr>
        <w:t>r</w:t>
      </w:r>
      <w:r w:rsidRPr="002772D1">
        <w:rPr>
          <w:rFonts w:ascii="Book Antiqua" w:eastAsia="Book Antiqua" w:hAnsi="Book Antiqua" w:cs="Book Antiqua"/>
          <w:i/>
          <w:iCs/>
          <w:color w:val="000000"/>
        </w:rPr>
        <w:t xml:space="preserve">eceptor </w:t>
      </w:r>
      <w:r w:rsidR="00C1122E" w:rsidRPr="002772D1">
        <w:rPr>
          <w:rFonts w:ascii="Book Antiqua" w:eastAsia="Book Antiqua" w:hAnsi="Book Antiqua" w:cs="Book Antiqua"/>
          <w:i/>
          <w:iCs/>
          <w:color w:val="000000"/>
        </w:rPr>
        <w:t>t</w:t>
      </w:r>
      <w:r w:rsidRPr="002772D1">
        <w:rPr>
          <w:rFonts w:ascii="Book Antiqua" w:eastAsia="Book Antiqua" w:hAnsi="Book Antiqua" w:cs="Book Antiqua"/>
          <w:i/>
          <w:iCs/>
          <w:color w:val="000000"/>
        </w:rPr>
        <w:t xml:space="preserve">yrosine </w:t>
      </w:r>
      <w:r w:rsidR="00C1122E" w:rsidRPr="002772D1">
        <w:rPr>
          <w:rFonts w:ascii="Book Antiqua" w:eastAsia="Book Antiqua" w:hAnsi="Book Antiqua" w:cs="Book Antiqua"/>
          <w:i/>
          <w:iCs/>
          <w:color w:val="000000"/>
        </w:rPr>
        <w:t>k</w:t>
      </w:r>
      <w:r w:rsidRPr="002772D1">
        <w:rPr>
          <w:rFonts w:ascii="Book Antiqua" w:eastAsia="Book Antiqua" w:hAnsi="Book Antiqua" w:cs="Book Antiqua"/>
          <w:i/>
          <w:iCs/>
          <w:color w:val="000000"/>
        </w:rPr>
        <w:t>inase</w:t>
      </w:r>
      <w:r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NTRK</w:t>
      </w:r>
      <w:r w:rsidRPr="002772D1">
        <w:rPr>
          <w:rFonts w:ascii="Book Antiqua" w:eastAsia="Book Antiqua" w:hAnsi="Book Antiqua" w:cs="Book Antiqua"/>
          <w:color w:val="000000"/>
        </w:rPr>
        <w:t>) genes (</w:t>
      </w:r>
      <w:r w:rsidRPr="002772D1">
        <w:rPr>
          <w:rFonts w:ascii="Book Antiqua" w:eastAsia="Book Antiqua" w:hAnsi="Book Antiqua" w:cs="Book Antiqua"/>
          <w:i/>
          <w:iCs/>
          <w:color w:val="000000"/>
        </w:rPr>
        <w:t>NTRK1</w:t>
      </w:r>
      <w:r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NTRK2</w:t>
      </w:r>
      <w:r w:rsidRPr="002772D1">
        <w:rPr>
          <w:rFonts w:ascii="Book Antiqua" w:eastAsia="Book Antiqua" w:hAnsi="Book Antiqua" w:cs="Book Antiqua"/>
          <w:color w:val="000000"/>
        </w:rPr>
        <w:t xml:space="preserve"> and </w:t>
      </w:r>
      <w:r w:rsidRPr="002772D1">
        <w:rPr>
          <w:rFonts w:ascii="Book Antiqua" w:eastAsia="Book Antiqua" w:hAnsi="Book Antiqua" w:cs="Book Antiqua"/>
          <w:i/>
          <w:iCs/>
          <w:color w:val="000000"/>
        </w:rPr>
        <w:t>NTRK3</w:t>
      </w:r>
      <w:r w:rsidRPr="002772D1">
        <w:rPr>
          <w:rFonts w:ascii="Book Antiqua" w:eastAsia="Book Antiqua" w:hAnsi="Book Antiqua" w:cs="Book Antiqua"/>
          <w:color w:val="000000"/>
        </w:rPr>
        <w:t xml:space="preserve">) encode tyrosine kinase receptors for neutrophins, involved in neuronal development, survival and </w:t>
      </w:r>
      <w:proofErr w:type="gramStart"/>
      <w:r w:rsidRPr="002772D1">
        <w:rPr>
          <w:rFonts w:ascii="Book Antiqua" w:eastAsia="Book Antiqua" w:hAnsi="Book Antiqua" w:cs="Book Antiqua"/>
          <w:color w:val="000000"/>
        </w:rPr>
        <w:t>proliferation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80,81]</w:t>
      </w:r>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 xml:space="preserve"> </w:t>
      </w:r>
    </w:p>
    <w:p w14:paraId="106F2258" w14:textId="63A1EC6E"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Oncogenic fusions involving the NTRK genes (</w:t>
      </w:r>
      <w:r w:rsidRPr="002772D1">
        <w:rPr>
          <w:rFonts w:ascii="Book Antiqua" w:eastAsia="Book Antiqua" w:hAnsi="Book Antiqua" w:cs="Book Antiqua"/>
          <w:i/>
          <w:iCs/>
          <w:color w:val="000000"/>
        </w:rPr>
        <w:t>e.g.</w:t>
      </w:r>
      <w:r w:rsidR="00717663" w:rsidRPr="002772D1">
        <w:rPr>
          <w:rFonts w:ascii="Book Antiqua" w:eastAsia="Book Antiqua" w:hAnsi="Book Antiqua" w:cs="Book Antiqua"/>
          <w:i/>
          <w:iCs/>
          <w:color w:val="000000"/>
        </w:rPr>
        <w:t>,</w:t>
      </w:r>
      <w:r w:rsidRPr="002772D1">
        <w:rPr>
          <w:rFonts w:ascii="Book Antiqua" w:eastAsia="Book Antiqua" w:hAnsi="Book Antiqua" w:cs="Book Antiqua"/>
          <w:color w:val="000000"/>
        </w:rPr>
        <w:t xml:space="preserve"> apposition of the 3′ region of the NTRK gene with the 5′ sequence of a fusion partner gene) occur across many cancer </w:t>
      </w:r>
      <w:proofErr w:type="gramStart"/>
      <w:r w:rsidRPr="002772D1">
        <w:rPr>
          <w:rFonts w:ascii="Book Antiqua" w:eastAsia="Book Antiqua" w:hAnsi="Book Antiqua" w:cs="Book Antiqua"/>
          <w:color w:val="000000"/>
        </w:rPr>
        <w:t>types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82]</w:t>
      </w:r>
      <w:r w:rsidRPr="002772D1">
        <w:rPr>
          <w:rFonts w:ascii="Book Antiqua" w:eastAsia="Book Antiqua" w:hAnsi="Book Antiqua" w:cs="Book Antiqua"/>
          <w:color w:val="000000"/>
        </w:rPr>
        <w:t xml:space="preserve">. More than 25 gene partners have been </w:t>
      </w:r>
      <w:proofErr w:type="gramStart"/>
      <w:r w:rsidRPr="002772D1">
        <w:rPr>
          <w:rFonts w:ascii="Book Antiqua" w:eastAsia="Book Antiqua" w:hAnsi="Book Antiqua" w:cs="Book Antiqua"/>
          <w:color w:val="000000"/>
        </w:rPr>
        <w:t>described</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83]</w:t>
      </w:r>
      <w:r w:rsidRPr="002772D1">
        <w:rPr>
          <w:rFonts w:ascii="Book Antiqua" w:eastAsia="Book Antiqua" w:hAnsi="Book Antiqua" w:cs="Book Antiqua"/>
          <w:color w:val="000000"/>
        </w:rPr>
        <w:t>. Yet, all these fusions result in a constitutively activated and overexpressed TRK kinase, that activates downstream pathways involved in cellular proliferation, such as the MAPK and PI3K/</w:t>
      </w:r>
      <w:proofErr w:type="gramStart"/>
      <w:r w:rsidRPr="002772D1">
        <w:rPr>
          <w:rFonts w:ascii="Book Antiqua" w:eastAsia="Book Antiqua" w:hAnsi="Book Antiqua" w:cs="Book Antiqua"/>
          <w:color w:val="000000"/>
        </w:rPr>
        <w:t>AKT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84]</w:t>
      </w:r>
      <w:r w:rsidRPr="002772D1">
        <w:rPr>
          <w:rFonts w:ascii="Book Antiqua" w:eastAsia="Book Antiqua" w:hAnsi="Book Antiqua" w:cs="Book Antiqua"/>
          <w:color w:val="000000"/>
        </w:rPr>
        <w:t>.</w:t>
      </w:r>
    </w:p>
    <w:p w14:paraId="1ADB43E0" w14:textId="7FE60020"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NTRK fusions are very frequent in a few rare cancer types: </w:t>
      </w:r>
      <w:r w:rsidR="006D6A8F" w:rsidRPr="002772D1">
        <w:rPr>
          <w:rFonts w:ascii="Book Antiqua" w:eastAsia="Book Antiqua" w:hAnsi="Book Antiqua" w:cs="Book Antiqua"/>
          <w:color w:val="000000"/>
        </w:rPr>
        <w:t>S</w:t>
      </w:r>
      <w:r w:rsidRPr="002772D1">
        <w:rPr>
          <w:rFonts w:ascii="Book Antiqua" w:eastAsia="Book Antiqua" w:hAnsi="Book Antiqua" w:cs="Book Antiqua"/>
          <w:color w:val="000000"/>
        </w:rPr>
        <w:t xml:space="preserve">ecretory carcinoma, mammary analogue secretory carcinoma, infantile fibrosarcoma and cellular mesoblastic nephromas, in which they are detected in more than of 90% of </w:t>
      </w:r>
      <w:proofErr w:type="gramStart"/>
      <w:r w:rsidRPr="002772D1">
        <w:rPr>
          <w:rFonts w:ascii="Book Antiqua" w:eastAsia="Book Antiqua" w:hAnsi="Book Antiqua" w:cs="Book Antiqua"/>
          <w:color w:val="000000"/>
        </w:rPr>
        <w:t>patients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83]</w:t>
      </w:r>
      <w:r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lastRenderedPageBreak/>
        <w:t xml:space="preserve">On the other hand, the NTRK fusion occurs at a very low frequency in various common cancers types, such as colorectal, breast, thyroid and lung cancers. In the latter, it represents under 1% of </w:t>
      </w:r>
      <w:proofErr w:type="gramStart"/>
      <w:r w:rsidRPr="002772D1">
        <w:rPr>
          <w:rFonts w:ascii="Book Antiqua" w:eastAsia="Book Antiqua" w:hAnsi="Book Antiqua" w:cs="Book Antiqua"/>
          <w:color w:val="000000"/>
        </w:rPr>
        <w:t>cases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85,86]</w:t>
      </w:r>
      <w:r w:rsidRPr="002772D1">
        <w:rPr>
          <w:rFonts w:ascii="Book Antiqua" w:eastAsia="Book Antiqua" w:hAnsi="Book Antiqua" w:cs="Book Antiqua"/>
          <w:color w:val="000000"/>
        </w:rPr>
        <w:t>.</w:t>
      </w:r>
    </w:p>
    <w:p w14:paraId="68C7AC1C"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NTRK fusion can be detected either by IHC, FISH or DNA-and RNA-based NGS. Pan-TRK IHC has been shown to have high specificity and sensitivity in the detection of fusion protein expression. RNA-based NGS is preferred to DNA-only based technique.</w:t>
      </w:r>
    </w:p>
    <w:p w14:paraId="4F228FCE" w14:textId="1B727561"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European Society for Medical Oncology (ESMO) guidelines suggest using FISH testing (or </w:t>
      </w:r>
      <w:r w:rsidR="00C1122E" w:rsidRPr="002772D1">
        <w:rPr>
          <w:rFonts w:ascii="Book Antiqua" w:eastAsia="Book Antiqua" w:hAnsi="Book Antiqua" w:cs="Book Antiqua"/>
          <w:color w:val="000000"/>
        </w:rPr>
        <w:t>real-time reverse transcription polymerase chain reaction</w:t>
      </w:r>
      <w:r w:rsidRPr="002772D1">
        <w:rPr>
          <w:rFonts w:ascii="Book Antiqua" w:eastAsia="Book Antiqua" w:hAnsi="Book Antiqua" w:cs="Book Antiqua"/>
          <w:color w:val="000000"/>
        </w:rPr>
        <w:t>) in tumors with highly prevalent NTRK fusions, as it probably represents the most cost-effective strategy. In situations where such alterations are uncommon, NGS technique should be used upfront if available or as a confirmatory test, after a positive IHC “screening test”. Using NGS upfront has the advantage to allow the detection of other potentially targetable molecular alterations.</w:t>
      </w:r>
    </w:p>
    <w:p w14:paraId="7BF39F4F" w14:textId="4421FFD0"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Larotrectinib is an oral TRK inhibitor that has shown durable activity in NTRK positive advanced tumors. In an analysis of three phase I/II trials, the ORR among patient with TRK-fusion positive cancer was 79%, with 80% of responses ongoing at 12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15]</w:t>
      </w:r>
      <w:r w:rsidRPr="002772D1">
        <w:rPr>
          <w:rFonts w:ascii="Book Antiqua" w:eastAsia="Book Antiqua" w:hAnsi="Book Antiqua" w:cs="Book Antiqua"/>
          <w:color w:val="000000"/>
        </w:rPr>
        <w:t>. Among 12 patients with lung cancer, a similar response rate was reported (75%). The most frequent grade 3-4 adverse events related to larotrectinib were increased alanine aminotransferase, anemia, and decreased neutrophil count. Grade 3-4 adverse events occurred in 46% of patients.</w:t>
      </w:r>
    </w:p>
    <w:p w14:paraId="4C3392DC" w14:textId="7C410CC0"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Entrectinib represents another TRK inhibitor, also active for ROS1 and ALK, and specifically designed to cross the blood-brain </w:t>
      </w:r>
      <w:proofErr w:type="gramStart"/>
      <w:r w:rsidRPr="002772D1">
        <w:rPr>
          <w:rFonts w:ascii="Book Antiqua" w:eastAsia="Book Antiqua" w:hAnsi="Book Antiqua" w:cs="Book Antiqua"/>
          <w:color w:val="000000"/>
        </w:rPr>
        <w:t>barrier</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87]</w:t>
      </w:r>
      <w:r w:rsidRPr="002772D1">
        <w:rPr>
          <w:rFonts w:ascii="Book Antiqua" w:eastAsia="Book Antiqua" w:hAnsi="Book Antiqua" w:cs="Book Antiqua"/>
          <w:color w:val="000000"/>
        </w:rPr>
        <w:t>. Entrectinib demonstrated an ORR of 57% in small non-randomized studies, among 54 patient with TRK-positive advanced tumors, including 10 patients with NSCLC (ORR 70% in the latter</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87]</w:t>
      </w:r>
      <w:r w:rsidRPr="002772D1">
        <w:rPr>
          <w:rFonts w:ascii="Book Antiqua" w:eastAsia="Book Antiqua" w:hAnsi="Book Antiqua" w:cs="Book Antiqua"/>
          <w:color w:val="000000"/>
        </w:rPr>
        <w:t xml:space="preserve">. The median overall duration of response was 10 mo. Of note, an objective intracranial response rate of 54.5% was reported in a cohort of 12 patients with NTRK fusion-positive tumors with brain </w:t>
      </w:r>
      <w:proofErr w:type="gramStart"/>
      <w:r w:rsidRPr="002772D1">
        <w:rPr>
          <w:rFonts w:ascii="Book Antiqua" w:eastAsia="Book Antiqua" w:hAnsi="Book Antiqua" w:cs="Book Antiqua"/>
          <w:color w:val="000000"/>
        </w:rPr>
        <w:t>metastasis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88]</w:t>
      </w:r>
      <w:r w:rsidRPr="002772D1">
        <w:rPr>
          <w:rFonts w:ascii="Book Antiqua" w:eastAsia="Book Antiqua" w:hAnsi="Book Antiqua" w:cs="Book Antiqua"/>
          <w:color w:val="000000"/>
        </w:rPr>
        <w:t>. The most common adverse events reported with entrectinib (&gt;</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20% of patients) were fatigue, gastro-intestinal disorders, weight gain and cognitive impairment. While the most threatening serious adverse events </w:t>
      </w:r>
      <w:r w:rsidRPr="002772D1">
        <w:rPr>
          <w:rFonts w:ascii="Book Antiqua" w:eastAsia="Book Antiqua" w:hAnsi="Book Antiqua" w:cs="Book Antiqua"/>
          <w:color w:val="000000"/>
        </w:rPr>
        <w:lastRenderedPageBreak/>
        <w:t>consisted of congestive heart failure, QT prolongation, central nervous system effects, hepatotoxicity, and vision disorders.</w:t>
      </w:r>
    </w:p>
    <w:p w14:paraId="7195D0D2" w14:textId="0C5EDFA2"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Based on these results, both larotrectinib and entrectinib have been granted accelerated approval by the FDA for metastatic or unresectable NTRK-fusion positive solid tumors, that have progressed following treatment or have no satisfactory standard therapy</w:t>
      </w:r>
      <w:r w:rsidRPr="002772D1">
        <w:rPr>
          <w:rFonts w:ascii="Book Antiqua" w:eastAsia="Book Antiqua" w:hAnsi="Book Antiqua" w:cs="Book Antiqua"/>
          <w:color w:val="000000"/>
          <w:vertAlign w:val="superscript"/>
        </w:rPr>
        <w:t>[89,90]</w:t>
      </w:r>
      <w:r w:rsidRPr="002772D1">
        <w:rPr>
          <w:rFonts w:ascii="Book Antiqua" w:eastAsia="Book Antiqua" w:hAnsi="Book Antiqua" w:cs="Book Antiqua"/>
          <w:color w:val="000000"/>
        </w:rPr>
        <w:t>.</w:t>
      </w:r>
    </w:p>
    <w:p w14:paraId="1B78EC65" w14:textId="788332FE"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Despite a prolonged response, resistance to larotrectinib and entrectinib is expected to emerge in most </w:t>
      </w:r>
      <w:proofErr w:type="gramStart"/>
      <w:r w:rsidRPr="002772D1">
        <w:rPr>
          <w:rFonts w:ascii="Book Antiqua" w:eastAsia="Book Antiqua" w:hAnsi="Book Antiqua" w:cs="Book Antiqua"/>
          <w:color w:val="000000"/>
        </w:rPr>
        <w:t>patients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83]</w:t>
      </w:r>
      <w:r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via</w:t>
      </w:r>
      <w:r w:rsidRPr="002772D1">
        <w:rPr>
          <w:rFonts w:ascii="Book Antiqua" w:eastAsia="Book Antiqua" w:hAnsi="Book Antiqua" w:cs="Book Antiqua"/>
          <w:color w:val="000000"/>
        </w:rPr>
        <w:t xml:space="preserve"> different mechanisms: </w:t>
      </w:r>
      <w:r w:rsidR="00C1122E" w:rsidRPr="002772D1">
        <w:rPr>
          <w:rFonts w:ascii="Book Antiqua" w:eastAsia="Book Antiqua" w:hAnsi="Book Antiqua" w:cs="Book Antiqua"/>
          <w:color w:val="000000"/>
        </w:rPr>
        <w:t>S</w:t>
      </w:r>
      <w:r w:rsidRPr="002772D1">
        <w:rPr>
          <w:rFonts w:ascii="Book Antiqua" w:eastAsia="Book Antiqua" w:hAnsi="Book Antiqua" w:cs="Book Antiqua"/>
          <w:color w:val="000000"/>
        </w:rPr>
        <w:t>olvent-front mutations and xDFG substitution</w:t>
      </w:r>
      <w:r w:rsidRPr="002772D1">
        <w:rPr>
          <w:rFonts w:ascii="Book Antiqua" w:eastAsia="Book Antiqua" w:hAnsi="Book Antiqua" w:cs="Book Antiqua"/>
          <w:color w:val="000000"/>
          <w:vertAlign w:val="superscript"/>
        </w:rPr>
        <w:t>[91]</w:t>
      </w:r>
      <w:r w:rsidRPr="002772D1">
        <w:rPr>
          <w:rFonts w:ascii="Book Antiqua" w:eastAsia="Book Antiqua" w:hAnsi="Book Antiqua" w:cs="Book Antiqua"/>
          <w:color w:val="000000"/>
        </w:rPr>
        <w:t>.</w:t>
      </w:r>
      <w:r w:rsidR="00C1122E" w:rsidRPr="002772D1">
        <w:rPr>
          <w:rFonts w:ascii="Book Antiqua" w:eastAsia="Book Antiqua" w:hAnsi="Book Antiqua" w:cs="Book Antiqua"/>
          <w:color w:val="000000"/>
        </w:rPr>
        <w:t xml:space="preserve"> </w:t>
      </w:r>
      <w:r w:rsidR="00161CE3" w:rsidRPr="002772D1">
        <w:rPr>
          <w:rFonts w:ascii="Book Antiqua" w:eastAsia="Book Antiqua" w:hAnsi="Book Antiqua" w:cs="Book Antiqua"/>
          <w:color w:val="000000"/>
        </w:rPr>
        <w:t>Larotrectinib</w:t>
      </w:r>
      <w:r w:rsidR="00161CE3" w:rsidRPr="002772D1">
        <w:t xml:space="preserve"> (</w:t>
      </w:r>
      <w:r w:rsidRPr="002772D1">
        <w:rPr>
          <w:rFonts w:ascii="Book Antiqua" w:eastAsia="Book Antiqua" w:hAnsi="Book Antiqua" w:cs="Book Antiqua"/>
          <w:color w:val="000000"/>
        </w:rPr>
        <w:t>LOXO</w:t>
      </w:r>
      <w:r w:rsidR="00161CE3"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-195 and repotrectinib represent second-generation TRK-inhibitors, currently under development capable to overcome resistance to first-generation of TRK-inhibitors. LOXO-195 is a highly selective inhibitor of all 3 TRK kinases. LOXO-195 or selitrectinib was evaluated in a phase I trial and a FDA expanded access single patient protocol, including 31 patients in total, all of whom had received prior treatment with a TRK </w:t>
      </w:r>
      <w:proofErr w:type="gramStart"/>
      <w:r w:rsidRPr="002772D1">
        <w:rPr>
          <w:rFonts w:ascii="Book Antiqua" w:eastAsia="Book Antiqua" w:hAnsi="Book Antiqua" w:cs="Book Antiqua"/>
          <w:color w:val="000000"/>
        </w:rPr>
        <w:t>inhibitor</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92]</w:t>
      </w:r>
      <w:r w:rsidRPr="002772D1">
        <w:rPr>
          <w:rFonts w:ascii="Book Antiqua" w:eastAsia="Book Antiqua" w:hAnsi="Book Antiqua" w:cs="Book Antiqua"/>
          <w:color w:val="000000"/>
        </w:rPr>
        <w:t xml:space="preserve">. Of note, 7 patients were pediatric. The most frequent treatment-emergent adverse events were dizziness (65%), ataxia (60%), nausea (50%), vomiting (40%), anemia (30%) and gait disturbance (30%), with 5 </w:t>
      </w:r>
      <w:r w:rsidR="00161CE3" w:rsidRPr="002772D1">
        <w:rPr>
          <w:rFonts w:ascii="Book Antiqua" w:eastAsia="Book Antiqua" w:hAnsi="Book Antiqua" w:cs="Book Antiqua"/>
          <w:color w:val="000000"/>
        </w:rPr>
        <w:t>double-lumen endobronchial tube</w:t>
      </w:r>
      <w:r w:rsidRPr="002772D1">
        <w:rPr>
          <w:rFonts w:ascii="Book Antiqua" w:eastAsia="Book Antiqua" w:hAnsi="Book Antiqua" w:cs="Book Antiqua"/>
          <w:color w:val="000000"/>
        </w:rPr>
        <w:t xml:space="preserve"> (4 ataxia/dizziness) in total. Among the 29 patients evaluable for efficacy, an ORR of 34% was reported.</w:t>
      </w:r>
    </w:p>
    <w:p w14:paraId="0911ABF2" w14:textId="75128CE5" w:rsidR="00A77B3E" w:rsidRPr="002772D1" w:rsidRDefault="00664C60" w:rsidP="00E06D87">
      <w:pPr>
        <w:spacing w:line="360" w:lineRule="auto"/>
        <w:ind w:firstLineChars="200" w:firstLine="480"/>
        <w:jc w:val="both"/>
        <w:rPr>
          <w:rFonts w:ascii="Book Antiqua" w:hAnsi="Book Antiqua"/>
        </w:rPr>
      </w:pPr>
      <w:proofErr w:type="gramStart"/>
      <w:r w:rsidRPr="002772D1">
        <w:rPr>
          <w:rFonts w:ascii="Book Antiqua" w:eastAsia="Book Antiqua" w:hAnsi="Book Antiqua" w:cs="Book Antiqua"/>
          <w:color w:val="000000"/>
        </w:rPr>
        <w:t>Repotrectinib</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91]</w:t>
      </w:r>
      <w:r w:rsidRPr="002772D1">
        <w:rPr>
          <w:rFonts w:ascii="Book Antiqua" w:eastAsia="Book Antiqua" w:hAnsi="Book Antiqua" w:cs="Book Antiqua"/>
          <w:color w:val="000000"/>
        </w:rPr>
        <w:t xml:space="preserve"> is another second-generation NTRK inhibitor, designed to overcome acquired resistance mutations to larotrectinib/entrectinib</w:t>
      </w:r>
      <w:r w:rsidRPr="002772D1">
        <w:rPr>
          <w:rFonts w:ascii="Book Antiqua" w:eastAsia="Book Antiqua" w:hAnsi="Book Antiqua" w:cs="Book Antiqua"/>
          <w:color w:val="000000"/>
          <w:vertAlign w:val="superscript"/>
        </w:rPr>
        <w:t>[93,94]</w:t>
      </w:r>
      <w:r w:rsidRPr="002772D1">
        <w:rPr>
          <w:rFonts w:ascii="Book Antiqua" w:eastAsia="Book Antiqua" w:hAnsi="Book Antiqua" w:cs="Book Antiqua"/>
          <w:color w:val="000000"/>
        </w:rPr>
        <w:t xml:space="preserve"> Case reports showed partial response in patient presenting acquired resistance to larotrectinib or entrectinib</w:t>
      </w:r>
      <w:r w:rsidRPr="002772D1">
        <w:rPr>
          <w:rFonts w:ascii="Book Antiqua" w:eastAsia="Book Antiqua" w:hAnsi="Book Antiqua" w:cs="Book Antiqua"/>
          <w:color w:val="000000"/>
          <w:vertAlign w:val="superscript"/>
        </w:rPr>
        <w:t>[87]</w:t>
      </w:r>
      <w:r w:rsidRPr="002772D1">
        <w:rPr>
          <w:rFonts w:ascii="Book Antiqua" w:eastAsia="Book Antiqua" w:hAnsi="Book Antiqua" w:cs="Book Antiqua"/>
          <w:color w:val="000000"/>
        </w:rPr>
        <w:t>. Repotrectinib is currently being tested in phase I/II clinical trial (NCT03093116</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95]</w:t>
      </w:r>
      <w:r w:rsidRPr="002772D1">
        <w:rPr>
          <w:rFonts w:ascii="Book Antiqua" w:eastAsia="Book Antiqua" w:hAnsi="Book Antiqua" w:cs="Book Antiqua"/>
          <w:color w:val="000000"/>
        </w:rPr>
        <w:t>.</w:t>
      </w:r>
    </w:p>
    <w:p w14:paraId="05FE20CF" w14:textId="77777777" w:rsidR="00A77B3E" w:rsidRPr="002772D1" w:rsidRDefault="00A77B3E" w:rsidP="00E06D87">
      <w:pPr>
        <w:spacing w:line="360" w:lineRule="auto"/>
        <w:jc w:val="both"/>
        <w:rPr>
          <w:rFonts w:ascii="Book Antiqua" w:hAnsi="Book Antiqua"/>
        </w:rPr>
      </w:pPr>
    </w:p>
    <w:p w14:paraId="013D5A07" w14:textId="6F0CD46D"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HER2</w:t>
      </w:r>
    </w:p>
    <w:p w14:paraId="29B37431" w14:textId="7A222AB3"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w:t>
      </w:r>
      <w:r w:rsidRPr="002772D1">
        <w:rPr>
          <w:rFonts w:ascii="Book Antiqua" w:eastAsia="Book Antiqua" w:hAnsi="Book Antiqua" w:cs="Book Antiqua"/>
          <w:i/>
          <w:iCs/>
          <w:color w:val="000000"/>
        </w:rPr>
        <w:t>HER2</w:t>
      </w:r>
      <w:r w:rsidRPr="002772D1">
        <w:rPr>
          <w:rFonts w:ascii="Book Antiqua" w:eastAsia="Book Antiqua" w:hAnsi="Book Antiqua" w:cs="Book Antiqua"/>
          <w:color w:val="000000"/>
        </w:rPr>
        <w:t xml:space="preserve">/neu gene is located on the chromosome 17q12, and encodes the HER2 protein, which belongs to the </w:t>
      </w:r>
      <w:r w:rsidR="00552C66" w:rsidRPr="002772D1">
        <w:rPr>
          <w:rFonts w:ascii="Book Antiqua" w:eastAsia="Book Antiqua" w:hAnsi="Book Antiqua" w:cs="Book Antiqua"/>
          <w:color w:val="000000"/>
        </w:rPr>
        <w:t>epidermal growth factor receptor (</w:t>
      </w:r>
      <w:r w:rsidRPr="002772D1">
        <w:rPr>
          <w:rFonts w:ascii="Book Antiqua" w:eastAsia="Book Antiqua" w:hAnsi="Book Antiqua" w:cs="Book Antiqua"/>
          <w:color w:val="000000"/>
        </w:rPr>
        <w:t>ERBB</w:t>
      </w:r>
      <w:r w:rsidR="00552C66"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family of tyrosine kinase receptors. Other members of the ERBB family include EGFR (ERBB-1), HER3 (ERBB3), and HER-4 (ERBB4). The ERBB receptors are transmembrane proteins, </w:t>
      </w:r>
      <w:r w:rsidRPr="002772D1">
        <w:rPr>
          <w:rFonts w:ascii="Book Antiqua" w:eastAsia="Book Antiqua" w:hAnsi="Book Antiqua" w:cs="Book Antiqua"/>
          <w:color w:val="000000"/>
        </w:rPr>
        <w:lastRenderedPageBreak/>
        <w:t xml:space="preserve">composed of an extracellular ligand binding domain, an α-helical trans membrane segment and an intracellular tyrosine kinase domain. Ligand binding induces receptor dimerization, and auto-phosphorylation and activation of the intracellular kinase </w:t>
      </w:r>
      <w:proofErr w:type="gramStart"/>
      <w:r w:rsidRPr="002772D1">
        <w:rPr>
          <w:rFonts w:ascii="Book Antiqua" w:eastAsia="Book Antiqua" w:hAnsi="Book Antiqua" w:cs="Book Antiqua"/>
          <w:color w:val="000000"/>
        </w:rPr>
        <w:t>domain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96]</w:t>
      </w:r>
      <w:r w:rsidRPr="002772D1">
        <w:rPr>
          <w:rFonts w:ascii="Book Antiqua" w:eastAsia="Book Antiqua" w:hAnsi="Book Antiqua" w:cs="Book Antiqua"/>
          <w:color w:val="000000"/>
        </w:rPr>
        <w:t xml:space="preserve">. Of note, no natural ligand of HER2 has been identified. Nevertheless, HER2 can undergo dimerization with other ERBB </w:t>
      </w:r>
      <w:proofErr w:type="gramStart"/>
      <w:r w:rsidRPr="002772D1">
        <w:rPr>
          <w:rFonts w:ascii="Book Antiqua" w:eastAsia="Book Antiqua" w:hAnsi="Book Antiqua" w:cs="Book Antiqua"/>
          <w:color w:val="000000"/>
        </w:rPr>
        <w:t>receptors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97]</w:t>
      </w:r>
      <w:r w:rsidRPr="002772D1">
        <w:rPr>
          <w:rFonts w:ascii="Book Antiqua" w:eastAsia="Book Antiqua" w:hAnsi="Book Antiqua" w:cs="Book Antiqua"/>
          <w:color w:val="000000"/>
        </w:rPr>
        <w:t xml:space="preserve">, and represents their preferred dimerization partner. The activated kinase domain that results then triggers downstream signaling pathways, such as MAPK, PI3K/AKT, </w:t>
      </w:r>
      <w:r w:rsidR="00552C66" w:rsidRPr="002772D1">
        <w:rPr>
          <w:rFonts w:ascii="Book Antiqua" w:eastAsia="Book Antiqua" w:hAnsi="Book Antiqua" w:cs="Book Antiqua"/>
          <w:color w:val="000000"/>
        </w:rPr>
        <w:t>protein kinase C</w:t>
      </w:r>
      <w:r w:rsidRPr="002772D1">
        <w:rPr>
          <w:rFonts w:ascii="Book Antiqua" w:eastAsia="Book Antiqua" w:hAnsi="Book Antiqua" w:cs="Book Antiqua"/>
          <w:color w:val="000000"/>
        </w:rPr>
        <w:t xml:space="preserve"> and STAT, promoting cellular proliferation and inhibiting </w:t>
      </w:r>
      <w:proofErr w:type="gramStart"/>
      <w:r w:rsidRPr="002772D1">
        <w:rPr>
          <w:rFonts w:ascii="Book Antiqua" w:eastAsia="Book Antiqua" w:hAnsi="Book Antiqua" w:cs="Book Antiqua"/>
          <w:color w:val="000000"/>
        </w:rPr>
        <w:t>apoptosis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98]</w:t>
      </w:r>
      <w:r w:rsidRPr="002772D1">
        <w:rPr>
          <w:rFonts w:ascii="Book Antiqua" w:eastAsia="Book Antiqua" w:hAnsi="Book Antiqua" w:cs="Book Antiqua"/>
          <w:color w:val="000000"/>
        </w:rPr>
        <w:t>. Genetic alterations in HER2 can result in constitutive dimerization and activation of downstream signaling pathways, finally leading to uncontrolled cellular proliferation.</w:t>
      </w:r>
    </w:p>
    <w:p w14:paraId="647D57BD" w14:textId="71BAB661"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HER2 mutations is found in approximately 1</w:t>
      </w:r>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-3% of NSCLC, primarily in adenocarcinoma, in non-smokers and </w:t>
      </w:r>
      <w:proofErr w:type="gramStart"/>
      <w:r w:rsidRPr="002772D1">
        <w:rPr>
          <w:rFonts w:ascii="Book Antiqua" w:eastAsia="Book Antiqua" w:hAnsi="Book Antiqua" w:cs="Book Antiqua"/>
          <w:color w:val="000000"/>
        </w:rPr>
        <w:t>women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99]</w:t>
      </w:r>
      <w:r w:rsidRPr="002772D1">
        <w:rPr>
          <w:rFonts w:ascii="Book Antiqua" w:eastAsia="Book Antiqua" w:hAnsi="Book Antiqua" w:cs="Book Antiqua"/>
          <w:color w:val="000000"/>
        </w:rPr>
        <w:t xml:space="preserve">. Mutations usually consist of in frame insertions or point mutation in exon 20. On the contrary, HER2 amplification in NSCLC is not associated with benefit of anti-HER2 </w:t>
      </w:r>
      <w:proofErr w:type="gramStart"/>
      <w:r w:rsidRPr="002772D1">
        <w:rPr>
          <w:rFonts w:ascii="Book Antiqua" w:eastAsia="Book Antiqua" w:hAnsi="Book Antiqua" w:cs="Book Antiqua"/>
          <w:color w:val="000000"/>
        </w:rPr>
        <w:t>therapy</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100]</w:t>
      </w:r>
      <w:r w:rsidRPr="002772D1">
        <w:rPr>
          <w:rFonts w:ascii="Book Antiqua" w:eastAsia="Book Antiqua" w:hAnsi="Book Antiqua" w:cs="Book Antiqua"/>
          <w:color w:val="000000"/>
        </w:rPr>
        <w:t>.</w:t>
      </w:r>
    </w:p>
    <w:p w14:paraId="379BCE22" w14:textId="16C13FC8"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Retrospective data indicate that HER2 targeted therapy present some degree of activity in HER2-mutated NSCLC. In a European cohort of 57 pre-treated HER2 mutated NSCLC patients receiving trastuzumab-based regimen, an ORR of 50% was reported, with a PFS of 5.1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101]</w:t>
      </w:r>
      <w:r w:rsidRPr="002772D1">
        <w:rPr>
          <w:rFonts w:ascii="Book Antiqua" w:eastAsia="Book Antiqua" w:hAnsi="Book Antiqua" w:cs="Book Antiqua"/>
          <w:color w:val="000000"/>
        </w:rPr>
        <w:t xml:space="preserve">. In a prospective phase II trial, the antibody-drug conjugate ado-trastuzumab emtansine demonstrated an ORR of 44% in NSCLC patients harboring HER2 mutations, with a median PFS of 5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102]</w:t>
      </w:r>
      <w:r w:rsidRPr="002772D1">
        <w:rPr>
          <w:rFonts w:ascii="Book Antiqua" w:eastAsia="Book Antiqua" w:hAnsi="Book Antiqua" w:cs="Book Antiqua"/>
          <w:color w:val="000000"/>
        </w:rPr>
        <w:t xml:space="preserve">. The most common treatment-related adverse events included grade 1 or 2 infusion reactions, thrombocytopenia, and elevated </w:t>
      </w:r>
      <w:r w:rsidR="00C1122E" w:rsidRPr="002772D1">
        <w:rPr>
          <w:rFonts w:ascii="Book Antiqua" w:eastAsia="Book Antiqua" w:hAnsi="Book Antiqua" w:cs="Book Antiqua"/>
          <w:color w:val="000000"/>
        </w:rPr>
        <w:t>aspartate aminotransferase</w:t>
      </w:r>
      <w:r w:rsidRPr="002772D1">
        <w:rPr>
          <w:rFonts w:ascii="Book Antiqua" w:eastAsia="Book Antiqua" w:hAnsi="Book Antiqua" w:cs="Book Antiqua"/>
          <w:color w:val="000000"/>
        </w:rPr>
        <w:t xml:space="preserve"> or </w:t>
      </w:r>
      <w:r w:rsidR="00C1122E" w:rsidRPr="002772D1">
        <w:rPr>
          <w:rFonts w:ascii="Book Antiqua" w:eastAsia="Book Antiqua" w:hAnsi="Book Antiqua" w:cs="Book Antiqua"/>
          <w:color w:val="000000"/>
        </w:rPr>
        <w:t>alanine amino</w:t>
      </w:r>
      <w:r w:rsidR="00251673" w:rsidRPr="002772D1">
        <w:rPr>
          <w:rFonts w:ascii="Book Antiqua" w:hAnsi="Book Antiqua" w:cs="Book Antiqua" w:hint="eastAsia"/>
          <w:color w:val="000000"/>
          <w:lang w:eastAsia="zh-CN"/>
        </w:rPr>
        <w:t>-</w:t>
      </w:r>
      <w:r w:rsidR="00C1122E" w:rsidRPr="002772D1">
        <w:rPr>
          <w:rFonts w:ascii="Book Antiqua" w:eastAsia="Book Antiqua" w:hAnsi="Book Antiqua" w:cs="Book Antiqua"/>
          <w:color w:val="000000"/>
        </w:rPr>
        <w:t>transferase</w:t>
      </w:r>
      <w:r w:rsidRPr="002772D1">
        <w:rPr>
          <w:rFonts w:ascii="Book Antiqua" w:eastAsia="Book Antiqua" w:hAnsi="Book Antiqua" w:cs="Book Antiqua"/>
          <w:color w:val="000000"/>
        </w:rPr>
        <w:t xml:space="preserve">. No grade 4 or 5 adverse events were reported. More recently, the DESTINY-Lung01 trial evaluating the safety and efficacy of trastuzumab-deruxtecan, another antibody-drug conjugate targeting HER2, were presented at the ASCO </w:t>
      </w:r>
      <w:proofErr w:type="gramStart"/>
      <w:r w:rsidRPr="002772D1">
        <w:rPr>
          <w:rFonts w:ascii="Book Antiqua" w:eastAsia="Book Antiqua" w:hAnsi="Book Antiqua" w:cs="Book Antiqua"/>
          <w:color w:val="000000"/>
        </w:rPr>
        <w:t>meeting</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103]</w:t>
      </w:r>
      <w:r w:rsidRPr="002772D1">
        <w:rPr>
          <w:rFonts w:ascii="Book Antiqua" w:eastAsia="Book Antiqua" w:hAnsi="Book Antiqua" w:cs="Book Antiqua"/>
          <w:color w:val="000000"/>
        </w:rPr>
        <w:t xml:space="preserve">. The DESTINY-Lung01 trial includes 2 cohorts: HER2 amplified (based on IHC) and HER2 mutated </w:t>
      </w:r>
      <w:proofErr w:type="gramStart"/>
      <w:r w:rsidRPr="002772D1">
        <w:rPr>
          <w:rFonts w:ascii="Book Antiqua" w:eastAsia="Book Antiqua" w:hAnsi="Book Antiqua" w:cs="Book Antiqua"/>
          <w:color w:val="000000"/>
        </w:rPr>
        <w:t>tumors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104]</w:t>
      </w:r>
      <w:r w:rsidRPr="002772D1">
        <w:rPr>
          <w:rFonts w:ascii="Book Antiqua" w:eastAsia="Book Antiqua" w:hAnsi="Book Antiqua" w:cs="Book Antiqua"/>
          <w:color w:val="000000"/>
        </w:rPr>
        <w:t xml:space="preserve">. Interim results concerning only the HER2 mutated population were reported. Of the 42 patients who received trastuzumab-deruxtecan, with a median of 2 prior treatment lines, the confirmed ORR was 61.9%, with a median </w:t>
      </w:r>
      <w:r w:rsidRPr="002772D1">
        <w:rPr>
          <w:rFonts w:ascii="Book Antiqua" w:eastAsia="Book Antiqua" w:hAnsi="Book Antiqua" w:cs="Book Antiqua"/>
          <w:color w:val="000000"/>
        </w:rPr>
        <w:lastRenderedPageBreak/>
        <w:t>duration of response not reached at data cut-off, and a median PFS estimation of 14 mo. However, toxicity was not negligible, as 64.3% of patients presented grade 3 or more adverse events (52.4 % drug-related). Of note, 11.9% of developed drug-related interstitial lung disease, all grade 2. Treatment related adverse events led to treatment interruption, dose reduction or treatment cessation in 59.5%, 38.1% and 23.8% of patients respectively. The randomized phase II DESTINY-Lung02 trial (NCT04644237) will compare a lower dose regimen of 5.4</w:t>
      </w:r>
      <w:r w:rsidR="00386CC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mg/kg every 3-wk (Q3W) to the 6.4</w:t>
      </w:r>
      <w:r w:rsidR="00386CC6"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mg/kg Q3W regimen used in DESTINY-Lung01 </w:t>
      </w:r>
      <w:proofErr w:type="gramStart"/>
      <w:r w:rsidRPr="002772D1">
        <w:rPr>
          <w:rFonts w:ascii="Book Antiqua" w:eastAsia="Book Antiqua" w:hAnsi="Book Antiqua" w:cs="Book Antiqua"/>
          <w:color w:val="000000"/>
        </w:rPr>
        <w:t>trial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105]</w:t>
      </w:r>
      <w:r w:rsidRPr="002772D1">
        <w:rPr>
          <w:rFonts w:ascii="Book Antiqua" w:eastAsia="Book Antiqua" w:hAnsi="Book Antiqua" w:cs="Book Antiqua"/>
          <w:color w:val="000000"/>
        </w:rPr>
        <w:t>.</w:t>
      </w:r>
    </w:p>
    <w:p w14:paraId="6F3FAFB0" w14:textId="77777777" w:rsidR="00A77B3E" w:rsidRPr="002772D1" w:rsidRDefault="00A77B3E" w:rsidP="00E06D87">
      <w:pPr>
        <w:spacing w:line="360" w:lineRule="auto"/>
        <w:jc w:val="both"/>
        <w:rPr>
          <w:rFonts w:ascii="Book Antiqua" w:hAnsi="Book Antiqua"/>
        </w:rPr>
      </w:pPr>
    </w:p>
    <w:p w14:paraId="3DD06B8A" w14:textId="184783E8" w:rsidR="00C1122E" w:rsidRPr="002772D1" w:rsidRDefault="00C1122E" w:rsidP="00E06D87">
      <w:pPr>
        <w:spacing w:line="360" w:lineRule="auto"/>
        <w:jc w:val="both"/>
        <w:rPr>
          <w:rFonts w:ascii="Book Antiqua" w:eastAsia="Book Antiqua" w:hAnsi="Book Antiqua" w:cs="Book Antiqua"/>
          <w:b/>
          <w:bCs/>
          <w:color w:val="000000"/>
          <w:u w:val="single"/>
        </w:rPr>
      </w:pPr>
      <w:r w:rsidRPr="002772D1">
        <w:rPr>
          <w:rFonts w:ascii="Book Antiqua" w:eastAsia="Book Antiqua" w:hAnsi="Book Antiqua" w:cs="Book Antiqua"/>
          <w:b/>
          <w:bCs/>
          <w:color w:val="000000"/>
          <w:u w:val="single"/>
        </w:rPr>
        <w:t>NEUREGULIN-1</w:t>
      </w:r>
    </w:p>
    <w:p w14:paraId="3B52A62D" w14:textId="05844179"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w:t>
      </w:r>
      <w:r w:rsidRPr="002772D1">
        <w:rPr>
          <w:rFonts w:ascii="Book Antiqua" w:eastAsia="Book Antiqua" w:hAnsi="Book Antiqua" w:cs="Book Antiqua"/>
          <w:i/>
          <w:iCs/>
          <w:color w:val="000000"/>
        </w:rPr>
        <w:t xml:space="preserve">neuregulin-1 </w:t>
      </w:r>
      <w:r w:rsidRPr="002772D1">
        <w:rPr>
          <w:rFonts w:ascii="Book Antiqua" w:eastAsia="Book Antiqua" w:hAnsi="Book Antiqua" w:cs="Book Antiqua"/>
          <w:color w:val="000000"/>
        </w:rPr>
        <w:t>(</w:t>
      </w:r>
      <w:r w:rsidRPr="002772D1">
        <w:rPr>
          <w:rFonts w:ascii="Book Antiqua" w:eastAsia="Book Antiqua" w:hAnsi="Book Antiqua" w:cs="Book Antiqua"/>
          <w:i/>
          <w:iCs/>
          <w:color w:val="000000"/>
        </w:rPr>
        <w:t>NRG1</w:t>
      </w:r>
      <w:r w:rsidRPr="002772D1">
        <w:rPr>
          <w:rFonts w:ascii="Book Antiqua" w:eastAsia="Book Antiqua" w:hAnsi="Book Antiqua" w:cs="Book Antiqua"/>
          <w:color w:val="000000"/>
        </w:rPr>
        <w:t>) gene is located on the long arm of chromosome 10 (10q23.1 region) and encodes a growth factor belonging to the complex family of proteins called heregulins, structurally related to the stimulation of ERBB receptors tyrosine kinase activity and EGF signals</w:t>
      </w:r>
      <w:r w:rsidRPr="002772D1">
        <w:rPr>
          <w:rFonts w:ascii="Book Antiqua" w:eastAsia="Book Antiqua" w:hAnsi="Book Antiqua" w:cs="Book Antiqua"/>
          <w:color w:val="000000"/>
          <w:vertAlign w:val="superscript"/>
        </w:rPr>
        <w:t>[106]</w:t>
      </w:r>
      <w:r w:rsidRPr="002772D1">
        <w:rPr>
          <w:rFonts w:ascii="Book Antiqua" w:eastAsia="Book Antiqua" w:hAnsi="Book Antiqua" w:cs="Book Antiqua"/>
          <w:color w:val="000000"/>
        </w:rPr>
        <w:t xml:space="preserve">. NRG1-receptor binding activates the ERBB2-ERBB3 heterocomplex and controls proliferation, differentiation, and survival in both normal and tumor cells through the predominant signaling cascades PI3K-AKT and MAP </w:t>
      </w:r>
      <w:proofErr w:type="gramStart"/>
      <w:r w:rsidRPr="002772D1">
        <w:rPr>
          <w:rFonts w:ascii="Book Antiqua" w:eastAsia="Book Antiqua" w:hAnsi="Book Antiqua" w:cs="Book Antiqua"/>
          <w:color w:val="000000"/>
        </w:rPr>
        <w:t>kinase</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107]</w:t>
      </w:r>
      <w:r w:rsidRPr="002772D1">
        <w:rPr>
          <w:rFonts w:ascii="Book Antiqua" w:eastAsia="Book Antiqua" w:hAnsi="Book Antiqua" w:cs="Book Antiqua"/>
          <w:color w:val="000000"/>
        </w:rPr>
        <w:t>.</w:t>
      </w:r>
    </w:p>
    <w:p w14:paraId="6CBDDA32" w14:textId="7C160CDB"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NRG1 oncogenic gene rearrangements or fusions are rare, with an incidence of 0.2% on a wide retrospective molecular profiling that tested over 21’850 solid </w:t>
      </w:r>
      <w:proofErr w:type="gramStart"/>
      <w:r w:rsidRPr="002772D1">
        <w:rPr>
          <w:rFonts w:ascii="Book Antiqua" w:eastAsia="Book Antiqua" w:hAnsi="Book Antiqua" w:cs="Book Antiqua"/>
          <w:color w:val="000000"/>
        </w:rPr>
        <w:t>tumors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108]</w:t>
      </w:r>
      <w:r w:rsidRPr="002772D1">
        <w:rPr>
          <w:rFonts w:ascii="Book Antiqua" w:eastAsia="Book Antiqua" w:hAnsi="Book Antiqua" w:cs="Book Antiqua"/>
          <w:color w:val="000000"/>
        </w:rPr>
        <w:t xml:space="preserve">. They have been identified across a wide range of tumors including </w:t>
      </w:r>
      <w:r w:rsidR="00E43561" w:rsidRPr="002772D1">
        <w:rPr>
          <w:rFonts w:ascii="Book Antiqua" w:eastAsia="Book Antiqua" w:hAnsi="Book Antiqua" w:cs="Book Antiqua"/>
          <w:color w:val="000000"/>
        </w:rPr>
        <w:t>NSCLC</w:t>
      </w:r>
      <w:r w:rsidRPr="002772D1">
        <w:rPr>
          <w:rFonts w:ascii="Book Antiqua" w:eastAsia="Book Antiqua" w:hAnsi="Book Antiqua" w:cs="Book Antiqua"/>
          <w:color w:val="000000"/>
        </w:rPr>
        <w:t xml:space="preserve"> (especially mucinous adenocarcinoma subtype), gallbladder cancer, pancreatic cancer, renal cell carcinoma, ovarian cancer and hepatic </w:t>
      </w:r>
      <w:proofErr w:type="gramStart"/>
      <w:r w:rsidRPr="002772D1">
        <w:rPr>
          <w:rFonts w:ascii="Book Antiqua" w:eastAsia="Book Antiqua" w:hAnsi="Book Antiqua" w:cs="Book Antiqua"/>
          <w:color w:val="000000"/>
        </w:rPr>
        <w:t>cholangiocarcinoma</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109]</w:t>
      </w:r>
      <w:r w:rsidRPr="002772D1">
        <w:rPr>
          <w:rFonts w:ascii="Book Antiqua" w:eastAsia="Book Antiqua" w:hAnsi="Book Antiqua" w:cs="Book Antiqua"/>
          <w:color w:val="000000"/>
        </w:rPr>
        <w:t>.</w:t>
      </w:r>
    </w:p>
    <w:p w14:paraId="4A68A5CD" w14:textId="41890265"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Detection of NRG1 gene fusions in solid tumors are made through RNA </w:t>
      </w:r>
      <w:proofErr w:type="gramStart"/>
      <w:r w:rsidRPr="002772D1">
        <w:rPr>
          <w:rFonts w:ascii="Book Antiqua" w:eastAsia="Book Antiqua" w:hAnsi="Book Antiqua" w:cs="Book Antiqua"/>
          <w:color w:val="000000"/>
        </w:rPr>
        <w:t>NGS</w:t>
      </w:r>
      <w:r w:rsidR="00C1122E"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w:t>
      </w:r>
      <w:r w:rsidR="00B96399" w:rsidRPr="002772D1">
        <w:rPr>
          <w:rFonts w:ascii="Book Antiqua" w:eastAsia="Book Antiqua" w:hAnsi="Book Antiqua" w:cs="Book Antiqua"/>
          <w:color w:val="000000"/>
          <w:vertAlign w:val="superscript"/>
        </w:rPr>
        <w:t>1</w:t>
      </w:r>
      <w:r w:rsidRPr="002772D1">
        <w:rPr>
          <w:rFonts w:ascii="Book Antiqua" w:eastAsia="Book Antiqua" w:hAnsi="Book Antiqua" w:cs="Book Antiqua"/>
          <w:color w:val="000000"/>
          <w:vertAlign w:val="superscript"/>
        </w:rPr>
        <w:t>0</w:t>
      </w:r>
      <w:r w:rsidR="00C1122E" w:rsidRPr="002772D1">
        <w:rPr>
          <w:rFonts w:ascii="Book Antiqua" w:eastAsia="Book Antiqua" w:hAnsi="Book Antiqua" w:cs="Book Antiqua"/>
          <w:color w:val="000000"/>
          <w:vertAlign w:val="superscript"/>
        </w:rPr>
        <w:t>]</w:t>
      </w:r>
      <w:r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NRG1</w:t>
      </w:r>
      <w:r w:rsidRPr="002772D1">
        <w:rPr>
          <w:rFonts w:ascii="Book Antiqua" w:eastAsia="Book Antiqua" w:hAnsi="Book Antiqua" w:cs="Book Antiqua"/>
          <w:color w:val="000000"/>
        </w:rPr>
        <w:t xml:space="preserve"> aberrations appear to be mutually exclusive with oncogenic alterations </w:t>
      </w:r>
      <w:r w:rsidRPr="002772D1">
        <w:rPr>
          <w:rFonts w:ascii="Book Antiqua" w:eastAsia="Book Antiqua" w:hAnsi="Book Antiqua" w:cs="Book Antiqua"/>
          <w:i/>
          <w:iCs/>
          <w:color w:val="000000"/>
        </w:rPr>
        <w:t>in EGFR, KRAS, ALK, ROS1</w:t>
      </w:r>
      <w:r w:rsidRPr="002772D1">
        <w:rPr>
          <w:rFonts w:ascii="Book Antiqua" w:eastAsia="Book Antiqua" w:hAnsi="Book Antiqua" w:cs="Book Antiqua"/>
          <w:color w:val="000000"/>
        </w:rPr>
        <w:t xml:space="preserve">, and </w:t>
      </w:r>
      <w:r w:rsidR="00C1122E" w:rsidRPr="002772D1">
        <w:rPr>
          <w:rFonts w:ascii="Book Antiqua" w:eastAsia="Book Antiqua" w:hAnsi="Book Antiqua" w:cs="Book Antiqua"/>
          <w:i/>
          <w:iCs/>
          <w:color w:val="000000"/>
        </w:rPr>
        <w:t xml:space="preserve">rearranged during transfection </w:t>
      </w:r>
      <w:r w:rsidR="00C1122E" w:rsidRPr="002772D1">
        <w:rPr>
          <w:rFonts w:ascii="Book Antiqua" w:eastAsia="Book Antiqua" w:hAnsi="Book Antiqua" w:cs="Book Antiqua"/>
          <w:color w:val="000000"/>
        </w:rPr>
        <w:t>(</w:t>
      </w:r>
      <w:r w:rsidRPr="002772D1">
        <w:rPr>
          <w:rFonts w:ascii="Book Antiqua" w:eastAsia="Book Antiqua" w:hAnsi="Book Antiqua" w:cs="Book Antiqua"/>
          <w:i/>
          <w:iCs/>
          <w:color w:val="000000"/>
        </w:rPr>
        <w:t>RET</w:t>
      </w:r>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rPr>
        <w:t>.</w:t>
      </w:r>
    </w:p>
    <w:p w14:paraId="2BAD8A35" w14:textId="268DB846"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i/>
          <w:iCs/>
          <w:color w:val="000000"/>
        </w:rPr>
        <w:t>NRG1</w:t>
      </w:r>
      <w:r w:rsidRPr="002772D1">
        <w:rPr>
          <w:rFonts w:ascii="Book Antiqua" w:eastAsia="Book Antiqua" w:hAnsi="Book Antiqua" w:cs="Book Antiqua"/>
          <w:color w:val="000000"/>
        </w:rPr>
        <w:t xml:space="preserve"> was first described in NSCC in 2014</w:t>
      </w:r>
      <w:r w:rsidRPr="002772D1">
        <w:rPr>
          <w:rFonts w:ascii="Book Antiqua" w:eastAsia="Book Antiqua" w:hAnsi="Book Antiqua" w:cs="Book Antiqua"/>
          <w:color w:val="000000"/>
          <w:vertAlign w:val="superscript"/>
        </w:rPr>
        <w:t>[110]</w:t>
      </w:r>
      <w:r w:rsidRPr="002772D1">
        <w:rPr>
          <w:rFonts w:ascii="Book Antiqua" w:eastAsia="Book Antiqua" w:hAnsi="Book Antiqua" w:cs="Book Antiqua"/>
          <w:color w:val="000000"/>
        </w:rPr>
        <w:t>. Invasive mucinous adenocarcinoma (IMA), representing approximately</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5% of lung adenocarcinomas, are known to be more aggressive than more common types, such as acinar or papillary adeno</w:t>
      </w:r>
      <w:r w:rsidR="00251673" w:rsidRPr="002772D1">
        <w:rPr>
          <w:rFonts w:ascii="Book Antiqua" w:hAnsi="Book Antiqua" w:cs="Book Antiqua" w:hint="eastAsia"/>
          <w:color w:val="000000"/>
          <w:lang w:eastAsia="zh-CN"/>
        </w:rPr>
        <w:t>-</w:t>
      </w:r>
      <w:r w:rsidRPr="002772D1">
        <w:rPr>
          <w:rFonts w:ascii="Book Antiqua" w:eastAsia="Book Antiqua" w:hAnsi="Book Antiqua" w:cs="Book Antiqua"/>
          <w:color w:val="000000"/>
        </w:rPr>
        <w:t>carcinoma.</w:t>
      </w:r>
      <w:r w:rsidRPr="002772D1">
        <w:rPr>
          <w:rFonts w:ascii="Book Antiqua" w:eastAsia="Book Antiqua" w:hAnsi="Book Antiqua" w:cs="Book Antiqua"/>
          <w:i/>
          <w:iCs/>
          <w:color w:val="000000"/>
        </w:rPr>
        <w:t xml:space="preserve"> KRAS</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mutations had been the only oncogenic driver commonly detected in IMAs (in </w:t>
      </w:r>
      <w:r w:rsidRPr="002772D1">
        <w:rPr>
          <w:rFonts w:ascii="Book Antiqua" w:eastAsia="Book Antiqua" w:hAnsi="Book Antiqua" w:cs="Book Antiqua"/>
          <w:color w:val="000000"/>
        </w:rPr>
        <w:lastRenderedPageBreak/>
        <w:t xml:space="preserve">50%–80% of cases), but </w:t>
      </w:r>
      <w:r w:rsidRPr="002772D1">
        <w:rPr>
          <w:rFonts w:ascii="Book Antiqua" w:eastAsia="Book Antiqua" w:hAnsi="Book Antiqua" w:cs="Book Antiqua"/>
          <w:i/>
          <w:iCs/>
          <w:color w:val="000000"/>
        </w:rPr>
        <w:t>CD74-NRG1</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fusions are now detected in 14.7% of </w:t>
      </w:r>
      <w:r w:rsidRPr="002772D1">
        <w:rPr>
          <w:rFonts w:ascii="Book Antiqua" w:eastAsia="Book Antiqua" w:hAnsi="Book Antiqua" w:cs="Book Antiqua"/>
          <w:i/>
          <w:iCs/>
          <w:color w:val="000000"/>
        </w:rPr>
        <w:t>KRAS</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 xml:space="preserve">negative IMAs. NRG1 positivity confers worse outcomes in lung adenocarcinoma in retrospective </w:t>
      </w:r>
      <w:proofErr w:type="gramStart"/>
      <w:r w:rsidRPr="002772D1">
        <w:rPr>
          <w:rFonts w:ascii="Book Antiqua" w:eastAsia="Book Antiqua" w:hAnsi="Book Antiqua" w:cs="Book Antiqua"/>
          <w:color w:val="000000"/>
        </w:rPr>
        <w:t>data</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111]</w:t>
      </w:r>
      <w:r w:rsidRPr="002772D1">
        <w:rPr>
          <w:rFonts w:ascii="Book Antiqua" w:eastAsia="Book Antiqua" w:hAnsi="Book Antiqua" w:cs="Book Antiqua"/>
          <w:color w:val="000000"/>
        </w:rPr>
        <w:t xml:space="preserve">. Given the potential therapeutic implications of this genetic alteration, the interest in evaluating the prevalence of NRG1 fusions has increased over the last five years. </w:t>
      </w:r>
    </w:p>
    <w:p w14:paraId="3B9BD9D6" w14:textId="4B0D2955"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The use of afatinib (tyrosine kinase inhibitor, targeting ERBB) showed interesting results in case reports for the treatment of</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i/>
          <w:iCs/>
          <w:color w:val="000000"/>
        </w:rPr>
        <w:t>NRG1</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fusion-positive in cancers of lung (</w:t>
      </w:r>
      <w:r w:rsidRPr="002772D1">
        <w:rPr>
          <w:rFonts w:ascii="Book Antiqua" w:eastAsia="Book Antiqua" w:hAnsi="Book Antiqua" w:cs="Book Antiqua"/>
          <w:i/>
          <w:iCs/>
          <w:color w:val="000000"/>
        </w:rPr>
        <w:t xml:space="preserve">SDC4-, SLC3A2- </w:t>
      </w:r>
      <w:r w:rsidR="00C1122E" w:rsidRPr="002772D1">
        <w:rPr>
          <w:rFonts w:ascii="Book Antiqua" w:eastAsia="Book Antiqua" w:hAnsi="Book Antiqua" w:cs="Book Antiqua"/>
          <w:color w:val="000000"/>
        </w:rPr>
        <w:t>and</w:t>
      </w:r>
      <w:r w:rsidRPr="002772D1">
        <w:rPr>
          <w:rFonts w:ascii="Book Antiqua" w:eastAsia="Book Antiqua" w:hAnsi="Book Antiqua" w:cs="Book Antiqua"/>
          <w:i/>
          <w:iCs/>
          <w:color w:val="000000"/>
        </w:rPr>
        <w:t xml:space="preserve"> CD74-NRG1</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gene fusion) and hepatocellular (</w:t>
      </w:r>
      <w:r w:rsidRPr="002772D1">
        <w:rPr>
          <w:rFonts w:ascii="Book Antiqua" w:eastAsia="Book Antiqua" w:hAnsi="Book Antiqua" w:cs="Book Antiqua"/>
          <w:i/>
          <w:iCs/>
          <w:color w:val="000000"/>
        </w:rPr>
        <w:t>ATP1B1-NRG1</w:t>
      </w:r>
      <w:r w:rsidR="00C1122E" w:rsidRPr="002772D1">
        <w:rPr>
          <w:rFonts w:ascii="Book Antiqua" w:eastAsia="Book Antiqua" w:hAnsi="Book Antiqua" w:cs="Book Antiqua"/>
          <w:color w:val="000000"/>
        </w:rPr>
        <w:t xml:space="preserve"> </w:t>
      </w:r>
      <w:r w:rsidRPr="002772D1">
        <w:rPr>
          <w:rFonts w:ascii="Book Antiqua" w:eastAsia="Book Antiqua" w:hAnsi="Book Antiqua" w:cs="Book Antiqua"/>
          <w:color w:val="000000"/>
        </w:rPr>
        <w:t>gene fusion) origin</w:t>
      </w:r>
      <w:r w:rsidRPr="002772D1">
        <w:rPr>
          <w:rFonts w:ascii="Book Antiqua" w:eastAsia="Book Antiqua" w:hAnsi="Book Antiqua" w:cs="Book Antiqua"/>
          <w:color w:val="000000"/>
          <w:vertAlign w:val="superscript"/>
        </w:rPr>
        <w:t>[112]</w:t>
      </w:r>
      <w:r w:rsidRPr="002772D1">
        <w:rPr>
          <w:rFonts w:ascii="Book Antiqua" w:eastAsia="Book Antiqua" w:hAnsi="Book Antiqua" w:cs="Book Antiqua"/>
          <w:color w:val="000000"/>
        </w:rPr>
        <w:t>. Further studies are ongoing.</w:t>
      </w:r>
    </w:p>
    <w:p w14:paraId="6500C4A0" w14:textId="77777777" w:rsidR="00A77B3E" w:rsidRPr="002772D1" w:rsidRDefault="00A77B3E" w:rsidP="00E06D87">
      <w:pPr>
        <w:spacing w:line="360" w:lineRule="auto"/>
        <w:jc w:val="both"/>
        <w:rPr>
          <w:rFonts w:ascii="Book Antiqua" w:hAnsi="Book Antiqua"/>
        </w:rPr>
      </w:pPr>
    </w:p>
    <w:p w14:paraId="69841ED1" w14:textId="77777777" w:rsidR="00A77B3E" w:rsidRPr="002772D1" w:rsidRDefault="00664C60" w:rsidP="00E06D87">
      <w:pPr>
        <w:spacing w:line="360" w:lineRule="auto"/>
        <w:jc w:val="both"/>
        <w:rPr>
          <w:rFonts w:ascii="Book Antiqua" w:hAnsi="Book Antiqua"/>
          <w:b/>
          <w:bCs/>
        </w:rPr>
      </w:pPr>
      <w:r w:rsidRPr="002772D1">
        <w:rPr>
          <w:rFonts w:ascii="Book Antiqua" w:eastAsia="Book Antiqua" w:hAnsi="Book Antiqua" w:cs="Book Antiqua"/>
          <w:b/>
          <w:bCs/>
          <w:color w:val="000000"/>
          <w:u w:val="single"/>
        </w:rPr>
        <w:t>RET</w:t>
      </w:r>
    </w:p>
    <w:p w14:paraId="0C9F18F6" w14:textId="62D4EC84"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 xml:space="preserve">The </w:t>
      </w:r>
      <w:r w:rsidRPr="002772D1">
        <w:rPr>
          <w:rFonts w:ascii="Book Antiqua" w:eastAsia="Book Antiqua" w:hAnsi="Book Antiqua" w:cs="Book Antiqua"/>
          <w:i/>
          <w:iCs/>
          <w:color w:val="000000"/>
        </w:rPr>
        <w:t>RET</w:t>
      </w:r>
      <w:r w:rsidRPr="002772D1">
        <w:rPr>
          <w:rFonts w:ascii="Book Antiqua" w:eastAsia="Book Antiqua" w:hAnsi="Book Antiqua" w:cs="Book Antiqua"/>
          <w:color w:val="000000"/>
        </w:rPr>
        <w:t xml:space="preserve"> gene, located on the chromosome 10 (10q11.2), encodes a tyrosine kinase receptor located to the cell surface. Its intracellular kinase domain shares 37% homology with the ALK kinase </w:t>
      </w:r>
      <w:proofErr w:type="gramStart"/>
      <w:r w:rsidRPr="002772D1">
        <w:rPr>
          <w:rFonts w:ascii="Book Antiqua" w:eastAsia="Book Antiqua" w:hAnsi="Book Antiqua" w:cs="Book Antiqua"/>
          <w:color w:val="000000"/>
        </w:rPr>
        <w:t>domain</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113]</w:t>
      </w:r>
      <w:r w:rsidRPr="002772D1">
        <w:rPr>
          <w:rFonts w:ascii="Book Antiqua" w:eastAsia="Book Antiqua" w:hAnsi="Book Antiqua" w:cs="Book Antiqua"/>
          <w:color w:val="000000"/>
        </w:rPr>
        <w:t xml:space="preserve">. RET is a receptor for Glial Cell Line-Derived neurotrophic factor (GDNF), a family extracellular signaling molecules notably involved in neuronal </w:t>
      </w:r>
      <w:proofErr w:type="gramStart"/>
      <w:r w:rsidRPr="002772D1">
        <w:rPr>
          <w:rFonts w:ascii="Book Antiqua" w:eastAsia="Book Antiqua" w:hAnsi="Book Antiqua" w:cs="Book Antiqua"/>
          <w:color w:val="000000"/>
        </w:rPr>
        <w:t>development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114]</w:t>
      </w:r>
      <w:r w:rsidRPr="002772D1">
        <w:rPr>
          <w:rFonts w:ascii="Book Antiqua" w:eastAsia="Book Antiqua" w:hAnsi="Book Antiqua" w:cs="Book Antiqua"/>
          <w:color w:val="000000"/>
        </w:rPr>
        <w:t>. The binding of GDNF to a co-receptor GDRalpha and then to RET, leads to a RET-dimerization and further autopho</w:t>
      </w:r>
      <w:r w:rsidR="00251673" w:rsidRPr="002772D1">
        <w:rPr>
          <w:rFonts w:ascii="Book Antiqua" w:hAnsi="Book Antiqua" w:cs="Book Antiqua" w:hint="eastAsia"/>
          <w:color w:val="000000"/>
          <w:lang w:eastAsia="zh-CN"/>
        </w:rPr>
        <w:t>-</w:t>
      </w:r>
      <w:r w:rsidRPr="002772D1">
        <w:rPr>
          <w:rFonts w:ascii="Book Antiqua" w:eastAsia="Book Antiqua" w:hAnsi="Book Antiqua" w:cs="Book Antiqua"/>
          <w:color w:val="000000"/>
        </w:rPr>
        <w:t xml:space="preserve">sphorylation of the kinase domains. This activates the intracellular signal transduction process, notably the RAS, MAPK/ERK, PI3K/AKT and JAK/STAT </w:t>
      </w:r>
      <w:proofErr w:type="gramStart"/>
      <w:r w:rsidRPr="002772D1">
        <w:rPr>
          <w:rFonts w:ascii="Book Antiqua" w:eastAsia="Book Antiqua" w:hAnsi="Book Antiqua" w:cs="Book Antiqua"/>
          <w:color w:val="000000"/>
        </w:rPr>
        <w:t>pathways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113]</w:t>
      </w:r>
      <w:r w:rsidRPr="002772D1">
        <w:rPr>
          <w:rFonts w:ascii="Book Antiqua" w:eastAsia="Book Antiqua" w:hAnsi="Book Antiqua" w:cs="Book Antiqua"/>
          <w:color w:val="000000"/>
        </w:rPr>
        <w:t xml:space="preserve">. RET is normally involved in enteric nervous system and urogenital tract development. RET loss of function is associated with Hirschprung </w:t>
      </w:r>
      <w:proofErr w:type="gramStart"/>
      <w:r w:rsidRPr="002772D1">
        <w:rPr>
          <w:rFonts w:ascii="Book Antiqua" w:eastAsia="Book Antiqua" w:hAnsi="Book Antiqua" w:cs="Book Antiqua"/>
          <w:color w:val="000000"/>
        </w:rPr>
        <w:t>disease</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115]</w:t>
      </w:r>
      <w:r w:rsidRPr="002772D1">
        <w:rPr>
          <w:rFonts w:ascii="Book Antiqua" w:eastAsia="Book Antiqua" w:hAnsi="Book Antiqua" w:cs="Book Antiqua"/>
          <w:color w:val="000000"/>
        </w:rPr>
        <w:t>, and activating mutations to MEN-2 syndrome</w:t>
      </w:r>
      <w:r w:rsidRPr="002772D1">
        <w:rPr>
          <w:rFonts w:ascii="Book Antiqua" w:eastAsia="Book Antiqua" w:hAnsi="Book Antiqua" w:cs="Book Antiqua"/>
          <w:color w:val="000000"/>
          <w:vertAlign w:val="superscript"/>
        </w:rPr>
        <w:t>[116]</w:t>
      </w:r>
      <w:r w:rsidRPr="002772D1">
        <w:rPr>
          <w:rFonts w:ascii="Book Antiqua" w:eastAsia="Book Antiqua" w:hAnsi="Book Antiqua" w:cs="Book Antiqua"/>
          <w:color w:val="000000"/>
        </w:rPr>
        <w:t xml:space="preserve">. Rearrangements of the </w:t>
      </w:r>
      <w:r w:rsidRPr="002772D1">
        <w:rPr>
          <w:rFonts w:ascii="Book Antiqua" w:eastAsia="Book Antiqua" w:hAnsi="Book Antiqua" w:cs="Book Antiqua"/>
          <w:i/>
          <w:iCs/>
          <w:color w:val="000000"/>
        </w:rPr>
        <w:t>RET</w:t>
      </w:r>
      <w:r w:rsidRPr="002772D1">
        <w:rPr>
          <w:rFonts w:ascii="Book Antiqua" w:eastAsia="Book Antiqua" w:hAnsi="Book Antiqua" w:cs="Book Antiqua"/>
          <w:color w:val="000000"/>
        </w:rPr>
        <w:t xml:space="preserve"> gene (</w:t>
      </w:r>
      <w:r w:rsidRPr="002772D1">
        <w:rPr>
          <w:rFonts w:ascii="Book Antiqua" w:eastAsia="Book Antiqua" w:hAnsi="Book Antiqua" w:cs="Book Antiqua"/>
          <w:i/>
          <w:iCs/>
          <w:color w:val="000000"/>
        </w:rPr>
        <w:t>e.g.</w:t>
      </w:r>
      <w:r w:rsidR="00717663" w:rsidRPr="002772D1">
        <w:rPr>
          <w:rFonts w:ascii="Book Antiqua" w:eastAsia="Book Antiqua" w:hAnsi="Book Antiqua" w:cs="Book Antiqua"/>
          <w:i/>
          <w:iCs/>
          <w:color w:val="000000"/>
        </w:rPr>
        <w:t>,</w:t>
      </w:r>
      <w:r w:rsidRPr="002772D1">
        <w:rPr>
          <w:rFonts w:ascii="Book Antiqua" w:eastAsia="Book Antiqua" w:hAnsi="Book Antiqua" w:cs="Book Antiqua"/>
          <w:color w:val="000000"/>
        </w:rPr>
        <w:t xml:space="preserve"> the apposition of the C-terminal region of RET protein with the N-terminal region of another protein) can induce a constitutive activation of the RET kinase.</w:t>
      </w:r>
    </w:p>
    <w:p w14:paraId="1E7AE945" w14:textId="2649DF68"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Rearrangements in RET with various partners have been described, the most common in NSCLC being KIF5B and CCDC6</w:t>
      </w:r>
      <w:r w:rsidR="00C1122E" w:rsidRPr="002772D1">
        <w:rPr>
          <w:rFonts w:ascii="Book Antiqua" w:eastAsia="Book Antiqua" w:hAnsi="Book Antiqua" w:cs="Book Antiqua"/>
          <w:color w:val="000000"/>
          <w:vertAlign w:val="superscript"/>
        </w:rPr>
        <w:t>[117]</w:t>
      </w:r>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 xml:space="preserve"> </w:t>
      </w:r>
      <w:r w:rsidRPr="002772D1">
        <w:rPr>
          <w:rFonts w:ascii="Book Antiqua" w:eastAsia="Book Antiqua" w:hAnsi="Book Antiqua" w:cs="Book Antiqua"/>
          <w:color w:val="000000"/>
        </w:rPr>
        <w:t>They have been identified in 1</w:t>
      </w:r>
      <w:r w:rsidR="00C1122E"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-2% of lung adenocarcinomas, more often in never smoker and younger </w:t>
      </w:r>
      <w:proofErr w:type="gramStart"/>
      <w:r w:rsidRPr="002772D1">
        <w:rPr>
          <w:rFonts w:ascii="Book Antiqua" w:eastAsia="Book Antiqua" w:hAnsi="Book Antiqua" w:cs="Book Antiqua"/>
          <w:color w:val="000000"/>
        </w:rPr>
        <w:t>patients</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113]</w:t>
      </w:r>
      <w:r w:rsidRPr="002772D1">
        <w:rPr>
          <w:rFonts w:ascii="Book Antiqua" w:eastAsia="Book Antiqua" w:hAnsi="Book Antiqua" w:cs="Book Antiqua"/>
          <w:color w:val="000000"/>
        </w:rPr>
        <w:t xml:space="preserve">. IHC is probably unreliable for the detection of RET-rearrangements, and FISH or NGS are </w:t>
      </w:r>
      <w:proofErr w:type="gramStart"/>
      <w:r w:rsidRPr="002772D1">
        <w:rPr>
          <w:rFonts w:ascii="Book Antiqua" w:eastAsia="Book Antiqua" w:hAnsi="Book Antiqua" w:cs="Book Antiqua"/>
          <w:color w:val="000000"/>
        </w:rPr>
        <w:t>preferred</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113]</w:t>
      </w:r>
      <w:r w:rsidRPr="002772D1">
        <w:rPr>
          <w:rFonts w:ascii="Book Antiqua" w:eastAsia="Book Antiqua" w:hAnsi="Book Antiqua" w:cs="Book Antiqua"/>
          <w:color w:val="000000"/>
        </w:rPr>
        <w:t>.</w:t>
      </w:r>
    </w:p>
    <w:p w14:paraId="6C53C7E4" w14:textId="7F0CDBF4"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lastRenderedPageBreak/>
        <w:t xml:space="preserve">The phase I/II LIBRETTO 001 </w:t>
      </w:r>
      <w:proofErr w:type="gramStart"/>
      <w:r w:rsidRPr="002772D1">
        <w:rPr>
          <w:rFonts w:ascii="Book Antiqua" w:eastAsia="Book Antiqua" w:hAnsi="Book Antiqua" w:cs="Book Antiqua"/>
          <w:color w:val="000000"/>
        </w:rPr>
        <w:t>trial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118]</w:t>
      </w:r>
      <w:r w:rsidRPr="002772D1">
        <w:rPr>
          <w:rFonts w:ascii="Book Antiqua" w:eastAsia="Book Antiqua" w:hAnsi="Book Antiqua" w:cs="Book Antiqua"/>
          <w:color w:val="000000"/>
        </w:rPr>
        <w:t xml:space="preserve"> evaluated selpercatinib in NSCLC patients. It showed an ORR of 64% in 105 patients previously treated with platinum-based chemotherapy and 85% in previously untreated patient (39 patients). Median duration of response was 17.5 mo in previously treated patients. Interestingly, among the 11 patients with central nervous system disease, 91% had an intracranial response.</w:t>
      </w:r>
    </w:p>
    <w:p w14:paraId="65286F23"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Following these results, selpercatinib was granted accelerated approval by the </w:t>
      </w:r>
      <w:proofErr w:type="gramStart"/>
      <w:r w:rsidRPr="002772D1">
        <w:rPr>
          <w:rFonts w:ascii="Book Antiqua" w:eastAsia="Book Antiqua" w:hAnsi="Book Antiqua" w:cs="Book Antiqua"/>
          <w:color w:val="000000"/>
        </w:rPr>
        <w:t>FDA</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119]</w:t>
      </w:r>
      <w:r w:rsidRPr="002772D1">
        <w:rPr>
          <w:rFonts w:ascii="Book Antiqua" w:eastAsia="Book Antiqua" w:hAnsi="Book Antiqua" w:cs="Book Antiqua"/>
          <w:color w:val="000000"/>
        </w:rPr>
        <w:t xml:space="preserve">. Selpercatinib is currently being evaluated in phase III, </w:t>
      </w:r>
      <w:r w:rsidRPr="002772D1">
        <w:rPr>
          <w:rFonts w:ascii="Book Antiqua" w:eastAsia="Book Antiqua" w:hAnsi="Book Antiqua" w:cs="Book Antiqua"/>
          <w:i/>
          <w:iCs/>
          <w:color w:val="000000"/>
        </w:rPr>
        <w:t>vs</w:t>
      </w:r>
      <w:r w:rsidRPr="002772D1">
        <w:rPr>
          <w:rFonts w:ascii="Book Antiqua" w:eastAsia="Book Antiqua" w:hAnsi="Book Antiqua" w:cs="Book Antiqua"/>
          <w:color w:val="000000"/>
        </w:rPr>
        <w:t xml:space="preserve"> platinum-based chemotherapy +/- pembrolizumab, in the LIBRETTO-431 </w:t>
      </w:r>
      <w:proofErr w:type="gramStart"/>
      <w:r w:rsidRPr="002772D1">
        <w:rPr>
          <w:rFonts w:ascii="Book Antiqua" w:eastAsia="Book Antiqua" w:hAnsi="Book Antiqua" w:cs="Book Antiqua"/>
          <w:color w:val="000000"/>
        </w:rPr>
        <w:t>trial</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120]</w:t>
      </w:r>
      <w:r w:rsidRPr="002772D1">
        <w:rPr>
          <w:rFonts w:ascii="Book Antiqua" w:eastAsia="Book Antiqua" w:hAnsi="Book Antiqua" w:cs="Book Antiqua"/>
          <w:color w:val="000000"/>
        </w:rPr>
        <w:t>.</w:t>
      </w:r>
    </w:p>
    <w:p w14:paraId="5B3C6E8D" w14:textId="7EB26B74"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Pralsetinib (BLU-667), another selective RET inhibitor has also been granted accelerated approval from the FDA based on the results of the ARROW-study (NCT03037385), a basket trial in which patients with RET-fusions positive cancer received pralsetinib 400mg orally once daily. Among 89 patients with RET-fusion positive NSCLC pretreated with platinum-based chemotherapy, ORR was 57%, with 80% of ongoing responses at 6 </w:t>
      </w:r>
      <w:proofErr w:type="gramStart"/>
      <w:r w:rsidRPr="002772D1">
        <w:rPr>
          <w:rFonts w:ascii="Book Antiqua" w:eastAsia="Book Antiqua" w:hAnsi="Book Antiqua" w:cs="Book Antiqua"/>
          <w:color w:val="000000"/>
        </w:rPr>
        <w:t>mo</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121]</w:t>
      </w:r>
      <w:r w:rsidRPr="002772D1">
        <w:rPr>
          <w:rFonts w:ascii="Book Antiqua" w:eastAsia="Book Antiqua" w:hAnsi="Book Antiqua" w:cs="Book Antiqua"/>
          <w:color w:val="000000"/>
        </w:rPr>
        <w:t xml:space="preserve">. Among 27 patients with previously untreated NSCLC, the ORR was 70% with 58% of response ongoing at 6 mo. Praseltinib is currently being compared to the standard treatment approach of platinum-based chemotherapy </w:t>
      </w:r>
      <w:r w:rsidR="00717663" w:rsidRPr="002772D1">
        <w:rPr>
          <w:rFonts w:ascii="Book Antiqua" w:eastAsia="Book Antiqua" w:hAnsi="Book Antiqua"/>
          <w:color w:val="000000"/>
        </w:rPr>
        <w:t>±</w:t>
      </w:r>
      <w:r w:rsidRPr="002772D1">
        <w:rPr>
          <w:rFonts w:ascii="Book Antiqua" w:eastAsia="Book Antiqua" w:hAnsi="Book Antiqua" w:cs="Book Antiqua"/>
          <w:color w:val="000000"/>
        </w:rPr>
        <w:t xml:space="preserve"> pembrolizumab in RET-fusion positive NSCLC in the AcceleRET trial (NCT04222972)</w:t>
      </w:r>
      <w:r w:rsidRPr="002772D1">
        <w:rPr>
          <w:rFonts w:ascii="Book Antiqua" w:eastAsia="Book Antiqua" w:hAnsi="Book Antiqua" w:cs="Book Antiqua"/>
          <w:color w:val="000000"/>
          <w:vertAlign w:val="superscript"/>
        </w:rPr>
        <w:t>[122]</w:t>
      </w:r>
      <w:r w:rsidRPr="002772D1">
        <w:rPr>
          <w:rFonts w:ascii="Book Antiqua" w:eastAsia="Book Antiqua" w:hAnsi="Book Antiqua" w:cs="Book Antiqua"/>
          <w:color w:val="000000"/>
        </w:rPr>
        <w:t>.</w:t>
      </w:r>
    </w:p>
    <w:p w14:paraId="3869F316" w14:textId="4C6CC0F1"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Other non</w:t>
      </w:r>
      <w:r w:rsidR="00717663"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RET-selective TKIs have shown some activity in RET-fusion positive NSCLC: </w:t>
      </w:r>
      <w:r w:rsidR="009F05AD" w:rsidRPr="002772D1">
        <w:rPr>
          <w:rFonts w:ascii="Book Antiqua" w:eastAsia="Book Antiqua" w:hAnsi="Book Antiqua" w:cs="Book Antiqua"/>
          <w:color w:val="000000"/>
        </w:rPr>
        <w:t>C</w:t>
      </w:r>
      <w:r w:rsidRPr="002772D1">
        <w:rPr>
          <w:rFonts w:ascii="Book Antiqua" w:eastAsia="Book Antiqua" w:hAnsi="Book Antiqua" w:cs="Book Antiqua"/>
          <w:color w:val="000000"/>
        </w:rPr>
        <w:t xml:space="preserve">abozantinib for example displayed an ORR of 28% in a single-center, phase II trial, of patients with RET-rearranged NSCLC, of whom 75% had received prior </w:t>
      </w:r>
      <w:proofErr w:type="gramStart"/>
      <w:r w:rsidRPr="002772D1">
        <w:rPr>
          <w:rFonts w:ascii="Book Antiqua" w:eastAsia="Book Antiqua" w:hAnsi="Book Antiqua" w:cs="Book Antiqua"/>
          <w:color w:val="000000"/>
        </w:rPr>
        <w:t>chemotherapy</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123]</w:t>
      </w:r>
      <w:r w:rsidRPr="002772D1">
        <w:rPr>
          <w:rFonts w:ascii="Book Antiqua" w:eastAsia="Book Antiqua" w:hAnsi="Book Antiqua" w:cs="Book Antiqua"/>
          <w:color w:val="000000"/>
        </w:rPr>
        <w:t xml:space="preserve">. In an international registry of patients with RET-rearranged NSCLCs, cabozantinib, vandetanib, and sunitinib had rather limited activity, with overall response rates of 37%, 18%, and 22%, </w:t>
      </w:r>
      <w:proofErr w:type="gramStart"/>
      <w:r w:rsidRPr="002772D1">
        <w:rPr>
          <w:rFonts w:ascii="Book Antiqua" w:eastAsia="Book Antiqua" w:hAnsi="Book Antiqua" w:cs="Book Antiqua"/>
          <w:color w:val="000000"/>
        </w:rPr>
        <w:t>respectively</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124]</w:t>
      </w:r>
      <w:r w:rsidRPr="002772D1">
        <w:rPr>
          <w:rFonts w:ascii="Book Antiqua" w:eastAsia="Book Antiqua" w:hAnsi="Book Antiqua" w:cs="Book Antiqua"/>
          <w:color w:val="000000"/>
        </w:rPr>
        <w:t>.</w:t>
      </w:r>
    </w:p>
    <w:p w14:paraId="539F60FE"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rPr>
        <w:t xml:space="preserve">Different mechanisms of RET-inhibition resistance have been described including the emergence of solvent front mutation in the </w:t>
      </w:r>
      <w:r w:rsidRPr="002772D1">
        <w:rPr>
          <w:rFonts w:ascii="Book Antiqua" w:eastAsia="Book Antiqua" w:hAnsi="Book Antiqua" w:cs="Book Antiqua"/>
          <w:i/>
          <w:iCs/>
          <w:color w:val="000000"/>
        </w:rPr>
        <w:t>RET</w:t>
      </w:r>
      <w:r w:rsidRPr="002772D1">
        <w:rPr>
          <w:rFonts w:ascii="Book Antiqua" w:eastAsia="Book Antiqua" w:hAnsi="Book Antiqua" w:cs="Book Antiqua"/>
          <w:color w:val="000000"/>
        </w:rPr>
        <w:t>-gene (</w:t>
      </w:r>
      <w:r w:rsidRPr="002772D1">
        <w:rPr>
          <w:rFonts w:ascii="Book Antiqua" w:eastAsia="Book Antiqua" w:hAnsi="Book Antiqua" w:cs="Book Antiqua"/>
          <w:i/>
          <w:iCs/>
          <w:color w:val="000000"/>
        </w:rPr>
        <w:t>e.g.</w:t>
      </w:r>
      <w:r w:rsidRPr="002772D1">
        <w:rPr>
          <w:rFonts w:ascii="Book Antiqua" w:eastAsia="Book Antiqua" w:hAnsi="Book Antiqua" w:cs="Book Antiqua"/>
          <w:color w:val="000000"/>
        </w:rPr>
        <w:t xml:space="preserve"> in the RET G810 residue, in the kinase solvent front</w:t>
      </w:r>
      <w:proofErr w:type="gramStart"/>
      <w:r w:rsidRPr="002772D1">
        <w:rPr>
          <w:rFonts w:ascii="Book Antiqua" w:eastAsia="Book Antiqua" w:hAnsi="Book Antiqua" w:cs="Book Antiqua"/>
          <w:color w:val="000000"/>
        </w:rPr>
        <w:t>)</w:t>
      </w:r>
      <w:r w:rsidRPr="002772D1">
        <w:rPr>
          <w:rFonts w:ascii="Book Antiqua" w:eastAsia="Book Antiqua" w:hAnsi="Book Antiqua" w:cs="Book Antiqua"/>
          <w:color w:val="000000"/>
          <w:vertAlign w:val="superscript"/>
        </w:rPr>
        <w:t>[</w:t>
      </w:r>
      <w:proofErr w:type="gramEnd"/>
      <w:r w:rsidRPr="002772D1">
        <w:rPr>
          <w:rFonts w:ascii="Book Antiqua" w:eastAsia="Book Antiqua" w:hAnsi="Book Antiqua" w:cs="Book Antiqua"/>
          <w:color w:val="000000"/>
          <w:vertAlign w:val="superscript"/>
        </w:rPr>
        <w:t>125]</w:t>
      </w:r>
      <w:r w:rsidRPr="002772D1">
        <w:rPr>
          <w:rFonts w:ascii="Book Antiqua" w:eastAsia="Book Antiqua" w:hAnsi="Book Antiqua" w:cs="Book Antiqua"/>
          <w:color w:val="000000"/>
        </w:rPr>
        <w:t xml:space="preserve"> as well as acquired MET or KRAS amplifications</w:t>
      </w:r>
      <w:r w:rsidRPr="002772D1">
        <w:rPr>
          <w:rFonts w:ascii="Book Antiqua" w:eastAsia="Book Antiqua" w:hAnsi="Book Antiqua" w:cs="Book Antiqua"/>
          <w:color w:val="000000"/>
          <w:vertAlign w:val="superscript"/>
        </w:rPr>
        <w:t>[126]</w:t>
      </w:r>
      <w:r w:rsidRPr="002772D1">
        <w:rPr>
          <w:rFonts w:ascii="Book Antiqua" w:eastAsia="Book Antiqua" w:hAnsi="Book Antiqua" w:cs="Book Antiqua"/>
          <w:color w:val="000000"/>
        </w:rPr>
        <w:t>.</w:t>
      </w:r>
    </w:p>
    <w:p w14:paraId="2458CD7C" w14:textId="77777777" w:rsidR="00A77B3E" w:rsidRPr="002772D1" w:rsidRDefault="00A77B3E" w:rsidP="00E06D87">
      <w:pPr>
        <w:spacing w:line="360" w:lineRule="auto"/>
        <w:jc w:val="both"/>
        <w:rPr>
          <w:rFonts w:ascii="Book Antiqua" w:hAnsi="Book Antiqua"/>
        </w:rPr>
      </w:pPr>
    </w:p>
    <w:p w14:paraId="7DCFE662"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aps/>
          <w:color w:val="000000"/>
          <w:u w:val="single"/>
        </w:rPr>
        <w:t>CONCLUSION</w:t>
      </w:r>
    </w:p>
    <w:p w14:paraId="2BC643BA" w14:textId="5D352A44"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shd w:val="clear" w:color="auto" w:fill="FFFFFF"/>
        </w:rPr>
        <w:lastRenderedPageBreak/>
        <w:t>Driver mutations have significantly altered the diagnostic work-up and reshaped the oncology treatment paradigm. Recently, several new driver mutations have been identified in metastatic NSCLC, with some leading to therapeutic success and others, failure. We have summarized the current landscape of actionable oncogenic alterations and their therapies in Table 1. A better understanding of the biology of various subtypes of each driver mutation will help not only to match the optimal treatment to each patient, but also elucidate their respective resistance mechanisms, allowing for greater precision medicine. Many trials are ongoing, some of them through serial tumor or plasma biopsies and multiplex molecular testing. The optimal targeted therapy sequence for each driver mutation is yet to be fully determined. Furthermore, it is unclear whether a multi-kinase inhibitor or highly selective therapy is the best choice for some alterations, though the latter tend to have more favourable toxicity profiles.</w:t>
      </w:r>
    </w:p>
    <w:p w14:paraId="7020EF70" w14:textId="77777777" w:rsidR="00A77B3E" w:rsidRPr="002772D1" w:rsidRDefault="00664C60" w:rsidP="00E06D87">
      <w:pPr>
        <w:spacing w:line="360" w:lineRule="auto"/>
        <w:ind w:firstLineChars="200" w:firstLine="480"/>
        <w:jc w:val="both"/>
        <w:rPr>
          <w:rFonts w:ascii="Book Antiqua" w:hAnsi="Book Antiqua"/>
        </w:rPr>
      </w:pPr>
      <w:r w:rsidRPr="002772D1">
        <w:rPr>
          <w:rFonts w:ascii="Book Antiqua" w:eastAsia="Book Antiqua" w:hAnsi="Book Antiqua" w:cs="Book Antiqua"/>
          <w:color w:val="000000"/>
          <w:shd w:val="clear" w:color="auto" w:fill="FFFFFF"/>
        </w:rPr>
        <w:t>Given the portfolio of possible mutations and targeted therapies to offer, multiplex NGS testing should be standard practice. Barring a therapeutic emergency, no patient should be started on systemic therapy before a comprehensive molecular analysis has been completed. In the twentieth century, every gene matters, and it would be unethical to deny patients access to proven targeted therapies given the efficacy and favourable toxicity profile of such drugs.</w:t>
      </w:r>
    </w:p>
    <w:p w14:paraId="3A8E96B8" w14:textId="77777777" w:rsidR="00A77B3E" w:rsidRPr="002772D1" w:rsidRDefault="00A77B3E" w:rsidP="00E06D87">
      <w:pPr>
        <w:spacing w:line="360" w:lineRule="auto"/>
        <w:jc w:val="both"/>
        <w:rPr>
          <w:rFonts w:ascii="Book Antiqua" w:hAnsi="Book Antiqua"/>
        </w:rPr>
      </w:pPr>
    </w:p>
    <w:p w14:paraId="0B38F494"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REFERENCES</w:t>
      </w:r>
    </w:p>
    <w:p w14:paraId="7252040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 </w:t>
      </w:r>
      <w:r w:rsidRPr="002772D1">
        <w:rPr>
          <w:rFonts w:ascii="Book Antiqua" w:hAnsi="Book Antiqua"/>
          <w:b/>
          <w:bCs/>
        </w:rPr>
        <w:t>Bray F</w:t>
      </w:r>
      <w:r w:rsidRPr="002772D1">
        <w:rPr>
          <w:rFonts w:ascii="Book Antiqua" w:hAnsi="Book Antiqua"/>
        </w:rPr>
        <w:t xml:space="preserve">, Ferlay J, Soerjomataram I, Siegel RL, Torre LA, Jemal A. Global cancer statistics 2018: GLOBOCAN estimates of incidence and mortality worldwide for 36 cancers in 185 countries. </w:t>
      </w:r>
      <w:r w:rsidRPr="002772D1">
        <w:rPr>
          <w:rFonts w:ascii="Book Antiqua" w:hAnsi="Book Antiqua"/>
          <w:i/>
          <w:iCs/>
        </w:rPr>
        <w:t>CA Cancer J Clin</w:t>
      </w:r>
      <w:r w:rsidRPr="002772D1">
        <w:rPr>
          <w:rFonts w:ascii="Book Antiqua" w:hAnsi="Book Antiqua"/>
        </w:rPr>
        <w:t xml:space="preserve"> 2018; </w:t>
      </w:r>
      <w:r w:rsidRPr="002772D1">
        <w:rPr>
          <w:rFonts w:ascii="Book Antiqua" w:hAnsi="Book Antiqua"/>
          <w:b/>
          <w:bCs/>
        </w:rPr>
        <w:t>68</w:t>
      </w:r>
      <w:r w:rsidRPr="002772D1">
        <w:rPr>
          <w:rFonts w:ascii="Book Antiqua" w:hAnsi="Book Antiqua"/>
        </w:rPr>
        <w:t>: 394-424 [PMID: 30207593 DOI: 10.3322/caac.21492]</w:t>
      </w:r>
    </w:p>
    <w:p w14:paraId="4F70EE6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 </w:t>
      </w:r>
      <w:r w:rsidRPr="002772D1">
        <w:rPr>
          <w:rFonts w:ascii="Book Antiqua" w:hAnsi="Book Antiqua"/>
          <w:b/>
          <w:bCs/>
        </w:rPr>
        <w:t>Birring SS</w:t>
      </w:r>
      <w:r w:rsidRPr="002772D1">
        <w:rPr>
          <w:rFonts w:ascii="Book Antiqua" w:hAnsi="Book Antiqua"/>
        </w:rPr>
        <w:t xml:space="preserve">, Peake MD. Symptoms and the early diagnosis of lung cancer. </w:t>
      </w:r>
      <w:r w:rsidRPr="002772D1">
        <w:rPr>
          <w:rFonts w:ascii="Book Antiqua" w:hAnsi="Book Antiqua"/>
          <w:i/>
          <w:iCs/>
        </w:rPr>
        <w:t>Thorax</w:t>
      </w:r>
      <w:r w:rsidRPr="002772D1">
        <w:rPr>
          <w:rFonts w:ascii="Book Antiqua" w:hAnsi="Book Antiqua"/>
        </w:rPr>
        <w:t xml:space="preserve"> 2005; </w:t>
      </w:r>
      <w:r w:rsidRPr="002772D1">
        <w:rPr>
          <w:rFonts w:ascii="Book Antiqua" w:hAnsi="Book Antiqua"/>
          <w:b/>
          <w:bCs/>
        </w:rPr>
        <w:t>60</w:t>
      </w:r>
      <w:r w:rsidRPr="002772D1">
        <w:rPr>
          <w:rFonts w:ascii="Book Antiqua" w:hAnsi="Book Antiqua"/>
        </w:rPr>
        <w:t>: 268-269 [PMID: 15790977 DOI: 10.1136/thx.2004.032698]</w:t>
      </w:r>
    </w:p>
    <w:p w14:paraId="3A770DC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 </w:t>
      </w:r>
      <w:r w:rsidRPr="002772D1">
        <w:rPr>
          <w:rFonts w:ascii="Book Antiqua" w:hAnsi="Book Antiqua"/>
          <w:b/>
          <w:bCs/>
        </w:rPr>
        <w:t>Lindeman NI</w:t>
      </w:r>
      <w:r w:rsidRPr="002772D1">
        <w:rPr>
          <w:rFonts w:ascii="Book Antiqua" w:hAnsi="Book Antiqua"/>
        </w:rPr>
        <w:t xml:space="preserve">, Cagle PT, Beasley MB, Chitale DA, Dacic S, Giaccone G, Jenkins RB, Kwiatkowski DJ, Saldivar JS, Squire J, Thunnissen E, Ladanyi M. Molecular testing guideline for selection of lung cancer patients for EGFR and ALK tyrosine kinase </w:t>
      </w:r>
      <w:r w:rsidRPr="002772D1">
        <w:rPr>
          <w:rFonts w:ascii="Book Antiqua" w:hAnsi="Book Antiqua"/>
        </w:rPr>
        <w:lastRenderedPageBreak/>
        <w:t xml:space="preserve">inhibitors: guideline from the College of American Pathologists, International Association for the Study of Lung Cancer, and Association for Molecular Pathology. </w:t>
      </w:r>
      <w:r w:rsidRPr="002772D1">
        <w:rPr>
          <w:rFonts w:ascii="Book Antiqua" w:hAnsi="Book Antiqua"/>
          <w:i/>
          <w:iCs/>
        </w:rPr>
        <w:t>J Thorac Oncol</w:t>
      </w:r>
      <w:r w:rsidRPr="002772D1">
        <w:rPr>
          <w:rFonts w:ascii="Book Antiqua" w:hAnsi="Book Antiqua"/>
        </w:rPr>
        <w:t xml:space="preserve"> 2013; </w:t>
      </w:r>
      <w:r w:rsidRPr="002772D1">
        <w:rPr>
          <w:rFonts w:ascii="Book Antiqua" w:hAnsi="Book Antiqua"/>
          <w:b/>
          <w:bCs/>
        </w:rPr>
        <w:t>8</w:t>
      </w:r>
      <w:r w:rsidRPr="002772D1">
        <w:rPr>
          <w:rFonts w:ascii="Book Antiqua" w:hAnsi="Book Antiqua"/>
        </w:rPr>
        <w:t>: 823-859 [PMID: 23552377 DOI: 10.1097/JTO.0b013e318290868f]</w:t>
      </w:r>
    </w:p>
    <w:p w14:paraId="0458911E"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 </w:t>
      </w:r>
      <w:r w:rsidRPr="002772D1">
        <w:rPr>
          <w:rFonts w:ascii="Book Antiqua" w:hAnsi="Book Antiqua"/>
          <w:b/>
          <w:bCs/>
        </w:rPr>
        <w:t>Mok TS</w:t>
      </w:r>
      <w:r w:rsidRPr="002772D1">
        <w:rPr>
          <w:rFonts w:ascii="Book Antiqua" w:hAnsi="Book Antiqua"/>
        </w:rPr>
        <w:t xml:space="preserve">, Wu YL, Thongprasert S, Yang CH, Chu DT, Saijo N, Sunpaweravong P, Han B, Margono B, Ichinose Y, Nishiwaki Y, Ohe Y, Yang JJ, Chewaskulyong B, Jiang H, Duffield EL, Watkins CL, Armour AA, Fukuoka M. Gefitinib or carboplatin-paclitaxel in pulmonary adenocarcinoma. </w:t>
      </w:r>
      <w:r w:rsidRPr="002772D1">
        <w:rPr>
          <w:rFonts w:ascii="Book Antiqua" w:hAnsi="Book Antiqua"/>
          <w:i/>
          <w:iCs/>
        </w:rPr>
        <w:t>N Engl J Med</w:t>
      </w:r>
      <w:r w:rsidRPr="002772D1">
        <w:rPr>
          <w:rFonts w:ascii="Book Antiqua" w:hAnsi="Book Antiqua"/>
        </w:rPr>
        <w:t xml:space="preserve"> 2009; </w:t>
      </w:r>
      <w:r w:rsidRPr="002772D1">
        <w:rPr>
          <w:rFonts w:ascii="Book Antiqua" w:hAnsi="Book Antiqua"/>
          <w:b/>
          <w:bCs/>
        </w:rPr>
        <w:t>361</w:t>
      </w:r>
      <w:r w:rsidRPr="002772D1">
        <w:rPr>
          <w:rFonts w:ascii="Book Antiqua" w:hAnsi="Book Antiqua"/>
        </w:rPr>
        <w:t>: 947-957 [PMID: 19692680 DOI: 10.1056/NEJMoa0810699]</w:t>
      </w:r>
    </w:p>
    <w:p w14:paraId="54C3EF1C"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 </w:t>
      </w:r>
      <w:r w:rsidRPr="002772D1">
        <w:rPr>
          <w:rFonts w:ascii="Book Antiqua" w:hAnsi="Book Antiqua"/>
          <w:b/>
          <w:bCs/>
        </w:rPr>
        <w:t>Sequist LV</w:t>
      </w:r>
      <w:r w:rsidRPr="002772D1">
        <w:rPr>
          <w:rFonts w:ascii="Book Antiqua" w:hAnsi="Book Antiqua"/>
        </w:rPr>
        <w:t xml:space="preserve">, Yang JC, Yamamoto N, O'Byrne K, Hirsh V, Mok T, Geater SL, Orlov S, Tsai CM, Boyer M, Su WC, Bennouna J, Kato T, Gorbunova V, Lee KH, Shah R, Massey D, Zazulina V, Shahidi M, Schuler M. Phase III study of afatinib or cisplatin plus pemetrexed in patients with metastatic lung adenocarcinoma with EGFR mutations. </w:t>
      </w:r>
      <w:r w:rsidRPr="002772D1">
        <w:rPr>
          <w:rFonts w:ascii="Book Antiqua" w:hAnsi="Book Antiqua"/>
          <w:i/>
          <w:iCs/>
        </w:rPr>
        <w:t>J Clin Oncol</w:t>
      </w:r>
      <w:r w:rsidRPr="002772D1">
        <w:rPr>
          <w:rFonts w:ascii="Book Antiqua" w:hAnsi="Book Antiqua"/>
        </w:rPr>
        <w:t xml:space="preserve"> 2013; </w:t>
      </w:r>
      <w:r w:rsidRPr="002772D1">
        <w:rPr>
          <w:rFonts w:ascii="Book Antiqua" w:hAnsi="Book Antiqua"/>
          <w:b/>
          <w:bCs/>
        </w:rPr>
        <w:t>31</w:t>
      </w:r>
      <w:r w:rsidRPr="002772D1">
        <w:rPr>
          <w:rFonts w:ascii="Book Antiqua" w:hAnsi="Book Antiqua"/>
        </w:rPr>
        <w:t>: 3327-3334 [PMID: 23816960 DOI: 10.1200/JCO.2012.44.2806]</w:t>
      </w:r>
    </w:p>
    <w:p w14:paraId="7BB8DC63" w14:textId="4B89378B" w:rsidR="000F1AEF" w:rsidRPr="002772D1" w:rsidRDefault="000F1AEF" w:rsidP="00E06D87">
      <w:pPr>
        <w:spacing w:line="360" w:lineRule="auto"/>
        <w:jc w:val="both"/>
        <w:rPr>
          <w:rFonts w:ascii="Book Antiqua" w:hAnsi="Book Antiqua"/>
        </w:rPr>
      </w:pPr>
      <w:r w:rsidRPr="002772D1">
        <w:rPr>
          <w:rFonts w:ascii="Book Antiqua" w:hAnsi="Book Antiqua"/>
        </w:rPr>
        <w:t xml:space="preserve">6 </w:t>
      </w:r>
      <w:r w:rsidRPr="002772D1">
        <w:rPr>
          <w:rFonts w:ascii="Book Antiqua" w:hAnsi="Book Antiqua"/>
          <w:b/>
          <w:bCs/>
        </w:rPr>
        <w:t>Yu HA</w:t>
      </w:r>
      <w:r w:rsidRPr="002772D1">
        <w:rPr>
          <w:rFonts w:ascii="Book Antiqua" w:hAnsi="Book Antiqua"/>
        </w:rPr>
        <w:t xml:space="preserve">, Arcila ME, Rekhtman N, Sima CS, Zakowski MF, Pao W, Kris MG, Miller VA, Ladanyi M, Riely GJ. Analysis of tumor specimens at the time of acquired resistance to EGFR-TKI therapy in 155 patients with EGFR-mutant lung cancers. </w:t>
      </w:r>
      <w:r w:rsidRPr="002772D1">
        <w:rPr>
          <w:rFonts w:ascii="Book Antiqua" w:hAnsi="Book Antiqua"/>
          <w:i/>
          <w:iCs/>
        </w:rPr>
        <w:t>Clin Cancer Res</w:t>
      </w:r>
      <w:r w:rsidRPr="002772D1">
        <w:rPr>
          <w:rFonts w:ascii="Book Antiqua" w:hAnsi="Book Antiqua"/>
        </w:rPr>
        <w:t xml:space="preserve"> 2013; </w:t>
      </w:r>
      <w:r w:rsidRPr="002772D1">
        <w:rPr>
          <w:rFonts w:ascii="Book Antiqua" w:hAnsi="Book Antiqua"/>
          <w:b/>
          <w:bCs/>
        </w:rPr>
        <w:t>19</w:t>
      </w:r>
      <w:r w:rsidRPr="002772D1">
        <w:rPr>
          <w:rFonts w:ascii="Book Antiqua" w:hAnsi="Book Antiqua"/>
        </w:rPr>
        <w:t>: 2240-2247 [PMID: 23470965 DOI: 10.1158/1078-0432.CCR-12-2246]</w:t>
      </w:r>
    </w:p>
    <w:p w14:paraId="7DEBAC4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 </w:t>
      </w:r>
      <w:r w:rsidRPr="002772D1">
        <w:rPr>
          <w:rFonts w:ascii="Book Antiqua" w:hAnsi="Book Antiqua"/>
          <w:b/>
          <w:bCs/>
        </w:rPr>
        <w:t>Friedlaender A</w:t>
      </w:r>
      <w:r w:rsidRPr="002772D1">
        <w:rPr>
          <w:rFonts w:ascii="Book Antiqua" w:hAnsi="Book Antiqua"/>
        </w:rPr>
        <w:t xml:space="preserve">, Banna G, Patel S, Addeo A. Diagnosis and Treatment of ALK Aberrations in Metastatic NSCLC. </w:t>
      </w:r>
      <w:r w:rsidRPr="002772D1">
        <w:rPr>
          <w:rFonts w:ascii="Book Antiqua" w:hAnsi="Book Antiqua"/>
          <w:i/>
          <w:iCs/>
        </w:rPr>
        <w:t>Curr Treat Options Oncol</w:t>
      </w:r>
      <w:r w:rsidRPr="002772D1">
        <w:rPr>
          <w:rFonts w:ascii="Book Antiqua" w:hAnsi="Book Antiqua"/>
        </w:rPr>
        <w:t xml:space="preserve"> 2019; </w:t>
      </w:r>
      <w:r w:rsidRPr="002772D1">
        <w:rPr>
          <w:rFonts w:ascii="Book Antiqua" w:hAnsi="Book Antiqua"/>
          <w:b/>
          <w:bCs/>
        </w:rPr>
        <w:t>20</w:t>
      </w:r>
      <w:r w:rsidRPr="002772D1">
        <w:rPr>
          <w:rFonts w:ascii="Book Antiqua" w:hAnsi="Book Antiqua"/>
        </w:rPr>
        <w:t>: 79 [PMID: 31482479 DOI: 10.1007/s11864-019-0675-9]</w:t>
      </w:r>
    </w:p>
    <w:p w14:paraId="553D6321"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 </w:t>
      </w:r>
      <w:r w:rsidRPr="002772D1">
        <w:rPr>
          <w:rFonts w:ascii="Book Antiqua" w:hAnsi="Book Antiqua"/>
          <w:b/>
          <w:bCs/>
        </w:rPr>
        <w:t>Addeo A</w:t>
      </w:r>
      <w:r w:rsidRPr="002772D1">
        <w:rPr>
          <w:rFonts w:ascii="Book Antiqua" w:hAnsi="Book Antiqua"/>
        </w:rPr>
        <w:t xml:space="preserve">, Tabbò F, Robinson T, Buffoni L, Novello S. Precision medicine in ALK rearranged NSCLC: A rapidly evolving scenario. </w:t>
      </w:r>
      <w:r w:rsidRPr="002772D1">
        <w:rPr>
          <w:rFonts w:ascii="Book Antiqua" w:hAnsi="Book Antiqua"/>
          <w:i/>
          <w:iCs/>
        </w:rPr>
        <w:t>Crit Rev Oncol Hematol</w:t>
      </w:r>
      <w:r w:rsidRPr="002772D1">
        <w:rPr>
          <w:rFonts w:ascii="Book Antiqua" w:hAnsi="Book Antiqua"/>
        </w:rPr>
        <w:t xml:space="preserve"> 2018; </w:t>
      </w:r>
      <w:r w:rsidRPr="002772D1">
        <w:rPr>
          <w:rFonts w:ascii="Book Antiqua" w:hAnsi="Book Antiqua"/>
          <w:b/>
          <w:bCs/>
        </w:rPr>
        <w:t>122</w:t>
      </w:r>
      <w:r w:rsidRPr="002772D1">
        <w:rPr>
          <w:rFonts w:ascii="Book Antiqua" w:hAnsi="Book Antiqua"/>
        </w:rPr>
        <w:t>: 150-156 [PMID: 29458783 DOI: 10.1016/j.critrevonc.2017.12.015]</w:t>
      </w:r>
    </w:p>
    <w:p w14:paraId="2F10D782"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9 </w:t>
      </w:r>
      <w:r w:rsidRPr="002772D1">
        <w:rPr>
          <w:rFonts w:ascii="Book Antiqua" w:hAnsi="Book Antiqua"/>
          <w:b/>
          <w:bCs/>
        </w:rPr>
        <w:t>Addeo A</w:t>
      </w:r>
      <w:r w:rsidRPr="002772D1">
        <w:rPr>
          <w:rFonts w:ascii="Book Antiqua" w:hAnsi="Book Antiqua"/>
        </w:rPr>
        <w:t xml:space="preserve">, Metro G. First-line alectinib for ALK-positive lung cancer: is there room for further improvement? </w:t>
      </w:r>
      <w:r w:rsidRPr="002772D1">
        <w:rPr>
          <w:rFonts w:ascii="Book Antiqua" w:hAnsi="Book Antiqua"/>
          <w:i/>
          <w:iCs/>
        </w:rPr>
        <w:t>Drugs Context</w:t>
      </w:r>
      <w:r w:rsidRPr="002772D1">
        <w:rPr>
          <w:rFonts w:ascii="Book Antiqua" w:hAnsi="Book Antiqua"/>
        </w:rPr>
        <w:t xml:space="preserve"> 2018; </w:t>
      </w:r>
      <w:r w:rsidRPr="002772D1">
        <w:rPr>
          <w:rFonts w:ascii="Book Antiqua" w:hAnsi="Book Antiqua"/>
          <w:b/>
          <w:bCs/>
        </w:rPr>
        <w:t>7</w:t>
      </w:r>
      <w:r w:rsidRPr="002772D1">
        <w:rPr>
          <w:rFonts w:ascii="Book Antiqua" w:hAnsi="Book Antiqua"/>
        </w:rPr>
        <w:t>: 212537 [PMID: 30023004 DOI: 10.7573/dic.212537]</w:t>
      </w:r>
    </w:p>
    <w:p w14:paraId="34286CF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 </w:t>
      </w:r>
      <w:r w:rsidRPr="002772D1">
        <w:rPr>
          <w:rFonts w:ascii="Book Antiqua" w:hAnsi="Book Antiqua"/>
          <w:b/>
          <w:bCs/>
        </w:rPr>
        <w:t>Frisone D</w:t>
      </w:r>
      <w:r w:rsidRPr="002772D1">
        <w:rPr>
          <w:rFonts w:ascii="Book Antiqua" w:hAnsi="Book Antiqua"/>
        </w:rPr>
        <w:t xml:space="preserve">, Friedlaender A, Malapelle U, Banna G, Addeo A. A BRAF new world. </w:t>
      </w:r>
      <w:r w:rsidRPr="002772D1">
        <w:rPr>
          <w:rFonts w:ascii="Book Antiqua" w:hAnsi="Book Antiqua"/>
          <w:i/>
          <w:iCs/>
        </w:rPr>
        <w:t>Crit Rev Oncol Hematol</w:t>
      </w:r>
      <w:r w:rsidRPr="002772D1">
        <w:rPr>
          <w:rFonts w:ascii="Book Antiqua" w:hAnsi="Book Antiqua"/>
        </w:rPr>
        <w:t xml:space="preserve"> 2020; </w:t>
      </w:r>
      <w:r w:rsidRPr="002772D1">
        <w:rPr>
          <w:rFonts w:ascii="Book Antiqua" w:hAnsi="Book Antiqua"/>
          <w:b/>
          <w:bCs/>
        </w:rPr>
        <w:t>152</w:t>
      </w:r>
      <w:r w:rsidRPr="002772D1">
        <w:rPr>
          <w:rFonts w:ascii="Book Antiqua" w:hAnsi="Book Antiqua"/>
        </w:rPr>
        <w:t>: 103008 [PMID: 32485528 DOI: 10.1016/j.critrevonc.2020.103008]</w:t>
      </w:r>
    </w:p>
    <w:p w14:paraId="0DEA3327"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11 </w:t>
      </w:r>
      <w:r w:rsidRPr="002772D1">
        <w:rPr>
          <w:rFonts w:ascii="Book Antiqua" w:hAnsi="Book Antiqua"/>
          <w:b/>
          <w:bCs/>
        </w:rPr>
        <w:t>Friedlaender A</w:t>
      </w:r>
      <w:r w:rsidRPr="002772D1">
        <w:rPr>
          <w:rFonts w:ascii="Book Antiqua" w:hAnsi="Book Antiqua"/>
        </w:rPr>
        <w:t xml:space="preserve">, Drilon A, Weiss GJ, Banna GL, Addeo A. KRAS as a druggable target in NSCLC: Rising like a phoenix after decades of development failures. </w:t>
      </w:r>
      <w:r w:rsidRPr="002772D1">
        <w:rPr>
          <w:rFonts w:ascii="Book Antiqua" w:hAnsi="Book Antiqua"/>
          <w:i/>
          <w:iCs/>
        </w:rPr>
        <w:t>Cancer Treat Rev</w:t>
      </w:r>
      <w:r w:rsidRPr="002772D1">
        <w:rPr>
          <w:rFonts w:ascii="Book Antiqua" w:hAnsi="Book Antiqua"/>
        </w:rPr>
        <w:t xml:space="preserve"> 2020; </w:t>
      </w:r>
      <w:r w:rsidRPr="002772D1">
        <w:rPr>
          <w:rFonts w:ascii="Book Antiqua" w:hAnsi="Book Antiqua"/>
          <w:b/>
          <w:bCs/>
        </w:rPr>
        <w:t>85</w:t>
      </w:r>
      <w:r w:rsidRPr="002772D1">
        <w:rPr>
          <w:rFonts w:ascii="Book Antiqua" w:hAnsi="Book Antiqua"/>
        </w:rPr>
        <w:t>: 101978 [PMID: 32062493 DOI: 10.1016/j.ctrv.2020.101978]</w:t>
      </w:r>
    </w:p>
    <w:p w14:paraId="6CB921B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 </w:t>
      </w:r>
      <w:r w:rsidRPr="002772D1">
        <w:rPr>
          <w:rFonts w:ascii="Book Antiqua" w:hAnsi="Book Antiqua"/>
          <w:b/>
          <w:bCs/>
        </w:rPr>
        <w:t>Friedlaender A</w:t>
      </w:r>
      <w:r w:rsidRPr="002772D1">
        <w:rPr>
          <w:rFonts w:ascii="Book Antiqua" w:hAnsi="Book Antiqua"/>
        </w:rPr>
        <w:t xml:space="preserve">, Banna GL, Buffoni L, Addeo A. Poor-Performance Status Assessment of Patients with Non-small Cell Lung Cancer Remains Vague and Blurred in the Immunotherapy Era. </w:t>
      </w:r>
      <w:r w:rsidRPr="002772D1">
        <w:rPr>
          <w:rFonts w:ascii="Book Antiqua" w:hAnsi="Book Antiqua"/>
          <w:i/>
          <w:iCs/>
        </w:rPr>
        <w:t>Curr Oncol Rep</w:t>
      </w:r>
      <w:r w:rsidRPr="002772D1">
        <w:rPr>
          <w:rFonts w:ascii="Book Antiqua" w:hAnsi="Book Antiqua"/>
        </w:rPr>
        <w:t xml:space="preserve"> 2019; </w:t>
      </w:r>
      <w:r w:rsidRPr="002772D1">
        <w:rPr>
          <w:rFonts w:ascii="Book Antiqua" w:hAnsi="Book Antiqua"/>
          <w:b/>
          <w:bCs/>
        </w:rPr>
        <w:t>21</w:t>
      </w:r>
      <w:r w:rsidRPr="002772D1">
        <w:rPr>
          <w:rFonts w:ascii="Book Antiqua" w:hAnsi="Book Antiqua"/>
        </w:rPr>
        <w:t>: 107 [PMID: 31768759 DOI: 10.1007/s11912-019-0852-9]</w:t>
      </w:r>
    </w:p>
    <w:p w14:paraId="154EDB9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 </w:t>
      </w:r>
      <w:r w:rsidRPr="002772D1">
        <w:rPr>
          <w:rFonts w:ascii="Book Antiqua" w:hAnsi="Book Antiqua"/>
          <w:b/>
          <w:bCs/>
        </w:rPr>
        <w:t>Friedlaender A</w:t>
      </w:r>
      <w:r w:rsidRPr="002772D1">
        <w:rPr>
          <w:rFonts w:ascii="Book Antiqua" w:hAnsi="Book Antiqua"/>
        </w:rPr>
        <w:t xml:space="preserve">, Banna G, Malapelle U, Pisapia P, Addeo A. Next Generation Sequencing and Genetic Alterations in Squamous Cell Lung Carcinoma: Where Are We Today? </w:t>
      </w:r>
      <w:r w:rsidRPr="002772D1">
        <w:rPr>
          <w:rFonts w:ascii="Book Antiqua" w:hAnsi="Book Antiqua"/>
          <w:i/>
          <w:iCs/>
        </w:rPr>
        <w:t>Front Oncol</w:t>
      </w:r>
      <w:r w:rsidRPr="002772D1">
        <w:rPr>
          <w:rFonts w:ascii="Book Antiqua" w:hAnsi="Book Antiqua"/>
        </w:rPr>
        <w:t xml:space="preserve"> 2019; </w:t>
      </w:r>
      <w:r w:rsidRPr="002772D1">
        <w:rPr>
          <w:rFonts w:ascii="Book Antiqua" w:hAnsi="Book Antiqua"/>
          <w:b/>
          <w:bCs/>
        </w:rPr>
        <w:t>9</w:t>
      </w:r>
      <w:r w:rsidRPr="002772D1">
        <w:rPr>
          <w:rFonts w:ascii="Book Antiqua" w:hAnsi="Book Antiqua"/>
        </w:rPr>
        <w:t>: 166 [PMID: 30941314 DOI: 10.3389/fonc.2019.00166]</w:t>
      </w:r>
    </w:p>
    <w:p w14:paraId="0D4C258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14 </w:t>
      </w:r>
      <w:r w:rsidRPr="002772D1">
        <w:rPr>
          <w:rFonts w:ascii="Book Antiqua" w:hAnsi="Book Antiqua"/>
          <w:b/>
          <w:bCs/>
        </w:rPr>
        <w:t>Kalemkerian GP</w:t>
      </w:r>
      <w:r w:rsidRPr="002772D1">
        <w:rPr>
          <w:rFonts w:ascii="Book Antiqua" w:hAnsi="Book Antiqua"/>
        </w:rPr>
        <w:t xml:space="preserve">, Narula N, Kennedy EB, Biermann WA, Donington J, Leighl NB, Lew M, Pantelas J, Ramalingam SS, Reck M, Saqi A, Simoff M, Singh N, Sundaram B. 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 </w:t>
      </w:r>
      <w:r w:rsidRPr="002772D1">
        <w:rPr>
          <w:rFonts w:ascii="Book Antiqua" w:hAnsi="Book Antiqua"/>
          <w:i/>
          <w:iCs/>
        </w:rPr>
        <w:t>J Clin Oncol</w:t>
      </w:r>
      <w:r w:rsidRPr="002772D1">
        <w:rPr>
          <w:rFonts w:ascii="Book Antiqua" w:hAnsi="Book Antiqua"/>
        </w:rPr>
        <w:t xml:space="preserve"> 2018; </w:t>
      </w:r>
      <w:r w:rsidRPr="002772D1">
        <w:rPr>
          <w:rFonts w:ascii="Book Antiqua" w:hAnsi="Book Antiqua"/>
          <w:b/>
          <w:bCs/>
        </w:rPr>
        <w:t>36</w:t>
      </w:r>
      <w:r w:rsidRPr="002772D1">
        <w:rPr>
          <w:rFonts w:ascii="Book Antiqua" w:hAnsi="Book Antiqua"/>
        </w:rPr>
        <w:t>: 911-919 [PMID: 29401004 DOI: 10.1200/JCO.2017.76.7293]</w:t>
      </w:r>
    </w:p>
    <w:p w14:paraId="3D48597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15 </w:t>
      </w:r>
      <w:r w:rsidRPr="002772D1">
        <w:rPr>
          <w:rFonts w:ascii="Book Antiqua" w:hAnsi="Book Antiqua"/>
          <w:b/>
          <w:bCs/>
        </w:rPr>
        <w:t>Hong DS</w:t>
      </w:r>
      <w:r w:rsidRPr="002772D1">
        <w:rPr>
          <w:rFonts w:ascii="Book Antiqua" w:hAnsi="Book Antiqua"/>
        </w:rPr>
        <w:t xml:space="preserve">, DuBois SG, Kummar S, Farago AF, Albert CM, Rohrberg KS, van Tilburg CM, Nagasubramanian R, Berlin JD, Federman N, Mascarenhas L, Geoerger B, Dowlati A, Pappo AS, Bielack S, Doz F, McDermott R, Patel JD, Schilder RJ, Tahara M, Pfister SM, Witt O, Ladanyi M, Rudzinski ER, Nanda S, Childs BH, Laetsch TW, Hyman DM, Drilon A. Larotrectinib in patients with TRK fusion-positive solid tumours: a pooled analysis of three phase 1/2 clinical trials. </w:t>
      </w:r>
      <w:r w:rsidRPr="002772D1">
        <w:rPr>
          <w:rFonts w:ascii="Book Antiqua" w:hAnsi="Book Antiqua"/>
          <w:i/>
          <w:iCs/>
        </w:rPr>
        <w:t>Lancet Oncol</w:t>
      </w:r>
      <w:r w:rsidRPr="002772D1">
        <w:rPr>
          <w:rFonts w:ascii="Book Antiqua" w:hAnsi="Book Antiqua"/>
        </w:rPr>
        <w:t xml:space="preserve"> 2020; </w:t>
      </w:r>
      <w:r w:rsidRPr="002772D1">
        <w:rPr>
          <w:rFonts w:ascii="Book Antiqua" w:hAnsi="Book Antiqua"/>
          <w:b/>
          <w:bCs/>
        </w:rPr>
        <w:t>21</w:t>
      </w:r>
      <w:r w:rsidRPr="002772D1">
        <w:rPr>
          <w:rFonts w:ascii="Book Antiqua" w:hAnsi="Book Antiqua"/>
        </w:rPr>
        <w:t>: 531-540 [PMID: 32105622 DOI: 10.1016/S1470-2045(19)30856-3]</w:t>
      </w:r>
    </w:p>
    <w:p w14:paraId="1B9C6D7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16 </w:t>
      </w:r>
      <w:r w:rsidRPr="002772D1">
        <w:rPr>
          <w:rFonts w:ascii="Book Antiqua" w:hAnsi="Book Antiqua"/>
          <w:b/>
          <w:bCs/>
        </w:rPr>
        <w:t>Hong DS</w:t>
      </w:r>
      <w:r w:rsidRPr="002772D1">
        <w:rPr>
          <w:rFonts w:ascii="Book Antiqua" w:hAnsi="Book Antiqua"/>
        </w:rPr>
        <w:t xml:space="preserve">, Fakih MG, Strickler JH, Desai J, Durm GA, Shapiro GI, Falchook GS, Price TJ, Sacher A, Denlinger CS, Bang YJ, Dy GK, Krauss JC, Kuboki Y, Kuo JC, Coveler AL, Park K, Kim TW, Barlesi F, Munster PN, Ramalingam SS, Burns TF, Meric-Bernstam F, Henary H, Ngang J, Ngarmchamnanrith G, Kim J, Houk BE, Canon J, Lipford JR, </w:t>
      </w:r>
      <w:r w:rsidRPr="002772D1">
        <w:rPr>
          <w:rFonts w:ascii="Book Antiqua" w:hAnsi="Book Antiqua"/>
        </w:rPr>
        <w:lastRenderedPageBreak/>
        <w:t>Friberg G, Lito P, Govindan R, Li BT. KRAS</w:t>
      </w:r>
      <w:r w:rsidRPr="002772D1">
        <w:rPr>
          <w:rFonts w:ascii="Book Antiqua" w:hAnsi="Book Antiqua"/>
          <w:vertAlign w:val="superscript"/>
        </w:rPr>
        <w:t>G12C</w:t>
      </w:r>
      <w:r w:rsidRPr="002772D1">
        <w:rPr>
          <w:rFonts w:ascii="Book Antiqua" w:hAnsi="Book Antiqua"/>
        </w:rPr>
        <w:t xml:space="preserve"> Inhibition with Sotorasib in Advanced Solid Tumors. </w:t>
      </w:r>
      <w:r w:rsidRPr="002772D1">
        <w:rPr>
          <w:rFonts w:ascii="Book Antiqua" w:hAnsi="Book Antiqua"/>
          <w:i/>
          <w:iCs/>
        </w:rPr>
        <w:t>N Engl J Med</w:t>
      </w:r>
      <w:r w:rsidRPr="002772D1">
        <w:rPr>
          <w:rFonts w:ascii="Book Antiqua" w:hAnsi="Book Antiqua"/>
        </w:rPr>
        <w:t xml:space="preserve"> 2020; </w:t>
      </w:r>
      <w:r w:rsidRPr="002772D1">
        <w:rPr>
          <w:rFonts w:ascii="Book Antiqua" w:hAnsi="Book Antiqua"/>
          <w:b/>
          <w:bCs/>
        </w:rPr>
        <w:t>383</w:t>
      </w:r>
      <w:r w:rsidRPr="002772D1">
        <w:rPr>
          <w:rFonts w:ascii="Book Antiqua" w:hAnsi="Book Antiqua"/>
        </w:rPr>
        <w:t>: 1207-1217 [PMID: 32955176 DOI: 10.1056/NEJMoa1917239]</w:t>
      </w:r>
    </w:p>
    <w:p w14:paraId="5B203C2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17 </w:t>
      </w:r>
      <w:r w:rsidRPr="002772D1">
        <w:rPr>
          <w:rFonts w:ascii="Book Antiqua" w:hAnsi="Book Antiqua"/>
          <w:b/>
          <w:bCs/>
        </w:rPr>
        <w:t>NIH.</w:t>
      </w:r>
      <w:r w:rsidRPr="002772D1">
        <w:rPr>
          <w:rFonts w:ascii="Book Antiqua" w:hAnsi="Book Antiqua"/>
        </w:rPr>
        <w:t xml:space="preserve"> Study to Compare AMG 510 "Proposed INN Sotorasib" With Docetaxel in Non Small Cell Lung Cancer (NSCLC) (CodeBreak 200). 2021. [cited 10 January 2021]. Available from: https://clinicaltrials.gov/ct2/show/NCT04303780</w:t>
      </w:r>
    </w:p>
    <w:p w14:paraId="7EB0A0C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18 </w:t>
      </w:r>
      <w:r w:rsidRPr="002772D1">
        <w:rPr>
          <w:rFonts w:ascii="Book Antiqua" w:hAnsi="Book Antiqua"/>
          <w:b/>
          <w:bCs/>
        </w:rPr>
        <w:t>Jnne PA</w:t>
      </w:r>
      <w:r w:rsidRPr="002772D1">
        <w:rPr>
          <w:rFonts w:ascii="Book Antiqua" w:hAnsi="Book Antiqua"/>
        </w:rPr>
        <w:t xml:space="preserve">, Rybkin II, Spira AI, Riely GJ, Ou S. KRYSTAL-1: activity and safety of adagrasib (mrtx849) in advanced/metastatic non–small-cell lung cancer (NSCLC) harboring KRAS G12C mutation. </w:t>
      </w:r>
      <w:r w:rsidRPr="002772D1">
        <w:rPr>
          <w:rFonts w:ascii="Book Antiqua" w:hAnsi="Book Antiqua"/>
          <w:i/>
          <w:iCs/>
        </w:rPr>
        <w:t xml:space="preserve">Eur J Cancer </w:t>
      </w:r>
      <w:r w:rsidRPr="002772D1">
        <w:rPr>
          <w:rFonts w:ascii="Book Antiqua" w:hAnsi="Book Antiqua"/>
        </w:rPr>
        <w:t xml:space="preserve">2020; </w:t>
      </w:r>
      <w:r w:rsidRPr="002772D1">
        <w:rPr>
          <w:rFonts w:ascii="Book Antiqua" w:hAnsi="Book Antiqua"/>
          <w:b/>
          <w:bCs/>
        </w:rPr>
        <w:t>138</w:t>
      </w:r>
      <w:r w:rsidRPr="002772D1">
        <w:rPr>
          <w:rFonts w:ascii="Book Antiqua" w:hAnsi="Book Antiqua"/>
        </w:rPr>
        <w:t>: S1-S2 [DOI: 10.1016/S0959-8049(20)31076-5]</w:t>
      </w:r>
    </w:p>
    <w:p w14:paraId="5914A86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19 </w:t>
      </w:r>
      <w:r w:rsidRPr="002772D1">
        <w:rPr>
          <w:rFonts w:ascii="Book Antiqua" w:hAnsi="Book Antiqua"/>
          <w:b/>
          <w:bCs/>
        </w:rPr>
        <w:t>NIH.</w:t>
      </w:r>
      <w:r w:rsidRPr="002772D1">
        <w:rPr>
          <w:rFonts w:ascii="Book Antiqua" w:hAnsi="Book Antiqua"/>
        </w:rPr>
        <w:t xml:space="preserve"> First-in-Human Study of JNJ-74699157 in Participants </w:t>
      </w:r>
      <w:proofErr w:type="gramStart"/>
      <w:r w:rsidRPr="002772D1">
        <w:rPr>
          <w:rFonts w:ascii="Book Antiqua" w:hAnsi="Book Antiqua"/>
        </w:rPr>
        <w:t>With</w:t>
      </w:r>
      <w:proofErr w:type="gramEnd"/>
      <w:r w:rsidRPr="002772D1">
        <w:rPr>
          <w:rFonts w:ascii="Book Antiqua" w:hAnsi="Book Antiqua"/>
        </w:rPr>
        <w:t xml:space="preserve"> Tumors Harboring the KRAS G12C Mutation. [cited 8 January 2021]. Available from: https://clinicaltrials.gov/ct2/show/NCT04006301?cond=KRAS+G12C&amp;draw=1&amp;rank=1</w:t>
      </w:r>
    </w:p>
    <w:p w14:paraId="088CE3DE"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20 </w:t>
      </w:r>
      <w:r w:rsidRPr="002772D1">
        <w:rPr>
          <w:rFonts w:ascii="Book Antiqua" w:hAnsi="Book Antiqua"/>
          <w:b/>
          <w:bCs/>
        </w:rPr>
        <w:t xml:space="preserve">NIH. </w:t>
      </w:r>
      <w:r w:rsidRPr="002772D1">
        <w:rPr>
          <w:rFonts w:ascii="Book Antiqua" w:hAnsi="Book Antiqua"/>
        </w:rPr>
        <w:t xml:space="preserve">A Study to Evaluate the Safety, Pharmacokinetics, and Activity of GDC-6036 Alone or in Combination in Participants </w:t>
      </w:r>
      <w:proofErr w:type="gramStart"/>
      <w:r w:rsidRPr="002772D1">
        <w:rPr>
          <w:rFonts w:ascii="Book Antiqua" w:hAnsi="Book Antiqua"/>
        </w:rPr>
        <w:t>With</w:t>
      </w:r>
      <w:proofErr w:type="gramEnd"/>
      <w:r w:rsidRPr="002772D1">
        <w:rPr>
          <w:rFonts w:ascii="Book Antiqua" w:hAnsi="Book Antiqua"/>
        </w:rPr>
        <w:t xml:space="preserve"> Advanced or Metastatic Solid Tumors With a KRAS G12C Mutation. [cited 10 January 2021]. Available from: https://clinicaltrials.gov/ct2/show/NCT04449874?cond=KRAS+G12C&amp;draw=1&amp;rank=3</w:t>
      </w:r>
    </w:p>
    <w:p w14:paraId="200E5F7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21 </w:t>
      </w:r>
      <w:r w:rsidRPr="002772D1">
        <w:rPr>
          <w:rFonts w:ascii="Book Antiqua" w:hAnsi="Book Antiqua"/>
          <w:b/>
          <w:bCs/>
        </w:rPr>
        <w:t>Jiao D</w:t>
      </w:r>
      <w:r w:rsidRPr="002772D1">
        <w:rPr>
          <w:rFonts w:ascii="Book Antiqua" w:hAnsi="Book Antiqua"/>
        </w:rPr>
        <w:t xml:space="preserve">, Yang S. Overcoming Resistance to Drugs Targeting </w:t>
      </w:r>
      <w:r w:rsidRPr="002772D1">
        <w:rPr>
          <w:rFonts w:ascii="Book Antiqua" w:hAnsi="Book Antiqua"/>
          <w:i/>
          <w:iCs/>
        </w:rPr>
        <w:t>KRAS</w:t>
      </w:r>
      <w:r w:rsidRPr="002772D1">
        <w:rPr>
          <w:rFonts w:ascii="Book Antiqua" w:hAnsi="Book Antiqua"/>
          <w:i/>
          <w:iCs/>
          <w:vertAlign w:val="superscript"/>
        </w:rPr>
        <w:t>G12C</w:t>
      </w:r>
      <w:r w:rsidRPr="002772D1">
        <w:rPr>
          <w:rFonts w:ascii="Book Antiqua" w:hAnsi="Book Antiqua"/>
        </w:rPr>
        <w:t xml:space="preserve"> Mutation. </w:t>
      </w:r>
      <w:r w:rsidRPr="002772D1">
        <w:rPr>
          <w:rFonts w:ascii="Book Antiqua" w:hAnsi="Book Antiqua"/>
          <w:i/>
          <w:iCs/>
        </w:rPr>
        <w:t>Innovation (N Y)</w:t>
      </w:r>
      <w:r w:rsidRPr="002772D1">
        <w:rPr>
          <w:rFonts w:ascii="Book Antiqua" w:hAnsi="Book Antiqua"/>
        </w:rPr>
        <w:t xml:space="preserve"> 2020; </w:t>
      </w:r>
      <w:r w:rsidRPr="002772D1">
        <w:rPr>
          <w:rFonts w:ascii="Book Antiqua" w:hAnsi="Book Antiqua"/>
          <w:b/>
          <w:bCs/>
        </w:rPr>
        <w:t>1</w:t>
      </w:r>
      <w:r w:rsidRPr="002772D1">
        <w:rPr>
          <w:rFonts w:ascii="Book Antiqua" w:hAnsi="Book Antiqua"/>
        </w:rPr>
        <w:t xml:space="preserve"> [PMID: 32939510 DOI: 10.1016/j.xinn.2020.100035]</w:t>
      </w:r>
    </w:p>
    <w:p w14:paraId="62712B53" w14:textId="1EE6955A" w:rsidR="000F1AEF" w:rsidRPr="002772D1" w:rsidRDefault="000F1AEF" w:rsidP="00E06D87">
      <w:pPr>
        <w:spacing w:line="360" w:lineRule="auto"/>
        <w:jc w:val="both"/>
        <w:rPr>
          <w:rFonts w:ascii="Book Antiqua" w:hAnsi="Book Antiqua"/>
        </w:rPr>
      </w:pPr>
      <w:r w:rsidRPr="002772D1">
        <w:rPr>
          <w:rFonts w:ascii="Book Antiqua" w:hAnsi="Book Antiqua"/>
        </w:rPr>
        <w:t xml:space="preserve">22 </w:t>
      </w:r>
      <w:r w:rsidRPr="002772D1">
        <w:rPr>
          <w:rFonts w:ascii="Book Antiqua" w:hAnsi="Book Antiqua"/>
          <w:b/>
          <w:bCs/>
        </w:rPr>
        <w:t>Bindoli A</w:t>
      </w:r>
      <w:r w:rsidRPr="002772D1">
        <w:rPr>
          <w:rFonts w:ascii="Book Antiqua" w:hAnsi="Book Antiqua"/>
        </w:rPr>
        <w:t xml:space="preserve">, Rigobello MP, Scutari G, Gabbiani C, Casini A, Messori L. Thioredoxin reductase: A target for gold compounds acting as potential anticancer drugs. </w:t>
      </w:r>
      <w:r w:rsidRPr="002772D1">
        <w:rPr>
          <w:rFonts w:ascii="Book Antiqua" w:hAnsi="Book Antiqua"/>
          <w:i/>
          <w:iCs/>
        </w:rPr>
        <w:t>Coord Chem Reviews</w:t>
      </w:r>
      <w:r w:rsidRPr="002772D1">
        <w:rPr>
          <w:rFonts w:ascii="Book Antiqua" w:hAnsi="Book Antiqua"/>
        </w:rPr>
        <w:t xml:space="preserve"> 2009</w:t>
      </w:r>
      <w:r w:rsidR="00845367" w:rsidRPr="002772D1">
        <w:rPr>
          <w:rFonts w:ascii="Book Antiqua" w:hAnsi="Book Antiqua"/>
        </w:rPr>
        <w:t>;</w:t>
      </w:r>
      <w:r w:rsidRPr="002772D1">
        <w:rPr>
          <w:rFonts w:ascii="Book Antiqua" w:hAnsi="Book Antiqua"/>
        </w:rPr>
        <w:t xml:space="preserve"> </w:t>
      </w:r>
      <w:r w:rsidRPr="002772D1">
        <w:rPr>
          <w:rFonts w:ascii="Book Antiqua" w:hAnsi="Book Antiqua"/>
          <w:b/>
          <w:bCs/>
        </w:rPr>
        <w:t>253</w:t>
      </w:r>
      <w:r w:rsidRPr="002772D1">
        <w:rPr>
          <w:rFonts w:ascii="Book Antiqua" w:hAnsi="Book Antiqua"/>
        </w:rPr>
        <w:t>: 1692-1707 [DOI: 10.1016/j.ccr.2009.02.026]</w:t>
      </w:r>
    </w:p>
    <w:p w14:paraId="2A97F9D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23 </w:t>
      </w:r>
      <w:r w:rsidRPr="002772D1">
        <w:rPr>
          <w:rFonts w:ascii="Book Antiqua" w:hAnsi="Book Antiqua"/>
          <w:b/>
          <w:bCs/>
        </w:rPr>
        <w:t>Misale S</w:t>
      </w:r>
      <w:r w:rsidRPr="002772D1">
        <w:rPr>
          <w:rFonts w:ascii="Book Antiqua" w:hAnsi="Book Antiqua"/>
        </w:rPr>
        <w:t xml:space="preserve">, Fatherree JP, Cortez E, Li C, Bilton S, Timonina D, Myers DT, Lee D, Gomez-Caraballo M, Greenberg M, Nangia V, Greninger P, Egan RK, McClanaghan J, Stein GT, Murchie E, Zarrinkar PP, Janes MR, Li LS, Liu Y, Hata AN, Benes CH. KRAS G12C NSCLC Models Are Sensitive to Direct Targeting of KRAS in Combination with </w:t>
      </w:r>
      <w:r w:rsidRPr="002772D1">
        <w:rPr>
          <w:rFonts w:ascii="Book Antiqua" w:hAnsi="Book Antiqua"/>
        </w:rPr>
        <w:lastRenderedPageBreak/>
        <w:t xml:space="preserve">PI3K Inhibition. </w:t>
      </w:r>
      <w:r w:rsidRPr="002772D1">
        <w:rPr>
          <w:rFonts w:ascii="Book Antiqua" w:hAnsi="Book Antiqua"/>
          <w:i/>
          <w:iCs/>
        </w:rPr>
        <w:t>Clin Cancer Res</w:t>
      </w:r>
      <w:r w:rsidRPr="002772D1">
        <w:rPr>
          <w:rFonts w:ascii="Book Antiqua" w:hAnsi="Book Antiqua"/>
        </w:rPr>
        <w:t xml:space="preserve"> 2019; </w:t>
      </w:r>
      <w:r w:rsidRPr="002772D1">
        <w:rPr>
          <w:rFonts w:ascii="Book Antiqua" w:hAnsi="Book Antiqua"/>
          <w:b/>
          <w:bCs/>
        </w:rPr>
        <w:t>25</w:t>
      </w:r>
      <w:r w:rsidRPr="002772D1">
        <w:rPr>
          <w:rFonts w:ascii="Book Antiqua" w:hAnsi="Book Antiqua"/>
        </w:rPr>
        <w:t>: 796-807 [PMID: 30327306 DOI: 10.1158/1078-0432.CCR-18-0368]</w:t>
      </w:r>
    </w:p>
    <w:p w14:paraId="2358ECD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24 </w:t>
      </w:r>
      <w:r w:rsidRPr="002772D1">
        <w:rPr>
          <w:rFonts w:ascii="Book Antiqua" w:hAnsi="Book Antiqua"/>
          <w:b/>
          <w:bCs/>
        </w:rPr>
        <w:t>Kordiak J</w:t>
      </w:r>
      <w:r w:rsidRPr="002772D1">
        <w:rPr>
          <w:rFonts w:ascii="Book Antiqua" w:hAnsi="Book Antiqua"/>
        </w:rPr>
        <w:t xml:space="preserve">, Szemraj J, Grabska-Kobylecka I, Bialasiewicz P, Braun M, Kordek R, Nowak D. Intratumor heterogeneity and tissue distribution of KRAS mutation in non-small cell lung cancer: implications for detection of mutated KRAS oncogene in exhaled breath condensate. </w:t>
      </w:r>
      <w:r w:rsidRPr="002772D1">
        <w:rPr>
          <w:rFonts w:ascii="Book Antiqua" w:hAnsi="Book Antiqua"/>
          <w:i/>
          <w:iCs/>
        </w:rPr>
        <w:t>J Cancer Res Clin Oncol</w:t>
      </w:r>
      <w:r w:rsidRPr="002772D1">
        <w:rPr>
          <w:rFonts w:ascii="Book Antiqua" w:hAnsi="Book Antiqua"/>
        </w:rPr>
        <w:t xml:space="preserve"> 2019; </w:t>
      </w:r>
      <w:r w:rsidRPr="002772D1">
        <w:rPr>
          <w:rFonts w:ascii="Book Antiqua" w:hAnsi="Book Antiqua"/>
          <w:b/>
          <w:bCs/>
        </w:rPr>
        <w:t>145</w:t>
      </w:r>
      <w:r w:rsidRPr="002772D1">
        <w:rPr>
          <w:rFonts w:ascii="Book Antiqua" w:hAnsi="Book Antiqua"/>
        </w:rPr>
        <w:t>: 241-251 [PMID: 30368666 DOI: 10.1007/s00432-018-2779-1]</w:t>
      </w:r>
    </w:p>
    <w:p w14:paraId="258313B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25 </w:t>
      </w:r>
      <w:r w:rsidRPr="002772D1">
        <w:rPr>
          <w:rFonts w:ascii="Book Antiqua" w:hAnsi="Book Antiqua"/>
          <w:b/>
          <w:bCs/>
        </w:rPr>
        <w:t>Xue JY</w:t>
      </w:r>
      <w:r w:rsidRPr="002772D1">
        <w:rPr>
          <w:rFonts w:ascii="Book Antiqua" w:hAnsi="Book Antiqua"/>
        </w:rPr>
        <w:t xml:space="preserve">, Zhao Y, Aronowitz J, Mai TT, Vides A, Qeriqi B, Kim D, Li C, de Stanchina E, Mazutis L, Risso D, Lito P. Rapid non-uniform adaptation to conformation-specific KRAS(G12C) inhibition. </w:t>
      </w:r>
      <w:r w:rsidRPr="002772D1">
        <w:rPr>
          <w:rFonts w:ascii="Book Antiqua" w:hAnsi="Book Antiqua"/>
          <w:i/>
          <w:iCs/>
        </w:rPr>
        <w:t>Nature</w:t>
      </w:r>
      <w:r w:rsidRPr="002772D1">
        <w:rPr>
          <w:rFonts w:ascii="Book Antiqua" w:hAnsi="Book Antiqua"/>
        </w:rPr>
        <w:t xml:space="preserve"> 2020; </w:t>
      </w:r>
      <w:r w:rsidRPr="002772D1">
        <w:rPr>
          <w:rFonts w:ascii="Book Antiqua" w:hAnsi="Book Antiqua"/>
          <w:b/>
          <w:bCs/>
        </w:rPr>
        <w:t>577</w:t>
      </w:r>
      <w:r w:rsidRPr="002772D1">
        <w:rPr>
          <w:rFonts w:ascii="Book Antiqua" w:hAnsi="Book Antiqua"/>
        </w:rPr>
        <w:t>: 421-425 [PMID: 31915379 DOI: 10.1038/s41586-019-1884-x]</w:t>
      </w:r>
    </w:p>
    <w:p w14:paraId="3097B62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26 </w:t>
      </w:r>
      <w:r w:rsidRPr="002772D1">
        <w:rPr>
          <w:rFonts w:ascii="Book Antiqua" w:hAnsi="Book Antiqua"/>
          <w:b/>
          <w:bCs/>
        </w:rPr>
        <w:t>Chakraborty A</w:t>
      </w:r>
      <w:r w:rsidRPr="002772D1">
        <w:rPr>
          <w:rFonts w:ascii="Book Antiqua" w:hAnsi="Book Antiqua"/>
        </w:rPr>
        <w:t xml:space="preserve">. KRASG12C inhibitor: combing for combination. </w:t>
      </w:r>
      <w:r w:rsidRPr="002772D1">
        <w:rPr>
          <w:rFonts w:ascii="Book Antiqua" w:hAnsi="Book Antiqua"/>
          <w:i/>
          <w:iCs/>
        </w:rPr>
        <w:t>Biochem Soc Trans</w:t>
      </w:r>
      <w:r w:rsidRPr="002772D1">
        <w:rPr>
          <w:rFonts w:ascii="Book Antiqua" w:hAnsi="Book Antiqua"/>
        </w:rPr>
        <w:t xml:space="preserve"> 2020; </w:t>
      </w:r>
      <w:r w:rsidRPr="002772D1">
        <w:rPr>
          <w:rFonts w:ascii="Book Antiqua" w:hAnsi="Book Antiqua"/>
          <w:b/>
          <w:bCs/>
        </w:rPr>
        <w:t>48</w:t>
      </w:r>
      <w:r w:rsidRPr="002772D1">
        <w:rPr>
          <w:rFonts w:ascii="Book Antiqua" w:hAnsi="Book Antiqua"/>
        </w:rPr>
        <w:t>: 2691-2701 [PMID: 33242077 DOI: 10.1042/BST20200473]</w:t>
      </w:r>
    </w:p>
    <w:p w14:paraId="4735021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27 </w:t>
      </w:r>
      <w:r w:rsidRPr="002772D1">
        <w:rPr>
          <w:rFonts w:ascii="Book Antiqua" w:hAnsi="Book Antiqua"/>
          <w:b/>
          <w:bCs/>
        </w:rPr>
        <w:t>Liu C</w:t>
      </w:r>
      <w:r w:rsidRPr="002772D1">
        <w:rPr>
          <w:rFonts w:ascii="Book Antiqua" w:hAnsi="Book Antiqua"/>
        </w:rPr>
        <w:t xml:space="preserve">, Lu H, Wang H, Loo A, Zhang X, Yang G, Kowal C, Delach S, Wang Y, Goldoni S, Hastings WD, Wong K, Gao H, Meyer MJ, Moody SE, LaMarche MJ, Engelman JA, Williams JA, Hammerman PS, Abrams TJ, Mohseni M, Caponigro G, Hao HX. Combinations with Allosteric SHP2 Inhibitor TNO155 to Block Receptor Tyrosine Kinase Signaling. </w:t>
      </w:r>
      <w:r w:rsidRPr="002772D1">
        <w:rPr>
          <w:rFonts w:ascii="Book Antiqua" w:hAnsi="Book Antiqua"/>
          <w:i/>
          <w:iCs/>
        </w:rPr>
        <w:t>Clin Cancer Res</w:t>
      </w:r>
      <w:r w:rsidRPr="002772D1">
        <w:rPr>
          <w:rFonts w:ascii="Book Antiqua" w:hAnsi="Book Antiqua"/>
        </w:rPr>
        <w:t xml:space="preserve"> 2021; </w:t>
      </w:r>
      <w:r w:rsidRPr="002772D1">
        <w:rPr>
          <w:rFonts w:ascii="Book Antiqua" w:hAnsi="Book Antiqua"/>
          <w:b/>
          <w:bCs/>
        </w:rPr>
        <w:t>27</w:t>
      </w:r>
      <w:r w:rsidRPr="002772D1">
        <w:rPr>
          <w:rFonts w:ascii="Book Antiqua" w:hAnsi="Book Antiqua"/>
        </w:rPr>
        <w:t>: 342-354 [PMID: 33046519 DOI: 10.1158/1078-0432.CCR-20-2718]</w:t>
      </w:r>
    </w:p>
    <w:p w14:paraId="579DFE1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28 </w:t>
      </w:r>
      <w:r w:rsidRPr="002772D1">
        <w:rPr>
          <w:rFonts w:ascii="Book Antiqua" w:hAnsi="Book Antiqua"/>
          <w:b/>
          <w:bCs/>
        </w:rPr>
        <w:t>Cullis J</w:t>
      </w:r>
      <w:r w:rsidRPr="002772D1">
        <w:rPr>
          <w:rFonts w:ascii="Book Antiqua" w:hAnsi="Book Antiqua"/>
        </w:rPr>
        <w:t xml:space="preserve">, Das S, Bar-Sagi D. Kras and Tumor Immunity: Friend or Foe? </w:t>
      </w:r>
      <w:r w:rsidRPr="002772D1">
        <w:rPr>
          <w:rFonts w:ascii="Book Antiqua" w:hAnsi="Book Antiqua"/>
          <w:i/>
          <w:iCs/>
        </w:rPr>
        <w:t>Cold Spring Harb Perspect Med</w:t>
      </w:r>
      <w:r w:rsidRPr="002772D1">
        <w:rPr>
          <w:rFonts w:ascii="Book Antiqua" w:hAnsi="Book Antiqua"/>
        </w:rPr>
        <w:t xml:space="preserve"> 2018; </w:t>
      </w:r>
      <w:r w:rsidRPr="002772D1">
        <w:rPr>
          <w:rFonts w:ascii="Book Antiqua" w:hAnsi="Book Antiqua"/>
          <w:b/>
          <w:bCs/>
        </w:rPr>
        <w:t>8</w:t>
      </w:r>
      <w:r w:rsidRPr="002772D1">
        <w:rPr>
          <w:rFonts w:ascii="Book Antiqua" w:hAnsi="Book Antiqua"/>
        </w:rPr>
        <w:t xml:space="preserve"> [PMID: 29229670 DOI: 10.1101/cshperspect.a031849]</w:t>
      </w:r>
    </w:p>
    <w:p w14:paraId="632A0BC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29 </w:t>
      </w:r>
      <w:r w:rsidRPr="002772D1">
        <w:rPr>
          <w:rFonts w:ascii="Book Antiqua" w:hAnsi="Book Antiqua"/>
          <w:b/>
          <w:bCs/>
        </w:rPr>
        <w:t>Canon J</w:t>
      </w:r>
      <w:r w:rsidRPr="002772D1">
        <w:rPr>
          <w:rFonts w:ascii="Book Antiqua" w:hAnsi="Book Antiqua"/>
        </w:rPr>
        <w:t xml:space="preserve">, Rex K, Saiki AY, Mohr C, Cooke K, Bagal D, Gaida K, Holt T, Knutson CG, Koppada N, Lanman BA, Werner J, Rapaport AS, San Miguel T, Ortiz R, Osgood T, Sun JR, Zhu X, McCarter JD, Volak LP, Houk BE, Fakih MG, O'Neil BH, Price TJ, Falchook GS, Desai J, Kuo J, Govindan R, Hong DS, Ouyang W, Henary H, Arvedson T, Cee VJ, Lipford JR. The clinical KRAS(G12C) inhibitor AMG 510 drives anti-tumour immunity. </w:t>
      </w:r>
      <w:r w:rsidRPr="002772D1">
        <w:rPr>
          <w:rFonts w:ascii="Book Antiqua" w:hAnsi="Book Antiqua"/>
          <w:i/>
          <w:iCs/>
        </w:rPr>
        <w:t>Nature</w:t>
      </w:r>
      <w:r w:rsidRPr="002772D1">
        <w:rPr>
          <w:rFonts w:ascii="Book Antiqua" w:hAnsi="Book Antiqua"/>
        </w:rPr>
        <w:t xml:space="preserve"> 2019; </w:t>
      </w:r>
      <w:r w:rsidRPr="002772D1">
        <w:rPr>
          <w:rFonts w:ascii="Book Antiqua" w:hAnsi="Book Antiqua"/>
          <w:b/>
          <w:bCs/>
        </w:rPr>
        <w:t>575</w:t>
      </w:r>
      <w:r w:rsidRPr="002772D1">
        <w:rPr>
          <w:rFonts w:ascii="Book Antiqua" w:hAnsi="Book Antiqua"/>
        </w:rPr>
        <w:t>: 217-223 [PMID: 31666701 DOI: 10.1038/s41586-019-1694-1]</w:t>
      </w:r>
    </w:p>
    <w:p w14:paraId="5F13A7F0"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30 </w:t>
      </w:r>
      <w:r w:rsidRPr="002772D1">
        <w:rPr>
          <w:rFonts w:ascii="Book Antiqua" w:hAnsi="Book Antiqua"/>
          <w:b/>
          <w:bCs/>
        </w:rPr>
        <w:t>MRRATI.</w:t>
      </w:r>
      <w:r w:rsidRPr="002772D1">
        <w:rPr>
          <w:rFonts w:ascii="Book Antiqua" w:hAnsi="Book Antiqua"/>
        </w:rPr>
        <w:t xml:space="preserve"> Therapeutics-Reports-Investigational-Adagrasib-MRTX849-Preliminary-Data-Demonstrating-Tolerability-and-Durable-Anti-Tumor-Activity-as-well-as-Initial-</w:t>
      </w:r>
      <w:r w:rsidRPr="002772D1">
        <w:rPr>
          <w:rFonts w:ascii="Book Antiqua" w:hAnsi="Book Antiqua"/>
        </w:rPr>
        <w:lastRenderedPageBreak/>
        <w:t>MRTX1133-Preclinical-Data/default.aspx. [cited 8 January 2021]. Available from: https://ir.mirati.com/news-releases/news-details/2020/Mirati</w:t>
      </w:r>
    </w:p>
    <w:p w14:paraId="101E94AE"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31 </w:t>
      </w:r>
      <w:r w:rsidRPr="002772D1">
        <w:rPr>
          <w:rFonts w:ascii="Book Antiqua" w:hAnsi="Book Antiqua"/>
          <w:b/>
          <w:bCs/>
        </w:rPr>
        <w:t xml:space="preserve">NIH. </w:t>
      </w:r>
      <w:r w:rsidRPr="002772D1">
        <w:rPr>
          <w:rFonts w:ascii="Book Antiqua" w:hAnsi="Book Antiqua"/>
        </w:rPr>
        <w:t>A Study to Test Different Doses of BI 1701963 Alone and Combined With Trametinib in Patients With Different Types of Advanced Cancer (Solid Tumours With KRAS Mutation). 2021. [cited 10 December 2020]. Available from: https://clinicaltrials.gov/ct2/show/NCT04111458</w:t>
      </w:r>
    </w:p>
    <w:p w14:paraId="003A9FAC"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32 </w:t>
      </w:r>
      <w:r w:rsidRPr="002772D1">
        <w:rPr>
          <w:rFonts w:ascii="Book Antiqua" w:hAnsi="Book Antiqua"/>
          <w:b/>
          <w:bCs/>
        </w:rPr>
        <w:t>NIH.</w:t>
      </w:r>
      <w:r w:rsidRPr="002772D1">
        <w:rPr>
          <w:rFonts w:ascii="Book Antiqua" w:hAnsi="Book Antiqua"/>
        </w:rPr>
        <w:t xml:space="preserve"> A Study of mRNA-5671/V941 as Monotherapy and in Combination </w:t>
      </w:r>
      <w:proofErr w:type="gramStart"/>
      <w:r w:rsidRPr="002772D1">
        <w:rPr>
          <w:rFonts w:ascii="Book Antiqua" w:hAnsi="Book Antiqua"/>
        </w:rPr>
        <w:t>With</w:t>
      </w:r>
      <w:proofErr w:type="gramEnd"/>
      <w:r w:rsidRPr="002772D1">
        <w:rPr>
          <w:rFonts w:ascii="Book Antiqua" w:hAnsi="Book Antiqua"/>
        </w:rPr>
        <w:t xml:space="preserve"> Pembrolizumab (V941-001). [cited 10 December 2020]. Available from: https://clinicaltrials.gov/ct2/show/NCT03948763</w:t>
      </w:r>
    </w:p>
    <w:p w14:paraId="640C2F6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33 </w:t>
      </w:r>
      <w:r w:rsidRPr="002772D1">
        <w:rPr>
          <w:rFonts w:ascii="Book Antiqua" w:hAnsi="Book Antiqua"/>
          <w:b/>
          <w:bCs/>
        </w:rPr>
        <w:t>KRAS vaccine (mRNA-5671).</w:t>
      </w:r>
      <w:r w:rsidRPr="002772D1">
        <w:rPr>
          <w:rFonts w:ascii="Book Antiqua" w:hAnsi="Book Antiqua"/>
        </w:rPr>
        <w:t xml:space="preserve"> Moderna’s mRNA vaccines elicit Tcells required for curative cancer therapy. [cited 6 January 2021]. Available from: https://investors.modernatx.com/static-files/12f15d58-0a61-4ca4-a3e1-61d06ab28e0c</w:t>
      </w:r>
    </w:p>
    <w:p w14:paraId="4283327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34 </w:t>
      </w:r>
      <w:r w:rsidRPr="002772D1">
        <w:rPr>
          <w:rFonts w:ascii="Book Antiqua" w:hAnsi="Book Antiqua"/>
          <w:b/>
          <w:bCs/>
        </w:rPr>
        <w:t>Mass RD</w:t>
      </w:r>
      <w:r w:rsidRPr="002772D1">
        <w:rPr>
          <w:rFonts w:ascii="Book Antiqua" w:hAnsi="Book Antiqua"/>
        </w:rPr>
        <w:t xml:space="preserve">. The HER receptor family: a rich target for therapeutic development. </w:t>
      </w:r>
      <w:r w:rsidRPr="002772D1">
        <w:rPr>
          <w:rFonts w:ascii="Book Antiqua" w:hAnsi="Book Antiqua"/>
          <w:i/>
          <w:iCs/>
        </w:rPr>
        <w:t>Int J Radiat Oncol Biol Phys</w:t>
      </w:r>
      <w:r w:rsidRPr="002772D1">
        <w:rPr>
          <w:rFonts w:ascii="Book Antiqua" w:hAnsi="Book Antiqua"/>
        </w:rPr>
        <w:t xml:space="preserve"> 2004; </w:t>
      </w:r>
      <w:r w:rsidRPr="002772D1">
        <w:rPr>
          <w:rFonts w:ascii="Book Antiqua" w:hAnsi="Book Antiqua"/>
          <w:b/>
          <w:bCs/>
        </w:rPr>
        <w:t>58</w:t>
      </w:r>
      <w:r w:rsidRPr="002772D1">
        <w:rPr>
          <w:rFonts w:ascii="Book Antiqua" w:hAnsi="Book Antiqua"/>
        </w:rPr>
        <w:t>: 932-940 [PMID: 14967453 DOI: 10.1016/j.ijrobp.2003.09.093]</w:t>
      </w:r>
    </w:p>
    <w:p w14:paraId="3E33383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35 </w:t>
      </w:r>
      <w:r w:rsidRPr="002772D1">
        <w:rPr>
          <w:rFonts w:ascii="Book Antiqua" w:hAnsi="Book Antiqua"/>
          <w:b/>
          <w:bCs/>
        </w:rPr>
        <w:t>Cooper WA</w:t>
      </w:r>
      <w:r w:rsidRPr="002772D1">
        <w:rPr>
          <w:rFonts w:ascii="Book Antiqua" w:hAnsi="Book Antiqua"/>
        </w:rPr>
        <w:t xml:space="preserve">, Lam DC, O'Toole SA, Minna JD. Molecular biology of lung cancer. </w:t>
      </w:r>
      <w:r w:rsidRPr="002772D1">
        <w:rPr>
          <w:rFonts w:ascii="Book Antiqua" w:hAnsi="Book Antiqua"/>
          <w:i/>
          <w:iCs/>
        </w:rPr>
        <w:t>J Thorac Dis</w:t>
      </w:r>
      <w:r w:rsidRPr="002772D1">
        <w:rPr>
          <w:rFonts w:ascii="Book Antiqua" w:hAnsi="Book Antiqua"/>
        </w:rPr>
        <w:t xml:space="preserve"> 2013; </w:t>
      </w:r>
      <w:r w:rsidRPr="002772D1">
        <w:rPr>
          <w:rFonts w:ascii="Book Antiqua" w:hAnsi="Book Antiqua"/>
          <w:b/>
          <w:bCs/>
        </w:rPr>
        <w:t>5 Suppl 5</w:t>
      </w:r>
      <w:r w:rsidRPr="002772D1">
        <w:rPr>
          <w:rFonts w:ascii="Book Antiqua" w:hAnsi="Book Antiqua"/>
        </w:rPr>
        <w:t>: S479-S490 [PMID: 24163741 DOI: 10.3978/j.issn.2072-1439.2013.08.03]</w:t>
      </w:r>
    </w:p>
    <w:p w14:paraId="4DFFCEDF" w14:textId="77777777" w:rsidR="000F1AEF" w:rsidRPr="002772D1" w:rsidRDefault="000F1AEF" w:rsidP="00E06D87">
      <w:pPr>
        <w:spacing w:line="360" w:lineRule="auto"/>
        <w:jc w:val="both"/>
        <w:rPr>
          <w:rFonts w:ascii="Book Antiqua" w:hAnsi="Book Antiqua"/>
        </w:rPr>
      </w:pPr>
      <w:r w:rsidRPr="002772D1">
        <w:rPr>
          <w:rFonts w:ascii="Book Antiqua" w:hAnsi="Book Antiqua"/>
          <w:lang w:val="pt-BR"/>
        </w:rPr>
        <w:t xml:space="preserve">36 </w:t>
      </w:r>
      <w:r w:rsidRPr="002772D1">
        <w:rPr>
          <w:rFonts w:ascii="Book Antiqua" w:hAnsi="Book Antiqua"/>
          <w:b/>
          <w:bCs/>
          <w:lang w:val="pt-BR"/>
        </w:rPr>
        <w:t>Rosell R</w:t>
      </w:r>
      <w:r w:rsidRPr="002772D1">
        <w:rPr>
          <w:rFonts w:ascii="Book Antiqua" w:hAnsi="Book Antiqua"/>
          <w:lang w:val="pt-BR"/>
        </w:rPr>
        <w:t xml:space="preserve">, Moran T, Queralt C, Porta R, Cardenal F, Camps C, Majem M, Lopez-Vivanco G, Isla D, Provencio M, Insa A, Massuti B, Gonzalez-Larriba JL, Paz-Ares L, Bover I, Garcia-Campelo R, Moreno MA, Catot S, Rolfo C, Reguart N, Palmero R, Sánchez JM, Bastus R, Mayo C, Bertran-Alamillo J, Molina MA, Sanchez JJ, Taron M; Spanish Lung Cancer Group. </w:t>
      </w:r>
      <w:r w:rsidRPr="002772D1">
        <w:rPr>
          <w:rFonts w:ascii="Book Antiqua" w:hAnsi="Book Antiqua"/>
        </w:rPr>
        <w:t xml:space="preserve">Screening for epidermal growth factor receptor mutations in lung cancer. </w:t>
      </w:r>
      <w:r w:rsidRPr="002772D1">
        <w:rPr>
          <w:rFonts w:ascii="Book Antiqua" w:hAnsi="Book Antiqua"/>
          <w:i/>
          <w:iCs/>
        </w:rPr>
        <w:t>N Engl J Med</w:t>
      </w:r>
      <w:r w:rsidRPr="002772D1">
        <w:rPr>
          <w:rFonts w:ascii="Book Antiqua" w:hAnsi="Book Antiqua"/>
        </w:rPr>
        <w:t xml:space="preserve"> 2009; </w:t>
      </w:r>
      <w:r w:rsidRPr="002772D1">
        <w:rPr>
          <w:rFonts w:ascii="Book Antiqua" w:hAnsi="Book Antiqua"/>
          <w:b/>
          <w:bCs/>
        </w:rPr>
        <w:t>361</w:t>
      </w:r>
      <w:r w:rsidRPr="002772D1">
        <w:rPr>
          <w:rFonts w:ascii="Book Antiqua" w:hAnsi="Book Antiqua"/>
        </w:rPr>
        <w:t>: 958-967 [PMID: 19692684 DOI: 10.1056/NEJMoa0904554]</w:t>
      </w:r>
    </w:p>
    <w:p w14:paraId="69B032C0"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37 </w:t>
      </w:r>
      <w:r w:rsidRPr="002772D1">
        <w:rPr>
          <w:rFonts w:ascii="Book Antiqua" w:hAnsi="Book Antiqua"/>
          <w:b/>
          <w:bCs/>
        </w:rPr>
        <w:t>Leonetti A</w:t>
      </w:r>
      <w:r w:rsidRPr="002772D1">
        <w:rPr>
          <w:rFonts w:ascii="Book Antiqua" w:hAnsi="Book Antiqua"/>
        </w:rPr>
        <w:t xml:space="preserve">, Sharma S, Minari R, Perego P, Giovannetti E, Tiseo M. Resistance mechanisms to osimertinib in EGFR-mutated non-small cell lung cancer. </w:t>
      </w:r>
      <w:r w:rsidRPr="002772D1">
        <w:rPr>
          <w:rFonts w:ascii="Book Antiqua" w:hAnsi="Book Antiqua"/>
          <w:i/>
          <w:iCs/>
        </w:rPr>
        <w:t>Br J Cancer</w:t>
      </w:r>
      <w:r w:rsidRPr="002772D1">
        <w:rPr>
          <w:rFonts w:ascii="Book Antiqua" w:hAnsi="Book Antiqua"/>
        </w:rPr>
        <w:t xml:space="preserve"> 2019; </w:t>
      </w:r>
      <w:r w:rsidRPr="002772D1">
        <w:rPr>
          <w:rFonts w:ascii="Book Antiqua" w:hAnsi="Book Antiqua"/>
          <w:b/>
          <w:bCs/>
        </w:rPr>
        <w:t>121</w:t>
      </w:r>
      <w:r w:rsidRPr="002772D1">
        <w:rPr>
          <w:rFonts w:ascii="Book Antiqua" w:hAnsi="Book Antiqua"/>
        </w:rPr>
        <w:t>: 725-737 [PMID: 31564718 DOI: 10.1038/s41416-019-0573-8]</w:t>
      </w:r>
    </w:p>
    <w:p w14:paraId="2797E59D" w14:textId="06B4DEED"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38 </w:t>
      </w:r>
      <w:r w:rsidRPr="002772D1">
        <w:rPr>
          <w:rFonts w:ascii="Book Antiqua" w:hAnsi="Book Antiqua"/>
          <w:b/>
          <w:bCs/>
        </w:rPr>
        <w:t>Wu YL</w:t>
      </w:r>
      <w:r w:rsidRPr="002772D1">
        <w:rPr>
          <w:rFonts w:ascii="Book Antiqua" w:hAnsi="Book Antiqua"/>
        </w:rPr>
        <w:t xml:space="preserve">, Planchard D, Lu S, Sun H, Yamamoto N, Kim DW, Tan DSW, Yang JC, Azrif M, Mitsudomi T, Park K, Soo RA, Chang JWC, Alip A, Peters S, Douillard JY. Pan-Asian adapted Clinical Practice Guidelines for the management of patients with metastatic non-small-cell lung cancer: a CSCO-ESMO initiative endorsed by JSMO, KSMO, MOS, SSO and TOS. </w:t>
      </w:r>
      <w:r w:rsidRPr="002772D1">
        <w:rPr>
          <w:rFonts w:ascii="Book Antiqua" w:hAnsi="Book Antiqua"/>
          <w:i/>
          <w:iCs/>
        </w:rPr>
        <w:t>Ann Oncol</w:t>
      </w:r>
      <w:r w:rsidRPr="002772D1">
        <w:rPr>
          <w:rFonts w:ascii="Book Antiqua" w:hAnsi="Book Antiqua"/>
        </w:rPr>
        <w:t xml:space="preserve"> 2019; </w:t>
      </w:r>
      <w:r w:rsidRPr="002772D1">
        <w:rPr>
          <w:rFonts w:ascii="Book Antiqua" w:hAnsi="Book Antiqua"/>
          <w:b/>
          <w:bCs/>
        </w:rPr>
        <w:t>30</w:t>
      </w:r>
      <w:r w:rsidRPr="002772D1">
        <w:rPr>
          <w:rFonts w:ascii="Book Antiqua" w:hAnsi="Book Antiqua"/>
        </w:rPr>
        <w:t>: 171-210 [PMID: 30596843 DOI: 10.1093/annonc/mdy554]</w:t>
      </w:r>
    </w:p>
    <w:p w14:paraId="0950872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39 </w:t>
      </w:r>
      <w:r w:rsidRPr="002772D1">
        <w:rPr>
          <w:rFonts w:ascii="Book Antiqua" w:hAnsi="Book Antiqua"/>
          <w:b/>
          <w:bCs/>
        </w:rPr>
        <w:t>Lee HH</w:t>
      </w:r>
      <w:r w:rsidRPr="002772D1">
        <w:rPr>
          <w:rFonts w:ascii="Book Antiqua" w:hAnsi="Book Antiqua"/>
        </w:rPr>
        <w:t xml:space="preserve">, Wang YN, Xia W, Chen CH, Rau KM, Ye L, Wei Y, Chou CK, Wang SC, Yan M, Tu CY, Hsia TC, Chiang SF, Chao KSC, Wistuba II, Hsu JL, Hortobagyi GN, Hung MC. Removal of N-Linked Glycosylation Enhances PD-L1 Detection and Predicts Anti-PD-1/PD-L1 Therapeutic Efficacy. </w:t>
      </w:r>
      <w:r w:rsidRPr="002772D1">
        <w:rPr>
          <w:rFonts w:ascii="Book Antiqua" w:hAnsi="Book Antiqua"/>
          <w:i/>
          <w:iCs/>
        </w:rPr>
        <w:t>Cancer Cell</w:t>
      </w:r>
      <w:r w:rsidRPr="002772D1">
        <w:rPr>
          <w:rFonts w:ascii="Book Antiqua" w:hAnsi="Book Antiqua"/>
        </w:rPr>
        <w:t xml:space="preserve"> 2019; </w:t>
      </w:r>
      <w:r w:rsidRPr="002772D1">
        <w:rPr>
          <w:rFonts w:ascii="Book Antiqua" w:hAnsi="Book Antiqua"/>
          <w:b/>
          <w:bCs/>
        </w:rPr>
        <w:t>36</w:t>
      </w:r>
      <w:r w:rsidRPr="002772D1">
        <w:rPr>
          <w:rFonts w:ascii="Book Antiqua" w:hAnsi="Book Antiqua"/>
        </w:rPr>
        <w:t>: 168-178.e4 [PMID: 31327656 DOI: 10.1016/j.ccell.2019.06.008]</w:t>
      </w:r>
    </w:p>
    <w:p w14:paraId="715E028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40 </w:t>
      </w:r>
      <w:r w:rsidRPr="002772D1">
        <w:rPr>
          <w:rFonts w:ascii="Book Antiqua" w:hAnsi="Book Antiqua"/>
          <w:b/>
          <w:bCs/>
        </w:rPr>
        <w:t>Lee CK</w:t>
      </w:r>
      <w:r w:rsidRPr="002772D1">
        <w:rPr>
          <w:rFonts w:ascii="Book Antiqua" w:hAnsi="Book Antiqua"/>
        </w:rPr>
        <w:t xml:space="preserve">, Davies L, Wu YL, Mitsudomi T, Inoue A, Rosell R, Zhou C, Nakagawa K, Thongprasert S, Fukuoka M, Lord S, Marschner I, Tu YK, Gralla RJ, Gebski V, Mok T, Yang JC. Gefitinib or Erlotinib vs Chemotherapy for EGFR Mutation-Positive Lung Cancer: Individual Patient Data Meta-Analysis of Overall Survival. </w:t>
      </w:r>
      <w:r w:rsidRPr="002772D1">
        <w:rPr>
          <w:rFonts w:ascii="Book Antiqua" w:hAnsi="Book Antiqua"/>
          <w:i/>
          <w:iCs/>
        </w:rPr>
        <w:t>J Natl Cancer Inst</w:t>
      </w:r>
      <w:r w:rsidRPr="002772D1">
        <w:rPr>
          <w:rFonts w:ascii="Book Antiqua" w:hAnsi="Book Antiqua"/>
        </w:rPr>
        <w:t xml:space="preserve"> 2017; </w:t>
      </w:r>
      <w:r w:rsidRPr="002772D1">
        <w:rPr>
          <w:rFonts w:ascii="Book Antiqua" w:hAnsi="Book Antiqua"/>
          <w:b/>
          <w:bCs/>
        </w:rPr>
        <w:t>109</w:t>
      </w:r>
      <w:r w:rsidRPr="002772D1">
        <w:rPr>
          <w:rFonts w:ascii="Book Antiqua" w:hAnsi="Book Antiqua"/>
        </w:rPr>
        <w:t xml:space="preserve"> [PMID: 28376144 DOI: 10.1093/jnci/djw279]</w:t>
      </w:r>
    </w:p>
    <w:p w14:paraId="3E944F62"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41 </w:t>
      </w:r>
      <w:r w:rsidRPr="002772D1">
        <w:rPr>
          <w:rFonts w:ascii="Book Antiqua" w:hAnsi="Book Antiqua"/>
          <w:b/>
          <w:bCs/>
        </w:rPr>
        <w:t>Guo Y</w:t>
      </w:r>
      <w:r w:rsidRPr="002772D1">
        <w:rPr>
          <w:rFonts w:ascii="Book Antiqua" w:hAnsi="Book Antiqua"/>
        </w:rPr>
        <w:t xml:space="preserve">, Cao R, Zhang X, Huang L, Sun L, Zhao J, Ma J, Han C. Recent Progress in Rare Oncogenic Drivers and Targeted Therapy </w:t>
      </w:r>
      <w:proofErr w:type="gramStart"/>
      <w:r w:rsidRPr="002772D1">
        <w:rPr>
          <w:rFonts w:ascii="Book Antiqua" w:hAnsi="Book Antiqua"/>
        </w:rPr>
        <w:t>For</w:t>
      </w:r>
      <w:proofErr w:type="gramEnd"/>
      <w:r w:rsidRPr="002772D1">
        <w:rPr>
          <w:rFonts w:ascii="Book Antiqua" w:hAnsi="Book Antiqua"/>
        </w:rPr>
        <w:t xml:space="preserve"> Non-Small Cell Lung Cancer. </w:t>
      </w:r>
      <w:r w:rsidRPr="002772D1">
        <w:rPr>
          <w:rFonts w:ascii="Book Antiqua" w:hAnsi="Book Antiqua"/>
          <w:i/>
          <w:iCs/>
        </w:rPr>
        <w:t>Onco Targets Ther</w:t>
      </w:r>
      <w:r w:rsidRPr="002772D1">
        <w:rPr>
          <w:rFonts w:ascii="Book Antiqua" w:hAnsi="Book Antiqua"/>
        </w:rPr>
        <w:t xml:space="preserve"> 2019; </w:t>
      </w:r>
      <w:r w:rsidRPr="002772D1">
        <w:rPr>
          <w:rFonts w:ascii="Book Antiqua" w:hAnsi="Book Antiqua"/>
          <w:b/>
          <w:bCs/>
        </w:rPr>
        <w:t>12</w:t>
      </w:r>
      <w:r w:rsidRPr="002772D1">
        <w:rPr>
          <w:rFonts w:ascii="Book Antiqua" w:hAnsi="Book Antiqua"/>
        </w:rPr>
        <w:t>: 10343-10360 [PMID: 31819518 DOI: 10.2147/OTT.S230309]</w:t>
      </w:r>
    </w:p>
    <w:p w14:paraId="5AB64821"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42 </w:t>
      </w:r>
      <w:r w:rsidRPr="002772D1">
        <w:rPr>
          <w:rFonts w:ascii="Book Antiqua" w:hAnsi="Book Antiqua"/>
          <w:b/>
          <w:bCs/>
        </w:rPr>
        <w:t>Recondo G</w:t>
      </w:r>
      <w:r w:rsidRPr="002772D1">
        <w:rPr>
          <w:rFonts w:ascii="Book Antiqua" w:hAnsi="Book Antiqua"/>
        </w:rPr>
        <w:t xml:space="preserve">, Facchinetti F, Olaussen KA, Besse B, Friboulet L. Making the first move in EGFR-driven or ALK-driven NSCLC: first-generation or next-generation TKI? </w:t>
      </w:r>
      <w:r w:rsidRPr="002772D1">
        <w:rPr>
          <w:rFonts w:ascii="Book Antiqua" w:hAnsi="Book Antiqua"/>
          <w:i/>
          <w:iCs/>
        </w:rPr>
        <w:t>Nat Rev Clin Oncol</w:t>
      </w:r>
      <w:r w:rsidRPr="002772D1">
        <w:rPr>
          <w:rFonts w:ascii="Book Antiqua" w:hAnsi="Book Antiqua"/>
        </w:rPr>
        <w:t xml:space="preserve"> 2018; </w:t>
      </w:r>
      <w:r w:rsidRPr="002772D1">
        <w:rPr>
          <w:rFonts w:ascii="Book Antiqua" w:hAnsi="Book Antiqua"/>
          <w:b/>
          <w:bCs/>
        </w:rPr>
        <w:t>15</w:t>
      </w:r>
      <w:r w:rsidRPr="002772D1">
        <w:rPr>
          <w:rFonts w:ascii="Book Antiqua" w:hAnsi="Book Antiqua"/>
        </w:rPr>
        <w:t>: 694-708 [PMID: 30108370 DOI: 10.1038/s41571-018-0081-4]</w:t>
      </w:r>
    </w:p>
    <w:p w14:paraId="1DF9F88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43 </w:t>
      </w:r>
      <w:r w:rsidRPr="002772D1">
        <w:rPr>
          <w:rFonts w:ascii="Book Antiqua" w:hAnsi="Book Antiqua"/>
          <w:b/>
          <w:bCs/>
        </w:rPr>
        <w:t>Soria JC</w:t>
      </w:r>
      <w:r w:rsidRPr="002772D1">
        <w:rPr>
          <w:rFonts w:ascii="Book Antiqua" w:hAnsi="Book Antiqua"/>
        </w:rPr>
        <w:t xml:space="preserve">, Ohe Y, Vansteenkiste J, Reungwetwattana T, Chewaskulyong B, Lee KH, Dechaphunkul A, Imamura F, Nogami N, Kurata T, Okamoto I, Zhou C, Cho BC, Cheng Y, Cho EK, Voon PJ, Planchard D, Su WC, Gray JE, Lee SM, Hodge R, Marotti M, Rukazenkov Y, Ramalingam SS; FLAURA Investigators. Osimertinib in Untreated EGFR-Mutated Advanced Non-Small-Cell Lung Cancer. </w:t>
      </w:r>
      <w:r w:rsidRPr="002772D1">
        <w:rPr>
          <w:rFonts w:ascii="Book Antiqua" w:hAnsi="Book Antiqua"/>
          <w:i/>
          <w:iCs/>
        </w:rPr>
        <w:t>N Engl J Med</w:t>
      </w:r>
      <w:r w:rsidRPr="002772D1">
        <w:rPr>
          <w:rFonts w:ascii="Book Antiqua" w:hAnsi="Book Antiqua"/>
        </w:rPr>
        <w:t xml:space="preserve"> 2018; </w:t>
      </w:r>
      <w:r w:rsidRPr="002772D1">
        <w:rPr>
          <w:rFonts w:ascii="Book Antiqua" w:hAnsi="Book Antiqua"/>
          <w:b/>
          <w:bCs/>
        </w:rPr>
        <w:t>378</w:t>
      </w:r>
      <w:r w:rsidRPr="002772D1">
        <w:rPr>
          <w:rFonts w:ascii="Book Antiqua" w:hAnsi="Book Antiqua"/>
        </w:rPr>
        <w:t>: 113-125 [PMID: 29151359 DOI: 10.1056/NEJMoa1713137]</w:t>
      </w:r>
    </w:p>
    <w:p w14:paraId="19C0F58B"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44 </w:t>
      </w:r>
      <w:r w:rsidRPr="002772D1">
        <w:rPr>
          <w:rFonts w:ascii="Book Antiqua" w:hAnsi="Book Antiqua"/>
          <w:b/>
          <w:bCs/>
        </w:rPr>
        <w:t>Goss G</w:t>
      </w:r>
      <w:r w:rsidRPr="002772D1">
        <w:rPr>
          <w:rFonts w:ascii="Book Antiqua" w:hAnsi="Book Antiqua"/>
        </w:rPr>
        <w:t xml:space="preserve">, Tsai CM, Shepherd FA, Bazhenova L, Lee JS, Chang GC, Crino L, Satouchi M, Chu Q, Hida T, Han JY, Juan O, Dunphy F, Nishio M, Kang JH, Majem M, Mann H, Cantarini M, Ghiorghiu S, Mitsudomi T. Osimertinib for pretreated EGFR Thr790Met-positive advanced non-small-cell lung cancer (AURA2): a multicentre, open-label, single-arm, phase 2 study. </w:t>
      </w:r>
      <w:r w:rsidRPr="002772D1">
        <w:rPr>
          <w:rFonts w:ascii="Book Antiqua" w:hAnsi="Book Antiqua"/>
          <w:i/>
          <w:iCs/>
        </w:rPr>
        <w:t>Lancet Oncol</w:t>
      </w:r>
      <w:r w:rsidRPr="002772D1">
        <w:rPr>
          <w:rFonts w:ascii="Book Antiqua" w:hAnsi="Book Antiqua"/>
        </w:rPr>
        <w:t xml:space="preserve"> 2016; </w:t>
      </w:r>
      <w:r w:rsidRPr="002772D1">
        <w:rPr>
          <w:rFonts w:ascii="Book Antiqua" w:hAnsi="Book Antiqua"/>
          <w:b/>
          <w:bCs/>
        </w:rPr>
        <w:t>17</w:t>
      </w:r>
      <w:r w:rsidRPr="002772D1">
        <w:rPr>
          <w:rFonts w:ascii="Book Antiqua" w:hAnsi="Book Antiqua"/>
        </w:rPr>
        <w:t>: 1643-1652 [PMID: 27751847 DOI: 10.1016/S1470-2045(16)30508-3]</w:t>
      </w:r>
    </w:p>
    <w:p w14:paraId="1A989171"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45 </w:t>
      </w:r>
      <w:r w:rsidRPr="002772D1">
        <w:rPr>
          <w:rFonts w:ascii="Book Antiqua" w:hAnsi="Book Antiqua"/>
          <w:b/>
          <w:bCs/>
        </w:rPr>
        <w:t>Skrzypski M</w:t>
      </w:r>
      <w:r w:rsidRPr="002772D1">
        <w:rPr>
          <w:rFonts w:ascii="Book Antiqua" w:hAnsi="Book Antiqua"/>
        </w:rPr>
        <w:t xml:space="preserve">, Szymanowska-Narloch A, Dziadziuszko R. Osimertinib - effective treatment of NSCLC with activating </w:t>
      </w:r>
      <w:r w:rsidRPr="002772D1">
        <w:rPr>
          <w:rFonts w:ascii="Book Antiqua" w:hAnsi="Book Antiqua"/>
          <w:i/>
          <w:iCs/>
        </w:rPr>
        <w:t>EGFR</w:t>
      </w:r>
      <w:r w:rsidRPr="002772D1">
        <w:rPr>
          <w:rFonts w:ascii="Book Antiqua" w:hAnsi="Book Antiqua"/>
        </w:rPr>
        <w:t xml:space="preserve"> mutations after progression on EGFR tyrosine kinase inhibitors. </w:t>
      </w:r>
      <w:r w:rsidRPr="002772D1">
        <w:rPr>
          <w:rFonts w:ascii="Book Antiqua" w:hAnsi="Book Antiqua"/>
          <w:i/>
          <w:iCs/>
        </w:rPr>
        <w:t>Contemp Oncol (Pozn)</w:t>
      </w:r>
      <w:r w:rsidRPr="002772D1">
        <w:rPr>
          <w:rFonts w:ascii="Book Antiqua" w:hAnsi="Book Antiqua"/>
        </w:rPr>
        <w:t xml:space="preserve"> 2017; </w:t>
      </w:r>
      <w:r w:rsidRPr="002772D1">
        <w:rPr>
          <w:rFonts w:ascii="Book Antiqua" w:hAnsi="Book Antiqua"/>
          <w:b/>
          <w:bCs/>
        </w:rPr>
        <w:t>21</w:t>
      </w:r>
      <w:r w:rsidRPr="002772D1">
        <w:rPr>
          <w:rFonts w:ascii="Book Antiqua" w:hAnsi="Book Antiqua"/>
        </w:rPr>
        <w:t>: 254-258 [PMID: 29180936 DOI: 10.5114/wo.2017.70116]</w:t>
      </w:r>
    </w:p>
    <w:p w14:paraId="6A105B8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46 </w:t>
      </w:r>
      <w:r w:rsidRPr="002772D1">
        <w:rPr>
          <w:rFonts w:ascii="Book Antiqua" w:hAnsi="Book Antiqua"/>
          <w:b/>
          <w:bCs/>
        </w:rPr>
        <w:t>Ramalingam SS</w:t>
      </w:r>
      <w:r w:rsidRPr="002772D1">
        <w:rPr>
          <w:rFonts w:ascii="Book Antiqua" w:hAnsi="Book Antiqua"/>
        </w:rPr>
        <w:t xml:space="preserve">, Vansteenkiste J, Planchard D, Cho BC, Gray JE, Ohe Y, Zhou C, Reungwetwattana T, Cheng Y, Chewaskulyong B, Shah R, Cobo M, Lee KH, Cheema P, Tiseo M, John T, Lin MC, Imamura F, Kurata T, Todd A, Hodge R, Saggese M, Rukazenkov Y, Soria JC; FLAURA Investigators. Overall Survival with Osimertinib in Untreated, </w:t>
      </w:r>
      <w:r w:rsidRPr="002772D1">
        <w:rPr>
          <w:rFonts w:ascii="Book Antiqua" w:hAnsi="Book Antiqua"/>
          <w:i/>
          <w:iCs/>
        </w:rPr>
        <w:t>EGFR</w:t>
      </w:r>
      <w:r w:rsidRPr="002772D1">
        <w:rPr>
          <w:rFonts w:ascii="Book Antiqua" w:hAnsi="Book Antiqua"/>
        </w:rPr>
        <w:t xml:space="preserve">-Mutated Advanced NSCLC. </w:t>
      </w:r>
      <w:r w:rsidRPr="002772D1">
        <w:rPr>
          <w:rFonts w:ascii="Book Antiqua" w:hAnsi="Book Antiqua"/>
          <w:i/>
          <w:iCs/>
        </w:rPr>
        <w:t>N Engl J Med</w:t>
      </w:r>
      <w:r w:rsidRPr="002772D1">
        <w:rPr>
          <w:rFonts w:ascii="Book Antiqua" w:hAnsi="Book Antiqua"/>
        </w:rPr>
        <w:t xml:space="preserve"> 2020; </w:t>
      </w:r>
      <w:r w:rsidRPr="002772D1">
        <w:rPr>
          <w:rFonts w:ascii="Book Antiqua" w:hAnsi="Book Antiqua"/>
          <w:b/>
          <w:bCs/>
        </w:rPr>
        <w:t>382</w:t>
      </w:r>
      <w:r w:rsidRPr="002772D1">
        <w:rPr>
          <w:rFonts w:ascii="Book Antiqua" w:hAnsi="Book Antiqua"/>
        </w:rPr>
        <w:t>: 41-50 [PMID: 31751012 DOI: 10.1056/NEJMoa1913662]</w:t>
      </w:r>
    </w:p>
    <w:p w14:paraId="1093AB07" w14:textId="77777777" w:rsidR="000F1AEF" w:rsidRPr="002772D1" w:rsidRDefault="000F1AEF" w:rsidP="00E06D87">
      <w:pPr>
        <w:spacing w:line="360" w:lineRule="auto"/>
        <w:jc w:val="both"/>
        <w:rPr>
          <w:rFonts w:ascii="Book Antiqua" w:hAnsi="Book Antiqua"/>
          <w:lang w:val="fr-CH"/>
        </w:rPr>
      </w:pPr>
      <w:r w:rsidRPr="002772D1">
        <w:rPr>
          <w:rFonts w:ascii="Book Antiqua" w:hAnsi="Book Antiqua"/>
        </w:rPr>
        <w:t xml:space="preserve">47 </w:t>
      </w:r>
      <w:r w:rsidRPr="002772D1">
        <w:rPr>
          <w:rFonts w:ascii="Book Antiqua" w:hAnsi="Book Antiqua"/>
          <w:b/>
          <w:bCs/>
        </w:rPr>
        <w:t>Wang S</w:t>
      </w:r>
      <w:r w:rsidRPr="002772D1">
        <w:rPr>
          <w:rFonts w:ascii="Book Antiqua" w:hAnsi="Book Antiqua"/>
        </w:rPr>
        <w:t xml:space="preserve">, Yang Z, Wang Z. Are VEGFR-TKIs effective or safe for patients with advanced non-small cell lung cancer? </w:t>
      </w:r>
      <w:r w:rsidRPr="002772D1">
        <w:rPr>
          <w:rFonts w:ascii="Book Antiqua" w:hAnsi="Book Antiqua"/>
          <w:i/>
          <w:iCs/>
          <w:lang w:val="fr-CH"/>
        </w:rPr>
        <w:t>Oncotarget</w:t>
      </w:r>
      <w:r w:rsidRPr="002772D1">
        <w:rPr>
          <w:rFonts w:ascii="Book Antiqua" w:hAnsi="Book Antiqua"/>
          <w:lang w:val="fr-CH"/>
        </w:rPr>
        <w:t xml:space="preserve"> 2015; </w:t>
      </w:r>
      <w:r w:rsidRPr="002772D1">
        <w:rPr>
          <w:rFonts w:ascii="Book Antiqua" w:hAnsi="Book Antiqua"/>
          <w:b/>
          <w:bCs/>
          <w:lang w:val="fr-CH"/>
        </w:rPr>
        <w:t>6</w:t>
      </w:r>
      <w:r w:rsidRPr="002772D1">
        <w:rPr>
          <w:rFonts w:ascii="Book Antiqua" w:hAnsi="Book Antiqua"/>
          <w:lang w:val="fr-CH"/>
        </w:rPr>
        <w:t>: 18206-18223 [PMID: 26156021 DOI: 10.18632/oncotarget.4524]</w:t>
      </w:r>
    </w:p>
    <w:p w14:paraId="0C14D761" w14:textId="77777777" w:rsidR="000F1AEF" w:rsidRPr="002772D1" w:rsidRDefault="000F1AEF" w:rsidP="00E06D87">
      <w:pPr>
        <w:spacing w:line="360" w:lineRule="auto"/>
        <w:jc w:val="both"/>
        <w:rPr>
          <w:rFonts w:ascii="Book Antiqua" w:hAnsi="Book Antiqua"/>
        </w:rPr>
      </w:pPr>
      <w:r w:rsidRPr="002772D1">
        <w:rPr>
          <w:rFonts w:ascii="Book Antiqua" w:hAnsi="Book Antiqua"/>
          <w:lang w:val="fr-CH"/>
        </w:rPr>
        <w:t xml:space="preserve">48 </w:t>
      </w:r>
      <w:r w:rsidRPr="002772D1">
        <w:rPr>
          <w:rFonts w:ascii="Book Antiqua" w:hAnsi="Book Antiqua"/>
          <w:b/>
          <w:bCs/>
          <w:lang w:val="fr-CH"/>
        </w:rPr>
        <w:t>Drilon A</w:t>
      </w:r>
      <w:r w:rsidRPr="002772D1">
        <w:rPr>
          <w:rFonts w:ascii="Book Antiqua" w:hAnsi="Book Antiqua"/>
          <w:lang w:val="fr-CH"/>
        </w:rPr>
        <w:t xml:space="preserve">, Cappuzzo F, Ou SI, Camidge DR. </w:t>
      </w:r>
      <w:r w:rsidRPr="002772D1">
        <w:rPr>
          <w:rFonts w:ascii="Book Antiqua" w:hAnsi="Book Antiqua"/>
        </w:rPr>
        <w:t xml:space="preserve">Targeting MET in Lung Cancer: Will Expectations Finally Be MET? </w:t>
      </w:r>
      <w:r w:rsidRPr="002772D1">
        <w:rPr>
          <w:rFonts w:ascii="Book Antiqua" w:hAnsi="Book Antiqua"/>
          <w:i/>
          <w:iCs/>
        </w:rPr>
        <w:t>J Thorac Oncol</w:t>
      </w:r>
      <w:r w:rsidRPr="002772D1">
        <w:rPr>
          <w:rFonts w:ascii="Book Antiqua" w:hAnsi="Book Antiqua"/>
        </w:rPr>
        <w:t xml:space="preserve"> 2017; </w:t>
      </w:r>
      <w:r w:rsidRPr="002772D1">
        <w:rPr>
          <w:rFonts w:ascii="Book Antiqua" w:hAnsi="Book Antiqua"/>
          <w:b/>
          <w:bCs/>
        </w:rPr>
        <w:t>12</w:t>
      </w:r>
      <w:r w:rsidRPr="002772D1">
        <w:rPr>
          <w:rFonts w:ascii="Book Antiqua" w:hAnsi="Book Antiqua"/>
        </w:rPr>
        <w:t>: 15-26 [PMID: 27794501 DOI: 10.1016/j.jtho.2016.10.014]</w:t>
      </w:r>
    </w:p>
    <w:p w14:paraId="169761A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49 </w:t>
      </w:r>
      <w:r w:rsidRPr="002772D1">
        <w:rPr>
          <w:rFonts w:ascii="Book Antiqua" w:hAnsi="Book Antiqua"/>
          <w:b/>
          <w:bCs/>
        </w:rPr>
        <w:t>Mazieres J</w:t>
      </w:r>
      <w:r w:rsidRPr="002772D1">
        <w:rPr>
          <w:rFonts w:ascii="Book Antiqua" w:hAnsi="Book Antiqua"/>
        </w:rPr>
        <w:t xml:space="preserve">, Drilon A, Lusque A, Mhanna L, Cortot AB, Mezquita L, Thai AA, Mascaux C, Couraud S, Veillon R, Van den Heuvel M, Neal J, Peled N, Früh M, Ng TL, Gounant V, Popat S, Diebold J, Sabari J, Zhu VW, Rothschild SI, Bironzo P, Martinez-Marti A, Curioni-Fontecedro A, Rosell R, Lattuca-Truc M, Wiesweg M, Besse B, Solomon B, Barlesi F, Schouten RD, Wakelee H, Camidge DR, Zalcman G, Novello S, Ou SI, Milia J, Gautschi O. Immune checkpoint inhibitors for patients with advanced </w:t>
      </w:r>
      <w:r w:rsidRPr="002772D1">
        <w:rPr>
          <w:rFonts w:ascii="Book Antiqua" w:hAnsi="Book Antiqua"/>
        </w:rPr>
        <w:lastRenderedPageBreak/>
        <w:t xml:space="preserve">lung cancer and oncogenic driver alterations: results from the IMMUNOTARGET registry. </w:t>
      </w:r>
      <w:r w:rsidRPr="002772D1">
        <w:rPr>
          <w:rFonts w:ascii="Book Antiqua" w:hAnsi="Book Antiqua"/>
          <w:i/>
          <w:iCs/>
        </w:rPr>
        <w:t>Ann Oncol</w:t>
      </w:r>
      <w:r w:rsidRPr="002772D1">
        <w:rPr>
          <w:rFonts w:ascii="Book Antiqua" w:hAnsi="Book Antiqua"/>
        </w:rPr>
        <w:t xml:space="preserve"> 2019; </w:t>
      </w:r>
      <w:r w:rsidRPr="002772D1">
        <w:rPr>
          <w:rFonts w:ascii="Book Antiqua" w:hAnsi="Book Antiqua"/>
          <w:b/>
          <w:bCs/>
        </w:rPr>
        <w:t>30</w:t>
      </w:r>
      <w:r w:rsidRPr="002772D1">
        <w:rPr>
          <w:rFonts w:ascii="Book Antiqua" w:hAnsi="Book Antiqua"/>
        </w:rPr>
        <w:t>: 1321-1328 [PMID: 31125062 DOI: 10.1093/annonc/mdz167]</w:t>
      </w:r>
    </w:p>
    <w:p w14:paraId="488B27F4" w14:textId="64A65E3A" w:rsidR="000F1AEF" w:rsidRPr="002772D1" w:rsidRDefault="000F1AEF" w:rsidP="00E06D87">
      <w:pPr>
        <w:spacing w:line="360" w:lineRule="auto"/>
        <w:jc w:val="both"/>
        <w:rPr>
          <w:rFonts w:ascii="Book Antiqua" w:hAnsi="Book Antiqua"/>
          <w:lang w:eastAsia="zh-CN"/>
        </w:rPr>
      </w:pPr>
      <w:r w:rsidRPr="002772D1">
        <w:rPr>
          <w:rFonts w:ascii="Book Antiqua" w:hAnsi="Book Antiqua"/>
        </w:rPr>
        <w:t xml:space="preserve">50 </w:t>
      </w:r>
      <w:r w:rsidRPr="002772D1">
        <w:rPr>
          <w:rFonts w:ascii="Book Antiqua" w:hAnsi="Book Antiqua"/>
          <w:b/>
          <w:bCs/>
        </w:rPr>
        <w:t>Camidge DR</w:t>
      </w:r>
      <w:r w:rsidRPr="002772D1">
        <w:rPr>
          <w:rFonts w:ascii="Book Antiqua" w:hAnsi="Book Antiqua"/>
        </w:rPr>
        <w:t xml:space="preserve">, Ou S-HI, Shapiro G. Efficacy and safety of crizotinib in patients with advanced c-MET-amplified non-small cell lung cancer (NSCLC). </w:t>
      </w:r>
      <w:r w:rsidRPr="002772D1">
        <w:rPr>
          <w:rFonts w:ascii="Book Antiqua" w:hAnsi="Book Antiqua"/>
          <w:i/>
          <w:iCs/>
        </w:rPr>
        <w:t xml:space="preserve">ASCO </w:t>
      </w:r>
      <w:r w:rsidRPr="002772D1">
        <w:rPr>
          <w:rFonts w:ascii="Book Antiqua" w:hAnsi="Book Antiqua"/>
        </w:rPr>
        <w:t>2014</w:t>
      </w:r>
      <w:r w:rsidR="00425A4E" w:rsidRPr="002772D1">
        <w:rPr>
          <w:rFonts w:ascii="Book Antiqua" w:hAnsi="Book Antiqua" w:hint="eastAsia"/>
          <w:lang w:eastAsia="zh-CN"/>
        </w:rPr>
        <w:t xml:space="preserve"> [DOI: </w:t>
      </w:r>
      <w:r w:rsidR="00425A4E" w:rsidRPr="002772D1">
        <w:rPr>
          <w:rFonts w:ascii="Book Antiqua" w:hAnsi="Book Antiqua"/>
          <w:lang w:eastAsia="zh-CN"/>
        </w:rPr>
        <w:t>10.1200/jco.2014.32.15_suppl.8001</w:t>
      </w:r>
      <w:r w:rsidR="00425A4E" w:rsidRPr="002772D1">
        <w:rPr>
          <w:rFonts w:ascii="Book Antiqua" w:hAnsi="Book Antiqua" w:hint="eastAsia"/>
          <w:lang w:eastAsia="zh-CN"/>
        </w:rPr>
        <w:t>]</w:t>
      </w:r>
    </w:p>
    <w:p w14:paraId="1D888A0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51 </w:t>
      </w:r>
      <w:r w:rsidRPr="002772D1">
        <w:rPr>
          <w:rFonts w:ascii="Book Antiqua" w:hAnsi="Book Antiqua"/>
          <w:b/>
          <w:bCs/>
        </w:rPr>
        <w:t>Paik PK</w:t>
      </w:r>
      <w:r w:rsidRPr="002772D1">
        <w:rPr>
          <w:rFonts w:ascii="Book Antiqua" w:hAnsi="Book Antiqua"/>
        </w:rPr>
        <w:t xml:space="preserve">, Felip E, Veillon R, Sakai H, Cortot AB, Garassino MC, Mazieres J, Viteri S, Senellart H, Van Meerbeeck J, Raskin J, Reinmuth N, Conte P, Kowalski D, Cho BC, Patel JD, Horn L, Griesinger F, Han JY, Kim YC, Chang GC, Tsai CL, Yang JC, Chen YM, Smit EF, van der Wekken AJ, Kato T, Juraeva D, Stroh C, Bruns R, Straub J, Johne A, Scheele J, Heymach JV, Le X. Tepotinib in Non-Small-Cell Lung Cancer with </w:t>
      </w:r>
      <w:r w:rsidRPr="002772D1">
        <w:rPr>
          <w:rFonts w:ascii="Book Antiqua" w:hAnsi="Book Antiqua"/>
          <w:i/>
          <w:iCs/>
        </w:rPr>
        <w:t>MET</w:t>
      </w:r>
      <w:r w:rsidRPr="002772D1">
        <w:rPr>
          <w:rFonts w:ascii="Book Antiqua" w:hAnsi="Book Antiqua"/>
        </w:rPr>
        <w:t xml:space="preserve"> Exon 14 Skipping Mutations. </w:t>
      </w:r>
      <w:r w:rsidRPr="002772D1">
        <w:rPr>
          <w:rFonts w:ascii="Book Antiqua" w:hAnsi="Book Antiqua"/>
          <w:i/>
          <w:iCs/>
        </w:rPr>
        <w:t>N Engl J Med</w:t>
      </w:r>
      <w:r w:rsidRPr="002772D1">
        <w:rPr>
          <w:rFonts w:ascii="Book Antiqua" w:hAnsi="Book Antiqua"/>
        </w:rPr>
        <w:t xml:space="preserve"> 2020; </w:t>
      </w:r>
      <w:r w:rsidRPr="002772D1">
        <w:rPr>
          <w:rFonts w:ascii="Book Antiqua" w:hAnsi="Book Antiqua"/>
          <w:b/>
          <w:bCs/>
        </w:rPr>
        <w:t>383</w:t>
      </w:r>
      <w:r w:rsidRPr="002772D1">
        <w:rPr>
          <w:rFonts w:ascii="Book Antiqua" w:hAnsi="Book Antiqua"/>
        </w:rPr>
        <w:t>: 931-943 [PMID: 32469185 DOI: 10.1056/NEJMoa2004407]</w:t>
      </w:r>
    </w:p>
    <w:p w14:paraId="1A23952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52 </w:t>
      </w:r>
      <w:r w:rsidRPr="002772D1">
        <w:rPr>
          <w:rFonts w:ascii="Book Antiqua" w:hAnsi="Book Antiqua"/>
          <w:b/>
          <w:bCs/>
        </w:rPr>
        <w:t>Guan J</w:t>
      </w:r>
      <w:r w:rsidRPr="002772D1">
        <w:rPr>
          <w:rFonts w:ascii="Book Antiqua" w:hAnsi="Book Antiqua"/>
        </w:rPr>
        <w:t xml:space="preserve">, Umapathy G, Yamazaki Y, Wolfstetter G, Mendoza P, Pfeifer K, Mohammed A, Hugosson F, Zhang H, Hsu AW, Halenbeck R, Hallberg B, Palmer RH. FAM150A and FAM150B are activating ligands for anaplastic lymphoma kinase. </w:t>
      </w:r>
      <w:r w:rsidRPr="002772D1">
        <w:rPr>
          <w:rFonts w:ascii="Book Antiqua" w:hAnsi="Book Antiqua"/>
          <w:i/>
          <w:iCs/>
        </w:rPr>
        <w:t>Elife</w:t>
      </w:r>
      <w:r w:rsidRPr="002772D1">
        <w:rPr>
          <w:rFonts w:ascii="Book Antiqua" w:hAnsi="Book Antiqua"/>
        </w:rPr>
        <w:t xml:space="preserve"> 2015; </w:t>
      </w:r>
      <w:r w:rsidRPr="002772D1">
        <w:rPr>
          <w:rFonts w:ascii="Book Antiqua" w:hAnsi="Book Antiqua"/>
          <w:b/>
          <w:bCs/>
        </w:rPr>
        <w:t>4</w:t>
      </w:r>
      <w:r w:rsidRPr="002772D1">
        <w:rPr>
          <w:rFonts w:ascii="Book Antiqua" w:hAnsi="Book Antiqua"/>
        </w:rPr>
        <w:t>: e09811 [PMID: 26418745 DOI: 10.7554/eLife.09811]</w:t>
      </w:r>
    </w:p>
    <w:p w14:paraId="621D702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53 </w:t>
      </w:r>
      <w:r w:rsidRPr="002772D1">
        <w:rPr>
          <w:rFonts w:ascii="Book Antiqua" w:hAnsi="Book Antiqua"/>
          <w:b/>
          <w:bCs/>
        </w:rPr>
        <w:t>Solomon BJ</w:t>
      </w:r>
      <w:r w:rsidRPr="002772D1">
        <w:rPr>
          <w:rFonts w:ascii="Book Antiqua" w:hAnsi="Book Antiqua"/>
        </w:rPr>
        <w:t xml:space="preserve">, Kim DW, Wu YL, Nakagawa K, Mekhail T, Felip E, Cappuzzo F, Paolini J, Usari T, Tang Y, Wilner KD, Blackhall F, Mok TS. Final Overall Survival Analysis </w:t>
      </w:r>
      <w:proofErr w:type="gramStart"/>
      <w:r w:rsidRPr="002772D1">
        <w:rPr>
          <w:rFonts w:ascii="Book Antiqua" w:hAnsi="Book Antiqua"/>
        </w:rPr>
        <w:t>From</w:t>
      </w:r>
      <w:proofErr w:type="gramEnd"/>
      <w:r w:rsidRPr="002772D1">
        <w:rPr>
          <w:rFonts w:ascii="Book Antiqua" w:hAnsi="Book Antiqua"/>
        </w:rPr>
        <w:t xml:space="preserve"> a Study Comparing First-Line Crizotinib Versus Chemotherapy in ALK-Mutation-Positive Non-Small-Cell Lung Cancer. </w:t>
      </w:r>
      <w:r w:rsidRPr="002772D1">
        <w:rPr>
          <w:rFonts w:ascii="Book Antiqua" w:hAnsi="Book Antiqua"/>
          <w:i/>
          <w:iCs/>
        </w:rPr>
        <w:t>J Clin Oncol</w:t>
      </w:r>
      <w:r w:rsidRPr="002772D1">
        <w:rPr>
          <w:rFonts w:ascii="Book Antiqua" w:hAnsi="Book Antiqua"/>
        </w:rPr>
        <w:t xml:space="preserve"> 2018; </w:t>
      </w:r>
      <w:r w:rsidRPr="002772D1">
        <w:rPr>
          <w:rFonts w:ascii="Book Antiqua" w:hAnsi="Book Antiqua"/>
          <w:b/>
          <w:bCs/>
        </w:rPr>
        <w:t>36</w:t>
      </w:r>
      <w:r w:rsidRPr="002772D1">
        <w:rPr>
          <w:rFonts w:ascii="Book Antiqua" w:hAnsi="Book Antiqua"/>
        </w:rPr>
        <w:t>: 2251-2258 [PMID: 29768118 DOI: 10.1200/JCO.2017.77.4794]</w:t>
      </w:r>
    </w:p>
    <w:p w14:paraId="1E654FFB"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54 </w:t>
      </w:r>
      <w:r w:rsidRPr="002772D1">
        <w:rPr>
          <w:rFonts w:ascii="Book Antiqua" w:hAnsi="Book Antiqua"/>
          <w:b/>
          <w:bCs/>
        </w:rPr>
        <w:t>Shaw AT</w:t>
      </w:r>
      <w:r w:rsidRPr="002772D1">
        <w:rPr>
          <w:rFonts w:ascii="Book Antiqua" w:hAnsi="Book Antiqua"/>
        </w:rPr>
        <w:t xml:space="preserve">, Bauer TM, de Marinis F, Felip E, Goto Y, Liu G, Mazieres J, Kim DW, Mok T, Polli A, Thurm H, Calella AM, Peltz G, Solomon BJ; CROWN Trial Investigators. First-Line Lorlatinib or Crizotinib in Advanced </w:t>
      </w:r>
      <w:r w:rsidRPr="002772D1">
        <w:rPr>
          <w:rFonts w:ascii="Book Antiqua" w:hAnsi="Book Antiqua"/>
          <w:i/>
          <w:iCs/>
        </w:rPr>
        <w:t>ALK</w:t>
      </w:r>
      <w:r w:rsidRPr="002772D1">
        <w:rPr>
          <w:rFonts w:ascii="Book Antiqua" w:hAnsi="Book Antiqua"/>
        </w:rPr>
        <w:t xml:space="preserve">-Positive Lung Cancer. </w:t>
      </w:r>
      <w:r w:rsidRPr="002772D1">
        <w:rPr>
          <w:rFonts w:ascii="Book Antiqua" w:hAnsi="Book Antiqua"/>
          <w:i/>
          <w:iCs/>
        </w:rPr>
        <w:t>N Engl J Med</w:t>
      </w:r>
      <w:r w:rsidRPr="002772D1">
        <w:rPr>
          <w:rFonts w:ascii="Book Antiqua" w:hAnsi="Book Antiqua"/>
        </w:rPr>
        <w:t xml:space="preserve"> 2020; </w:t>
      </w:r>
      <w:r w:rsidRPr="002772D1">
        <w:rPr>
          <w:rFonts w:ascii="Book Antiqua" w:hAnsi="Book Antiqua"/>
          <w:b/>
          <w:bCs/>
        </w:rPr>
        <w:t>383</w:t>
      </w:r>
      <w:r w:rsidRPr="002772D1">
        <w:rPr>
          <w:rFonts w:ascii="Book Antiqua" w:hAnsi="Book Antiqua"/>
        </w:rPr>
        <w:t>: 2018-2029 [PMID: 33207094 DOI: 10.1056/NEJMoa2027187]</w:t>
      </w:r>
    </w:p>
    <w:p w14:paraId="2FBA1DA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55 </w:t>
      </w:r>
      <w:r w:rsidRPr="002772D1">
        <w:rPr>
          <w:rFonts w:ascii="Book Antiqua" w:hAnsi="Book Antiqua"/>
          <w:b/>
          <w:bCs/>
        </w:rPr>
        <w:t>Lin JJ</w:t>
      </w:r>
      <w:r w:rsidRPr="002772D1">
        <w:rPr>
          <w:rFonts w:ascii="Book Antiqua" w:hAnsi="Book Antiqua"/>
        </w:rPr>
        <w:t xml:space="preserve">, Schoenfeld AJ, Zhu VW, Yeap BY, Chin E, Rooney M, Plodkowski AJ, Digumarthy SR, Dagogo-Jack I, Gainor JF, Ou SI, Riely GJ, Shaw AT. Efficacy of Platinum/Pemetrexed Combination Chemotherapy in ALK-Positive NSCLC Refractory </w:t>
      </w:r>
      <w:r w:rsidRPr="002772D1">
        <w:rPr>
          <w:rFonts w:ascii="Book Antiqua" w:hAnsi="Book Antiqua"/>
        </w:rPr>
        <w:lastRenderedPageBreak/>
        <w:t xml:space="preserve">to Second-Generation ALK Inhibitors. </w:t>
      </w:r>
      <w:r w:rsidRPr="002772D1">
        <w:rPr>
          <w:rFonts w:ascii="Book Antiqua" w:hAnsi="Book Antiqua"/>
          <w:i/>
          <w:iCs/>
        </w:rPr>
        <w:t>J Thorac Oncol</w:t>
      </w:r>
      <w:r w:rsidRPr="002772D1">
        <w:rPr>
          <w:rFonts w:ascii="Book Antiqua" w:hAnsi="Book Antiqua"/>
        </w:rPr>
        <w:t xml:space="preserve"> 2020; </w:t>
      </w:r>
      <w:r w:rsidRPr="002772D1">
        <w:rPr>
          <w:rFonts w:ascii="Book Antiqua" w:hAnsi="Book Antiqua"/>
          <w:b/>
          <w:bCs/>
        </w:rPr>
        <w:t>15</w:t>
      </w:r>
      <w:r w:rsidRPr="002772D1">
        <w:rPr>
          <w:rFonts w:ascii="Book Antiqua" w:hAnsi="Book Antiqua"/>
        </w:rPr>
        <w:t>: 258-265 [PMID: 31669591 DOI: 10.1016/j.jtho.2019.10.014]</w:t>
      </w:r>
    </w:p>
    <w:p w14:paraId="1210AF32"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56 </w:t>
      </w:r>
      <w:r w:rsidRPr="002772D1">
        <w:rPr>
          <w:rFonts w:ascii="Book Antiqua" w:hAnsi="Book Antiqua"/>
          <w:b/>
          <w:bCs/>
        </w:rPr>
        <w:t>Rikova K</w:t>
      </w:r>
      <w:r w:rsidRPr="002772D1">
        <w:rPr>
          <w:rFonts w:ascii="Book Antiqua" w:hAnsi="Book Antiqua"/>
        </w:rPr>
        <w:t xml:space="preserve">, Guo A, Zeng Q, Possemato A, Yu J, Haack H, Nardone J, Lee K, Reeves C, Li Y, Hu Y, Tan Z, Stokes M, Sullivan L, Mitchell J, Wetzel R, Macneill J, Ren JM, Yuan J, Bakalarski CE, Villen J, Kornhauser JM, Smith B, Li D, Zhou X, Gygi SP, Gu TL, Polakiewicz RD, Rush J, Comb MJ. Global survey of phosphotyrosine signaling identifies oncogenic kinases in lung cancer. </w:t>
      </w:r>
      <w:r w:rsidRPr="002772D1">
        <w:rPr>
          <w:rFonts w:ascii="Book Antiqua" w:hAnsi="Book Antiqua"/>
          <w:i/>
          <w:iCs/>
        </w:rPr>
        <w:t>Cell</w:t>
      </w:r>
      <w:r w:rsidRPr="002772D1">
        <w:rPr>
          <w:rFonts w:ascii="Book Antiqua" w:hAnsi="Book Antiqua"/>
        </w:rPr>
        <w:t xml:space="preserve"> 2007; </w:t>
      </w:r>
      <w:r w:rsidRPr="002772D1">
        <w:rPr>
          <w:rFonts w:ascii="Book Antiqua" w:hAnsi="Book Antiqua"/>
          <w:b/>
          <w:bCs/>
        </w:rPr>
        <w:t>131</w:t>
      </w:r>
      <w:r w:rsidRPr="002772D1">
        <w:rPr>
          <w:rFonts w:ascii="Book Antiqua" w:hAnsi="Book Antiqua"/>
        </w:rPr>
        <w:t>: 1190-1203 [PMID: 18083107 DOI: 10.1016/j.cell.2007.11.025]</w:t>
      </w:r>
    </w:p>
    <w:p w14:paraId="251DB9A1"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57 </w:t>
      </w:r>
      <w:r w:rsidRPr="002772D1">
        <w:rPr>
          <w:rFonts w:ascii="Book Antiqua" w:hAnsi="Book Antiqua"/>
          <w:b/>
          <w:bCs/>
        </w:rPr>
        <w:t>Drilon A</w:t>
      </w:r>
      <w:r w:rsidRPr="002772D1">
        <w:rPr>
          <w:rFonts w:ascii="Book Antiqua" w:hAnsi="Book Antiqua"/>
        </w:rPr>
        <w:t xml:space="preserve">, Jenkins C, Iyer S, Schoenfeld A, Keddy C, Davare MA. ROS1-dependent cancers - biology, diagnostics and therapeutics. </w:t>
      </w:r>
      <w:r w:rsidRPr="002772D1">
        <w:rPr>
          <w:rFonts w:ascii="Book Antiqua" w:hAnsi="Book Antiqua"/>
          <w:i/>
          <w:iCs/>
        </w:rPr>
        <w:t>Nat Rev Clin Oncol</w:t>
      </w:r>
      <w:r w:rsidRPr="002772D1">
        <w:rPr>
          <w:rFonts w:ascii="Book Antiqua" w:hAnsi="Book Antiqua"/>
        </w:rPr>
        <w:t xml:space="preserve"> 2021; </w:t>
      </w:r>
      <w:r w:rsidRPr="002772D1">
        <w:rPr>
          <w:rFonts w:ascii="Book Antiqua" w:hAnsi="Book Antiqua"/>
          <w:b/>
          <w:bCs/>
        </w:rPr>
        <w:t>18</w:t>
      </w:r>
      <w:r w:rsidRPr="002772D1">
        <w:rPr>
          <w:rFonts w:ascii="Book Antiqua" w:hAnsi="Book Antiqua"/>
        </w:rPr>
        <w:t>: 35-55 [PMID: 32760015 DOI: 10.1038/s41571-020-0408-9]</w:t>
      </w:r>
    </w:p>
    <w:p w14:paraId="00670C44" w14:textId="6FA3FD67" w:rsidR="000F1AEF" w:rsidRPr="002772D1" w:rsidRDefault="000F1AEF" w:rsidP="00E06D87">
      <w:pPr>
        <w:spacing w:line="360" w:lineRule="auto"/>
        <w:jc w:val="both"/>
        <w:rPr>
          <w:rFonts w:ascii="Book Antiqua" w:hAnsi="Book Antiqua"/>
        </w:rPr>
      </w:pPr>
      <w:proofErr w:type="gramStart"/>
      <w:r w:rsidRPr="002772D1">
        <w:rPr>
          <w:rFonts w:ascii="Book Antiqua" w:hAnsi="Book Antiqua"/>
        </w:rPr>
        <w:t xml:space="preserve">58 </w:t>
      </w:r>
      <w:r w:rsidRPr="002772D1">
        <w:rPr>
          <w:rFonts w:ascii="Book Antiqua" w:hAnsi="Book Antiqua"/>
          <w:b/>
          <w:bCs/>
        </w:rPr>
        <w:t>Ou SH</w:t>
      </w:r>
      <w:r w:rsidRPr="002772D1">
        <w:rPr>
          <w:rFonts w:ascii="Book Antiqua" w:hAnsi="Book Antiqua"/>
        </w:rPr>
        <w:t>, Zhu VW</w:t>
      </w:r>
      <w:r w:rsidR="001A2B56" w:rsidRPr="002772D1">
        <w:rPr>
          <w:rFonts w:ascii="Book Antiqua" w:hAnsi="Book Antiqua" w:hint="eastAsia"/>
          <w:lang w:eastAsia="zh-CN"/>
        </w:rPr>
        <w:t>.</w:t>
      </w:r>
      <w:proofErr w:type="gramEnd"/>
      <w:r w:rsidRPr="002772D1">
        <w:rPr>
          <w:rFonts w:ascii="Book Antiqua" w:hAnsi="Book Antiqua"/>
        </w:rPr>
        <w:t xml:space="preserve"> Catalog of 5′ fusion partners in RET+ NSCLC circa 2020. </w:t>
      </w:r>
      <w:r w:rsidRPr="002772D1">
        <w:rPr>
          <w:rFonts w:ascii="Book Antiqua" w:hAnsi="Book Antiqua"/>
          <w:i/>
          <w:iCs/>
        </w:rPr>
        <w:t xml:space="preserve">JTO Clin Res Rep </w:t>
      </w:r>
      <w:r w:rsidRPr="002772D1">
        <w:rPr>
          <w:rFonts w:ascii="Book Antiqua" w:hAnsi="Book Antiqua"/>
        </w:rPr>
        <w:t xml:space="preserve">2020; </w:t>
      </w:r>
      <w:r w:rsidRPr="002772D1">
        <w:rPr>
          <w:rFonts w:ascii="Book Antiqua" w:hAnsi="Book Antiqua"/>
          <w:b/>
          <w:bCs/>
        </w:rPr>
        <w:t>1</w:t>
      </w:r>
      <w:r w:rsidRPr="002772D1">
        <w:rPr>
          <w:rFonts w:ascii="Book Antiqua" w:hAnsi="Book Antiqua"/>
        </w:rPr>
        <w:t>:</w:t>
      </w:r>
      <w:r w:rsidR="0054327E" w:rsidRPr="002772D1">
        <w:rPr>
          <w:rFonts w:ascii="Book Antiqua" w:hAnsi="Book Antiqua"/>
        </w:rPr>
        <w:t xml:space="preserve"> </w:t>
      </w:r>
      <w:r w:rsidRPr="002772D1">
        <w:rPr>
          <w:rFonts w:ascii="Book Antiqua" w:hAnsi="Book Antiqua"/>
        </w:rPr>
        <w:t>100037 [DOI: 10.1016/j.jtocrr.2020.100037]</w:t>
      </w:r>
    </w:p>
    <w:p w14:paraId="0C4E37B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59 </w:t>
      </w:r>
      <w:r w:rsidRPr="002772D1">
        <w:rPr>
          <w:rFonts w:ascii="Book Antiqua" w:hAnsi="Book Antiqua"/>
          <w:b/>
          <w:bCs/>
        </w:rPr>
        <w:t>Tsao MS</w:t>
      </w:r>
      <w:r w:rsidRPr="002772D1">
        <w:rPr>
          <w:rFonts w:ascii="Book Antiqua" w:hAnsi="Book Antiqua"/>
        </w:rPr>
        <w:t>, Hirsch FR, Yatabe Y. IASLC atlas of ALK and ROS1 testing in lung cancer. International Association for the Study of Lung Cancer; 2016. [cited 10 January 2021]. Available from: https://www.iaslc.org/meetings-webinars/iaslc-atlas-alk-and-ros1-testing-lung-cancer</w:t>
      </w:r>
    </w:p>
    <w:p w14:paraId="2FBC2500"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60 </w:t>
      </w:r>
      <w:r w:rsidRPr="002772D1">
        <w:rPr>
          <w:rFonts w:ascii="Book Antiqua" w:hAnsi="Book Antiqua"/>
          <w:b/>
          <w:bCs/>
        </w:rPr>
        <w:t>Lin JJ</w:t>
      </w:r>
      <w:r w:rsidRPr="002772D1">
        <w:rPr>
          <w:rFonts w:ascii="Book Antiqua" w:hAnsi="Book Antiqua"/>
        </w:rPr>
        <w:t xml:space="preserve">, Ritterhouse LL, Ali SM, Bailey M, Schrock AB, Gainor JF, Ferris LA, Mino-Kenudson M, Miller VA, Iafrate AJ, Lennerz JK, Shaw AT. ROS1 Fusions Rarely Overlap with Other Oncogenic Drivers in Non-Small Cell Lung Cancer. </w:t>
      </w:r>
      <w:r w:rsidRPr="002772D1">
        <w:rPr>
          <w:rFonts w:ascii="Book Antiqua" w:hAnsi="Book Antiqua"/>
          <w:i/>
          <w:iCs/>
        </w:rPr>
        <w:t>J Thorac Oncol</w:t>
      </w:r>
      <w:r w:rsidRPr="002772D1">
        <w:rPr>
          <w:rFonts w:ascii="Book Antiqua" w:hAnsi="Book Antiqua"/>
        </w:rPr>
        <w:t xml:space="preserve"> 2017; </w:t>
      </w:r>
      <w:r w:rsidRPr="002772D1">
        <w:rPr>
          <w:rFonts w:ascii="Book Antiqua" w:hAnsi="Book Antiqua"/>
          <w:b/>
          <w:bCs/>
        </w:rPr>
        <w:t>12</w:t>
      </w:r>
      <w:r w:rsidRPr="002772D1">
        <w:rPr>
          <w:rFonts w:ascii="Book Antiqua" w:hAnsi="Book Antiqua"/>
        </w:rPr>
        <w:t>: 872-877 [PMID: 28088512 DOI: 10.1016/j.jtho.2017.01.004]</w:t>
      </w:r>
    </w:p>
    <w:p w14:paraId="5FE437B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61 </w:t>
      </w:r>
      <w:r w:rsidRPr="002772D1">
        <w:rPr>
          <w:rFonts w:ascii="Book Antiqua" w:hAnsi="Book Antiqua"/>
          <w:b/>
          <w:bCs/>
        </w:rPr>
        <w:t>Chen Q</w:t>
      </w:r>
      <w:r w:rsidRPr="002772D1">
        <w:rPr>
          <w:rFonts w:ascii="Book Antiqua" w:hAnsi="Book Antiqua"/>
        </w:rPr>
        <w:t xml:space="preserve">, Ouyang D, Anwar M, Xie N, Wang S, Fan P, Qian L, Chen G, Zhou E, Guo L, Gu X, Ding B, Yang X, Liu L, Deng C, Xiao Z, Li J, Wang Y, Zeng S, Hu J, Zhou W, Qiu B, Wang Z, Weng J, Liu M, Li Y, Tang T, Wang J, Zhang H, Dai B, Tang W, Wu T, Xiao M, Li X, Liu H, Li L, Yi W, Ouyang Q. Effectiveness and Safety of Pyrotinib, and Association of Biomarker With Progression-Free Survival in Patients With HER2-Positive Metastatic Breast Cancer: A Real-World, Multicentre Analysis. </w:t>
      </w:r>
      <w:r w:rsidRPr="002772D1">
        <w:rPr>
          <w:rFonts w:ascii="Book Antiqua" w:hAnsi="Book Antiqua"/>
          <w:i/>
          <w:iCs/>
        </w:rPr>
        <w:t>Front Oncol</w:t>
      </w:r>
      <w:r w:rsidRPr="002772D1">
        <w:rPr>
          <w:rFonts w:ascii="Book Antiqua" w:hAnsi="Book Antiqua"/>
        </w:rPr>
        <w:t xml:space="preserve"> 2020; </w:t>
      </w:r>
      <w:r w:rsidRPr="002772D1">
        <w:rPr>
          <w:rFonts w:ascii="Book Antiqua" w:hAnsi="Book Antiqua"/>
          <w:b/>
          <w:bCs/>
        </w:rPr>
        <w:t>10</w:t>
      </w:r>
      <w:r w:rsidRPr="002772D1">
        <w:rPr>
          <w:rFonts w:ascii="Book Antiqua" w:hAnsi="Book Antiqua"/>
        </w:rPr>
        <w:t>: 811 [PMID: 32528890 DOI: 10.3389/fonc.2020.00811]</w:t>
      </w:r>
    </w:p>
    <w:p w14:paraId="513A90C8"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62 </w:t>
      </w:r>
      <w:r w:rsidRPr="002772D1">
        <w:rPr>
          <w:rFonts w:ascii="Book Antiqua" w:hAnsi="Book Antiqua"/>
          <w:b/>
          <w:bCs/>
        </w:rPr>
        <w:t>Lang D</w:t>
      </w:r>
      <w:r w:rsidRPr="002772D1">
        <w:rPr>
          <w:rFonts w:ascii="Book Antiqua" w:hAnsi="Book Antiqua"/>
        </w:rPr>
        <w:t xml:space="preserve">, Huemer F, Rinnerthaler G, Horner A, Wass R, Brehm E, Akbari K, Granitz M, Hutarew G, Kaiser B, Greil R, Lamprecht B. Therapy Line and Associated Predictors of Response to PD-1/PD-L1-Inhibitor Monotherapy in Advanced Non-small-Cell Lung Cancer: A Retrospective Bi-centric Cohort Study. </w:t>
      </w:r>
      <w:r w:rsidRPr="002772D1">
        <w:rPr>
          <w:rFonts w:ascii="Book Antiqua" w:hAnsi="Book Antiqua"/>
          <w:i/>
          <w:iCs/>
        </w:rPr>
        <w:t>Target Oncol</w:t>
      </w:r>
      <w:r w:rsidRPr="002772D1">
        <w:rPr>
          <w:rFonts w:ascii="Book Antiqua" w:hAnsi="Book Antiqua"/>
        </w:rPr>
        <w:t xml:space="preserve"> 2019; </w:t>
      </w:r>
      <w:r w:rsidRPr="002772D1">
        <w:rPr>
          <w:rFonts w:ascii="Book Antiqua" w:hAnsi="Book Antiqua"/>
          <w:b/>
          <w:bCs/>
        </w:rPr>
        <w:t>14</w:t>
      </w:r>
      <w:r w:rsidRPr="002772D1">
        <w:rPr>
          <w:rFonts w:ascii="Book Antiqua" w:hAnsi="Book Antiqua"/>
        </w:rPr>
        <w:t>: 707-717 [PMID: 31654203 DOI: 10.1007/s11523-019-00679-9]</w:t>
      </w:r>
    </w:p>
    <w:p w14:paraId="4ED11F46"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63 </w:t>
      </w:r>
      <w:r w:rsidRPr="002772D1">
        <w:rPr>
          <w:rFonts w:ascii="Book Antiqua" w:hAnsi="Book Antiqua"/>
          <w:b/>
          <w:bCs/>
        </w:rPr>
        <w:t>Shaw AT</w:t>
      </w:r>
      <w:r w:rsidRPr="002772D1">
        <w:rPr>
          <w:rFonts w:ascii="Book Antiqua" w:hAnsi="Book Antiqua"/>
        </w:rPr>
        <w:t xml:space="preserve">, Ou SH, Bang YJ, Camidge DR, Solomon BJ, Salgia R, Riely GJ, Varella-Garcia M, Shapiro GI, Costa DB, Doebele RC, Le LP, Zheng Z, Tan W, Stephenson P, Shreeve SM, Tye LM, Christensen JG, Wilner KD, Clark JW, Iafrate AJ. Crizotinib in ROS1-rearranged non-small-cell lung cancer. </w:t>
      </w:r>
      <w:r w:rsidRPr="002772D1">
        <w:rPr>
          <w:rFonts w:ascii="Book Antiqua" w:hAnsi="Book Antiqua"/>
          <w:i/>
          <w:iCs/>
        </w:rPr>
        <w:t>N Engl J Med</w:t>
      </w:r>
      <w:r w:rsidRPr="002772D1">
        <w:rPr>
          <w:rFonts w:ascii="Book Antiqua" w:hAnsi="Book Antiqua"/>
        </w:rPr>
        <w:t xml:space="preserve"> 2014; </w:t>
      </w:r>
      <w:r w:rsidRPr="002772D1">
        <w:rPr>
          <w:rFonts w:ascii="Book Antiqua" w:hAnsi="Book Antiqua"/>
          <w:b/>
          <w:bCs/>
        </w:rPr>
        <w:t>371</w:t>
      </w:r>
      <w:r w:rsidRPr="002772D1">
        <w:rPr>
          <w:rFonts w:ascii="Book Antiqua" w:hAnsi="Book Antiqua"/>
        </w:rPr>
        <w:t>: 1963-1971 [PMID: 25264305 DOI: 10.1056/NEJMoa1406766]</w:t>
      </w:r>
    </w:p>
    <w:p w14:paraId="47A9995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64 </w:t>
      </w:r>
      <w:r w:rsidRPr="002772D1">
        <w:rPr>
          <w:rFonts w:ascii="Book Antiqua" w:hAnsi="Book Antiqua"/>
          <w:b/>
          <w:bCs/>
        </w:rPr>
        <w:t>Shaw AT</w:t>
      </w:r>
      <w:r w:rsidRPr="002772D1">
        <w:rPr>
          <w:rFonts w:ascii="Book Antiqua" w:hAnsi="Book Antiqua"/>
        </w:rPr>
        <w:t xml:space="preserve">, Riely GJ, Bang YJ, Kim DW, Camidge DR, Solomon BJ, Varella-Garcia M, Iafrate AJ, Shapiro GI, Usari T, Wang SC, Wilner KD, Clark JW, Ou SI. Crizotinib in ROS1-rearranged advanced non-small-cell lung cancer (NSCLC): updated results, including overall survival, from PROFILE 1001. </w:t>
      </w:r>
      <w:r w:rsidRPr="002772D1">
        <w:rPr>
          <w:rFonts w:ascii="Book Antiqua" w:hAnsi="Book Antiqua"/>
          <w:i/>
          <w:iCs/>
        </w:rPr>
        <w:t>Ann Oncol</w:t>
      </w:r>
      <w:r w:rsidRPr="002772D1">
        <w:rPr>
          <w:rFonts w:ascii="Book Antiqua" w:hAnsi="Book Antiqua"/>
        </w:rPr>
        <w:t xml:space="preserve"> 2019; </w:t>
      </w:r>
      <w:r w:rsidRPr="002772D1">
        <w:rPr>
          <w:rFonts w:ascii="Book Antiqua" w:hAnsi="Book Antiqua"/>
          <w:b/>
          <w:bCs/>
        </w:rPr>
        <w:t>30</w:t>
      </w:r>
      <w:r w:rsidRPr="002772D1">
        <w:rPr>
          <w:rFonts w:ascii="Book Antiqua" w:hAnsi="Book Antiqua"/>
        </w:rPr>
        <w:t>: 1121-1126 [PMID: 30980071 DOI: 10.1093/annonc/mdz131]</w:t>
      </w:r>
    </w:p>
    <w:p w14:paraId="506D9C4A" w14:textId="66F0CEC6" w:rsidR="000F1AEF" w:rsidRPr="002772D1" w:rsidRDefault="000F1AEF" w:rsidP="00E06D87">
      <w:pPr>
        <w:spacing w:line="360" w:lineRule="auto"/>
        <w:jc w:val="both"/>
        <w:rPr>
          <w:rFonts w:ascii="Book Antiqua" w:hAnsi="Book Antiqua"/>
        </w:rPr>
      </w:pPr>
      <w:r w:rsidRPr="002772D1">
        <w:rPr>
          <w:rFonts w:ascii="Book Antiqua" w:hAnsi="Book Antiqua"/>
        </w:rPr>
        <w:t xml:space="preserve">65 </w:t>
      </w:r>
      <w:r w:rsidRPr="002772D1">
        <w:rPr>
          <w:rFonts w:ascii="Book Antiqua" w:hAnsi="Book Antiqua"/>
          <w:b/>
          <w:bCs/>
        </w:rPr>
        <w:t>Moro-Sibilot D,</w:t>
      </w:r>
      <w:r w:rsidRPr="002772D1">
        <w:rPr>
          <w:rFonts w:ascii="Book Antiqua" w:hAnsi="Book Antiqua"/>
        </w:rPr>
        <w:t xml:space="preserve"> Faivre L, Zalcman G, Pérol M, Barlesi F, Otto J, Monnet I, Cortot AB, Wislez M, Lena H: Crizotinib in patients with advanced ROS1-rearranged non-small cell lung cancer (NSCLC). Preliminary results of the ACSé phase II trial. </w:t>
      </w:r>
      <w:r w:rsidRPr="002772D1">
        <w:rPr>
          <w:rFonts w:ascii="Book Antiqua" w:hAnsi="Book Antiqua"/>
          <w:i/>
          <w:iCs/>
        </w:rPr>
        <w:t xml:space="preserve">J Clin Oncol </w:t>
      </w:r>
      <w:r w:rsidRPr="002772D1">
        <w:rPr>
          <w:rFonts w:ascii="Book Antiqua" w:hAnsi="Book Antiqua"/>
        </w:rPr>
        <w:t>2015</w:t>
      </w:r>
      <w:r w:rsidR="0054327E" w:rsidRPr="002772D1">
        <w:rPr>
          <w:rFonts w:ascii="Book Antiqua" w:hAnsi="Book Antiqua"/>
        </w:rPr>
        <w:t>;</w:t>
      </w:r>
      <w:r w:rsidRPr="002772D1">
        <w:rPr>
          <w:rFonts w:ascii="Book Antiqua" w:hAnsi="Book Antiqua"/>
        </w:rPr>
        <w:t xml:space="preserve"> </w:t>
      </w:r>
      <w:r w:rsidRPr="002772D1">
        <w:rPr>
          <w:rFonts w:ascii="Book Antiqua" w:hAnsi="Book Antiqua"/>
          <w:b/>
          <w:bCs/>
        </w:rPr>
        <w:t>33</w:t>
      </w:r>
      <w:r w:rsidRPr="002772D1">
        <w:rPr>
          <w:rFonts w:ascii="Book Antiqua" w:hAnsi="Book Antiqua"/>
        </w:rPr>
        <w:t>: 8065 [DOI: 10.1200/jco.2015.33.15_suppl.8065]</w:t>
      </w:r>
    </w:p>
    <w:p w14:paraId="1811A75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66 </w:t>
      </w:r>
      <w:r w:rsidRPr="002772D1">
        <w:rPr>
          <w:rFonts w:ascii="Book Antiqua" w:hAnsi="Book Antiqua"/>
          <w:b/>
          <w:bCs/>
        </w:rPr>
        <w:t>Wu YL</w:t>
      </w:r>
      <w:r w:rsidRPr="002772D1">
        <w:rPr>
          <w:rFonts w:ascii="Book Antiqua" w:hAnsi="Book Antiqua"/>
        </w:rPr>
        <w:t xml:space="preserve">, Yang JC, Kim DW, Lu S, Zhou J, Seto T, Yang JJ, Yamamoto N, Ahn MJ, Takahashi T, Yamanaka T, Kemner A, Roychowdhury D, Paolini J, Usari T, Wilner KD, Goto K. Phase II Study of Crizotinib in East Asian Patients With ROS1-Positive Advanced Non-Small-Cell Lung Cancer. </w:t>
      </w:r>
      <w:r w:rsidRPr="002772D1">
        <w:rPr>
          <w:rFonts w:ascii="Book Antiqua" w:hAnsi="Book Antiqua"/>
          <w:i/>
          <w:iCs/>
        </w:rPr>
        <w:t>J Clin Oncol</w:t>
      </w:r>
      <w:r w:rsidRPr="002772D1">
        <w:rPr>
          <w:rFonts w:ascii="Book Antiqua" w:hAnsi="Book Antiqua"/>
        </w:rPr>
        <w:t xml:space="preserve"> 2018; </w:t>
      </w:r>
      <w:r w:rsidRPr="002772D1">
        <w:rPr>
          <w:rFonts w:ascii="Book Antiqua" w:hAnsi="Book Antiqua"/>
          <w:b/>
          <w:bCs/>
        </w:rPr>
        <w:t>36</w:t>
      </w:r>
      <w:r w:rsidRPr="002772D1">
        <w:rPr>
          <w:rFonts w:ascii="Book Antiqua" w:hAnsi="Book Antiqua"/>
        </w:rPr>
        <w:t>: 1405-1411 [PMID: 29596029 DOI: 10.1200/JCO.2017.75.5587]</w:t>
      </w:r>
    </w:p>
    <w:p w14:paraId="784E648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67 </w:t>
      </w:r>
      <w:r w:rsidRPr="002772D1">
        <w:rPr>
          <w:rFonts w:ascii="Book Antiqua" w:hAnsi="Book Antiqua"/>
          <w:b/>
          <w:bCs/>
        </w:rPr>
        <w:t>Patil T</w:t>
      </w:r>
      <w:r w:rsidRPr="002772D1">
        <w:rPr>
          <w:rFonts w:ascii="Book Antiqua" w:hAnsi="Book Antiqua"/>
        </w:rPr>
        <w:t xml:space="preserve">, Smith DE, Bunn PA, Aisner DL, Le AT, Hancock M, Purcell WT, Bowles DW, Camidge DR, Doebele RC. The Incidence of Brain Metastases in Stage IV ROS1-Rearranged Non-Small Cell Lung Cancer and Rate of Central Nervous System Progression on Crizotinib. </w:t>
      </w:r>
      <w:r w:rsidRPr="002772D1">
        <w:rPr>
          <w:rFonts w:ascii="Book Antiqua" w:hAnsi="Book Antiqua"/>
          <w:i/>
          <w:iCs/>
        </w:rPr>
        <w:t>J Thorac Oncol</w:t>
      </w:r>
      <w:r w:rsidRPr="002772D1">
        <w:rPr>
          <w:rFonts w:ascii="Book Antiqua" w:hAnsi="Book Antiqua"/>
        </w:rPr>
        <w:t xml:space="preserve"> 2018; </w:t>
      </w:r>
      <w:r w:rsidRPr="002772D1">
        <w:rPr>
          <w:rFonts w:ascii="Book Antiqua" w:hAnsi="Book Antiqua"/>
          <w:b/>
          <w:bCs/>
        </w:rPr>
        <w:t>13</w:t>
      </w:r>
      <w:r w:rsidRPr="002772D1">
        <w:rPr>
          <w:rFonts w:ascii="Book Antiqua" w:hAnsi="Book Antiqua"/>
        </w:rPr>
        <w:t>: 1717-1726 [PMID: 29981925 DOI: 10.1016/j.jtho.2018.07.001]</w:t>
      </w:r>
    </w:p>
    <w:p w14:paraId="7272EB99"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68 </w:t>
      </w:r>
      <w:r w:rsidRPr="002772D1">
        <w:rPr>
          <w:rFonts w:ascii="Book Antiqua" w:hAnsi="Book Antiqua"/>
          <w:b/>
          <w:bCs/>
        </w:rPr>
        <w:t>Shaw AT</w:t>
      </w:r>
      <w:r w:rsidRPr="002772D1">
        <w:rPr>
          <w:rFonts w:ascii="Book Antiqua" w:hAnsi="Book Antiqua"/>
        </w:rPr>
        <w:t xml:space="preserve">, Solomon BJ, Chiari R, Riely GJ, Besse B, Soo RA, Kao S, Lin CC, Bauer TM, Clancy JS, Thurm H, Martini JF, Peltz G, Abbattista A, Li S, Ou SI. Lorlatinib in advanced ROS1-positive non-small-cell lung cancer: a multicentre, open-label, single-arm, phase 1-2 trial. </w:t>
      </w:r>
      <w:r w:rsidRPr="002772D1">
        <w:rPr>
          <w:rFonts w:ascii="Book Antiqua" w:hAnsi="Book Antiqua"/>
          <w:i/>
          <w:iCs/>
        </w:rPr>
        <w:t>Lancet Oncol</w:t>
      </w:r>
      <w:r w:rsidRPr="002772D1">
        <w:rPr>
          <w:rFonts w:ascii="Book Antiqua" w:hAnsi="Book Antiqua"/>
        </w:rPr>
        <w:t xml:space="preserve"> 2019; </w:t>
      </w:r>
      <w:r w:rsidRPr="002772D1">
        <w:rPr>
          <w:rFonts w:ascii="Book Antiqua" w:hAnsi="Book Antiqua"/>
          <w:b/>
          <w:bCs/>
        </w:rPr>
        <w:t>20</w:t>
      </w:r>
      <w:r w:rsidRPr="002772D1">
        <w:rPr>
          <w:rFonts w:ascii="Book Antiqua" w:hAnsi="Book Antiqua"/>
        </w:rPr>
        <w:t>: 1691-1701 [PMID: 31669155 DOI: 10.1016/S1470-2045(19)30655-2]</w:t>
      </w:r>
    </w:p>
    <w:p w14:paraId="3DC5501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69 </w:t>
      </w:r>
      <w:r w:rsidRPr="002772D1">
        <w:rPr>
          <w:rFonts w:ascii="Book Antiqua" w:hAnsi="Book Antiqua"/>
          <w:b/>
          <w:bCs/>
        </w:rPr>
        <w:t>Lim SM</w:t>
      </w:r>
      <w:r w:rsidRPr="002772D1">
        <w:rPr>
          <w:rFonts w:ascii="Book Antiqua" w:hAnsi="Book Antiqua"/>
        </w:rPr>
        <w:t xml:space="preserve">, Kim HR, Lee JS, Lee KH, Lee YG, Min YJ, Cho EK, Lee SS, Kim BS, Choi MY, Shim HS, Chung JH, La Choi Y, Lee MJ, Kim M, Kim JH, Ali SM, Ahn MJ, Cho BC. Open-Label, Multicenter, Phase II Study of Ceritinib in Patients </w:t>
      </w:r>
      <w:proofErr w:type="gramStart"/>
      <w:r w:rsidRPr="002772D1">
        <w:rPr>
          <w:rFonts w:ascii="Book Antiqua" w:hAnsi="Book Antiqua"/>
        </w:rPr>
        <w:t>With</w:t>
      </w:r>
      <w:proofErr w:type="gramEnd"/>
      <w:r w:rsidRPr="002772D1">
        <w:rPr>
          <w:rFonts w:ascii="Book Antiqua" w:hAnsi="Book Antiqua"/>
        </w:rPr>
        <w:t xml:space="preserve"> Non-Small-Cell Lung Cancer Harboring ROS1 Rearrangement. </w:t>
      </w:r>
      <w:r w:rsidRPr="002772D1">
        <w:rPr>
          <w:rFonts w:ascii="Book Antiqua" w:hAnsi="Book Antiqua"/>
          <w:i/>
          <w:iCs/>
        </w:rPr>
        <w:t>J Clin Oncol</w:t>
      </w:r>
      <w:r w:rsidRPr="002772D1">
        <w:rPr>
          <w:rFonts w:ascii="Book Antiqua" w:hAnsi="Book Antiqua"/>
        </w:rPr>
        <w:t xml:space="preserve"> 2017; </w:t>
      </w:r>
      <w:r w:rsidRPr="002772D1">
        <w:rPr>
          <w:rFonts w:ascii="Book Antiqua" w:hAnsi="Book Antiqua"/>
          <w:b/>
          <w:bCs/>
        </w:rPr>
        <w:t>35</w:t>
      </w:r>
      <w:r w:rsidRPr="002772D1">
        <w:rPr>
          <w:rFonts w:ascii="Book Antiqua" w:hAnsi="Book Antiqua"/>
        </w:rPr>
        <w:t>: 2613-2618 [PMID: 28520527 DOI: 10.1200/JCO.2016.71.3701]</w:t>
      </w:r>
    </w:p>
    <w:p w14:paraId="559E071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70 </w:t>
      </w:r>
      <w:r w:rsidRPr="002772D1">
        <w:rPr>
          <w:rFonts w:ascii="Book Antiqua" w:hAnsi="Book Antiqua"/>
          <w:b/>
          <w:bCs/>
        </w:rPr>
        <w:t>Drilon A</w:t>
      </w:r>
      <w:r w:rsidRPr="002772D1">
        <w:rPr>
          <w:rFonts w:ascii="Book Antiqua" w:hAnsi="Book Antiqua"/>
        </w:rPr>
        <w:t xml:space="preserve">, Siena S, Dziadziuszko R, Barlesi F, Krebs MG, Shaw AT, de Braud F, Rolfo C, Ahn MJ, Wolf J, Seto T, Cho BC, Patel MR, Chiu CH, John T, Goto K, Karapetis CS, Arkenau HT, Kim SW, Ohe Y, Li YC, Chae YK, Chung CH, Otterson GA, Murakami H, Lin CC, Tan DSW, Prenen H, Riehl T, Chow-Maneval E, Simmons B, Cui N, Johnson A, Eng S, Wilson TR, Doebele RC; trial investigators. Entrectinib in ROS1 fusion-positive non-small-cell lung cancer: integrated analysis of three phase 1-2 trials. </w:t>
      </w:r>
      <w:r w:rsidRPr="002772D1">
        <w:rPr>
          <w:rFonts w:ascii="Book Antiqua" w:hAnsi="Book Antiqua"/>
          <w:i/>
          <w:iCs/>
        </w:rPr>
        <w:t>Lancet Oncol</w:t>
      </w:r>
      <w:r w:rsidRPr="002772D1">
        <w:rPr>
          <w:rFonts w:ascii="Book Antiqua" w:hAnsi="Book Antiqua"/>
        </w:rPr>
        <w:t xml:space="preserve"> 2020; </w:t>
      </w:r>
      <w:r w:rsidRPr="002772D1">
        <w:rPr>
          <w:rFonts w:ascii="Book Antiqua" w:hAnsi="Book Antiqua"/>
          <w:b/>
          <w:bCs/>
        </w:rPr>
        <w:t>21</w:t>
      </w:r>
      <w:r w:rsidRPr="002772D1">
        <w:rPr>
          <w:rFonts w:ascii="Book Antiqua" w:hAnsi="Book Antiqua"/>
        </w:rPr>
        <w:t>: 261-270 [PMID: 31838015 DOI: 10.1016/S1470-2045(19)30690-4]</w:t>
      </w:r>
    </w:p>
    <w:p w14:paraId="2A824EC0"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71 </w:t>
      </w:r>
      <w:r w:rsidRPr="002772D1">
        <w:rPr>
          <w:rFonts w:ascii="Book Antiqua" w:hAnsi="Book Antiqua"/>
          <w:b/>
          <w:bCs/>
        </w:rPr>
        <w:t>Yun MR</w:t>
      </w:r>
      <w:r w:rsidRPr="002772D1">
        <w:rPr>
          <w:rFonts w:ascii="Book Antiqua" w:hAnsi="Book Antiqua"/>
        </w:rPr>
        <w:t xml:space="preserve">, Kim DH, Kim SY, Joo HS, Lee YW, Choi HM, Park CW, Heo SG, Kang HN, Lee SS, Schoenfeld AJ, Drilon A, Kang SG, Shim HS, Hong MH, Cui JJ, Kim HR, Cho BC. Repotrectinib Exhibits Potent Antitumor Activity in Treatment-Naïve and Solvent-Front-Mutant ROS1-Rearranged Non-Small Cell Lung Cancer. </w:t>
      </w:r>
      <w:r w:rsidRPr="002772D1">
        <w:rPr>
          <w:rFonts w:ascii="Book Antiqua" w:hAnsi="Book Antiqua"/>
          <w:i/>
          <w:iCs/>
        </w:rPr>
        <w:t>Clin Cancer Res</w:t>
      </w:r>
      <w:r w:rsidRPr="002772D1">
        <w:rPr>
          <w:rFonts w:ascii="Book Antiqua" w:hAnsi="Book Antiqua"/>
        </w:rPr>
        <w:t xml:space="preserve"> 2020; </w:t>
      </w:r>
      <w:r w:rsidRPr="002772D1">
        <w:rPr>
          <w:rFonts w:ascii="Book Antiqua" w:hAnsi="Book Antiqua"/>
          <w:b/>
          <w:bCs/>
        </w:rPr>
        <w:t>26</w:t>
      </w:r>
      <w:r w:rsidRPr="002772D1">
        <w:rPr>
          <w:rFonts w:ascii="Book Antiqua" w:hAnsi="Book Antiqua"/>
        </w:rPr>
        <w:t>: 3287-3295 [PMID: 32269053 DOI: 10.1158/1078-0432.CCR-19-2777]</w:t>
      </w:r>
    </w:p>
    <w:p w14:paraId="6413F656" w14:textId="4547222B" w:rsidR="000F1AEF" w:rsidRPr="002772D1" w:rsidRDefault="000F1AEF" w:rsidP="00E06D87">
      <w:pPr>
        <w:spacing w:line="360" w:lineRule="auto"/>
        <w:jc w:val="both"/>
        <w:rPr>
          <w:rFonts w:ascii="Book Antiqua" w:hAnsi="Book Antiqua"/>
        </w:rPr>
      </w:pPr>
      <w:r w:rsidRPr="002772D1">
        <w:rPr>
          <w:rFonts w:ascii="Book Antiqua" w:hAnsi="Book Antiqua"/>
        </w:rPr>
        <w:t xml:space="preserve">72 </w:t>
      </w:r>
      <w:r w:rsidRPr="002772D1">
        <w:rPr>
          <w:rFonts w:ascii="Book Antiqua" w:hAnsi="Book Antiqua"/>
          <w:b/>
          <w:bCs/>
        </w:rPr>
        <w:t>Cho BC,</w:t>
      </w:r>
      <w:r w:rsidRPr="002772D1">
        <w:rPr>
          <w:rFonts w:ascii="Book Antiqua" w:hAnsi="Book Antiqua"/>
        </w:rPr>
        <w:t xml:space="preserve"> Drilon AE, Doebele RC, Kim D-W, Lin JJ, Lee J, Ahn M-J, Zhu VW, Ejadi S, Camidge DR: Safety and preliminary clinical activity of repotrectinib in patients with advanced ROS1 fusion-positive non-small cell lung cancer (TRIDENT-1 study). </w:t>
      </w:r>
      <w:r w:rsidRPr="002772D1">
        <w:rPr>
          <w:rFonts w:ascii="Book Antiqua" w:hAnsi="Book Antiqua"/>
          <w:i/>
          <w:iCs/>
        </w:rPr>
        <w:t>J Clin Oncol</w:t>
      </w:r>
      <w:r w:rsidRPr="002772D1">
        <w:rPr>
          <w:rFonts w:ascii="Book Antiqua" w:hAnsi="Book Antiqua"/>
        </w:rPr>
        <w:t xml:space="preserve"> 2019</w:t>
      </w:r>
      <w:r w:rsidR="00A24058" w:rsidRPr="002772D1">
        <w:rPr>
          <w:rFonts w:ascii="Book Antiqua" w:hAnsi="Book Antiqua"/>
        </w:rPr>
        <w:t>;</w:t>
      </w:r>
      <w:r w:rsidRPr="002772D1">
        <w:rPr>
          <w:rFonts w:ascii="Book Antiqua" w:hAnsi="Book Antiqua"/>
        </w:rPr>
        <w:t xml:space="preserve"> </w:t>
      </w:r>
      <w:r w:rsidRPr="002772D1">
        <w:rPr>
          <w:rFonts w:ascii="Book Antiqua" w:hAnsi="Book Antiqua"/>
          <w:b/>
          <w:bCs/>
        </w:rPr>
        <w:t>37</w:t>
      </w:r>
      <w:r w:rsidRPr="002772D1">
        <w:rPr>
          <w:rFonts w:ascii="Book Antiqua" w:hAnsi="Book Antiqua"/>
        </w:rPr>
        <w:t>: 9011 [DOI: 10.1200/JCO.2019.37.15_suppl.9011]</w:t>
      </w:r>
    </w:p>
    <w:p w14:paraId="6CDE323B"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73 </w:t>
      </w:r>
      <w:r w:rsidRPr="002772D1">
        <w:rPr>
          <w:rFonts w:ascii="Book Antiqua" w:hAnsi="Book Antiqua"/>
          <w:b/>
          <w:bCs/>
        </w:rPr>
        <w:t>Watanabe J</w:t>
      </w:r>
      <w:r w:rsidRPr="002772D1">
        <w:rPr>
          <w:rFonts w:ascii="Book Antiqua" w:hAnsi="Book Antiqua"/>
        </w:rPr>
        <w:t xml:space="preserve">, Furuya N, Fujiwara Y. Appearance of a BRAF Mutation Conferring Resistance to Crizotinib in Non-Small Cell Lung Cancer Harboring Oncogenic ROS1 Fusion. </w:t>
      </w:r>
      <w:r w:rsidRPr="002772D1">
        <w:rPr>
          <w:rFonts w:ascii="Book Antiqua" w:hAnsi="Book Antiqua"/>
          <w:i/>
          <w:iCs/>
        </w:rPr>
        <w:t>J Thorac Oncol</w:t>
      </w:r>
      <w:r w:rsidRPr="002772D1">
        <w:rPr>
          <w:rFonts w:ascii="Book Antiqua" w:hAnsi="Book Antiqua"/>
        </w:rPr>
        <w:t xml:space="preserve"> 2018; </w:t>
      </w:r>
      <w:r w:rsidRPr="002772D1">
        <w:rPr>
          <w:rFonts w:ascii="Book Antiqua" w:hAnsi="Book Antiqua"/>
          <w:b/>
          <w:bCs/>
        </w:rPr>
        <w:t>13</w:t>
      </w:r>
      <w:r w:rsidRPr="002772D1">
        <w:rPr>
          <w:rFonts w:ascii="Book Antiqua" w:hAnsi="Book Antiqua"/>
        </w:rPr>
        <w:t>: e66-e69 [PMID: 29576302 DOI: 10.1016/j.jtho.2017.11.125]</w:t>
      </w:r>
    </w:p>
    <w:p w14:paraId="2339FE57" w14:textId="64582F6B" w:rsidR="000F1AEF" w:rsidRPr="002772D1" w:rsidRDefault="000F1AEF" w:rsidP="00E06D87">
      <w:pPr>
        <w:spacing w:line="360" w:lineRule="auto"/>
        <w:jc w:val="both"/>
        <w:rPr>
          <w:rFonts w:ascii="Book Antiqua" w:hAnsi="Book Antiqua"/>
          <w:lang w:eastAsia="zh-CN"/>
        </w:rPr>
      </w:pPr>
      <w:r w:rsidRPr="002772D1">
        <w:rPr>
          <w:rFonts w:ascii="Book Antiqua" w:hAnsi="Book Antiqua"/>
        </w:rPr>
        <w:lastRenderedPageBreak/>
        <w:t xml:space="preserve">74 </w:t>
      </w:r>
      <w:r w:rsidRPr="002772D1">
        <w:rPr>
          <w:rFonts w:ascii="Book Antiqua" w:hAnsi="Book Antiqua"/>
          <w:b/>
          <w:bCs/>
        </w:rPr>
        <w:t>Lin JJ</w:t>
      </w:r>
      <w:r w:rsidRPr="002772D1">
        <w:rPr>
          <w:rFonts w:ascii="Book Antiqua" w:hAnsi="Book Antiqua"/>
        </w:rPr>
        <w:t xml:space="preserve">, Johnson T, Lennerz JK, Lee C, Hubbeling HG, Yeap BY, Dagogo-Jack I, Gainor JF, Shaw AT. Resistance to lorlatinib in ROS1 fusion-positive non-small cell lung cancer. </w:t>
      </w:r>
      <w:r w:rsidRPr="002772D1">
        <w:rPr>
          <w:rFonts w:ascii="Book Antiqua" w:hAnsi="Book Antiqua"/>
          <w:i/>
          <w:iCs/>
        </w:rPr>
        <w:t>ASCO</w:t>
      </w:r>
      <w:r w:rsidRPr="002772D1">
        <w:rPr>
          <w:rFonts w:ascii="Book Antiqua" w:hAnsi="Book Antiqua"/>
        </w:rPr>
        <w:t xml:space="preserve"> 2020</w:t>
      </w:r>
      <w:r w:rsidR="00C12DBA" w:rsidRPr="002772D1">
        <w:rPr>
          <w:rFonts w:ascii="Book Antiqua" w:hAnsi="Book Antiqua" w:hint="eastAsia"/>
          <w:lang w:eastAsia="zh-CN"/>
        </w:rPr>
        <w:t xml:space="preserve"> [DOI: </w:t>
      </w:r>
      <w:r w:rsidR="00C12DBA" w:rsidRPr="002772D1">
        <w:rPr>
          <w:rFonts w:ascii="Book Antiqua" w:hAnsi="Book Antiqua"/>
          <w:lang w:eastAsia="zh-CN"/>
        </w:rPr>
        <w:t>10.1200/JCO.2020.38.15_suppl.9611</w:t>
      </w:r>
      <w:r w:rsidR="00C12DBA" w:rsidRPr="002772D1">
        <w:rPr>
          <w:rFonts w:ascii="Book Antiqua" w:hAnsi="Book Antiqua" w:hint="eastAsia"/>
          <w:lang w:eastAsia="zh-CN"/>
        </w:rPr>
        <w:t>]</w:t>
      </w:r>
    </w:p>
    <w:p w14:paraId="02DF21A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75 </w:t>
      </w:r>
      <w:r w:rsidRPr="002772D1">
        <w:rPr>
          <w:rFonts w:ascii="Book Antiqua" w:hAnsi="Book Antiqua"/>
          <w:b/>
          <w:bCs/>
        </w:rPr>
        <w:t>Leonetti A</w:t>
      </w:r>
      <w:r w:rsidRPr="002772D1">
        <w:rPr>
          <w:rFonts w:ascii="Book Antiqua" w:hAnsi="Book Antiqua"/>
        </w:rPr>
        <w:t xml:space="preserve">, Facchinetti F, Rossi G, Minari R, Conti A, Friboulet L, Tiseo M, Planchard D. BRAF in non-small cell lung cancer (NSCLC): Pickaxing another brick in the wall. </w:t>
      </w:r>
      <w:r w:rsidRPr="002772D1">
        <w:rPr>
          <w:rFonts w:ascii="Book Antiqua" w:hAnsi="Book Antiqua"/>
          <w:i/>
          <w:iCs/>
        </w:rPr>
        <w:t>Cancer Treat Rev</w:t>
      </w:r>
      <w:r w:rsidRPr="002772D1">
        <w:rPr>
          <w:rFonts w:ascii="Book Antiqua" w:hAnsi="Book Antiqua"/>
        </w:rPr>
        <w:t xml:space="preserve"> 2018; </w:t>
      </w:r>
      <w:r w:rsidRPr="002772D1">
        <w:rPr>
          <w:rFonts w:ascii="Book Antiqua" w:hAnsi="Book Antiqua"/>
          <w:b/>
          <w:bCs/>
        </w:rPr>
        <w:t>66</w:t>
      </w:r>
      <w:r w:rsidRPr="002772D1">
        <w:rPr>
          <w:rFonts w:ascii="Book Antiqua" w:hAnsi="Book Antiqua"/>
        </w:rPr>
        <w:t>: 82-94 [PMID: 29729495 DOI: 10.1016/j.ctrv.2018.04.006]</w:t>
      </w:r>
    </w:p>
    <w:p w14:paraId="451AD98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76 </w:t>
      </w:r>
      <w:r w:rsidRPr="002772D1">
        <w:rPr>
          <w:rFonts w:ascii="Book Antiqua" w:hAnsi="Book Antiqua"/>
          <w:b/>
          <w:bCs/>
        </w:rPr>
        <w:t>Palanisamy N</w:t>
      </w:r>
      <w:r w:rsidRPr="002772D1">
        <w:rPr>
          <w:rFonts w:ascii="Book Antiqua" w:hAnsi="Book Antiqua"/>
        </w:rPr>
        <w:t xml:space="preserve">, Ateeq B, Kalyana-Sundaram S, Pflueger D, Ramnarayanan K, Shankar S, Han B, Cao Q, Cao X, Suleman K, Kumar-Sinha C, Dhanasekaran SM, Chen YB, Esgueva R, Banerjee S, LaFargue CJ, Siddiqui J, Demichelis F, Moeller P, Bismar TA, Kuefer R, Fullen DR, Johnson TM, Greenson JK, Giordano TJ, Tan P, Tomlins SA, Varambally S, Rubin MA, Maher CA, Chinnaiyan AM. Rearrangements of the RAF kinase pathway in prostate cancer, gastric cancer and melanoma. </w:t>
      </w:r>
      <w:r w:rsidRPr="002772D1">
        <w:rPr>
          <w:rFonts w:ascii="Book Antiqua" w:hAnsi="Book Antiqua"/>
          <w:i/>
          <w:iCs/>
        </w:rPr>
        <w:t>Nat Med</w:t>
      </w:r>
      <w:r w:rsidRPr="002772D1">
        <w:rPr>
          <w:rFonts w:ascii="Book Antiqua" w:hAnsi="Book Antiqua"/>
        </w:rPr>
        <w:t xml:space="preserve"> 2010; </w:t>
      </w:r>
      <w:r w:rsidRPr="002772D1">
        <w:rPr>
          <w:rFonts w:ascii="Book Antiqua" w:hAnsi="Book Antiqua"/>
          <w:b/>
          <w:bCs/>
        </w:rPr>
        <w:t>16</w:t>
      </w:r>
      <w:r w:rsidRPr="002772D1">
        <w:rPr>
          <w:rFonts w:ascii="Book Antiqua" w:hAnsi="Book Antiqua"/>
        </w:rPr>
        <w:t>: 793-798 [PMID: 20526349 DOI: 10.1038/nm.2166]</w:t>
      </w:r>
    </w:p>
    <w:p w14:paraId="32183CC2"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77 </w:t>
      </w:r>
      <w:r w:rsidRPr="002772D1">
        <w:rPr>
          <w:rFonts w:ascii="Book Antiqua" w:hAnsi="Book Antiqua"/>
          <w:b/>
          <w:bCs/>
        </w:rPr>
        <w:t>Planchard D</w:t>
      </w:r>
      <w:r w:rsidRPr="002772D1">
        <w:rPr>
          <w:rFonts w:ascii="Book Antiqua" w:hAnsi="Book Antiqua"/>
        </w:rPr>
        <w:t>, Smit EF, Groen HJM, Mazieres J, Besse B, Helland Å, Giannone V, D'Amelio AM Jr, Zhang P, Mookerjee B, Johnson BE. Dabrafenib plus trametinib in patients with previously untreated BRAF</w:t>
      </w:r>
      <w:r w:rsidRPr="002772D1">
        <w:rPr>
          <w:rFonts w:ascii="Book Antiqua" w:hAnsi="Book Antiqua"/>
          <w:vertAlign w:val="superscript"/>
        </w:rPr>
        <w:t>V600E</w:t>
      </w:r>
      <w:r w:rsidRPr="002772D1">
        <w:rPr>
          <w:rFonts w:ascii="Book Antiqua" w:hAnsi="Book Antiqua"/>
        </w:rPr>
        <w:t xml:space="preserve">-mutant metastatic non-small-cell lung cancer: an open-label, phase 2 trial. </w:t>
      </w:r>
      <w:r w:rsidRPr="002772D1">
        <w:rPr>
          <w:rFonts w:ascii="Book Antiqua" w:hAnsi="Book Antiqua"/>
          <w:i/>
          <w:iCs/>
        </w:rPr>
        <w:t>Lancet Oncol</w:t>
      </w:r>
      <w:r w:rsidRPr="002772D1">
        <w:rPr>
          <w:rFonts w:ascii="Book Antiqua" w:hAnsi="Book Antiqua"/>
        </w:rPr>
        <w:t xml:space="preserve"> 2017; </w:t>
      </w:r>
      <w:r w:rsidRPr="002772D1">
        <w:rPr>
          <w:rFonts w:ascii="Book Antiqua" w:hAnsi="Book Antiqua"/>
          <w:b/>
          <w:bCs/>
        </w:rPr>
        <w:t>18</w:t>
      </w:r>
      <w:r w:rsidRPr="002772D1">
        <w:rPr>
          <w:rFonts w:ascii="Book Antiqua" w:hAnsi="Book Antiqua"/>
        </w:rPr>
        <w:t>: 1307-1316 [PMID: 28919011 DOI: 10.1016/S1470-2045(17)30679-4]</w:t>
      </w:r>
    </w:p>
    <w:p w14:paraId="66DF9CB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78 </w:t>
      </w:r>
      <w:r w:rsidRPr="002772D1">
        <w:rPr>
          <w:rFonts w:ascii="Book Antiqua" w:hAnsi="Book Antiqua"/>
          <w:b/>
          <w:bCs/>
        </w:rPr>
        <w:t>Casadei Gardini A</w:t>
      </w:r>
      <w:r w:rsidRPr="002772D1">
        <w:rPr>
          <w:rFonts w:ascii="Book Antiqua" w:hAnsi="Book Antiqua"/>
        </w:rPr>
        <w:t xml:space="preserve">, Chiadini E, Faloppi L, Marisi G, Delmonte A, Scartozzi M, Loretelli C, Lucchesi A, Oboldi D, Dubini A, Frassineti GL, Ulivi P. Efficacy of sorafenib in BRAF-mutated non-small-cell lung cancer (NSCLC) and no response in synchronous BRAF wild type-hepatocellular carcinoma: a case report. </w:t>
      </w:r>
      <w:r w:rsidRPr="002772D1">
        <w:rPr>
          <w:rFonts w:ascii="Book Antiqua" w:hAnsi="Book Antiqua"/>
          <w:i/>
          <w:iCs/>
        </w:rPr>
        <w:t>BMC Cancer</w:t>
      </w:r>
      <w:r w:rsidRPr="002772D1">
        <w:rPr>
          <w:rFonts w:ascii="Book Antiqua" w:hAnsi="Book Antiqua"/>
        </w:rPr>
        <w:t xml:space="preserve"> 2016; </w:t>
      </w:r>
      <w:r w:rsidRPr="002772D1">
        <w:rPr>
          <w:rFonts w:ascii="Book Antiqua" w:hAnsi="Book Antiqua"/>
          <w:b/>
          <w:bCs/>
        </w:rPr>
        <w:t>16</w:t>
      </w:r>
      <w:r w:rsidRPr="002772D1">
        <w:rPr>
          <w:rFonts w:ascii="Book Antiqua" w:hAnsi="Book Antiqua"/>
        </w:rPr>
        <w:t>: 429 [PMID: 27388325 DOI: 10.1186/s12885-016-2463-2]</w:t>
      </w:r>
    </w:p>
    <w:p w14:paraId="2B8CFCB1"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79 </w:t>
      </w:r>
      <w:r w:rsidRPr="002772D1">
        <w:rPr>
          <w:rFonts w:ascii="Book Antiqua" w:hAnsi="Book Antiqua"/>
          <w:b/>
          <w:bCs/>
        </w:rPr>
        <w:t>Sereno M</w:t>
      </w:r>
      <w:r w:rsidRPr="002772D1">
        <w:rPr>
          <w:rFonts w:ascii="Book Antiqua" w:hAnsi="Book Antiqua"/>
        </w:rPr>
        <w:t xml:space="preserve">, Moreno V, Moreno Rubio J, Gómez-Raposo C, García Sánchez S, Hernández Jusdado R, Falagan S, Zambrana Tébar F, Casado Sáenz E. A significant response to sorafenib in a woman with advanced lung adenocarcinoma and a BRAF non-V600 mutation. </w:t>
      </w:r>
      <w:r w:rsidRPr="002772D1">
        <w:rPr>
          <w:rFonts w:ascii="Book Antiqua" w:hAnsi="Book Antiqua"/>
          <w:i/>
          <w:iCs/>
        </w:rPr>
        <w:t>Anticancer Drugs</w:t>
      </w:r>
      <w:r w:rsidRPr="002772D1">
        <w:rPr>
          <w:rFonts w:ascii="Book Antiqua" w:hAnsi="Book Antiqua"/>
        </w:rPr>
        <w:t xml:space="preserve"> 2015; </w:t>
      </w:r>
      <w:r w:rsidRPr="002772D1">
        <w:rPr>
          <w:rFonts w:ascii="Book Antiqua" w:hAnsi="Book Antiqua"/>
          <w:b/>
          <w:bCs/>
        </w:rPr>
        <w:t>26</w:t>
      </w:r>
      <w:r w:rsidRPr="002772D1">
        <w:rPr>
          <w:rFonts w:ascii="Book Antiqua" w:hAnsi="Book Antiqua"/>
        </w:rPr>
        <w:t>: 1004-1007 [PMID: 26237499 DOI: 10.1097/CAD.0000000000000277]</w:t>
      </w:r>
    </w:p>
    <w:p w14:paraId="5AC6D9B5"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80 </w:t>
      </w:r>
      <w:r w:rsidRPr="002772D1">
        <w:rPr>
          <w:rFonts w:ascii="Book Antiqua" w:hAnsi="Book Antiqua"/>
          <w:b/>
          <w:bCs/>
        </w:rPr>
        <w:t>Chao MV</w:t>
      </w:r>
      <w:r w:rsidRPr="002772D1">
        <w:rPr>
          <w:rFonts w:ascii="Book Antiqua" w:hAnsi="Book Antiqua"/>
        </w:rPr>
        <w:t xml:space="preserve">. Neurotrophins and their receptors: a convergence point for many signalling pathways. </w:t>
      </w:r>
      <w:r w:rsidRPr="002772D1">
        <w:rPr>
          <w:rFonts w:ascii="Book Antiqua" w:hAnsi="Book Antiqua"/>
          <w:i/>
          <w:iCs/>
        </w:rPr>
        <w:t>Nat Rev Neurosci</w:t>
      </w:r>
      <w:r w:rsidRPr="002772D1">
        <w:rPr>
          <w:rFonts w:ascii="Book Antiqua" w:hAnsi="Book Antiqua"/>
        </w:rPr>
        <w:t xml:space="preserve"> 2003; </w:t>
      </w:r>
      <w:r w:rsidRPr="002772D1">
        <w:rPr>
          <w:rFonts w:ascii="Book Antiqua" w:hAnsi="Book Antiqua"/>
          <w:b/>
          <w:bCs/>
        </w:rPr>
        <w:t>4</w:t>
      </w:r>
      <w:r w:rsidRPr="002772D1">
        <w:rPr>
          <w:rFonts w:ascii="Book Antiqua" w:hAnsi="Book Antiqua"/>
        </w:rPr>
        <w:t>: 299-309 [PMID: 12671646 DOI: 10.1038/nrn1078]</w:t>
      </w:r>
    </w:p>
    <w:p w14:paraId="199AD291"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81 </w:t>
      </w:r>
      <w:r w:rsidRPr="002772D1">
        <w:rPr>
          <w:rFonts w:ascii="Book Antiqua" w:hAnsi="Book Antiqua"/>
          <w:b/>
          <w:bCs/>
        </w:rPr>
        <w:t>Stransky N</w:t>
      </w:r>
      <w:r w:rsidRPr="002772D1">
        <w:rPr>
          <w:rFonts w:ascii="Book Antiqua" w:hAnsi="Book Antiqua"/>
        </w:rPr>
        <w:t xml:space="preserve">, Cerami E, Schalm S, Kim JL, Lengauer C. The landscape of kinase fusions in cancer. </w:t>
      </w:r>
      <w:r w:rsidRPr="002772D1">
        <w:rPr>
          <w:rFonts w:ascii="Book Antiqua" w:hAnsi="Book Antiqua"/>
          <w:i/>
          <w:iCs/>
        </w:rPr>
        <w:t>Nat Commun</w:t>
      </w:r>
      <w:r w:rsidRPr="002772D1">
        <w:rPr>
          <w:rFonts w:ascii="Book Antiqua" w:hAnsi="Book Antiqua"/>
        </w:rPr>
        <w:t xml:space="preserve"> 2014; </w:t>
      </w:r>
      <w:r w:rsidRPr="002772D1">
        <w:rPr>
          <w:rFonts w:ascii="Book Antiqua" w:hAnsi="Book Antiqua"/>
          <w:b/>
          <w:bCs/>
        </w:rPr>
        <w:t>5</w:t>
      </w:r>
      <w:r w:rsidRPr="002772D1">
        <w:rPr>
          <w:rFonts w:ascii="Book Antiqua" w:hAnsi="Book Antiqua"/>
        </w:rPr>
        <w:t>: 4846 [PMID: 25204415 DOI: 10.1038/ncomms5846]</w:t>
      </w:r>
    </w:p>
    <w:p w14:paraId="638CC80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82 </w:t>
      </w:r>
      <w:r w:rsidRPr="002772D1">
        <w:rPr>
          <w:rFonts w:ascii="Book Antiqua" w:hAnsi="Book Antiqua"/>
          <w:b/>
          <w:bCs/>
        </w:rPr>
        <w:t>Vaishnavi A</w:t>
      </w:r>
      <w:r w:rsidRPr="002772D1">
        <w:rPr>
          <w:rFonts w:ascii="Book Antiqua" w:hAnsi="Book Antiqua"/>
        </w:rPr>
        <w:t xml:space="preserve">, Le AT, Doebele RC. TRKing down an old oncogene in a new era of targeted therapy. </w:t>
      </w:r>
      <w:r w:rsidRPr="002772D1">
        <w:rPr>
          <w:rFonts w:ascii="Book Antiqua" w:hAnsi="Book Antiqua"/>
          <w:i/>
          <w:iCs/>
        </w:rPr>
        <w:t>Cancer Discov</w:t>
      </w:r>
      <w:r w:rsidRPr="002772D1">
        <w:rPr>
          <w:rFonts w:ascii="Book Antiqua" w:hAnsi="Book Antiqua"/>
        </w:rPr>
        <w:t xml:space="preserve"> 2015; </w:t>
      </w:r>
      <w:r w:rsidRPr="002772D1">
        <w:rPr>
          <w:rFonts w:ascii="Book Antiqua" w:hAnsi="Book Antiqua"/>
          <w:b/>
          <w:bCs/>
        </w:rPr>
        <w:t>5</w:t>
      </w:r>
      <w:r w:rsidRPr="002772D1">
        <w:rPr>
          <w:rFonts w:ascii="Book Antiqua" w:hAnsi="Book Antiqua"/>
        </w:rPr>
        <w:t>: 25-34 [PMID: 25527197 DOI: 10.1158/2159-8290.CD-14-0765]</w:t>
      </w:r>
    </w:p>
    <w:p w14:paraId="2AE2E66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83 </w:t>
      </w:r>
      <w:r w:rsidRPr="002772D1">
        <w:rPr>
          <w:rFonts w:ascii="Book Antiqua" w:hAnsi="Book Antiqua"/>
          <w:b/>
          <w:bCs/>
        </w:rPr>
        <w:t>Marchiò C</w:t>
      </w:r>
      <w:r w:rsidRPr="002772D1">
        <w:rPr>
          <w:rFonts w:ascii="Book Antiqua" w:hAnsi="Book Antiqua"/>
        </w:rPr>
        <w:t xml:space="preserve">, Scaltriti M, Ladanyi M, Iafrate AJ, Bibeau F, Dietel M, Hechtman JF, Troiani T, López-Rios F, Douillard JY, Andrè F, Reis-Filho JS. ESMO recommendations on the standard methods to detect NTRK fusions in daily practice and clinical research. </w:t>
      </w:r>
      <w:r w:rsidRPr="002772D1">
        <w:rPr>
          <w:rFonts w:ascii="Book Antiqua" w:hAnsi="Book Antiqua"/>
          <w:i/>
          <w:iCs/>
        </w:rPr>
        <w:t>Ann Oncol</w:t>
      </w:r>
      <w:r w:rsidRPr="002772D1">
        <w:rPr>
          <w:rFonts w:ascii="Book Antiqua" w:hAnsi="Book Antiqua"/>
        </w:rPr>
        <w:t xml:space="preserve"> 2019; </w:t>
      </w:r>
      <w:r w:rsidRPr="002772D1">
        <w:rPr>
          <w:rFonts w:ascii="Book Antiqua" w:hAnsi="Book Antiqua"/>
          <w:b/>
          <w:bCs/>
        </w:rPr>
        <w:t>30</w:t>
      </w:r>
      <w:r w:rsidRPr="002772D1">
        <w:rPr>
          <w:rFonts w:ascii="Book Antiqua" w:hAnsi="Book Antiqua"/>
        </w:rPr>
        <w:t>: 1417-1427 [PMID: 31268127 DOI: 10.1093/annonc/mdz204]</w:t>
      </w:r>
    </w:p>
    <w:p w14:paraId="5DAE9F50"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84 </w:t>
      </w:r>
      <w:r w:rsidRPr="002772D1">
        <w:rPr>
          <w:rFonts w:ascii="Book Antiqua" w:hAnsi="Book Antiqua"/>
          <w:b/>
          <w:bCs/>
        </w:rPr>
        <w:t>Tognon C</w:t>
      </w:r>
      <w:r w:rsidRPr="002772D1">
        <w:rPr>
          <w:rFonts w:ascii="Book Antiqua" w:hAnsi="Book Antiqua"/>
        </w:rPr>
        <w:t xml:space="preserve">, Garnett M, Kenward E, Kay R, Morrison K, Sorensen PH. The chimeric protein tyrosine kinase ETV6-NTRK3 requires both Ras-Erk1/2 and PI3-kinase-Akt signaling for fibroblast transformation. </w:t>
      </w:r>
      <w:r w:rsidRPr="002772D1">
        <w:rPr>
          <w:rFonts w:ascii="Book Antiqua" w:hAnsi="Book Antiqua"/>
          <w:i/>
          <w:iCs/>
        </w:rPr>
        <w:t>Cancer Res</w:t>
      </w:r>
      <w:r w:rsidRPr="002772D1">
        <w:rPr>
          <w:rFonts w:ascii="Book Antiqua" w:hAnsi="Book Antiqua"/>
        </w:rPr>
        <w:t xml:space="preserve"> 2001; </w:t>
      </w:r>
      <w:r w:rsidRPr="002772D1">
        <w:rPr>
          <w:rFonts w:ascii="Book Antiqua" w:hAnsi="Book Antiqua"/>
          <w:b/>
          <w:bCs/>
        </w:rPr>
        <w:t>61</w:t>
      </w:r>
      <w:r w:rsidRPr="002772D1">
        <w:rPr>
          <w:rFonts w:ascii="Book Antiqua" w:hAnsi="Book Antiqua"/>
        </w:rPr>
        <w:t>: 8909-8916 [PMID: 11751416]</w:t>
      </w:r>
    </w:p>
    <w:p w14:paraId="0F22B75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85 </w:t>
      </w:r>
      <w:r w:rsidRPr="002772D1">
        <w:rPr>
          <w:rFonts w:ascii="Book Antiqua" w:hAnsi="Book Antiqua"/>
          <w:b/>
          <w:bCs/>
        </w:rPr>
        <w:t>Haratake N</w:t>
      </w:r>
      <w:r w:rsidRPr="002772D1">
        <w:rPr>
          <w:rFonts w:ascii="Book Antiqua" w:hAnsi="Book Antiqua"/>
        </w:rPr>
        <w:t xml:space="preserve">, Seto T. NTRK Fusion-positive Non-small-cell Lung Cancer: The Diagnosis and Targeted Therapy. </w:t>
      </w:r>
      <w:r w:rsidRPr="002772D1">
        <w:rPr>
          <w:rFonts w:ascii="Book Antiqua" w:hAnsi="Book Antiqua"/>
          <w:i/>
          <w:iCs/>
        </w:rPr>
        <w:t>Clin Lung Cancer</w:t>
      </w:r>
      <w:r w:rsidRPr="002772D1">
        <w:rPr>
          <w:rFonts w:ascii="Book Antiqua" w:hAnsi="Book Antiqua"/>
        </w:rPr>
        <w:t xml:space="preserve"> 2021; </w:t>
      </w:r>
      <w:r w:rsidRPr="002772D1">
        <w:rPr>
          <w:rFonts w:ascii="Book Antiqua" w:hAnsi="Book Antiqua"/>
          <w:b/>
          <w:bCs/>
        </w:rPr>
        <w:t>22</w:t>
      </w:r>
      <w:r w:rsidRPr="002772D1">
        <w:rPr>
          <w:rFonts w:ascii="Book Antiqua" w:hAnsi="Book Antiqua"/>
        </w:rPr>
        <w:t>: 1-5 [PMID: 33272813 DOI: 10.1016/j.cllc.2020.10.013]</w:t>
      </w:r>
    </w:p>
    <w:p w14:paraId="41E0B1C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86 </w:t>
      </w:r>
      <w:r w:rsidRPr="002772D1">
        <w:rPr>
          <w:rFonts w:ascii="Book Antiqua" w:hAnsi="Book Antiqua"/>
          <w:b/>
          <w:bCs/>
        </w:rPr>
        <w:t>Gatalica Z</w:t>
      </w:r>
      <w:r w:rsidRPr="002772D1">
        <w:rPr>
          <w:rFonts w:ascii="Book Antiqua" w:hAnsi="Book Antiqua"/>
        </w:rPr>
        <w:t xml:space="preserve">, Xiu J, Swensen J, Vranic S. Molecular characterization of cancers with NTRK gene fusions. </w:t>
      </w:r>
      <w:r w:rsidRPr="002772D1">
        <w:rPr>
          <w:rFonts w:ascii="Book Antiqua" w:hAnsi="Book Antiqua"/>
          <w:i/>
          <w:iCs/>
        </w:rPr>
        <w:t>Mod Pathol</w:t>
      </w:r>
      <w:r w:rsidRPr="002772D1">
        <w:rPr>
          <w:rFonts w:ascii="Book Antiqua" w:hAnsi="Book Antiqua"/>
        </w:rPr>
        <w:t xml:space="preserve"> 2019; </w:t>
      </w:r>
      <w:r w:rsidRPr="002772D1">
        <w:rPr>
          <w:rFonts w:ascii="Book Antiqua" w:hAnsi="Book Antiqua"/>
          <w:b/>
          <w:bCs/>
        </w:rPr>
        <w:t>32</w:t>
      </w:r>
      <w:r w:rsidRPr="002772D1">
        <w:rPr>
          <w:rFonts w:ascii="Book Antiqua" w:hAnsi="Book Antiqua"/>
        </w:rPr>
        <w:t>: 147-153 [PMID: 30171197 DOI: 10.1038/s41379-018-0118-3]</w:t>
      </w:r>
    </w:p>
    <w:p w14:paraId="64107D46"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87 </w:t>
      </w:r>
      <w:r w:rsidRPr="002772D1">
        <w:rPr>
          <w:rFonts w:ascii="Book Antiqua" w:hAnsi="Book Antiqua"/>
          <w:b/>
          <w:bCs/>
        </w:rPr>
        <w:t>Doebele RC</w:t>
      </w:r>
      <w:r w:rsidRPr="002772D1">
        <w:rPr>
          <w:rFonts w:ascii="Book Antiqua" w:hAnsi="Book Antiqua"/>
        </w:rPr>
        <w:t xml:space="preserve">, Drilon A, Paz-Ares L, Siena S, Shaw AT, Farago AF, Blakely CM, Seto T, Cho BC, Tosi D, Besse B, Chawla SP, Bazhenova L, Krauss JC, Chae YK, Barve M, Garrido-Laguna I, Liu SV, Conkling P, John T, Fakih M, Sigal D, Loong HH, Buchschacher GL Jr, Garrido P, Nieva J, Steuer C, Overbeck TR, Bowles DW, Fox E, Riehl T, Chow-Maneval E, Simmons B, Cui N, Johnson A, Eng S, Wilson TR, Demetri GD; trial investigators. Entrectinib in patients with advanced or metastatic NTRK </w:t>
      </w:r>
      <w:r w:rsidRPr="002772D1">
        <w:rPr>
          <w:rFonts w:ascii="Book Antiqua" w:hAnsi="Book Antiqua"/>
        </w:rPr>
        <w:lastRenderedPageBreak/>
        <w:t xml:space="preserve">fusion-positive solid tumours: integrated analysis of three phase 1-2 trials. </w:t>
      </w:r>
      <w:r w:rsidRPr="002772D1">
        <w:rPr>
          <w:rFonts w:ascii="Book Antiqua" w:hAnsi="Book Antiqua"/>
          <w:i/>
          <w:iCs/>
        </w:rPr>
        <w:t>Lancet Oncol</w:t>
      </w:r>
      <w:r w:rsidRPr="002772D1">
        <w:rPr>
          <w:rFonts w:ascii="Book Antiqua" w:hAnsi="Book Antiqua"/>
        </w:rPr>
        <w:t xml:space="preserve"> 2020; </w:t>
      </w:r>
      <w:r w:rsidRPr="002772D1">
        <w:rPr>
          <w:rFonts w:ascii="Book Antiqua" w:hAnsi="Book Antiqua"/>
          <w:b/>
          <w:bCs/>
        </w:rPr>
        <w:t>21</w:t>
      </w:r>
      <w:r w:rsidRPr="002772D1">
        <w:rPr>
          <w:rFonts w:ascii="Book Antiqua" w:hAnsi="Book Antiqua"/>
        </w:rPr>
        <w:t>: 271-282 [PMID: 31838007 DOI: 10.1016/S1470-2045(19)30691-6]</w:t>
      </w:r>
    </w:p>
    <w:p w14:paraId="67A2D4CC"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88 </w:t>
      </w:r>
      <w:r w:rsidRPr="002772D1">
        <w:rPr>
          <w:rFonts w:ascii="Book Antiqua" w:hAnsi="Book Antiqua"/>
          <w:b/>
          <w:bCs/>
        </w:rPr>
        <w:t>Siena S,</w:t>
      </w:r>
      <w:r w:rsidRPr="002772D1">
        <w:rPr>
          <w:rFonts w:ascii="Book Antiqua" w:hAnsi="Book Antiqua"/>
        </w:rPr>
        <w:t xml:space="preserve"> Doebele RC, Shaw AT, Karapetis CS, Tan DS-W, Cho BC, Kim D-W, Ahn M-J, Krebs M, Goto K. Efficacy of entrectinib in patients (pts) with solid tumors and central nervous system (CNS) metastases: Integrated analysis from three clinical trials. </w:t>
      </w:r>
      <w:r w:rsidRPr="002772D1">
        <w:rPr>
          <w:rFonts w:ascii="Book Antiqua" w:hAnsi="Book Antiqua"/>
          <w:i/>
          <w:iCs/>
        </w:rPr>
        <w:t xml:space="preserve">ASCO </w:t>
      </w:r>
      <w:r w:rsidRPr="002772D1">
        <w:rPr>
          <w:rFonts w:ascii="Book Antiqua" w:hAnsi="Book Antiqua"/>
        </w:rPr>
        <w:t>2019 [DOI: 10.1200/JCO.2019.37.15_suppl.3017]</w:t>
      </w:r>
    </w:p>
    <w:p w14:paraId="6CCA854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89 </w:t>
      </w:r>
      <w:r w:rsidRPr="002772D1">
        <w:rPr>
          <w:rFonts w:ascii="Book Antiqua" w:hAnsi="Book Antiqua"/>
          <w:b/>
          <w:bCs/>
        </w:rPr>
        <w:t xml:space="preserve">FDA. </w:t>
      </w:r>
      <w:r w:rsidRPr="002772D1">
        <w:rPr>
          <w:rFonts w:ascii="Book Antiqua" w:hAnsi="Book Antiqua"/>
        </w:rPr>
        <w:t>FDA approves entrectinib for NTRK solid tumors and ROS-1 NSCLC. [cited 26 December 2020]. Available from: https://www.fda.gov/drugs/resources-information-approved-drugs/fda-approves-entrectinib-ntrk-solid-tumors-and-ros-1-nsclc</w:t>
      </w:r>
    </w:p>
    <w:p w14:paraId="3068CA1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90 </w:t>
      </w:r>
      <w:r w:rsidRPr="002772D1">
        <w:rPr>
          <w:rFonts w:ascii="Book Antiqua" w:hAnsi="Book Antiqua"/>
          <w:b/>
          <w:bCs/>
        </w:rPr>
        <w:t xml:space="preserve">FDA. </w:t>
      </w:r>
      <w:r w:rsidRPr="002772D1">
        <w:rPr>
          <w:rFonts w:ascii="Book Antiqua" w:hAnsi="Book Antiqua"/>
        </w:rPr>
        <w:t>FDA approves larotrectinib for solid tumors with NTRK gene fusions. [cited 26 December 2020]. Available from: https://www.fda.gov/drugs/fda-approves-larotrectinib-solid-tumors-ntrk-gene-fusions</w:t>
      </w:r>
    </w:p>
    <w:p w14:paraId="3F1DBC9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91 </w:t>
      </w:r>
      <w:r w:rsidRPr="002772D1">
        <w:rPr>
          <w:rFonts w:ascii="Book Antiqua" w:hAnsi="Book Antiqua"/>
          <w:b/>
          <w:bCs/>
        </w:rPr>
        <w:t>Drilon A</w:t>
      </w:r>
      <w:r w:rsidRPr="002772D1">
        <w:rPr>
          <w:rFonts w:ascii="Book Antiqua" w:hAnsi="Book Antiqua"/>
        </w:rPr>
        <w:t xml:space="preserve">, Nagasubramanian R, Blake JF, Ku N, Tuch BB, Ebata K, Smith S, Lauriault V, Kolakowski GR, Brandhuber BJ, Larsen PD, Bouhana KS, Winski SL, Hamor R, Wu WI, Parker A, Morales TH, Sullivan FX, DeWolf WE, Wollenberg LA, Gordon PR, Douglas-Lindsay DN, Scaltriti M, Benayed R, Raj S, Hanusch B, Schram AM, Jonsson P, Berger MF, Hechtman JF, Taylor BS, Andrews S, Rothenberg SM, Hyman DM. A Next-Generation TRK Kinase Inhibitor Overcomes Acquired Resistance to Prior TRK Kinase Inhibition in Patients with TRK Fusion-Positive Solid Tumors. </w:t>
      </w:r>
      <w:r w:rsidRPr="002772D1">
        <w:rPr>
          <w:rFonts w:ascii="Book Antiqua" w:hAnsi="Book Antiqua"/>
          <w:i/>
          <w:iCs/>
        </w:rPr>
        <w:t>Cancer Discov</w:t>
      </w:r>
      <w:r w:rsidRPr="002772D1">
        <w:rPr>
          <w:rFonts w:ascii="Book Antiqua" w:hAnsi="Book Antiqua"/>
        </w:rPr>
        <w:t xml:space="preserve"> 2017; </w:t>
      </w:r>
      <w:r w:rsidRPr="002772D1">
        <w:rPr>
          <w:rFonts w:ascii="Book Antiqua" w:hAnsi="Book Antiqua"/>
          <w:b/>
          <w:bCs/>
        </w:rPr>
        <w:t>7</w:t>
      </w:r>
      <w:r w:rsidRPr="002772D1">
        <w:rPr>
          <w:rFonts w:ascii="Book Antiqua" w:hAnsi="Book Antiqua"/>
        </w:rPr>
        <w:t>: 963-972 [PMID: 28578312 DOI: 10.1158/2159-8290.CD-17-0507]</w:t>
      </w:r>
    </w:p>
    <w:p w14:paraId="72D86D01" w14:textId="495D220A" w:rsidR="000F1AEF" w:rsidRPr="002772D1" w:rsidRDefault="000F1AEF" w:rsidP="00E06D87">
      <w:pPr>
        <w:spacing w:line="360" w:lineRule="auto"/>
        <w:jc w:val="both"/>
        <w:rPr>
          <w:rFonts w:ascii="Book Antiqua" w:hAnsi="Book Antiqua"/>
        </w:rPr>
      </w:pPr>
      <w:r w:rsidRPr="002772D1">
        <w:rPr>
          <w:rFonts w:ascii="Book Antiqua" w:hAnsi="Book Antiqua"/>
        </w:rPr>
        <w:t xml:space="preserve">92 </w:t>
      </w:r>
      <w:r w:rsidRPr="002772D1">
        <w:rPr>
          <w:rFonts w:ascii="Book Antiqua" w:hAnsi="Book Antiqua"/>
          <w:b/>
          <w:bCs/>
        </w:rPr>
        <w:t>Hyman D,</w:t>
      </w:r>
      <w:r w:rsidRPr="002772D1">
        <w:rPr>
          <w:rFonts w:ascii="Book Antiqua" w:hAnsi="Book Antiqua"/>
        </w:rPr>
        <w:t xml:space="preserve"> Kummar S, Farago A, Geoerger B, Mau-Sorensen M, Taylor M, Garralda E, Nagasubramanian R, Natheson M, Song L</w:t>
      </w:r>
      <w:r w:rsidR="00A24058" w:rsidRPr="002772D1">
        <w:rPr>
          <w:rFonts w:ascii="Book Antiqua" w:hAnsi="Book Antiqua"/>
        </w:rPr>
        <w:t>.</w:t>
      </w:r>
      <w:r w:rsidRPr="002772D1">
        <w:rPr>
          <w:rFonts w:ascii="Book Antiqua" w:hAnsi="Book Antiqua"/>
        </w:rPr>
        <w:t xml:space="preserve"> Abstract CT127</w:t>
      </w:r>
      <w:r w:rsidR="00A24058" w:rsidRPr="002772D1">
        <w:rPr>
          <w:rFonts w:ascii="Book Antiqua" w:hAnsi="Book Antiqua"/>
        </w:rPr>
        <w:t>,</w:t>
      </w:r>
      <w:r w:rsidRPr="002772D1">
        <w:rPr>
          <w:rFonts w:ascii="Book Antiqua" w:hAnsi="Book Antiqua"/>
        </w:rPr>
        <w:t xml:space="preserve"> Phase I and expanded access experience of LOXO-195 (BAY 2731954), a selective next-generation TRK inhibitor (TRKi). </w:t>
      </w:r>
      <w:r w:rsidRPr="002772D1">
        <w:rPr>
          <w:rFonts w:ascii="Book Antiqua" w:hAnsi="Book Antiqua"/>
          <w:i/>
          <w:iCs/>
        </w:rPr>
        <w:t>AACR</w:t>
      </w:r>
      <w:r w:rsidRPr="002772D1">
        <w:rPr>
          <w:rFonts w:ascii="Book Antiqua" w:hAnsi="Book Antiqua"/>
        </w:rPr>
        <w:t xml:space="preserve"> 2019 [DOI: 10.1158/1538-7445.SABCS18-CT127]</w:t>
      </w:r>
    </w:p>
    <w:p w14:paraId="73DAA723" w14:textId="5B0990EF" w:rsidR="000F1AEF" w:rsidRPr="002772D1" w:rsidRDefault="000F1AEF" w:rsidP="00E06D87">
      <w:pPr>
        <w:spacing w:line="360" w:lineRule="auto"/>
        <w:jc w:val="both"/>
        <w:rPr>
          <w:rFonts w:ascii="Book Antiqua" w:hAnsi="Book Antiqua"/>
          <w:lang w:eastAsia="zh-CN"/>
        </w:rPr>
      </w:pPr>
      <w:r w:rsidRPr="002772D1">
        <w:rPr>
          <w:rFonts w:ascii="Book Antiqua" w:hAnsi="Book Antiqua"/>
        </w:rPr>
        <w:t xml:space="preserve">93 </w:t>
      </w:r>
      <w:r w:rsidRPr="002772D1">
        <w:rPr>
          <w:rFonts w:ascii="Book Antiqua" w:hAnsi="Book Antiqua"/>
          <w:b/>
          <w:bCs/>
        </w:rPr>
        <w:t>Drilon A,</w:t>
      </w:r>
      <w:r w:rsidRPr="002772D1">
        <w:rPr>
          <w:rFonts w:ascii="Book Antiqua" w:hAnsi="Book Antiqua"/>
        </w:rPr>
        <w:t xml:space="preserve"> Zhai D, Deng W, Zhang X, Lee D, Rogers E, Whitten J, Huang Z, Graber A, Liu J. Repotrectinib, a next generation TRK inhibitor, overcomes TRK resistance mutations including solvent front, gatekeeper and compound mutations. In AACR Annual Meeting. 2019. [cited 26 December 2020]. Available from: </w:t>
      </w:r>
      <w:r w:rsidR="00C12DBA" w:rsidRPr="002772D1">
        <w:rPr>
          <w:rFonts w:ascii="Book Antiqua" w:hAnsi="Book Antiqua"/>
        </w:rPr>
        <w:t>https://www.researchgate.net/publication/335047459_Abstract_442_Repotrectinib_a_</w:t>
      </w:r>
      <w:r w:rsidR="00C12DBA" w:rsidRPr="002772D1">
        <w:rPr>
          <w:rFonts w:ascii="Book Antiqua" w:hAnsi="Book Antiqua"/>
        </w:rPr>
        <w:lastRenderedPageBreak/>
        <w:t>next_generation_TRK_inhibitor_overcomes_TRK_resistance_mutations_including_solvent_front_gatekeeper_and_compound_mutations</w:t>
      </w:r>
      <w:r w:rsidR="00C12DBA" w:rsidRPr="002772D1">
        <w:rPr>
          <w:rFonts w:ascii="Book Antiqua" w:hAnsi="Book Antiqua" w:hint="eastAsia"/>
          <w:lang w:eastAsia="zh-CN"/>
        </w:rPr>
        <w:t xml:space="preserve"> [DOI: </w:t>
      </w:r>
      <w:r w:rsidR="00C12DBA" w:rsidRPr="002772D1">
        <w:rPr>
          <w:rFonts w:ascii="Book Antiqua" w:hAnsi="Book Antiqua"/>
          <w:lang w:eastAsia="zh-CN"/>
        </w:rPr>
        <w:t>10.1158/1538-7445.SABCS18-442</w:t>
      </w:r>
      <w:r w:rsidR="00C12DBA" w:rsidRPr="002772D1">
        <w:rPr>
          <w:rFonts w:ascii="Book Antiqua" w:hAnsi="Book Antiqua" w:hint="eastAsia"/>
          <w:lang w:eastAsia="zh-CN"/>
        </w:rPr>
        <w:t>]</w:t>
      </w:r>
    </w:p>
    <w:p w14:paraId="264AD996" w14:textId="77777777" w:rsidR="000F1AEF" w:rsidRPr="002772D1" w:rsidRDefault="000F1AEF" w:rsidP="00E06D87">
      <w:pPr>
        <w:spacing w:line="360" w:lineRule="auto"/>
        <w:jc w:val="both"/>
        <w:rPr>
          <w:rFonts w:ascii="Book Antiqua" w:hAnsi="Book Antiqua"/>
          <w:lang w:val="fr-CH"/>
        </w:rPr>
      </w:pPr>
      <w:proofErr w:type="gramStart"/>
      <w:r w:rsidRPr="002772D1">
        <w:rPr>
          <w:rFonts w:ascii="Book Antiqua" w:hAnsi="Book Antiqua"/>
        </w:rPr>
        <w:t xml:space="preserve">94 </w:t>
      </w:r>
      <w:r w:rsidRPr="002772D1">
        <w:rPr>
          <w:rFonts w:ascii="Book Antiqua" w:hAnsi="Book Antiqua"/>
          <w:b/>
          <w:bCs/>
        </w:rPr>
        <w:t>Drilon A</w:t>
      </w:r>
      <w:r w:rsidRPr="002772D1">
        <w:rPr>
          <w:rFonts w:ascii="Book Antiqua" w:hAnsi="Book Antiqua"/>
        </w:rPr>
        <w:t>. TRK inhibitors in TRK fusion-positive cancers.</w:t>
      </w:r>
      <w:proofErr w:type="gramEnd"/>
      <w:r w:rsidRPr="002772D1">
        <w:rPr>
          <w:rFonts w:ascii="Book Antiqua" w:hAnsi="Book Antiqua"/>
        </w:rPr>
        <w:t xml:space="preserve"> </w:t>
      </w:r>
      <w:r w:rsidRPr="002772D1">
        <w:rPr>
          <w:rFonts w:ascii="Book Antiqua" w:hAnsi="Book Antiqua"/>
          <w:i/>
          <w:iCs/>
          <w:lang w:val="fr-CH"/>
        </w:rPr>
        <w:t>Ann Oncol</w:t>
      </w:r>
      <w:r w:rsidRPr="002772D1">
        <w:rPr>
          <w:rFonts w:ascii="Book Antiqua" w:hAnsi="Book Antiqua"/>
          <w:lang w:val="fr-CH"/>
        </w:rPr>
        <w:t xml:space="preserve"> 2019; </w:t>
      </w:r>
      <w:r w:rsidRPr="002772D1">
        <w:rPr>
          <w:rFonts w:ascii="Book Antiqua" w:hAnsi="Book Antiqua"/>
          <w:b/>
          <w:bCs/>
          <w:lang w:val="fr-CH"/>
        </w:rPr>
        <w:t>30</w:t>
      </w:r>
      <w:r w:rsidRPr="002772D1">
        <w:rPr>
          <w:rFonts w:ascii="Book Antiqua" w:hAnsi="Book Antiqua"/>
          <w:lang w:val="fr-CH"/>
        </w:rPr>
        <w:t>: viii23-viii30 [PMID: 31738426 DOI: 10.1093/annonc/mdz282]</w:t>
      </w:r>
    </w:p>
    <w:p w14:paraId="208A0A50" w14:textId="19AA21E6" w:rsidR="000F1AEF" w:rsidRPr="002772D1" w:rsidRDefault="000F1AEF" w:rsidP="00E06D87">
      <w:pPr>
        <w:spacing w:line="360" w:lineRule="auto"/>
        <w:jc w:val="both"/>
        <w:rPr>
          <w:rFonts w:ascii="Book Antiqua" w:hAnsi="Book Antiqua"/>
        </w:rPr>
      </w:pPr>
      <w:r w:rsidRPr="002772D1">
        <w:rPr>
          <w:rFonts w:ascii="Book Antiqua" w:hAnsi="Book Antiqua"/>
        </w:rPr>
        <w:t xml:space="preserve">95 </w:t>
      </w:r>
      <w:r w:rsidRPr="002772D1">
        <w:rPr>
          <w:rFonts w:ascii="Book Antiqua" w:hAnsi="Book Antiqua"/>
          <w:b/>
          <w:bCs/>
        </w:rPr>
        <w:t xml:space="preserve">NIH. </w:t>
      </w:r>
      <w:r w:rsidRPr="002772D1">
        <w:rPr>
          <w:rFonts w:ascii="Book Antiqua" w:hAnsi="Book Antiqua"/>
        </w:rPr>
        <w:t xml:space="preserve">A Study of Repotrectinib (TPX-0005) in Patients </w:t>
      </w:r>
      <w:proofErr w:type="gramStart"/>
      <w:r w:rsidRPr="002772D1">
        <w:rPr>
          <w:rFonts w:ascii="Book Antiqua" w:hAnsi="Book Antiqua"/>
        </w:rPr>
        <w:t>With</w:t>
      </w:r>
      <w:proofErr w:type="gramEnd"/>
      <w:r w:rsidRPr="002772D1">
        <w:rPr>
          <w:rFonts w:ascii="Book Antiqua" w:hAnsi="Book Antiqua"/>
        </w:rPr>
        <w:t xml:space="preserve"> Advanced Solid Tumors Harboring ALK, ROS1, or NTRK1-3 Rearrangements (TRIDENT-1). [cited 26 December 2020]. Available from: https://www.clinicaltrials.gov/ct2/show/NCT03093116?cond=repotrectinib&amp;draw=2&amp;rank=2</w:t>
      </w:r>
    </w:p>
    <w:p w14:paraId="6ABA691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96 </w:t>
      </w:r>
      <w:r w:rsidRPr="002772D1">
        <w:rPr>
          <w:rFonts w:ascii="Book Antiqua" w:hAnsi="Book Antiqua"/>
          <w:b/>
          <w:bCs/>
        </w:rPr>
        <w:t>Moasser MM</w:t>
      </w:r>
      <w:r w:rsidRPr="002772D1">
        <w:rPr>
          <w:rFonts w:ascii="Book Antiqua" w:hAnsi="Book Antiqua"/>
        </w:rPr>
        <w:t xml:space="preserve">. The oncogene HER2: </w:t>
      </w:r>
      <w:proofErr w:type="gramStart"/>
      <w:r w:rsidRPr="002772D1">
        <w:rPr>
          <w:rFonts w:ascii="Book Antiqua" w:hAnsi="Book Antiqua"/>
        </w:rPr>
        <w:t>its</w:t>
      </w:r>
      <w:proofErr w:type="gramEnd"/>
      <w:r w:rsidRPr="002772D1">
        <w:rPr>
          <w:rFonts w:ascii="Book Antiqua" w:hAnsi="Book Antiqua"/>
        </w:rPr>
        <w:t xml:space="preserve"> signaling and transforming functions and its role in human cancer pathogenesis. </w:t>
      </w:r>
      <w:r w:rsidRPr="002772D1">
        <w:rPr>
          <w:rFonts w:ascii="Book Antiqua" w:hAnsi="Book Antiqua"/>
          <w:i/>
          <w:iCs/>
        </w:rPr>
        <w:t>Oncogene</w:t>
      </w:r>
      <w:r w:rsidRPr="002772D1">
        <w:rPr>
          <w:rFonts w:ascii="Book Antiqua" w:hAnsi="Book Antiqua"/>
        </w:rPr>
        <w:t xml:space="preserve"> 2007; </w:t>
      </w:r>
      <w:r w:rsidRPr="002772D1">
        <w:rPr>
          <w:rFonts w:ascii="Book Antiqua" w:hAnsi="Book Antiqua"/>
          <w:b/>
          <w:bCs/>
        </w:rPr>
        <w:t>26</w:t>
      </w:r>
      <w:r w:rsidRPr="002772D1">
        <w:rPr>
          <w:rFonts w:ascii="Book Antiqua" w:hAnsi="Book Antiqua"/>
        </w:rPr>
        <w:t>: 6469-6487 [PMID: 17471238 DOI: 10.1038/sj.onc.1210477]</w:t>
      </w:r>
    </w:p>
    <w:p w14:paraId="0C5E82E2"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97 </w:t>
      </w:r>
      <w:r w:rsidRPr="002772D1">
        <w:rPr>
          <w:rFonts w:ascii="Book Antiqua" w:hAnsi="Book Antiqua"/>
          <w:b/>
          <w:bCs/>
        </w:rPr>
        <w:t>Graus-Porta D</w:t>
      </w:r>
      <w:r w:rsidRPr="002772D1">
        <w:rPr>
          <w:rFonts w:ascii="Book Antiqua" w:hAnsi="Book Antiqua"/>
        </w:rPr>
        <w:t xml:space="preserve">, Beerli RR, Daly JM, Hynes NE. ErbB-2, the preferred heterodimerization partner of all ErbB receptors, is a mediator of lateral signaling. </w:t>
      </w:r>
      <w:r w:rsidRPr="002772D1">
        <w:rPr>
          <w:rFonts w:ascii="Book Antiqua" w:hAnsi="Book Antiqua"/>
          <w:i/>
          <w:iCs/>
        </w:rPr>
        <w:t>EMBO J</w:t>
      </w:r>
      <w:r w:rsidRPr="002772D1">
        <w:rPr>
          <w:rFonts w:ascii="Book Antiqua" w:hAnsi="Book Antiqua"/>
        </w:rPr>
        <w:t xml:space="preserve"> 1997; </w:t>
      </w:r>
      <w:r w:rsidRPr="002772D1">
        <w:rPr>
          <w:rFonts w:ascii="Book Antiqua" w:hAnsi="Book Antiqua"/>
          <w:b/>
          <w:bCs/>
        </w:rPr>
        <w:t>16</w:t>
      </w:r>
      <w:r w:rsidRPr="002772D1">
        <w:rPr>
          <w:rFonts w:ascii="Book Antiqua" w:hAnsi="Book Antiqua"/>
        </w:rPr>
        <w:t>: 1647-1655 [PMID: 9130710 DOI: 10.1093/emboj/16.7.1647]</w:t>
      </w:r>
    </w:p>
    <w:p w14:paraId="20CFBE51" w14:textId="6020F76C" w:rsidR="000F1AEF" w:rsidRPr="002772D1" w:rsidRDefault="000F1AEF" w:rsidP="00E06D87">
      <w:pPr>
        <w:spacing w:line="360" w:lineRule="auto"/>
        <w:jc w:val="both"/>
        <w:rPr>
          <w:rFonts w:ascii="Book Antiqua" w:hAnsi="Book Antiqua"/>
        </w:rPr>
      </w:pPr>
      <w:r w:rsidRPr="002772D1">
        <w:rPr>
          <w:rFonts w:ascii="Book Antiqua" w:hAnsi="Book Antiqua"/>
        </w:rPr>
        <w:t xml:space="preserve">98 </w:t>
      </w:r>
      <w:r w:rsidRPr="002772D1">
        <w:rPr>
          <w:rFonts w:ascii="Book Antiqua" w:hAnsi="Book Antiqua"/>
          <w:b/>
          <w:bCs/>
        </w:rPr>
        <w:t>Bazley L,</w:t>
      </w:r>
      <w:r w:rsidRPr="002772D1">
        <w:rPr>
          <w:rFonts w:ascii="Book Antiqua" w:hAnsi="Book Antiqua"/>
        </w:rPr>
        <w:t xml:space="preserve"> Gullick WJ: The epidermal growth factor receptor family. </w:t>
      </w:r>
      <w:r w:rsidRPr="002772D1">
        <w:rPr>
          <w:rFonts w:ascii="Book Antiqua" w:hAnsi="Book Antiqua"/>
          <w:i/>
          <w:iCs/>
        </w:rPr>
        <w:t xml:space="preserve">Endocr </w:t>
      </w:r>
      <w:r w:rsidR="0054327E" w:rsidRPr="002772D1">
        <w:rPr>
          <w:rFonts w:ascii="Book Antiqua" w:hAnsi="Book Antiqua"/>
          <w:i/>
          <w:iCs/>
        </w:rPr>
        <w:t>Relat Cancer</w:t>
      </w:r>
      <w:r w:rsidRPr="002772D1">
        <w:rPr>
          <w:rFonts w:ascii="Book Antiqua" w:hAnsi="Book Antiqua"/>
          <w:i/>
          <w:iCs/>
        </w:rPr>
        <w:t xml:space="preserve"> </w:t>
      </w:r>
      <w:r w:rsidRPr="002772D1">
        <w:rPr>
          <w:rFonts w:ascii="Book Antiqua" w:hAnsi="Book Antiqua"/>
        </w:rPr>
        <w:t>2005</w:t>
      </w:r>
      <w:r w:rsidR="00A24058" w:rsidRPr="002772D1">
        <w:rPr>
          <w:rFonts w:ascii="Book Antiqua" w:hAnsi="Book Antiqua"/>
        </w:rPr>
        <w:t>;</w:t>
      </w:r>
      <w:r w:rsidRPr="002772D1">
        <w:rPr>
          <w:rFonts w:ascii="Book Antiqua" w:hAnsi="Book Antiqua"/>
          <w:b/>
          <w:bCs/>
        </w:rPr>
        <w:t xml:space="preserve"> 12</w:t>
      </w:r>
      <w:r w:rsidRPr="002772D1">
        <w:rPr>
          <w:rFonts w:ascii="Book Antiqua" w:hAnsi="Book Antiqua"/>
        </w:rPr>
        <w:t>: S17-S27 [DOI: 10.1677 / erc.1.01032]</w:t>
      </w:r>
    </w:p>
    <w:p w14:paraId="5CC4F55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99 </w:t>
      </w:r>
      <w:r w:rsidRPr="002772D1">
        <w:rPr>
          <w:rFonts w:ascii="Book Antiqua" w:hAnsi="Book Antiqua"/>
          <w:b/>
          <w:bCs/>
        </w:rPr>
        <w:t>Mazières J</w:t>
      </w:r>
      <w:r w:rsidRPr="002772D1">
        <w:rPr>
          <w:rFonts w:ascii="Book Antiqua" w:hAnsi="Book Antiqua"/>
        </w:rPr>
        <w:t xml:space="preserve">, Peters S, Lepage B, Cortot AB, Barlesi F, Beau-Faller M, Besse B, Blons H, Mansuet-Lupo A, Urban T, Moro-Sibilot D, Dansin E, Chouaid C, Wislez M, Diebold J, Felip E, Rouquette I, Milia JD, Gautschi O. Lung cancer that harbors an HER2 mutation: epidemiologic characteristics and therapeutic perspectives. </w:t>
      </w:r>
      <w:r w:rsidRPr="002772D1">
        <w:rPr>
          <w:rFonts w:ascii="Book Antiqua" w:hAnsi="Book Antiqua"/>
          <w:i/>
          <w:iCs/>
        </w:rPr>
        <w:t>J Clin Oncol</w:t>
      </w:r>
      <w:r w:rsidRPr="002772D1">
        <w:rPr>
          <w:rFonts w:ascii="Book Antiqua" w:hAnsi="Book Antiqua"/>
        </w:rPr>
        <w:t xml:space="preserve"> 2013; </w:t>
      </w:r>
      <w:r w:rsidRPr="002772D1">
        <w:rPr>
          <w:rFonts w:ascii="Book Antiqua" w:hAnsi="Book Antiqua"/>
          <w:b/>
          <w:bCs/>
        </w:rPr>
        <w:t>31</w:t>
      </w:r>
      <w:r w:rsidRPr="002772D1">
        <w:rPr>
          <w:rFonts w:ascii="Book Antiqua" w:hAnsi="Book Antiqua"/>
        </w:rPr>
        <w:t>: 1997-2003 [PMID: 23610105 DOI: 10.1200/JCO.2012.45.6095]</w:t>
      </w:r>
    </w:p>
    <w:p w14:paraId="0B04716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100 </w:t>
      </w:r>
      <w:r w:rsidRPr="002772D1">
        <w:rPr>
          <w:rFonts w:ascii="Book Antiqua" w:hAnsi="Book Antiqua"/>
          <w:b/>
          <w:bCs/>
        </w:rPr>
        <w:t>Gatzemeier U</w:t>
      </w:r>
      <w:r w:rsidRPr="002772D1">
        <w:rPr>
          <w:rFonts w:ascii="Book Antiqua" w:hAnsi="Book Antiqua"/>
        </w:rPr>
        <w:t xml:space="preserve">, Groth G, Butts C, Van Zandwijk N, Shepherd F, Ardizzoni A, Barton C, Ghahramani P, Hirsh V. Randomized phase II trial of gemcitabine-cisplatin with or without trastuzumab in HER2-positive non-small-cell lung cancer. </w:t>
      </w:r>
      <w:r w:rsidRPr="002772D1">
        <w:rPr>
          <w:rFonts w:ascii="Book Antiqua" w:hAnsi="Book Antiqua"/>
          <w:i/>
          <w:iCs/>
        </w:rPr>
        <w:t>Ann Oncol</w:t>
      </w:r>
      <w:r w:rsidRPr="002772D1">
        <w:rPr>
          <w:rFonts w:ascii="Book Antiqua" w:hAnsi="Book Antiqua"/>
        </w:rPr>
        <w:t xml:space="preserve"> 2004; </w:t>
      </w:r>
      <w:r w:rsidRPr="002772D1">
        <w:rPr>
          <w:rFonts w:ascii="Book Antiqua" w:hAnsi="Book Antiqua"/>
          <w:b/>
          <w:bCs/>
        </w:rPr>
        <w:t>15</w:t>
      </w:r>
      <w:r w:rsidRPr="002772D1">
        <w:rPr>
          <w:rFonts w:ascii="Book Antiqua" w:hAnsi="Book Antiqua"/>
        </w:rPr>
        <w:t>: 19-27 [PMID: 14679114 DOI: 10.1093/annonc/mdh031]</w:t>
      </w:r>
    </w:p>
    <w:p w14:paraId="4480619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101 </w:t>
      </w:r>
      <w:r w:rsidRPr="002772D1">
        <w:rPr>
          <w:rFonts w:ascii="Book Antiqua" w:hAnsi="Book Antiqua"/>
          <w:b/>
          <w:bCs/>
        </w:rPr>
        <w:t>Mazières J</w:t>
      </w:r>
      <w:r w:rsidRPr="002772D1">
        <w:rPr>
          <w:rFonts w:ascii="Book Antiqua" w:hAnsi="Book Antiqua"/>
        </w:rPr>
        <w:t xml:space="preserve">, Barlesi F, Filleron T, Besse B, Monnet I, Beau-Faller M, Peters S, Dansin E, Früh M, Pless M, Rosell R, Wislez M, Fournel P, Westeel V, Cappuzzo F, Cortot A, </w:t>
      </w:r>
      <w:r w:rsidRPr="002772D1">
        <w:rPr>
          <w:rFonts w:ascii="Book Antiqua" w:hAnsi="Book Antiqua"/>
        </w:rPr>
        <w:lastRenderedPageBreak/>
        <w:t xml:space="preserve">Moro-Sibilot D, Milia J, Gautschi O. Lung cancer patients with HER2 mutations treated with chemotherapy and HER2-targeted drugs: results from the European EUHER2 cohort. </w:t>
      </w:r>
      <w:r w:rsidRPr="002772D1">
        <w:rPr>
          <w:rFonts w:ascii="Book Antiqua" w:hAnsi="Book Antiqua"/>
          <w:i/>
          <w:iCs/>
        </w:rPr>
        <w:t>Ann Oncol</w:t>
      </w:r>
      <w:r w:rsidRPr="002772D1">
        <w:rPr>
          <w:rFonts w:ascii="Book Antiqua" w:hAnsi="Book Antiqua"/>
        </w:rPr>
        <w:t xml:space="preserve"> 2016; </w:t>
      </w:r>
      <w:r w:rsidRPr="002772D1">
        <w:rPr>
          <w:rFonts w:ascii="Book Antiqua" w:hAnsi="Book Antiqua"/>
          <w:b/>
          <w:bCs/>
        </w:rPr>
        <w:t>27</w:t>
      </w:r>
      <w:r w:rsidRPr="002772D1">
        <w:rPr>
          <w:rFonts w:ascii="Book Antiqua" w:hAnsi="Book Antiqua"/>
        </w:rPr>
        <w:t>: 281-286 [PMID: 26598547 DOI: 10.1093/annonc/mdv573]</w:t>
      </w:r>
    </w:p>
    <w:p w14:paraId="0C2D263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102 </w:t>
      </w:r>
      <w:r w:rsidRPr="002772D1">
        <w:rPr>
          <w:rFonts w:ascii="Book Antiqua" w:hAnsi="Book Antiqua"/>
          <w:b/>
          <w:bCs/>
        </w:rPr>
        <w:t>Drope J</w:t>
      </w:r>
      <w:r w:rsidRPr="002772D1">
        <w:rPr>
          <w:rFonts w:ascii="Book Antiqua" w:hAnsi="Book Antiqua"/>
        </w:rPr>
        <w:t xml:space="preserve">, Liber AC, Cahn Z, Stoklosa M, Kennedy R, Douglas CE, Henson R, Drope J. Who's still smoking? Disparities in adult cigarette smoking prevalence in the United States. </w:t>
      </w:r>
      <w:r w:rsidRPr="002772D1">
        <w:rPr>
          <w:rFonts w:ascii="Book Antiqua" w:hAnsi="Book Antiqua"/>
          <w:i/>
          <w:iCs/>
        </w:rPr>
        <w:t>CA Cancer J Clin</w:t>
      </w:r>
      <w:r w:rsidRPr="002772D1">
        <w:rPr>
          <w:rFonts w:ascii="Book Antiqua" w:hAnsi="Book Antiqua"/>
        </w:rPr>
        <w:t xml:space="preserve"> 2018; </w:t>
      </w:r>
      <w:r w:rsidRPr="002772D1">
        <w:rPr>
          <w:rFonts w:ascii="Book Antiqua" w:hAnsi="Book Antiqua"/>
          <w:b/>
          <w:bCs/>
        </w:rPr>
        <w:t>68</w:t>
      </w:r>
      <w:r w:rsidRPr="002772D1">
        <w:rPr>
          <w:rFonts w:ascii="Book Antiqua" w:hAnsi="Book Antiqua"/>
        </w:rPr>
        <w:t>: 106-115 [PMID: 29384589 DOI: 10.3322/caac.21444]</w:t>
      </w:r>
    </w:p>
    <w:p w14:paraId="3B1FDA95" w14:textId="5D5A5C92" w:rsidR="000F1AEF" w:rsidRPr="002772D1" w:rsidRDefault="000F1AEF" w:rsidP="00E06D87">
      <w:pPr>
        <w:spacing w:line="360" w:lineRule="auto"/>
        <w:jc w:val="both"/>
        <w:rPr>
          <w:rFonts w:ascii="Book Antiqua" w:hAnsi="Book Antiqua"/>
          <w:lang w:eastAsia="zh-CN"/>
        </w:rPr>
      </w:pPr>
      <w:r w:rsidRPr="002772D1">
        <w:rPr>
          <w:rFonts w:ascii="Book Antiqua" w:hAnsi="Book Antiqua"/>
        </w:rPr>
        <w:t xml:space="preserve">103 </w:t>
      </w:r>
      <w:r w:rsidRPr="002772D1">
        <w:rPr>
          <w:rFonts w:ascii="Book Antiqua" w:hAnsi="Book Antiqua"/>
          <w:b/>
          <w:bCs/>
        </w:rPr>
        <w:t>Smit EF,</w:t>
      </w:r>
      <w:r w:rsidRPr="002772D1">
        <w:rPr>
          <w:rFonts w:ascii="Book Antiqua" w:hAnsi="Book Antiqua"/>
        </w:rPr>
        <w:t xml:space="preserve"> Nakagawa K, Nagasaka M, Felip E, Goto Y, Li BT, Pacheco JM, Murakami H, Barlesi F, Saltos AN. Trastuzumab deruxtecan (T-DXd; DS-8201) in patients with HER2-mutated metastatic non-small cell lung cancer (NSCLC): Interim results of DESTINY-Lung01. </w:t>
      </w:r>
      <w:r w:rsidRPr="002772D1">
        <w:rPr>
          <w:rFonts w:ascii="Book Antiqua" w:hAnsi="Book Antiqua"/>
          <w:i/>
          <w:iCs/>
        </w:rPr>
        <w:t>ASCO</w:t>
      </w:r>
      <w:r w:rsidRPr="002772D1">
        <w:rPr>
          <w:rFonts w:ascii="Book Antiqua" w:hAnsi="Book Antiqua"/>
        </w:rPr>
        <w:t xml:space="preserve"> 2020</w:t>
      </w:r>
      <w:r w:rsidR="00C12DBA" w:rsidRPr="002772D1">
        <w:rPr>
          <w:rFonts w:ascii="Book Antiqua" w:hAnsi="Book Antiqua" w:hint="eastAsia"/>
          <w:lang w:eastAsia="zh-CN"/>
        </w:rPr>
        <w:t xml:space="preserve"> [DOI: </w:t>
      </w:r>
      <w:r w:rsidR="00C12DBA" w:rsidRPr="002772D1">
        <w:rPr>
          <w:rFonts w:ascii="Book Antiqua" w:hAnsi="Book Antiqua"/>
          <w:lang w:eastAsia="zh-CN"/>
        </w:rPr>
        <w:t>10.1200/JCO.2020.38.15_suppl.9504</w:t>
      </w:r>
      <w:r w:rsidR="00C12DBA" w:rsidRPr="002772D1">
        <w:rPr>
          <w:rFonts w:ascii="Book Antiqua" w:hAnsi="Book Antiqua" w:hint="eastAsia"/>
          <w:lang w:eastAsia="zh-CN"/>
        </w:rPr>
        <w:t>]</w:t>
      </w:r>
    </w:p>
    <w:p w14:paraId="50114E5C" w14:textId="77777777" w:rsidR="000F1AEF" w:rsidRPr="002772D1" w:rsidRDefault="000F1AEF" w:rsidP="00E06D87">
      <w:pPr>
        <w:spacing w:line="360" w:lineRule="auto"/>
        <w:jc w:val="both"/>
        <w:rPr>
          <w:rFonts w:ascii="Book Antiqua" w:hAnsi="Book Antiqua"/>
        </w:rPr>
      </w:pPr>
      <w:proofErr w:type="gramStart"/>
      <w:r w:rsidRPr="002772D1">
        <w:rPr>
          <w:rFonts w:ascii="Book Antiqua" w:hAnsi="Book Antiqua"/>
        </w:rPr>
        <w:t xml:space="preserve">104 </w:t>
      </w:r>
      <w:r w:rsidRPr="002772D1">
        <w:rPr>
          <w:rFonts w:ascii="Book Antiqua" w:hAnsi="Book Antiqua"/>
          <w:b/>
          <w:bCs/>
        </w:rPr>
        <w:t>NIH.</w:t>
      </w:r>
      <w:proofErr w:type="gramEnd"/>
      <w:r w:rsidRPr="002772D1">
        <w:rPr>
          <w:rFonts w:ascii="Book Antiqua" w:hAnsi="Book Antiqua"/>
        </w:rPr>
        <w:t xml:space="preserve"> DS-8201a in Human Epidermal Growth Factor Receptor 2 (HER2)-Expressing or -Mutated Non-Small Cell Lung Cancer (DESTINY-Lung01). [cited 10 January 2021]. Available from: https://clinicaltrials.gov/ct2/show/NCT03505710</w:t>
      </w:r>
    </w:p>
    <w:p w14:paraId="42F7FD2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105 </w:t>
      </w:r>
      <w:r w:rsidRPr="002772D1">
        <w:rPr>
          <w:rFonts w:ascii="Book Antiqua" w:hAnsi="Book Antiqua"/>
          <w:b/>
          <w:bCs/>
        </w:rPr>
        <w:t xml:space="preserve">NIH. </w:t>
      </w:r>
      <w:r w:rsidRPr="002772D1">
        <w:rPr>
          <w:rFonts w:ascii="Book Antiqua" w:hAnsi="Book Antiqua"/>
        </w:rPr>
        <w:t>Trastuzumab Deruxtecan in Participants With HER2-mutated Metastatic Non-small Cell Lung Cancer (NSCLC) (DESTINY-LUNG02). [cited 10 January 2021]. Available from: https://clinicaltrials.gov/ct2/show/NCT04644237</w:t>
      </w:r>
    </w:p>
    <w:p w14:paraId="3EB7CA4A"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106 </w:t>
      </w:r>
      <w:r w:rsidRPr="002772D1">
        <w:rPr>
          <w:rFonts w:ascii="Book Antiqua" w:hAnsi="Book Antiqua"/>
          <w:b/>
          <w:bCs/>
        </w:rPr>
        <w:t>Muscarella LA</w:t>
      </w:r>
      <w:r w:rsidRPr="002772D1">
        <w:rPr>
          <w:rFonts w:ascii="Book Antiqua" w:hAnsi="Book Antiqua"/>
        </w:rPr>
        <w:t xml:space="preserve">, Rossi A. </w:t>
      </w:r>
      <w:r w:rsidRPr="002772D1">
        <w:rPr>
          <w:rFonts w:ascii="Book Antiqua" w:hAnsi="Book Antiqua"/>
          <w:i/>
          <w:iCs/>
        </w:rPr>
        <w:t>NRG1</w:t>
      </w:r>
      <w:r w:rsidRPr="002772D1">
        <w:rPr>
          <w:rFonts w:ascii="Book Antiqua" w:hAnsi="Book Antiqua"/>
        </w:rPr>
        <w:t xml:space="preserve">: a cinderella fusion in lung cancer? </w:t>
      </w:r>
      <w:r w:rsidRPr="002772D1">
        <w:rPr>
          <w:rFonts w:ascii="Book Antiqua" w:hAnsi="Book Antiqua"/>
          <w:i/>
          <w:iCs/>
        </w:rPr>
        <w:t>Lung Cancer Manag</w:t>
      </w:r>
      <w:r w:rsidRPr="002772D1">
        <w:rPr>
          <w:rFonts w:ascii="Book Antiqua" w:hAnsi="Book Antiqua"/>
        </w:rPr>
        <w:t xml:space="preserve"> 2017; </w:t>
      </w:r>
      <w:r w:rsidRPr="002772D1">
        <w:rPr>
          <w:rFonts w:ascii="Book Antiqua" w:hAnsi="Book Antiqua"/>
          <w:b/>
          <w:bCs/>
        </w:rPr>
        <w:t>6</w:t>
      </w:r>
      <w:r w:rsidRPr="002772D1">
        <w:rPr>
          <w:rFonts w:ascii="Book Antiqua" w:hAnsi="Book Antiqua"/>
        </w:rPr>
        <w:t>: 121-123 [PMID: 30643577 DOI: 10.2217/lmt-2017-0018]</w:t>
      </w:r>
    </w:p>
    <w:p w14:paraId="2BD83BCC"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107 </w:t>
      </w:r>
      <w:r w:rsidRPr="002772D1">
        <w:rPr>
          <w:rFonts w:ascii="Book Antiqua" w:hAnsi="Book Antiqua"/>
          <w:b/>
          <w:bCs/>
        </w:rPr>
        <w:t>Shin DH</w:t>
      </w:r>
      <w:r w:rsidRPr="002772D1">
        <w:rPr>
          <w:rFonts w:ascii="Book Antiqua" w:hAnsi="Book Antiqua"/>
        </w:rPr>
        <w:t xml:space="preserve">, Jo JY, Han JY. Dual Targeting of ERBB2/ERBB3 for the Treatment of SLC3A2-NRG1-Mediated Lung Cancer. </w:t>
      </w:r>
      <w:r w:rsidRPr="002772D1">
        <w:rPr>
          <w:rFonts w:ascii="Book Antiqua" w:hAnsi="Book Antiqua"/>
          <w:i/>
          <w:iCs/>
        </w:rPr>
        <w:t>Mol Cancer Ther</w:t>
      </w:r>
      <w:r w:rsidRPr="002772D1">
        <w:rPr>
          <w:rFonts w:ascii="Book Antiqua" w:hAnsi="Book Antiqua"/>
        </w:rPr>
        <w:t xml:space="preserve"> 2018; </w:t>
      </w:r>
      <w:r w:rsidRPr="002772D1">
        <w:rPr>
          <w:rFonts w:ascii="Book Antiqua" w:hAnsi="Book Antiqua"/>
          <w:b/>
          <w:bCs/>
        </w:rPr>
        <w:t>17</w:t>
      </w:r>
      <w:r w:rsidRPr="002772D1">
        <w:rPr>
          <w:rFonts w:ascii="Book Antiqua" w:hAnsi="Book Antiqua"/>
        </w:rPr>
        <w:t>: 2024-2033 [PMID: 29959202 DOI: 10.1158/1535-7163.MCT-17-1178]</w:t>
      </w:r>
    </w:p>
    <w:p w14:paraId="217ABC7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108 </w:t>
      </w:r>
      <w:r w:rsidRPr="002772D1">
        <w:rPr>
          <w:rFonts w:ascii="Book Antiqua" w:hAnsi="Book Antiqua"/>
          <w:b/>
          <w:bCs/>
        </w:rPr>
        <w:t>Jonna S</w:t>
      </w:r>
      <w:r w:rsidRPr="002772D1">
        <w:rPr>
          <w:rFonts w:ascii="Book Antiqua" w:hAnsi="Book Antiqua"/>
        </w:rPr>
        <w:t xml:space="preserve">, Feldman RA, Swensen J, Gatalica Z, Korn WM, Borghaei H, Ma PC, Nieva JJ, Spira AI, Vanderwalde AM, Wozniak AJ, Kim ES, Liu SV. Detection of NRG1 Gene Fusions in Solid Tumors. </w:t>
      </w:r>
      <w:r w:rsidRPr="002772D1">
        <w:rPr>
          <w:rFonts w:ascii="Book Antiqua" w:hAnsi="Book Antiqua"/>
          <w:i/>
          <w:iCs/>
        </w:rPr>
        <w:t>Clin Cancer Res</w:t>
      </w:r>
      <w:r w:rsidRPr="002772D1">
        <w:rPr>
          <w:rFonts w:ascii="Book Antiqua" w:hAnsi="Book Antiqua"/>
        </w:rPr>
        <w:t xml:space="preserve"> 2019; </w:t>
      </w:r>
      <w:r w:rsidRPr="002772D1">
        <w:rPr>
          <w:rFonts w:ascii="Book Antiqua" w:hAnsi="Book Antiqua"/>
          <w:b/>
          <w:bCs/>
        </w:rPr>
        <w:t>25</w:t>
      </w:r>
      <w:r w:rsidRPr="002772D1">
        <w:rPr>
          <w:rFonts w:ascii="Book Antiqua" w:hAnsi="Book Antiqua"/>
        </w:rPr>
        <w:t>: 4966-4972 [PMID: 30988082 DOI: 10.1158/1078-0432.CCR-19-0160]</w:t>
      </w:r>
    </w:p>
    <w:p w14:paraId="7C9C829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109 </w:t>
      </w:r>
      <w:r w:rsidRPr="002772D1">
        <w:rPr>
          <w:rFonts w:ascii="Book Antiqua" w:hAnsi="Book Antiqua"/>
          <w:b/>
          <w:bCs/>
        </w:rPr>
        <w:t>Fernandez-Cuesta L</w:t>
      </w:r>
      <w:r w:rsidRPr="002772D1">
        <w:rPr>
          <w:rFonts w:ascii="Book Antiqua" w:hAnsi="Book Antiqua"/>
        </w:rPr>
        <w:t xml:space="preserve">, Plenker D, Osada H, Sun R, Menon R, Leenders F, Ortiz-Cuaran S, Peifer M, Bos M, Daßler J, Malchers F, Schöttle J, Vogel W, Dahmen I, Koker M, Ullrich RT, Wright GM, Russell PA, Wainer Z, Solomon B, Brambilla E, Nagy-Mignotte H, Moro-Sibilot D, Brambilla CG, Lantuejoul S, Altmüller J, Becker C, </w:t>
      </w:r>
      <w:r w:rsidRPr="002772D1">
        <w:rPr>
          <w:rFonts w:ascii="Book Antiqua" w:hAnsi="Book Antiqua"/>
        </w:rPr>
        <w:lastRenderedPageBreak/>
        <w:t xml:space="preserve">Nürnberg P, Heuckmann JM, Stoelben E, Petersen I, Clement JH, Sänger J, Muscarella LA, la Torre A, Fazio VM, Lahortiga I, Perera T, Ogata S, Parade M, Brehmer D, Vingron M, Heukamp LC, Buettner R, Zander T, Wolf J, Perner S, Ansén S, Haas SA, Yatabe Y, Thomas RK. CD74-NRG1 fusions in lung adenocarcinoma. </w:t>
      </w:r>
      <w:r w:rsidRPr="002772D1">
        <w:rPr>
          <w:rFonts w:ascii="Book Antiqua" w:hAnsi="Book Antiqua"/>
          <w:i/>
          <w:iCs/>
        </w:rPr>
        <w:t>Cancer Discov</w:t>
      </w:r>
      <w:r w:rsidRPr="002772D1">
        <w:rPr>
          <w:rFonts w:ascii="Book Antiqua" w:hAnsi="Book Antiqua"/>
        </w:rPr>
        <w:t xml:space="preserve"> 2014; </w:t>
      </w:r>
      <w:r w:rsidRPr="002772D1">
        <w:rPr>
          <w:rFonts w:ascii="Book Antiqua" w:hAnsi="Book Antiqua"/>
          <w:b/>
          <w:bCs/>
        </w:rPr>
        <w:t>4</w:t>
      </w:r>
      <w:r w:rsidRPr="002772D1">
        <w:rPr>
          <w:rFonts w:ascii="Book Antiqua" w:hAnsi="Book Antiqua"/>
        </w:rPr>
        <w:t>: 415-422 [PMID: 24469108 DOI: 10.1158/2159-8290.CD-13-0633]</w:t>
      </w:r>
    </w:p>
    <w:p w14:paraId="1B4A832B"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110 </w:t>
      </w:r>
      <w:r w:rsidRPr="002772D1">
        <w:rPr>
          <w:rFonts w:ascii="Book Antiqua" w:hAnsi="Book Antiqua"/>
          <w:b/>
          <w:bCs/>
        </w:rPr>
        <w:t>Mok TSK</w:t>
      </w:r>
      <w:r w:rsidRPr="002772D1">
        <w:rPr>
          <w:rFonts w:ascii="Book Antiqua" w:hAnsi="Book Antiqua"/>
        </w:rPr>
        <w:t xml:space="preserve">, Wu YL, Kudaba I, Kowalski DM, Cho BC, Turna HZ, Castro G Jr, Srimuninnimit V, Laktionov KK, Bondarenko I, Kubota K, Lubiniecki GM, Zhang J, Kush D, Lopes G; KEYNOTE-042 Investigators. Pembrolizumab versus chemotherapy for previously untreated, PD-L1-expressing, locally advanced or metastatic non-small-cell lung cancer (KEYNOTE-042): a randomised, open-label, controlled, phase 3 trial. </w:t>
      </w:r>
      <w:r w:rsidRPr="002772D1">
        <w:rPr>
          <w:rFonts w:ascii="Book Antiqua" w:hAnsi="Book Antiqua"/>
          <w:i/>
          <w:iCs/>
        </w:rPr>
        <w:t>Lancet</w:t>
      </w:r>
      <w:r w:rsidRPr="002772D1">
        <w:rPr>
          <w:rFonts w:ascii="Book Antiqua" w:hAnsi="Book Antiqua"/>
        </w:rPr>
        <w:t xml:space="preserve"> 2019; </w:t>
      </w:r>
      <w:r w:rsidRPr="002772D1">
        <w:rPr>
          <w:rFonts w:ascii="Book Antiqua" w:hAnsi="Book Antiqua"/>
          <w:b/>
          <w:bCs/>
        </w:rPr>
        <w:t>393</w:t>
      </w:r>
      <w:r w:rsidRPr="002772D1">
        <w:rPr>
          <w:rFonts w:ascii="Book Antiqua" w:hAnsi="Book Antiqua"/>
        </w:rPr>
        <w:t>: 1819-1830 [PMID: 30955977 DOI: 10.1016/S0140-6736(18)32409-7]</w:t>
      </w:r>
    </w:p>
    <w:p w14:paraId="1496D7F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111 </w:t>
      </w:r>
      <w:r w:rsidRPr="002772D1">
        <w:rPr>
          <w:rFonts w:ascii="Book Antiqua" w:hAnsi="Book Antiqua"/>
          <w:b/>
          <w:bCs/>
        </w:rPr>
        <w:t>Shin DH</w:t>
      </w:r>
      <w:r w:rsidRPr="002772D1">
        <w:rPr>
          <w:rFonts w:ascii="Book Antiqua" w:hAnsi="Book Antiqua"/>
        </w:rPr>
        <w:t xml:space="preserve">, Lee D, Hong DW, Hong SH, Hwang JA, Lee BI, You HJ, Lee GK, Kim IH, Lee YS, Han JY. Oncogenic function and clinical implications of SLC3A2-NRG1 fusion in invasive mucinous adenocarcinoma of the lung. </w:t>
      </w:r>
      <w:r w:rsidRPr="002772D1">
        <w:rPr>
          <w:rFonts w:ascii="Book Antiqua" w:hAnsi="Book Antiqua"/>
          <w:i/>
          <w:iCs/>
        </w:rPr>
        <w:t>Oncotarget</w:t>
      </w:r>
      <w:r w:rsidRPr="002772D1">
        <w:rPr>
          <w:rFonts w:ascii="Book Antiqua" w:hAnsi="Book Antiqua"/>
        </w:rPr>
        <w:t xml:space="preserve"> 2016; </w:t>
      </w:r>
      <w:r w:rsidRPr="002772D1">
        <w:rPr>
          <w:rFonts w:ascii="Book Antiqua" w:hAnsi="Book Antiqua"/>
          <w:b/>
          <w:bCs/>
        </w:rPr>
        <w:t>7</w:t>
      </w:r>
      <w:r w:rsidRPr="002772D1">
        <w:rPr>
          <w:rFonts w:ascii="Book Antiqua" w:hAnsi="Book Antiqua"/>
        </w:rPr>
        <w:t>: 69450-69465 [PMID: 27626312 DOI: 10.18632/oncotarget.11913]</w:t>
      </w:r>
    </w:p>
    <w:p w14:paraId="79E82CA4" w14:textId="7193BF14" w:rsidR="000F1AEF" w:rsidRPr="002772D1" w:rsidRDefault="000F1AEF" w:rsidP="00E06D87">
      <w:pPr>
        <w:spacing w:line="360" w:lineRule="auto"/>
        <w:jc w:val="both"/>
        <w:rPr>
          <w:rFonts w:ascii="Book Antiqua" w:hAnsi="Book Antiqua"/>
        </w:rPr>
      </w:pPr>
      <w:r w:rsidRPr="002772D1">
        <w:rPr>
          <w:rFonts w:ascii="Book Antiqua" w:hAnsi="Book Antiqua"/>
        </w:rPr>
        <w:t xml:space="preserve">112 </w:t>
      </w:r>
      <w:r w:rsidRPr="002772D1">
        <w:rPr>
          <w:rFonts w:ascii="Book Antiqua" w:hAnsi="Book Antiqua"/>
          <w:b/>
          <w:bCs/>
        </w:rPr>
        <w:t>Cheema PK</w:t>
      </w:r>
      <w:r w:rsidRPr="002772D1">
        <w:rPr>
          <w:rFonts w:ascii="Book Antiqua" w:hAnsi="Book Antiqua"/>
        </w:rPr>
        <w:t>, Doherty M, Tsao MS. A Case of Invasive Mucinous</w:t>
      </w:r>
      <w:r w:rsidR="005F688A" w:rsidRPr="002772D1">
        <w:rPr>
          <w:rFonts w:ascii="Book Antiqua" w:hAnsi="Book Antiqua"/>
        </w:rPr>
        <w:t xml:space="preserve"> </w:t>
      </w:r>
      <w:r w:rsidRPr="002772D1">
        <w:rPr>
          <w:rFonts w:ascii="Book Antiqua" w:hAnsi="Book Antiqua"/>
        </w:rPr>
        <w:t xml:space="preserve">Pulmonary Adenocarcinoma with a CD74-NRG1 Fusion Protein Targeted with Afatinib. </w:t>
      </w:r>
      <w:r w:rsidRPr="002772D1">
        <w:rPr>
          <w:rFonts w:ascii="Book Antiqua" w:hAnsi="Book Antiqua"/>
          <w:i/>
          <w:iCs/>
        </w:rPr>
        <w:t>J Thorac Oncol</w:t>
      </w:r>
      <w:r w:rsidRPr="002772D1">
        <w:rPr>
          <w:rFonts w:ascii="Book Antiqua" w:hAnsi="Book Antiqua"/>
        </w:rPr>
        <w:t xml:space="preserve"> 2017; </w:t>
      </w:r>
      <w:r w:rsidRPr="002772D1">
        <w:rPr>
          <w:rFonts w:ascii="Book Antiqua" w:hAnsi="Book Antiqua"/>
          <w:b/>
          <w:bCs/>
        </w:rPr>
        <w:t>12</w:t>
      </w:r>
      <w:r w:rsidRPr="002772D1">
        <w:rPr>
          <w:rFonts w:ascii="Book Antiqua" w:hAnsi="Book Antiqua"/>
        </w:rPr>
        <w:t>: e200-e202 [PMID: 29169524 DOI: 10.1016/j.jtho.2017.07.033]</w:t>
      </w:r>
    </w:p>
    <w:p w14:paraId="5B0590D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113 </w:t>
      </w:r>
      <w:r w:rsidRPr="002772D1">
        <w:rPr>
          <w:rFonts w:ascii="Book Antiqua" w:hAnsi="Book Antiqua"/>
          <w:b/>
          <w:bCs/>
        </w:rPr>
        <w:t>Ferrara R</w:t>
      </w:r>
      <w:r w:rsidRPr="002772D1">
        <w:rPr>
          <w:rFonts w:ascii="Book Antiqua" w:hAnsi="Book Antiqua"/>
        </w:rPr>
        <w:t xml:space="preserve">, Auger N, Auclin E, Besse B. Clinical and Translational Implications of RET Rearrangements in Non-Small Cell Lung Cancer. </w:t>
      </w:r>
      <w:r w:rsidRPr="002772D1">
        <w:rPr>
          <w:rFonts w:ascii="Book Antiqua" w:hAnsi="Book Antiqua"/>
          <w:i/>
          <w:iCs/>
        </w:rPr>
        <w:t>J Thorac Oncol</w:t>
      </w:r>
      <w:r w:rsidRPr="002772D1">
        <w:rPr>
          <w:rFonts w:ascii="Book Antiqua" w:hAnsi="Book Antiqua"/>
        </w:rPr>
        <w:t xml:space="preserve"> 2018; </w:t>
      </w:r>
      <w:r w:rsidRPr="002772D1">
        <w:rPr>
          <w:rFonts w:ascii="Book Antiqua" w:hAnsi="Book Antiqua"/>
          <w:b/>
          <w:bCs/>
        </w:rPr>
        <w:t>13</w:t>
      </w:r>
      <w:r w:rsidRPr="002772D1">
        <w:rPr>
          <w:rFonts w:ascii="Book Antiqua" w:hAnsi="Book Antiqua"/>
        </w:rPr>
        <w:t>: 27-45 [PMID: 29128428 DOI: 10.1016/j.jtho.2017.10.021]</w:t>
      </w:r>
    </w:p>
    <w:p w14:paraId="7F91FB9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114 </w:t>
      </w:r>
      <w:r w:rsidRPr="002772D1">
        <w:rPr>
          <w:rFonts w:ascii="Book Antiqua" w:hAnsi="Book Antiqua"/>
          <w:b/>
          <w:bCs/>
        </w:rPr>
        <w:t>Airaksinen MS</w:t>
      </w:r>
      <w:r w:rsidRPr="002772D1">
        <w:rPr>
          <w:rFonts w:ascii="Book Antiqua" w:hAnsi="Book Antiqua"/>
        </w:rPr>
        <w:t xml:space="preserve">, Saarma M. The GDNF family: signalling, biological functions and therapeutic value. </w:t>
      </w:r>
      <w:r w:rsidRPr="002772D1">
        <w:rPr>
          <w:rFonts w:ascii="Book Antiqua" w:hAnsi="Book Antiqua"/>
          <w:i/>
          <w:iCs/>
        </w:rPr>
        <w:t>Nat Rev Neurosci</w:t>
      </w:r>
      <w:r w:rsidRPr="002772D1">
        <w:rPr>
          <w:rFonts w:ascii="Book Antiqua" w:hAnsi="Book Antiqua"/>
        </w:rPr>
        <w:t xml:space="preserve"> 2002; </w:t>
      </w:r>
      <w:r w:rsidRPr="002772D1">
        <w:rPr>
          <w:rFonts w:ascii="Book Antiqua" w:hAnsi="Book Antiqua"/>
          <w:b/>
          <w:bCs/>
        </w:rPr>
        <w:t>3</w:t>
      </w:r>
      <w:r w:rsidRPr="002772D1">
        <w:rPr>
          <w:rFonts w:ascii="Book Antiqua" w:hAnsi="Book Antiqua"/>
        </w:rPr>
        <w:t>: 383-394 [PMID: 11988777 DOI: 10.1038/nrn812]</w:t>
      </w:r>
    </w:p>
    <w:p w14:paraId="1E6DC33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115 </w:t>
      </w:r>
      <w:r w:rsidRPr="002772D1">
        <w:rPr>
          <w:rFonts w:ascii="Book Antiqua" w:hAnsi="Book Antiqua"/>
          <w:b/>
          <w:bCs/>
        </w:rPr>
        <w:t>Romeo G</w:t>
      </w:r>
      <w:r w:rsidRPr="002772D1">
        <w:rPr>
          <w:rFonts w:ascii="Book Antiqua" w:hAnsi="Book Antiqua"/>
        </w:rPr>
        <w:t xml:space="preserve">, Ronchetto P, Luo Y, Barone V, Seri M, Ceccherini I, Pasini B, Bocciardi R, Lerone M, Kääriäinen H. Point mutations affecting the tyrosine kinase domain of the RET proto-oncogene in Hirschsprung's disease. </w:t>
      </w:r>
      <w:r w:rsidRPr="002772D1">
        <w:rPr>
          <w:rFonts w:ascii="Book Antiqua" w:hAnsi="Book Antiqua"/>
          <w:i/>
          <w:iCs/>
        </w:rPr>
        <w:t>Nature</w:t>
      </w:r>
      <w:r w:rsidRPr="002772D1">
        <w:rPr>
          <w:rFonts w:ascii="Book Antiqua" w:hAnsi="Book Antiqua"/>
        </w:rPr>
        <w:t xml:space="preserve"> 1994; </w:t>
      </w:r>
      <w:r w:rsidRPr="002772D1">
        <w:rPr>
          <w:rFonts w:ascii="Book Antiqua" w:hAnsi="Book Antiqua"/>
          <w:b/>
          <w:bCs/>
        </w:rPr>
        <w:t>367</w:t>
      </w:r>
      <w:r w:rsidRPr="002772D1">
        <w:rPr>
          <w:rFonts w:ascii="Book Antiqua" w:hAnsi="Book Antiqua"/>
        </w:rPr>
        <w:t>: 377-378 [PMID: 8114938 DOI: 10.1038/367377a0]</w:t>
      </w:r>
    </w:p>
    <w:p w14:paraId="73E8173C"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116 </w:t>
      </w:r>
      <w:r w:rsidRPr="002772D1">
        <w:rPr>
          <w:rFonts w:ascii="Book Antiqua" w:hAnsi="Book Antiqua"/>
          <w:b/>
          <w:bCs/>
        </w:rPr>
        <w:t>Mulligan LM</w:t>
      </w:r>
      <w:r w:rsidRPr="002772D1">
        <w:rPr>
          <w:rFonts w:ascii="Book Antiqua" w:hAnsi="Book Antiqua"/>
        </w:rPr>
        <w:t xml:space="preserve">, Kwok JB, Healey CS, Elsdon MJ, Eng C, Gardner E, Love DR, Mole SE, Moore JK, Papi L. Germ-line mutations of the RET proto-oncogene in multiple endocrine neoplasia type 2A. </w:t>
      </w:r>
      <w:r w:rsidRPr="002772D1">
        <w:rPr>
          <w:rFonts w:ascii="Book Antiqua" w:hAnsi="Book Antiqua"/>
          <w:i/>
          <w:iCs/>
        </w:rPr>
        <w:t>Nature</w:t>
      </w:r>
      <w:r w:rsidRPr="002772D1">
        <w:rPr>
          <w:rFonts w:ascii="Book Antiqua" w:hAnsi="Book Antiqua"/>
        </w:rPr>
        <w:t xml:space="preserve"> 1993; </w:t>
      </w:r>
      <w:r w:rsidRPr="002772D1">
        <w:rPr>
          <w:rFonts w:ascii="Book Antiqua" w:hAnsi="Book Antiqua"/>
          <w:b/>
          <w:bCs/>
        </w:rPr>
        <w:t>363</w:t>
      </w:r>
      <w:r w:rsidRPr="002772D1">
        <w:rPr>
          <w:rFonts w:ascii="Book Antiqua" w:hAnsi="Book Antiqua"/>
        </w:rPr>
        <w:t>: 458-460 [PMID: 8099202 DOI: 10.1038/363458a0]</w:t>
      </w:r>
    </w:p>
    <w:p w14:paraId="29D0405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117 </w:t>
      </w:r>
      <w:r w:rsidRPr="002772D1">
        <w:rPr>
          <w:rFonts w:ascii="Book Antiqua" w:hAnsi="Book Antiqua"/>
          <w:b/>
          <w:bCs/>
        </w:rPr>
        <w:t>Takeuchi K</w:t>
      </w:r>
      <w:r w:rsidRPr="002772D1">
        <w:rPr>
          <w:rFonts w:ascii="Book Antiqua" w:hAnsi="Book Antiqua"/>
        </w:rPr>
        <w:t xml:space="preserve">, Soda M, Togashi Y, Suzuki R, Sakata S, Hatano S, Asaka R, Hamanaka W, Ninomiya H, Uehara H, Lim Choi Y, Satoh Y, Okumura S, Nakagawa K, Mano H, Ishikawa Y. RET, ROS1 and ALK fusions in lung cancer. </w:t>
      </w:r>
      <w:r w:rsidRPr="002772D1">
        <w:rPr>
          <w:rFonts w:ascii="Book Antiqua" w:hAnsi="Book Antiqua"/>
          <w:i/>
          <w:iCs/>
        </w:rPr>
        <w:t>Nat Med</w:t>
      </w:r>
      <w:r w:rsidRPr="002772D1">
        <w:rPr>
          <w:rFonts w:ascii="Book Antiqua" w:hAnsi="Book Antiqua"/>
        </w:rPr>
        <w:t xml:space="preserve"> 2012; </w:t>
      </w:r>
      <w:r w:rsidRPr="002772D1">
        <w:rPr>
          <w:rFonts w:ascii="Book Antiqua" w:hAnsi="Book Antiqua"/>
          <w:b/>
          <w:bCs/>
        </w:rPr>
        <w:t>18</w:t>
      </w:r>
      <w:r w:rsidRPr="002772D1">
        <w:rPr>
          <w:rFonts w:ascii="Book Antiqua" w:hAnsi="Book Antiqua"/>
        </w:rPr>
        <w:t>: 378-381 [PMID: 22327623 DOI: 10.1038/nm.2658]</w:t>
      </w:r>
    </w:p>
    <w:p w14:paraId="3541715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118 </w:t>
      </w:r>
      <w:r w:rsidRPr="002772D1">
        <w:rPr>
          <w:rFonts w:ascii="Book Antiqua" w:hAnsi="Book Antiqua"/>
          <w:b/>
          <w:bCs/>
        </w:rPr>
        <w:t>Drilon A</w:t>
      </w:r>
      <w:r w:rsidRPr="002772D1">
        <w:rPr>
          <w:rFonts w:ascii="Book Antiqua" w:hAnsi="Book Antiqua"/>
        </w:rPr>
        <w:t xml:space="preserve">, Oxnard GR, Tan DSW, Loong HHF, Johnson M, Gainor J, McCoach CE, Gautschi O, Besse B, Cho BC, Peled N, Weiss J, Kim YJ, Ohe Y, Nishio M, Park K, Patel J, Seto T, Sakamoto T, Rosen E, Shah MH, Barlesi F, Cassier PA, Bazhenova L, De Braud F, Garralda E, Velcheti V, Satouchi M, Ohashi K, Pennell NA, Reckamp KL, Dy GK, Wolf J, Solomon B, Falchook G, Ebata K, Nguyen M, Nair B, Zhu EY, Yang L, Huang X, Olek E, Rothenberg SM, Goto K, Subbiah V. Efficacy of Selpercatinib in </w:t>
      </w:r>
      <w:r w:rsidRPr="002772D1">
        <w:rPr>
          <w:rFonts w:ascii="Book Antiqua" w:hAnsi="Book Antiqua"/>
          <w:i/>
          <w:iCs/>
        </w:rPr>
        <w:t>RET</w:t>
      </w:r>
      <w:r w:rsidRPr="002772D1">
        <w:rPr>
          <w:rFonts w:ascii="Book Antiqua" w:hAnsi="Book Antiqua"/>
        </w:rPr>
        <w:t xml:space="preserve"> Fusion-Positive Non-Small-Cell Lung Cancer. </w:t>
      </w:r>
      <w:r w:rsidRPr="002772D1">
        <w:rPr>
          <w:rFonts w:ascii="Book Antiqua" w:hAnsi="Book Antiqua"/>
          <w:i/>
          <w:iCs/>
        </w:rPr>
        <w:t>N Engl J Med</w:t>
      </w:r>
      <w:r w:rsidRPr="002772D1">
        <w:rPr>
          <w:rFonts w:ascii="Book Antiqua" w:hAnsi="Book Antiqua"/>
        </w:rPr>
        <w:t xml:space="preserve"> 2020; </w:t>
      </w:r>
      <w:r w:rsidRPr="002772D1">
        <w:rPr>
          <w:rFonts w:ascii="Book Antiqua" w:hAnsi="Book Antiqua"/>
          <w:b/>
          <w:bCs/>
        </w:rPr>
        <w:t>383</w:t>
      </w:r>
      <w:r w:rsidRPr="002772D1">
        <w:rPr>
          <w:rFonts w:ascii="Book Antiqua" w:hAnsi="Book Antiqua"/>
        </w:rPr>
        <w:t>: 813-824 [PMID: 32846060 DOI: 10.1056/NEJMoa2005653]</w:t>
      </w:r>
    </w:p>
    <w:p w14:paraId="2AA71797" w14:textId="62000717" w:rsidR="000F1AEF" w:rsidRPr="002772D1" w:rsidRDefault="000F1AEF" w:rsidP="00E06D87">
      <w:pPr>
        <w:spacing w:line="360" w:lineRule="auto"/>
        <w:jc w:val="both"/>
        <w:rPr>
          <w:rFonts w:ascii="Book Antiqua" w:hAnsi="Book Antiqua"/>
        </w:rPr>
      </w:pPr>
      <w:r w:rsidRPr="002772D1">
        <w:rPr>
          <w:rFonts w:ascii="Book Antiqua" w:hAnsi="Book Antiqua"/>
        </w:rPr>
        <w:t xml:space="preserve">119 </w:t>
      </w:r>
      <w:r w:rsidRPr="002772D1">
        <w:rPr>
          <w:rFonts w:ascii="Book Antiqua" w:hAnsi="Book Antiqua"/>
          <w:b/>
          <w:bCs/>
        </w:rPr>
        <w:t>FDA.</w:t>
      </w:r>
      <w:r w:rsidRPr="002772D1">
        <w:rPr>
          <w:rFonts w:ascii="Book Antiqua" w:hAnsi="Book Antiqua"/>
        </w:rPr>
        <w:t xml:space="preserve"> FDA approves selpercatinib for lung and thyroid cancers with RET gene mutations or fusions. [cited 10 January 2021]. Available from: https://www.fda.gov/drugs/drug-approvals-and-databases/fda-approves-selpercatinib-lung-and-thyroid-cancers-ret-gene-mutations-or-fusions</w:t>
      </w:r>
    </w:p>
    <w:p w14:paraId="6740B9AB"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120 </w:t>
      </w:r>
      <w:r w:rsidRPr="002772D1">
        <w:rPr>
          <w:rFonts w:ascii="Book Antiqua" w:hAnsi="Book Antiqua"/>
          <w:b/>
          <w:bCs/>
        </w:rPr>
        <w:t>Solomon BJ</w:t>
      </w:r>
      <w:r w:rsidRPr="002772D1">
        <w:rPr>
          <w:rFonts w:ascii="Book Antiqua" w:hAnsi="Book Antiqua"/>
        </w:rPr>
        <w:t xml:space="preserve">, Zhou CC, Drilon A, Park K, Wolf J, Elamin Y, Davis HM, Soldatenkova V, Sashegyi A, Lin AB, Lin BK, F Loong HH, Novello S, Arriola E, Pérol M, Goto K, Santini FC. Phase III study of selpercatinib versus chemotherapy ± pembrolizumab in untreated </w:t>
      </w:r>
      <w:r w:rsidRPr="002772D1">
        <w:rPr>
          <w:rFonts w:ascii="Book Antiqua" w:hAnsi="Book Antiqua"/>
          <w:i/>
          <w:iCs/>
        </w:rPr>
        <w:t>RET</w:t>
      </w:r>
      <w:r w:rsidRPr="002772D1">
        <w:rPr>
          <w:rFonts w:ascii="Book Antiqua" w:hAnsi="Book Antiqua"/>
        </w:rPr>
        <w:t xml:space="preserve"> positive non-small-cell lung cancer. </w:t>
      </w:r>
      <w:r w:rsidRPr="002772D1">
        <w:rPr>
          <w:rFonts w:ascii="Book Antiqua" w:hAnsi="Book Antiqua"/>
          <w:i/>
          <w:iCs/>
        </w:rPr>
        <w:t>Future Oncol</w:t>
      </w:r>
      <w:r w:rsidRPr="002772D1">
        <w:rPr>
          <w:rFonts w:ascii="Book Antiqua" w:hAnsi="Book Antiqua"/>
        </w:rPr>
        <w:t xml:space="preserve"> 2021; </w:t>
      </w:r>
      <w:r w:rsidRPr="002772D1">
        <w:rPr>
          <w:rFonts w:ascii="Book Antiqua" w:hAnsi="Book Antiqua"/>
          <w:b/>
          <w:bCs/>
        </w:rPr>
        <w:t>17</w:t>
      </w:r>
      <w:r w:rsidRPr="002772D1">
        <w:rPr>
          <w:rFonts w:ascii="Book Antiqua" w:hAnsi="Book Antiqua"/>
        </w:rPr>
        <w:t>: 763-773 [PMID: 33150799 DOI: 10.2217/fon-2020-0935]</w:t>
      </w:r>
    </w:p>
    <w:p w14:paraId="391FCFB4" w14:textId="1084B616" w:rsidR="000F1AEF" w:rsidRPr="002772D1" w:rsidRDefault="000F1AEF" w:rsidP="00E06D87">
      <w:pPr>
        <w:spacing w:line="360" w:lineRule="auto"/>
        <w:jc w:val="both"/>
        <w:rPr>
          <w:rFonts w:ascii="Book Antiqua" w:hAnsi="Book Antiqua"/>
        </w:rPr>
      </w:pPr>
      <w:r w:rsidRPr="002772D1">
        <w:rPr>
          <w:rFonts w:ascii="Book Antiqua" w:hAnsi="Book Antiqua"/>
        </w:rPr>
        <w:t xml:space="preserve">121 </w:t>
      </w:r>
      <w:r w:rsidRPr="002772D1">
        <w:rPr>
          <w:rFonts w:ascii="Book Antiqua" w:hAnsi="Book Antiqua"/>
          <w:b/>
          <w:bCs/>
        </w:rPr>
        <w:t>Gainor JF,</w:t>
      </w:r>
      <w:r w:rsidRPr="002772D1">
        <w:rPr>
          <w:rFonts w:ascii="Book Antiqua" w:hAnsi="Book Antiqua"/>
        </w:rPr>
        <w:t xml:space="preserve"> Curigliano G, Kim D-W, Lee DH, Besse B, Baik CS, Doebele RC, Cassier PA, Lopes G, Tan DS-W</w:t>
      </w:r>
      <w:r w:rsidR="005F688A" w:rsidRPr="002772D1">
        <w:rPr>
          <w:rFonts w:ascii="Book Antiqua" w:hAnsi="Book Antiqua"/>
        </w:rPr>
        <w:t>.</w:t>
      </w:r>
      <w:r w:rsidRPr="002772D1">
        <w:rPr>
          <w:rFonts w:ascii="Book Antiqua" w:hAnsi="Book Antiqua"/>
        </w:rPr>
        <w:t xml:space="preserve"> Registrational dataset from the phase I/II ARROW trial of pralsetinib (BLU-667) in patients (pts) with advanced RET fusion+ non-small cell lung cancer (NSCLC). </w:t>
      </w:r>
      <w:r w:rsidRPr="002772D1">
        <w:rPr>
          <w:rFonts w:ascii="Book Antiqua" w:hAnsi="Book Antiqua"/>
          <w:i/>
          <w:iCs/>
        </w:rPr>
        <w:t>ASCO</w:t>
      </w:r>
      <w:r w:rsidRPr="002772D1">
        <w:rPr>
          <w:rFonts w:ascii="Book Antiqua" w:hAnsi="Book Antiqua"/>
        </w:rPr>
        <w:t xml:space="preserve"> 2020 [DOI: 10.1200/JCO.2020.38.15_suppl.9515]</w:t>
      </w:r>
    </w:p>
    <w:p w14:paraId="14700C87"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122 </w:t>
      </w:r>
      <w:r w:rsidRPr="002772D1">
        <w:rPr>
          <w:rFonts w:ascii="Book Antiqua" w:hAnsi="Book Antiqua"/>
          <w:b/>
          <w:bCs/>
        </w:rPr>
        <w:t xml:space="preserve">NIH. </w:t>
      </w:r>
      <w:r w:rsidRPr="002772D1">
        <w:rPr>
          <w:rFonts w:ascii="Book Antiqua" w:hAnsi="Book Antiqua"/>
        </w:rPr>
        <w:t>AcceleRET Lung Study of Pralsetinib for 1L RET Fusion-positive, Metastatic NSCLC. [cited 10 January 2021]. Available from: https://www.clinicaltrials.gov/ct2/show/NCT04222972?cond=RET+fusion+NSCLC&amp;draw=2&amp;rank=4</w:t>
      </w:r>
    </w:p>
    <w:p w14:paraId="299D4C3E"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123 </w:t>
      </w:r>
      <w:r w:rsidRPr="002772D1">
        <w:rPr>
          <w:rFonts w:ascii="Book Antiqua" w:hAnsi="Book Antiqua"/>
          <w:b/>
          <w:bCs/>
        </w:rPr>
        <w:t>Drilon A</w:t>
      </w:r>
      <w:r w:rsidRPr="002772D1">
        <w:rPr>
          <w:rFonts w:ascii="Book Antiqua" w:hAnsi="Book Antiqua"/>
        </w:rPr>
        <w:t xml:space="preserve">, Rekhtman N, Arcila M, Wang L, Ni A, Albano M, Van Voorthuysen M, Somwar R, Smith RS, Montecalvo J, Plodkowski A, Ginsberg MS, Riely GJ, Rudin CM, Ladanyi M, Kris MG. Cabozantinib in patients with advanced RET-rearranged non-small-cell lung cancer: an open-label, single-centre, phase 2, single-arm trial. </w:t>
      </w:r>
      <w:r w:rsidRPr="002772D1">
        <w:rPr>
          <w:rFonts w:ascii="Book Antiqua" w:hAnsi="Book Antiqua"/>
          <w:i/>
          <w:iCs/>
        </w:rPr>
        <w:t>Lancet Oncol</w:t>
      </w:r>
      <w:r w:rsidRPr="002772D1">
        <w:rPr>
          <w:rFonts w:ascii="Book Antiqua" w:hAnsi="Book Antiqua"/>
        </w:rPr>
        <w:t xml:space="preserve"> 2016; </w:t>
      </w:r>
      <w:r w:rsidRPr="002772D1">
        <w:rPr>
          <w:rFonts w:ascii="Book Antiqua" w:hAnsi="Book Antiqua"/>
          <w:b/>
          <w:bCs/>
        </w:rPr>
        <w:t>17</w:t>
      </w:r>
      <w:r w:rsidRPr="002772D1">
        <w:rPr>
          <w:rFonts w:ascii="Book Antiqua" w:hAnsi="Book Antiqua"/>
        </w:rPr>
        <w:t>: 1653-1660 [PMID: 27825636 DOI: 10.1016/S1470-2045(16)30562-9]</w:t>
      </w:r>
    </w:p>
    <w:p w14:paraId="1282BF0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124 </w:t>
      </w:r>
      <w:r w:rsidRPr="002772D1">
        <w:rPr>
          <w:rFonts w:ascii="Book Antiqua" w:hAnsi="Book Antiqua"/>
          <w:b/>
          <w:bCs/>
        </w:rPr>
        <w:t>Gautschi O</w:t>
      </w:r>
      <w:r w:rsidRPr="002772D1">
        <w:rPr>
          <w:rFonts w:ascii="Book Antiqua" w:hAnsi="Book Antiqua"/>
        </w:rPr>
        <w:t xml:space="preserve">, Milia J, Filleron T, Wolf J, Carbone DP, Owen D, Camidge R, Narayanan V, Doebele RC, Besse B, Remon-Masip J, Janne PA, Awad MM, Peled N, Byoung CC, Karp DD, Van Den Heuvel M, Wakelee HA, Neal JW, Mok TSK, Yang JCH, Ou SI, Pall G, Froesch P, Zalcman G, Gandara DR, Riess JW, Velcheti V, Zeidler K, Diebold J, Früh M, Michels S, Monnet I, Popat S, Rosell R, Karachaliou N, Rothschild SI, Shih JY, Warth A, Muley T, Cabillic F, Mazières J, Drilon A. Targeting RET in Patients With RET-Rearranged Lung Cancers: Results From the Global, Multicenter RET Registry. </w:t>
      </w:r>
      <w:r w:rsidRPr="002772D1">
        <w:rPr>
          <w:rFonts w:ascii="Book Antiqua" w:hAnsi="Book Antiqua"/>
          <w:i/>
          <w:iCs/>
        </w:rPr>
        <w:t>J Clin Oncol</w:t>
      </w:r>
      <w:r w:rsidRPr="002772D1">
        <w:rPr>
          <w:rFonts w:ascii="Book Antiqua" w:hAnsi="Book Antiqua"/>
        </w:rPr>
        <w:t xml:space="preserve"> 2017; </w:t>
      </w:r>
      <w:r w:rsidRPr="002772D1">
        <w:rPr>
          <w:rFonts w:ascii="Book Antiqua" w:hAnsi="Book Antiqua"/>
          <w:b/>
          <w:bCs/>
        </w:rPr>
        <w:t>35</w:t>
      </w:r>
      <w:r w:rsidRPr="002772D1">
        <w:rPr>
          <w:rFonts w:ascii="Book Antiqua" w:hAnsi="Book Antiqua"/>
        </w:rPr>
        <w:t>: 1403-1410 [PMID: 28447912 DOI: 10.1200/JCO.2016.70.9352]</w:t>
      </w:r>
    </w:p>
    <w:p w14:paraId="3CE6C3C9"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125 </w:t>
      </w:r>
      <w:r w:rsidRPr="002772D1">
        <w:rPr>
          <w:rFonts w:ascii="Book Antiqua" w:hAnsi="Book Antiqua"/>
          <w:b/>
          <w:bCs/>
        </w:rPr>
        <w:t>Solomon BJ</w:t>
      </w:r>
      <w:r w:rsidRPr="002772D1">
        <w:rPr>
          <w:rFonts w:ascii="Book Antiqua" w:hAnsi="Book Antiqua"/>
        </w:rPr>
        <w:t xml:space="preserve">, Tan L, Lin JJ, Wong SQ, Hollizeck S, Ebata K, Tuch BB, Yoda S, Gainor JF, Sequist LV, Oxnard GR, Gautschi O, Drilon A, Subbiah V, Khoo C, Zhu EY, Nguyen M, Henry D, Condroski KR, Kolakowski GR, Gomez E, Ballard J, Metcalf AT, Blake JF, Dawson SJ, Blosser W, Stancato LF, Brandhuber BJ, Andrews S, Robinson BG, Rothenberg SM. RET Solvent Front Mutations Mediate Acquired Resistance to Selective RET Inhibition in RET-Driven Malignancies. </w:t>
      </w:r>
      <w:r w:rsidRPr="002772D1">
        <w:rPr>
          <w:rFonts w:ascii="Book Antiqua" w:hAnsi="Book Antiqua"/>
          <w:i/>
          <w:iCs/>
        </w:rPr>
        <w:t>J Thorac Oncol</w:t>
      </w:r>
      <w:r w:rsidRPr="002772D1">
        <w:rPr>
          <w:rFonts w:ascii="Book Antiqua" w:hAnsi="Book Antiqua"/>
        </w:rPr>
        <w:t xml:space="preserve"> 2020; </w:t>
      </w:r>
      <w:r w:rsidRPr="002772D1">
        <w:rPr>
          <w:rFonts w:ascii="Book Antiqua" w:hAnsi="Book Antiqua"/>
          <w:b/>
          <w:bCs/>
        </w:rPr>
        <w:t>15</w:t>
      </w:r>
      <w:r w:rsidRPr="002772D1">
        <w:rPr>
          <w:rFonts w:ascii="Book Antiqua" w:hAnsi="Book Antiqua"/>
        </w:rPr>
        <w:t>: 541-549 [PMID: 31988000 DOI: 10.1016/j.jtho.2020.01.006]</w:t>
      </w:r>
    </w:p>
    <w:p w14:paraId="7BF1CCDC"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126 </w:t>
      </w:r>
      <w:r w:rsidRPr="002772D1">
        <w:rPr>
          <w:rFonts w:ascii="Book Antiqua" w:hAnsi="Book Antiqua"/>
          <w:b/>
          <w:bCs/>
        </w:rPr>
        <w:t>Lin JJ</w:t>
      </w:r>
      <w:r w:rsidRPr="002772D1">
        <w:rPr>
          <w:rFonts w:ascii="Book Antiqua" w:hAnsi="Book Antiqua"/>
        </w:rPr>
        <w:t xml:space="preserve">, Liu SV, McCoach CE, Zhu VW, Tan AC, Yoda S, Peterson J, Do A, Prutisto-Chang K, Dagogo-Jack I, Sequist LV, Wirth LJ, Lennerz JK, Hata AN, Mino-Kenudson M, Nardi V, Ou SI, Tan DS, Gainor JF. Mechanisms of resistance to selective RET </w:t>
      </w:r>
      <w:r w:rsidRPr="002772D1">
        <w:rPr>
          <w:rFonts w:ascii="Book Antiqua" w:hAnsi="Book Antiqua"/>
        </w:rPr>
        <w:lastRenderedPageBreak/>
        <w:t xml:space="preserve">tyrosine kinase inhibitors in RET fusion-positive non-small-cell lung cancer. </w:t>
      </w:r>
      <w:r w:rsidRPr="002772D1">
        <w:rPr>
          <w:rFonts w:ascii="Book Antiqua" w:hAnsi="Book Antiqua"/>
          <w:i/>
          <w:iCs/>
        </w:rPr>
        <w:t>Ann Oncol</w:t>
      </w:r>
      <w:r w:rsidRPr="002772D1">
        <w:rPr>
          <w:rFonts w:ascii="Book Antiqua" w:hAnsi="Book Antiqua"/>
        </w:rPr>
        <w:t xml:space="preserve"> 2020; </w:t>
      </w:r>
      <w:r w:rsidRPr="002772D1">
        <w:rPr>
          <w:rFonts w:ascii="Book Antiqua" w:hAnsi="Book Antiqua"/>
          <w:b/>
          <w:bCs/>
        </w:rPr>
        <w:t>31</w:t>
      </w:r>
      <w:r w:rsidRPr="002772D1">
        <w:rPr>
          <w:rFonts w:ascii="Book Antiqua" w:hAnsi="Book Antiqua"/>
        </w:rPr>
        <w:t>: 1725-1733 [PMID: 33007380 DOI: 10.1016/j.annonc.2020.09.015]</w:t>
      </w:r>
    </w:p>
    <w:p w14:paraId="064D01C5"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127 </w:t>
      </w:r>
      <w:r w:rsidRPr="002772D1">
        <w:rPr>
          <w:rFonts w:ascii="Book Antiqua" w:hAnsi="Book Antiqua"/>
          <w:b/>
          <w:bCs/>
        </w:rPr>
        <w:t>Wu YL</w:t>
      </w:r>
      <w:r w:rsidRPr="002772D1">
        <w:rPr>
          <w:rFonts w:ascii="Book Antiqua" w:hAnsi="Book Antiqua"/>
        </w:rPr>
        <w:t xml:space="preserve">, Cheng Y, Zhou X, Lee KH, Nakagawa K, Niho S, Tsuji F, Linke R, Rosell R, Corral J, Migliorino MR, Pluzanski A, Sbar EI, Wang T, White JL, Nadanaciva S, Sandin R, Mok TS. Dacomitinib versus gefitinib as first-line treatment for patients with EGFR-mutation-positive non-small-cell lung cancer (ARCHER 1050): a randomised, open-label, phase 3 trial. </w:t>
      </w:r>
      <w:r w:rsidRPr="002772D1">
        <w:rPr>
          <w:rFonts w:ascii="Book Antiqua" w:hAnsi="Book Antiqua"/>
          <w:i/>
          <w:iCs/>
        </w:rPr>
        <w:t>Lancet Oncol</w:t>
      </w:r>
      <w:r w:rsidRPr="002772D1">
        <w:rPr>
          <w:rFonts w:ascii="Book Antiqua" w:hAnsi="Book Antiqua"/>
        </w:rPr>
        <w:t xml:space="preserve"> 2017; </w:t>
      </w:r>
      <w:r w:rsidRPr="002772D1">
        <w:rPr>
          <w:rFonts w:ascii="Book Antiqua" w:hAnsi="Book Antiqua"/>
          <w:b/>
          <w:bCs/>
        </w:rPr>
        <w:t>18</w:t>
      </w:r>
      <w:r w:rsidRPr="002772D1">
        <w:rPr>
          <w:rFonts w:ascii="Book Antiqua" w:hAnsi="Book Antiqua"/>
        </w:rPr>
        <w:t>: 1454-1466 [PMID: 28958502 DOI: 10.1016/S1470-2045(17)30608-3]</w:t>
      </w:r>
    </w:p>
    <w:p w14:paraId="5349A121" w14:textId="06C2F3EF" w:rsidR="000F1AEF" w:rsidRPr="002772D1" w:rsidRDefault="000F1AEF" w:rsidP="00E06D87">
      <w:pPr>
        <w:spacing w:line="360" w:lineRule="auto"/>
        <w:jc w:val="both"/>
        <w:rPr>
          <w:rFonts w:ascii="Book Antiqua" w:hAnsi="Book Antiqua"/>
        </w:rPr>
      </w:pPr>
      <w:r w:rsidRPr="002772D1">
        <w:rPr>
          <w:rFonts w:ascii="Book Antiqua" w:hAnsi="Book Antiqua"/>
        </w:rPr>
        <w:t xml:space="preserve">128 </w:t>
      </w:r>
      <w:r w:rsidRPr="002772D1">
        <w:rPr>
          <w:rFonts w:ascii="Book Antiqua" w:hAnsi="Book Antiqua"/>
          <w:b/>
          <w:bCs/>
        </w:rPr>
        <w:t>Ramalingam SS,</w:t>
      </w:r>
      <w:r w:rsidRPr="002772D1">
        <w:rPr>
          <w:rFonts w:ascii="Book Antiqua" w:hAnsi="Book Antiqua"/>
        </w:rPr>
        <w:t xml:space="preserve"> Gray JE, Ohe Y, Cho B, Planchard D. Osimertinib vs comparator EGFR-TKI as first-line treatment for EGFRm advanced NSCLC (FLAURA): Final overall survival analysis. </w:t>
      </w:r>
      <w:r w:rsidRPr="002772D1">
        <w:rPr>
          <w:rFonts w:ascii="Book Antiqua" w:hAnsi="Book Antiqua"/>
          <w:i/>
          <w:iCs/>
        </w:rPr>
        <w:t>Ann Oncol</w:t>
      </w:r>
      <w:r w:rsidRPr="002772D1">
        <w:rPr>
          <w:rFonts w:ascii="Book Antiqua" w:hAnsi="Book Antiqua"/>
        </w:rPr>
        <w:t xml:space="preserve"> 2019</w:t>
      </w:r>
      <w:r w:rsidR="00A24058" w:rsidRPr="002772D1">
        <w:rPr>
          <w:rFonts w:ascii="Book Antiqua" w:hAnsi="Book Antiqua"/>
        </w:rPr>
        <w:t>;</w:t>
      </w:r>
      <w:r w:rsidRPr="002772D1">
        <w:rPr>
          <w:rFonts w:ascii="Book Antiqua" w:hAnsi="Book Antiqua"/>
        </w:rPr>
        <w:t xml:space="preserve"> </w:t>
      </w:r>
      <w:r w:rsidRPr="002772D1">
        <w:rPr>
          <w:rFonts w:ascii="Book Antiqua" w:hAnsi="Book Antiqua"/>
          <w:b/>
          <w:bCs/>
        </w:rPr>
        <w:t>30</w:t>
      </w:r>
      <w:r w:rsidRPr="002772D1">
        <w:rPr>
          <w:rFonts w:ascii="Book Antiqua" w:hAnsi="Book Antiqua"/>
        </w:rPr>
        <w:t>: v914-v915 [DOI: 10.1093 / advert / mdz394.076]</w:t>
      </w:r>
    </w:p>
    <w:p w14:paraId="4AB7628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129 </w:t>
      </w:r>
      <w:r w:rsidRPr="002772D1">
        <w:rPr>
          <w:rFonts w:ascii="Book Antiqua" w:hAnsi="Book Antiqua"/>
          <w:b/>
          <w:bCs/>
        </w:rPr>
        <w:t>Soria JC</w:t>
      </w:r>
      <w:r w:rsidRPr="002772D1">
        <w:rPr>
          <w:rFonts w:ascii="Book Antiqua" w:hAnsi="Book Antiqua"/>
        </w:rPr>
        <w:t xml:space="preserve">, Tan DSW, Chiari R, Wu YL, Paz-Ares L, Wolf J, Geater SL, Orlov S, Cortinovis D, Yu CJ, Hochmair M, Cortot AB, Tsai CM, Moro-Sibilot D, Campelo RG, McCulloch T, Sen P, Dugan M, Pantano S, Branle F, Massacesi C, de Castro G Jr. First-line ceritinib versus platinum-based chemotherapy in advanced ALK-rearranged non-small-cell lung cancer (ASCEND-4): a randomised, open-label, phase 3 study. </w:t>
      </w:r>
      <w:r w:rsidRPr="002772D1">
        <w:rPr>
          <w:rFonts w:ascii="Book Antiqua" w:hAnsi="Book Antiqua"/>
          <w:i/>
          <w:iCs/>
        </w:rPr>
        <w:t>Lancet</w:t>
      </w:r>
      <w:r w:rsidRPr="002772D1">
        <w:rPr>
          <w:rFonts w:ascii="Book Antiqua" w:hAnsi="Book Antiqua"/>
        </w:rPr>
        <w:t xml:space="preserve"> 2017; </w:t>
      </w:r>
      <w:r w:rsidRPr="002772D1">
        <w:rPr>
          <w:rFonts w:ascii="Book Antiqua" w:hAnsi="Book Antiqua"/>
          <w:b/>
          <w:bCs/>
        </w:rPr>
        <w:t>389</w:t>
      </w:r>
      <w:r w:rsidRPr="002772D1">
        <w:rPr>
          <w:rFonts w:ascii="Book Antiqua" w:hAnsi="Book Antiqua"/>
        </w:rPr>
        <w:t>: 917-929 [PMID: 28126333 DOI: 10.1016/S0140-6736(17)30123-X]</w:t>
      </w:r>
    </w:p>
    <w:p w14:paraId="784BB253"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130 </w:t>
      </w:r>
      <w:r w:rsidRPr="002772D1">
        <w:rPr>
          <w:rFonts w:ascii="Book Antiqua" w:hAnsi="Book Antiqua"/>
          <w:b/>
          <w:bCs/>
        </w:rPr>
        <w:t>Camidge DR</w:t>
      </w:r>
      <w:r w:rsidRPr="002772D1">
        <w:rPr>
          <w:rFonts w:ascii="Book Antiqua" w:hAnsi="Book Antiqua"/>
        </w:rPr>
        <w:t xml:space="preserve">, Kim HR, Ahn MJ, Yang JC, Han JY, Lee JS, Hochmair MJ, Li JY, Chang GC, Lee KH, Gridelli C, Delmonte A, Garcia Campelo R, Kim DW, Bearz A, Griesinger F, Morabito A, Felip E, Califano R, Ghosh S, Spira A, Gettinger SN, Tiseo M, Gupta N, Haney J, Kerstein D, Popat S. Brigatinib versus Crizotinib in ALK-Positive Non-Small-Cell Lung Cancer. </w:t>
      </w:r>
      <w:r w:rsidRPr="002772D1">
        <w:rPr>
          <w:rFonts w:ascii="Book Antiqua" w:hAnsi="Book Antiqua"/>
          <w:i/>
          <w:iCs/>
        </w:rPr>
        <w:t>N Engl J Med</w:t>
      </w:r>
      <w:r w:rsidRPr="002772D1">
        <w:rPr>
          <w:rFonts w:ascii="Book Antiqua" w:hAnsi="Book Antiqua"/>
        </w:rPr>
        <w:t xml:space="preserve"> 2018; </w:t>
      </w:r>
      <w:r w:rsidRPr="002772D1">
        <w:rPr>
          <w:rFonts w:ascii="Book Antiqua" w:hAnsi="Book Antiqua"/>
          <w:b/>
          <w:bCs/>
        </w:rPr>
        <w:t>379</w:t>
      </w:r>
      <w:r w:rsidRPr="002772D1">
        <w:rPr>
          <w:rFonts w:ascii="Book Antiqua" w:hAnsi="Book Antiqua"/>
        </w:rPr>
        <w:t>: 2027-2039 [PMID: 30280657 DOI: 10.1056/NEJMoa1810171]</w:t>
      </w:r>
    </w:p>
    <w:p w14:paraId="0B051FD4"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131 </w:t>
      </w:r>
      <w:r w:rsidRPr="002772D1">
        <w:rPr>
          <w:rFonts w:ascii="Book Antiqua" w:hAnsi="Book Antiqua"/>
          <w:b/>
          <w:bCs/>
        </w:rPr>
        <w:t>Peters S</w:t>
      </w:r>
      <w:r w:rsidRPr="002772D1">
        <w:rPr>
          <w:rFonts w:ascii="Book Antiqua" w:hAnsi="Book Antiqua"/>
        </w:rPr>
        <w:t xml:space="preserve">, Camidge DR, Shaw AT, Gadgeel S, Ahn JS, Kim DW, Ou SI, Pérol M, Dziadziuszko R, Rosell R, Zeaiter A, Mitry E, Golding S, Balas B, Noe J, Morcos PN, Mok T; ALEX Trial Investigators. Alectinib versus Crizotinib in Untreated ALK-Positive Non-Small-Cell Lung Cancer. </w:t>
      </w:r>
      <w:r w:rsidRPr="002772D1">
        <w:rPr>
          <w:rFonts w:ascii="Book Antiqua" w:hAnsi="Book Antiqua"/>
          <w:i/>
          <w:iCs/>
        </w:rPr>
        <w:t>N Engl J Med</w:t>
      </w:r>
      <w:r w:rsidRPr="002772D1">
        <w:rPr>
          <w:rFonts w:ascii="Book Antiqua" w:hAnsi="Book Antiqua"/>
        </w:rPr>
        <w:t xml:space="preserve"> 2017; </w:t>
      </w:r>
      <w:r w:rsidRPr="002772D1">
        <w:rPr>
          <w:rFonts w:ascii="Book Antiqua" w:hAnsi="Book Antiqua"/>
          <w:b/>
          <w:bCs/>
        </w:rPr>
        <w:t>377</w:t>
      </w:r>
      <w:r w:rsidRPr="002772D1">
        <w:rPr>
          <w:rFonts w:ascii="Book Antiqua" w:hAnsi="Book Antiqua"/>
        </w:rPr>
        <w:t>: 829-838 [PMID: 28586279 DOI: 10.1056/NEJMoa1704795]</w:t>
      </w:r>
    </w:p>
    <w:p w14:paraId="5EA2BD4A"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132 </w:t>
      </w:r>
      <w:r w:rsidRPr="002772D1">
        <w:rPr>
          <w:rFonts w:ascii="Book Antiqua" w:hAnsi="Book Antiqua"/>
          <w:b/>
          <w:bCs/>
        </w:rPr>
        <w:t>Moro-Sibilot D</w:t>
      </w:r>
      <w:r w:rsidRPr="002772D1">
        <w:rPr>
          <w:rFonts w:ascii="Book Antiqua" w:hAnsi="Book Antiqua"/>
        </w:rPr>
        <w:t xml:space="preserve">, Cozic N, Pérol M, Mazières J, Otto J, Souquet PJ, Bahleda R, Wislez M, Zalcman G, Guibert SD, Barlési F, Mennecier B, Monnet I, Sabatier R, Bota S, Dubos C, Verriele V, Haddad V, Ferretti G, Cortot A, De Fraipont F, Jimenez M, Hoog-Labouret N, Vassal G. Crizotinib in c-MET- or ROS1-positive NSCLC: results of the AcSé phase II trial. </w:t>
      </w:r>
      <w:r w:rsidRPr="002772D1">
        <w:rPr>
          <w:rFonts w:ascii="Book Antiqua" w:hAnsi="Book Antiqua"/>
          <w:i/>
          <w:iCs/>
        </w:rPr>
        <w:t>Ann Oncol</w:t>
      </w:r>
      <w:r w:rsidRPr="002772D1">
        <w:rPr>
          <w:rFonts w:ascii="Book Antiqua" w:hAnsi="Book Antiqua"/>
        </w:rPr>
        <w:t xml:space="preserve"> 2019; </w:t>
      </w:r>
      <w:r w:rsidRPr="002772D1">
        <w:rPr>
          <w:rFonts w:ascii="Book Antiqua" w:hAnsi="Book Antiqua"/>
          <w:b/>
          <w:bCs/>
        </w:rPr>
        <w:t>30</w:t>
      </w:r>
      <w:r w:rsidRPr="002772D1">
        <w:rPr>
          <w:rFonts w:ascii="Book Antiqua" w:hAnsi="Book Antiqua"/>
        </w:rPr>
        <w:t>: 1985-1991 [PMID: 31584608 DOI: 10.1093/annonc/mdz407]</w:t>
      </w:r>
    </w:p>
    <w:p w14:paraId="24449F58"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133 </w:t>
      </w:r>
      <w:r w:rsidRPr="002772D1">
        <w:rPr>
          <w:rFonts w:ascii="Book Antiqua" w:hAnsi="Book Antiqua"/>
          <w:b/>
          <w:bCs/>
        </w:rPr>
        <w:t>Duruisseaux M</w:t>
      </w:r>
      <w:r w:rsidRPr="002772D1">
        <w:rPr>
          <w:rFonts w:ascii="Book Antiqua" w:hAnsi="Book Antiqua"/>
        </w:rPr>
        <w:t xml:space="preserve">. Lorlatinib: a new treatment option for ROS1-positive lung cancer. </w:t>
      </w:r>
      <w:r w:rsidRPr="002772D1">
        <w:rPr>
          <w:rFonts w:ascii="Book Antiqua" w:hAnsi="Book Antiqua"/>
          <w:i/>
          <w:iCs/>
        </w:rPr>
        <w:t>Lancet Oncol</w:t>
      </w:r>
      <w:r w:rsidRPr="002772D1">
        <w:rPr>
          <w:rFonts w:ascii="Book Antiqua" w:hAnsi="Book Antiqua"/>
        </w:rPr>
        <w:t xml:space="preserve"> 2019; </w:t>
      </w:r>
      <w:r w:rsidRPr="002772D1">
        <w:rPr>
          <w:rFonts w:ascii="Book Antiqua" w:hAnsi="Book Antiqua"/>
          <w:b/>
          <w:bCs/>
        </w:rPr>
        <w:t>20</w:t>
      </w:r>
      <w:r w:rsidRPr="002772D1">
        <w:rPr>
          <w:rFonts w:ascii="Book Antiqua" w:hAnsi="Book Antiqua"/>
        </w:rPr>
        <w:t>: 1622-1623 [PMID: 31669156 DOI: 10.1016/S1470-2045(19)30716-8]</w:t>
      </w:r>
    </w:p>
    <w:p w14:paraId="77A1B62D"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134 </w:t>
      </w:r>
      <w:r w:rsidRPr="002772D1">
        <w:rPr>
          <w:rFonts w:ascii="Book Antiqua" w:hAnsi="Book Antiqua"/>
          <w:b/>
          <w:bCs/>
        </w:rPr>
        <w:t>Solomon BJ</w:t>
      </w:r>
      <w:r w:rsidRPr="002772D1">
        <w:rPr>
          <w:rFonts w:ascii="Book Antiqua" w:hAnsi="Book Antiqua"/>
        </w:rPr>
        <w:t xml:space="preserve">, Besse B, Bauer TM, Felip E, Soo RA, Camidge DR, Chiari R, Bearz A, Lin CC, Gadgeel SM, Riely GJ, Tan EH, Seto T, James LP, Clancy JS, Abbattista A, Martini JF, Chen J, Peltz G, Thurm H, Ou SI, Shaw AT. Lorlatinib in patients with ALK-positive non-small-cell lung cancer: results from a global phase 2 study. </w:t>
      </w:r>
      <w:r w:rsidRPr="002772D1">
        <w:rPr>
          <w:rFonts w:ascii="Book Antiqua" w:hAnsi="Book Antiqua"/>
          <w:i/>
          <w:iCs/>
        </w:rPr>
        <w:t>Lancet Oncol</w:t>
      </w:r>
      <w:r w:rsidRPr="002772D1">
        <w:rPr>
          <w:rFonts w:ascii="Book Antiqua" w:hAnsi="Book Antiqua"/>
        </w:rPr>
        <w:t xml:space="preserve"> 2018; </w:t>
      </w:r>
      <w:r w:rsidRPr="002772D1">
        <w:rPr>
          <w:rFonts w:ascii="Book Antiqua" w:hAnsi="Book Antiqua"/>
          <w:b/>
          <w:bCs/>
        </w:rPr>
        <w:t>19</w:t>
      </w:r>
      <w:r w:rsidRPr="002772D1">
        <w:rPr>
          <w:rFonts w:ascii="Book Antiqua" w:hAnsi="Book Antiqua"/>
        </w:rPr>
        <w:t>: 1654-1667 [PMID: 30413378 DOI: 10.1016/S1470-2045(18)30649-1]</w:t>
      </w:r>
    </w:p>
    <w:p w14:paraId="11D6D9EE" w14:textId="361CF9F6" w:rsidR="000F1AEF" w:rsidRPr="002772D1" w:rsidRDefault="000F1AEF" w:rsidP="00E06D87">
      <w:pPr>
        <w:spacing w:line="360" w:lineRule="auto"/>
        <w:jc w:val="both"/>
        <w:rPr>
          <w:rFonts w:ascii="Book Antiqua" w:hAnsi="Book Antiqua"/>
        </w:rPr>
      </w:pPr>
      <w:r w:rsidRPr="002772D1">
        <w:rPr>
          <w:rFonts w:ascii="Book Antiqua" w:hAnsi="Book Antiqua"/>
        </w:rPr>
        <w:t xml:space="preserve">135 </w:t>
      </w:r>
      <w:r w:rsidRPr="002772D1">
        <w:rPr>
          <w:rFonts w:ascii="Book Antiqua" w:hAnsi="Book Antiqua"/>
          <w:b/>
          <w:bCs/>
        </w:rPr>
        <w:t>Planchard D,</w:t>
      </w:r>
      <w:r w:rsidRPr="002772D1">
        <w:rPr>
          <w:rFonts w:ascii="Book Antiqua" w:hAnsi="Book Antiqua"/>
        </w:rPr>
        <w:t xml:space="preserve"> Besse B, Groen HJ, Souquet P-J, Quoix E, Baik CS, Barlesi F, Kim TM, Mazieres J, Novello S. Dabrafenib plus trametinib in patients with previously treated BRAFV600E-mutant metastatic non-small cell lung cancer: an open-label, multicentre phase 2 trial. </w:t>
      </w:r>
      <w:r w:rsidRPr="002772D1">
        <w:rPr>
          <w:rFonts w:ascii="Book Antiqua" w:hAnsi="Book Antiqua"/>
          <w:i/>
          <w:iCs/>
        </w:rPr>
        <w:t xml:space="preserve">Lancet Oncol </w:t>
      </w:r>
      <w:r w:rsidRPr="002772D1">
        <w:rPr>
          <w:rFonts w:ascii="Book Antiqua" w:hAnsi="Book Antiqua"/>
        </w:rPr>
        <w:t>2016</w:t>
      </w:r>
      <w:r w:rsidR="00A24058" w:rsidRPr="002772D1">
        <w:rPr>
          <w:rFonts w:ascii="Book Antiqua" w:hAnsi="Book Antiqua"/>
        </w:rPr>
        <w:t>;</w:t>
      </w:r>
      <w:r w:rsidRPr="002772D1">
        <w:rPr>
          <w:rFonts w:ascii="Book Antiqua" w:hAnsi="Book Antiqua"/>
          <w:b/>
          <w:bCs/>
        </w:rPr>
        <w:t xml:space="preserve"> 17</w:t>
      </w:r>
      <w:r w:rsidRPr="002772D1">
        <w:rPr>
          <w:rFonts w:ascii="Book Antiqua" w:hAnsi="Book Antiqua"/>
        </w:rPr>
        <w:t>: 984-993</w:t>
      </w:r>
    </w:p>
    <w:p w14:paraId="7A73436B"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136 </w:t>
      </w:r>
      <w:r w:rsidRPr="002772D1">
        <w:rPr>
          <w:rFonts w:ascii="Book Antiqua" w:hAnsi="Book Antiqua"/>
          <w:b/>
          <w:bCs/>
        </w:rPr>
        <w:t>D'Arcangelo M,</w:t>
      </w:r>
      <w:r w:rsidRPr="002772D1">
        <w:rPr>
          <w:rFonts w:ascii="Book Antiqua" w:hAnsi="Book Antiqua"/>
        </w:rPr>
        <w:t xml:space="preserve"> Tassinari D, De Marinis F, Delmonte A, Cappuzzo F. P2.01-15 Phase II Single Arm Study of CABozantinib in Non-Small Cell Lung Cancer Patients with MET Deregulation (CABinMET). </w:t>
      </w:r>
      <w:r w:rsidRPr="002772D1">
        <w:rPr>
          <w:rFonts w:ascii="Book Antiqua" w:hAnsi="Book Antiqua"/>
          <w:i/>
          <w:iCs/>
        </w:rPr>
        <w:t>J Thorac Oncol</w:t>
      </w:r>
      <w:r w:rsidRPr="002772D1">
        <w:rPr>
          <w:rFonts w:ascii="Book Antiqua" w:hAnsi="Book Antiqua"/>
        </w:rPr>
        <w:t xml:space="preserve"> 2019; </w:t>
      </w:r>
      <w:r w:rsidRPr="002772D1">
        <w:rPr>
          <w:rFonts w:ascii="Book Antiqua" w:hAnsi="Book Antiqua"/>
          <w:b/>
          <w:bCs/>
        </w:rPr>
        <w:t>14</w:t>
      </w:r>
      <w:r w:rsidRPr="002772D1">
        <w:rPr>
          <w:rFonts w:ascii="Book Antiqua" w:hAnsi="Book Antiqua"/>
        </w:rPr>
        <w:t>:</w:t>
      </w:r>
      <w:r w:rsidRPr="002772D1">
        <w:rPr>
          <w:rFonts w:ascii="Book Antiqua" w:hAnsi="Book Antiqua"/>
          <w:b/>
          <w:bCs/>
        </w:rPr>
        <w:t xml:space="preserve"> </w:t>
      </w:r>
      <w:r w:rsidRPr="002772D1">
        <w:rPr>
          <w:rFonts w:ascii="Book Antiqua" w:hAnsi="Book Antiqua"/>
        </w:rPr>
        <w:t>S644 [DOI: 10.1016/j.jtho.2019.08.1359]</w:t>
      </w:r>
    </w:p>
    <w:p w14:paraId="32EE5669" w14:textId="10AE2ED5" w:rsidR="000F1AEF" w:rsidRPr="002772D1" w:rsidRDefault="000F1AEF" w:rsidP="00E06D87">
      <w:pPr>
        <w:spacing w:line="360" w:lineRule="auto"/>
        <w:jc w:val="both"/>
        <w:rPr>
          <w:rFonts w:ascii="Book Antiqua" w:hAnsi="Book Antiqua"/>
        </w:rPr>
      </w:pPr>
      <w:r w:rsidRPr="002772D1">
        <w:rPr>
          <w:rFonts w:ascii="Book Antiqua" w:hAnsi="Book Antiqua"/>
        </w:rPr>
        <w:t xml:space="preserve">137 </w:t>
      </w:r>
      <w:r w:rsidRPr="002772D1">
        <w:rPr>
          <w:rFonts w:ascii="Book Antiqua" w:hAnsi="Book Antiqua"/>
          <w:b/>
          <w:bCs/>
        </w:rPr>
        <w:t>Wolf J,</w:t>
      </w:r>
      <w:r w:rsidRPr="002772D1">
        <w:rPr>
          <w:rFonts w:ascii="Book Antiqua" w:hAnsi="Book Antiqua"/>
        </w:rPr>
        <w:t xml:space="preserve"> Overbeck TR</w:t>
      </w:r>
      <w:r w:rsidR="00A24058" w:rsidRPr="002772D1">
        <w:rPr>
          <w:rFonts w:ascii="Book Antiqua" w:hAnsi="Book Antiqua" w:cs="MS Mincho"/>
          <w:lang w:eastAsia="zh-CN"/>
        </w:rPr>
        <w:t xml:space="preserve">, </w:t>
      </w:r>
      <w:r w:rsidRPr="002772D1">
        <w:rPr>
          <w:rFonts w:ascii="Book Antiqua" w:hAnsi="Book Antiqua"/>
        </w:rPr>
        <w:t>Han JY</w:t>
      </w:r>
      <w:r w:rsidR="00A24058" w:rsidRPr="002772D1">
        <w:rPr>
          <w:rFonts w:ascii="Book Antiqua" w:hAnsi="Book Antiqua" w:cs="MS Mincho"/>
          <w:lang w:eastAsia="zh-CN"/>
        </w:rPr>
        <w:t xml:space="preserve">, </w:t>
      </w:r>
      <w:r w:rsidRPr="002772D1">
        <w:rPr>
          <w:rFonts w:ascii="Book Antiqua" w:hAnsi="Book Antiqua"/>
        </w:rPr>
        <w:t>Hochmair M</w:t>
      </w:r>
      <w:r w:rsidR="00A24058" w:rsidRPr="002772D1">
        <w:rPr>
          <w:rFonts w:ascii="Book Antiqua" w:hAnsi="Book Antiqua" w:cs="MS Mincho"/>
          <w:lang w:eastAsia="zh-CN"/>
        </w:rPr>
        <w:t xml:space="preserve">, </w:t>
      </w:r>
      <w:r w:rsidRPr="002772D1">
        <w:rPr>
          <w:rFonts w:ascii="Book Antiqua" w:hAnsi="Book Antiqua"/>
        </w:rPr>
        <w:t xml:space="preserve">Heist RS. Capmatinib in patients with high-level MET-amplified advanced non–small cell lung cancer (NSCLC): results from the phase 2 GEOMETRY mono-1 study. </w:t>
      </w:r>
      <w:r w:rsidRPr="002772D1">
        <w:rPr>
          <w:rFonts w:ascii="Book Antiqua" w:hAnsi="Book Antiqua"/>
          <w:i/>
          <w:iCs/>
        </w:rPr>
        <w:t>J Clin Oncol</w:t>
      </w:r>
      <w:r w:rsidRPr="002772D1">
        <w:rPr>
          <w:rFonts w:ascii="Book Antiqua" w:hAnsi="Book Antiqua"/>
        </w:rPr>
        <w:t xml:space="preserve"> 2020; </w:t>
      </w:r>
      <w:r w:rsidRPr="002772D1">
        <w:rPr>
          <w:rFonts w:ascii="Book Antiqua" w:hAnsi="Book Antiqua"/>
          <w:b/>
          <w:bCs/>
        </w:rPr>
        <w:t>38</w:t>
      </w:r>
      <w:r w:rsidR="0054327E" w:rsidRPr="002772D1">
        <w:rPr>
          <w:rFonts w:ascii="Book Antiqua" w:hAnsi="Book Antiqua"/>
          <w:b/>
          <w:bCs/>
        </w:rPr>
        <w:t xml:space="preserve"> </w:t>
      </w:r>
      <w:r w:rsidRPr="002772D1">
        <w:rPr>
          <w:rFonts w:ascii="Book Antiqua" w:hAnsi="Book Antiqua"/>
        </w:rPr>
        <w:t>(15_suppl):</w:t>
      </w:r>
      <w:r w:rsidRPr="002772D1">
        <w:rPr>
          <w:rFonts w:ascii="Book Antiqua" w:hAnsi="Book Antiqua"/>
          <w:b/>
          <w:bCs/>
        </w:rPr>
        <w:t xml:space="preserve"> </w:t>
      </w:r>
      <w:r w:rsidRPr="002772D1">
        <w:rPr>
          <w:rFonts w:ascii="Book Antiqua" w:hAnsi="Book Antiqua"/>
        </w:rPr>
        <w:t>9509-9509 [DOI: 10.1200/JCO.2020.38.15_suppl.9509]</w:t>
      </w:r>
    </w:p>
    <w:p w14:paraId="7C75BB67"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138 </w:t>
      </w:r>
      <w:r w:rsidRPr="002772D1">
        <w:rPr>
          <w:rFonts w:ascii="Book Antiqua" w:hAnsi="Book Antiqua"/>
          <w:b/>
          <w:bCs/>
        </w:rPr>
        <w:t>Shitara K</w:t>
      </w:r>
      <w:r w:rsidRPr="002772D1">
        <w:rPr>
          <w:rFonts w:ascii="Book Antiqua" w:hAnsi="Book Antiqua"/>
        </w:rPr>
        <w:t xml:space="preserve">, Yamazaki K, Tsushima T, Naito T, Matsubara N, Watanabe M, Sarholz B, Johne A, Doi T. Phase I trial of the MET inhibitor tepotinib in Japanese patients with solid tumors. </w:t>
      </w:r>
      <w:r w:rsidRPr="002772D1">
        <w:rPr>
          <w:rFonts w:ascii="Book Antiqua" w:hAnsi="Book Antiqua"/>
          <w:i/>
          <w:iCs/>
        </w:rPr>
        <w:t>Jpn J Clin Oncol</w:t>
      </w:r>
      <w:r w:rsidRPr="002772D1">
        <w:rPr>
          <w:rFonts w:ascii="Book Antiqua" w:hAnsi="Book Antiqua"/>
        </w:rPr>
        <w:t xml:space="preserve"> 2020; </w:t>
      </w:r>
      <w:r w:rsidRPr="002772D1">
        <w:rPr>
          <w:rFonts w:ascii="Book Antiqua" w:hAnsi="Book Antiqua"/>
          <w:b/>
          <w:bCs/>
        </w:rPr>
        <w:t>50</w:t>
      </w:r>
      <w:r w:rsidRPr="002772D1">
        <w:rPr>
          <w:rFonts w:ascii="Book Antiqua" w:hAnsi="Book Antiqua"/>
        </w:rPr>
        <w:t>: 859-866 [PMID: 32328660 DOI: 10.1093/jjco/hyaa042]</w:t>
      </w:r>
    </w:p>
    <w:p w14:paraId="4BA366A3" w14:textId="77777777" w:rsidR="000F1AEF" w:rsidRPr="002772D1" w:rsidRDefault="000F1AEF" w:rsidP="00E06D87">
      <w:pPr>
        <w:spacing w:line="360" w:lineRule="auto"/>
        <w:jc w:val="both"/>
        <w:rPr>
          <w:rFonts w:ascii="Book Antiqua" w:hAnsi="Book Antiqua"/>
        </w:rPr>
      </w:pPr>
      <w:r w:rsidRPr="002772D1">
        <w:rPr>
          <w:rFonts w:ascii="Book Antiqua" w:hAnsi="Book Antiqua"/>
        </w:rPr>
        <w:lastRenderedPageBreak/>
        <w:t xml:space="preserve">139 </w:t>
      </w:r>
      <w:r w:rsidRPr="002772D1">
        <w:rPr>
          <w:rFonts w:ascii="Book Antiqua" w:hAnsi="Book Antiqua"/>
          <w:b/>
          <w:bCs/>
        </w:rPr>
        <w:t>Laetsch TW</w:t>
      </w:r>
      <w:r w:rsidRPr="002772D1">
        <w:rPr>
          <w:rFonts w:ascii="Book Antiqua" w:hAnsi="Book Antiqua"/>
        </w:rPr>
        <w:t xml:space="preserve">, DuBois SG, Mascarenhas L, Turpin B, Federman N, Albert CM, Nagasubramanian R, Davis JL, Rudzinski E, Feraco AM, Tuch BB, Ebata KT, Reynolds M, Smith S, Cruickshank S, Cox MC, Pappo AS, Hawkins DS. Larotrectinib for paediatric solid tumours harbouring NTRK gene fusions: phase 1 results from a multicentre, open-label, phase 1/2 study. </w:t>
      </w:r>
      <w:r w:rsidRPr="002772D1">
        <w:rPr>
          <w:rFonts w:ascii="Book Antiqua" w:hAnsi="Book Antiqua"/>
          <w:i/>
          <w:iCs/>
        </w:rPr>
        <w:t>Lancet Oncol</w:t>
      </w:r>
      <w:r w:rsidRPr="002772D1">
        <w:rPr>
          <w:rFonts w:ascii="Book Antiqua" w:hAnsi="Book Antiqua"/>
        </w:rPr>
        <w:t xml:space="preserve"> 2018; </w:t>
      </w:r>
      <w:r w:rsidRPr="002772D1">
        <w:rPr>
          <w:rFonts w:ascii="Book Antiqua" w:hAnsi="Book Antiqua"/>
          <w:b/>
          <w:bCs/>
        </w:rPr>
        <w:t>19</w:t>
      </w:r>
      <w:r w:rsidRPr="002772D1">
        <w:rPr>
          <w:rFonts w:ascii="Book Antiqua" w:hAnsi="Book Antiqua"/>
        </w:rPr>
        <w:t>: 705-714 [PMID: 29606586 DOI: 10.1016/S1470-2045(18)30119-0]</w:t>
      </w:r>
    </w:p>
    <w:p w14:paraId="56A55DB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140 </w:t>
      </w:r>
      <w:r w:rsidRPr="002772D1">
        <w:rPr>
          <w:rFonts w:ascii="Book Antiqua" w:hAnsi="Book Antiqua"/>
          <w:b/>
          <w:bCs/>
        </w:rPr>
        <w:t>Drilon A</w:t>
      </w:r>
      <w:r w:rsidRPr="002772D1">
        <w:rPr>
          <w:rFonts w:ascii="Book Antiqua" w:hAnsi="Book Antiqua"/>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Ma PC, Raez LE, Hechtman JF, Benayed R, Ladanyi M, Tuch BB, Ebata K, Cruickshank S, Ku NC, Cox MC, Hawkins DS, Hong DS, Hyman DM. Efficacy of Larotrectinib in TRK Fusion-Positive Cancers in Adults and Children. </w:t>
      </w:r>
      <w:r w:rsidRPr="002772D1">
        <w:rPr>
          <w:rFonts w:ascii="Book Antiqua" w:hAnsi="Book Antiqua"/>
          <w:i/>
          <w:iCs/>
        </w:rPr>
        <w:t>N Engl J Med</w:t>
      </w:r>
      <w:r w:rsidRPr="002772D1">
        <w:rPr>
          <w:rFonts w:ascii="Book Antiqua" w:hAnsi="Book Antiqua"/>
        </w:rPr>
        <w:t xml:space="preserve"> 2018; </w:t>
      </w:r>
      <w:r w:rsidRPr="002772D1">
        <w:rPr>
          <w:rFonts w:ascii="Book Antiqua" w:hAnsi="Book Antiqua"/>
          <w:b/>
          <w:bCs/>
        </w:rPr>
        <w:t>378</w:t>
      </w:r>
      <w:r w:rsidRPr="002772D1">
        <w:rPr>
          <w:rFonts w:ascii="Book Antiqua" w:hAnsi="Book Antiqua"/>
        </w:rPr>
        <w:t>: 731-739 [PMID: 29466156 DOI: 10.1056/NEJMoa1714448]</w:t>
      </w:r>
    </w:p>
    <w:p w14:paraId="210A3CC2" w14:textId="05475A67" w:rsidR="000F1AEF" w:rsidRPr="002772D1" w:rsidRDefault="000F1AEF" w:rsidP="00E06D87">
      <w:pPr>
        <w:spacing w:line="360" w:lineRule="auto"/>
        <w:jc w:val="both"/>
        <w:rPr>
          <w:rFonts w:ascii="Book Antiqua" w:hAnsi="Book Antiqua"/>
        </w:rPr>
      </w:pPr>
      <w:r w:rsidRPr="002772D1">
        <w:rPr>
          <w:rFonts w:ascii="Book Antiqua" w:hAnsi="Book Antiqua"/>
        </w:rPr>
        <w:t xml:space="preserve">141 </w:t>
      </w:r>
      <w:r w:rsidRPr="002772D1">
        <w:rPr>
          <w:rFonts w:ascii="Book Antiqua" w:hAnsi="Book Antiqua"/>
          <w:b/>
          <w:bCs/>
        </w:rPr>
        <w:t>Drilon A,</w:t>
      </w:r>
      <w:r w:rsidRPr="002772D1">
        <w:rPr>
          <w:rFonts w:ascii="Book Antiqua" w:hAnsi="Book Antiqua"/>
        </w:rPr>
        <w:t xml:space="preserve"> Oxnard G, Wirth L, Besse B, Gautschi O, Tan S, Loong H, Bauer T, Kim Y, Horiike A. PL02. 08 registrational results of LIBRETTO-001: a phase 1/2 trial of LOXO-292 in patients with RET fusion-positive lung cancers.</w:t>
      </w:r>
      <w:r w:rsidRPr="002772D1">
        <w:rPr>
          <w:rFonts w:ascii="Book Antiqua" w:hAnsi="Book Antiqua"/>
          <w:i/>
          <w:iCs/>
        </w:rPr>
        <w:t xml:space="preserve"> J Thorac Oncol </w:t>
      </w:r>
      <w:r w:rsidRPr="002772D1">
        <w:rPr>
          <w:rFonts w:ascii="Book Antiqua" w:hAnsi="Book Antiqua"/>
        </w:rPr>
        <w:t xml:space="preserve">2019; </w:t>
      </w:r>
      <w:r w:rsidRPr="002772D1">
        <w:rPr>
          <w:rFonts w:ascii="Book Antiqua" w:hAnsi="Book Antiqua"/>
          <w:b/>
          <w:bCs/>
        </w:rPr>
        <w:t>14</w:t>
      </w:r>
      <w:r w:rsidRPr="002772D1">
        <w:rPr>
          <w:rFonts w:ascii="Book Antiqua" w:hAnsi="Book Antiqua"/>
        </w:rPr>
        <w:t>: S6-S7</w:t>
      </w:r>
    </w:p>
    <w:p w14:paraId="20C9A62F" w14:textId="77777777" w:rsidR="000F1AEF" w:rsidRPr="002772D1" w:rsidRDefault="000F1AEF" w:rsidP="00E06D87">
      <w:pPr>
        <w:spacing w:line="360" w:lineRule="auto"/>
        <w:jc w:val="both"/>
        <w:rPr>
          <w:rFonts w:ascii="Book Antiqua" w:hAnsi="Book Antiqua"/>
        </w:rPr>
      </w:pPr>
      <w:r w:rsidRPr="002772D1">
        <w:rPr>
          <w:rFonts w:ascii="Book Antiqua" w:hAnsi="Book Antiqua"/>
        </w:rPr>
        <w:t xml:space="preserve">142 </w:t>
      </w:r>
      <w:r w:rsidRPr="002772D1">
        <w:rPr>
          <w:rFonts w:ascii="Book Antiqua" w:hAnsi="Book Antiqua"/>
          <w:b/>
          <w:bCs/>
        </w:rPr>
        <w:t>Kim DW</w:t>
      </w:r>
      <w:r w:rsidRPr="002772D1">
        <w:rPr>
          <w:rFonts w:ascii="Book Antiqua" w:hAnsi="Book Antiqua"/>
        </w:rPr>
        <w:t xml:space="preserve">, Lee DH, Han JY, Lee J, Cho BC, Kang JH, Lee KH, Cho EK, Kim JS, Min YJ, Cho JY, An HJ, Kim HG, Lee KH, Kim BS, Jang IJ, Yoon S, Han O, Noh YS, Hong KY, Park K. Safety, tolerability, and anti-tumor activity of olmutinib in non-small cell lung cancer with T790M mutation: A single arm, open label, phase 1/2 trial. </w:t>
      </w:r>
      <w:r w:rsidRPr="002772D1">
        <w:rPr>
          <w:rFonts w:ascii="Book Antiqua" w:hAnsi="Book Antiqua"/>
          <w:i/>
          <w:iCs/>
        </w:rPr>
        <w:t>Lung Cancer</w:t>
      </w:r>
      <w:r w:rsidRPr="002772D1">
        <w:rPr>
          <w:rFonts w:ascii="Book Antiqua" w:hAnsi="Book Antiqua"/>
        </w:rPr>
        <w:t xml:space="preserve"> 2019; </w:t>
      </w:r>
      <w:r w:rsidRPr="002772D1">
        <w:rPr>
          <w:rFonts w:ascii="Book Antiqua" w:hAnsi="Book Antiqua"/>
          <w:b/>
          <w:bCs/>
        </w:rPr>
        <w:t>135</w:t>
      </w:r>
      <w:r w:rsidRPr="002772D1">
        <w:rPr>
          <w:rFonts w:ascii="Book Antiqua" w:hAnsi="Book Antiqua"/>
        </w:rPr>
        <w:t>: 66-72 [PMID: 31447004 DOI: 10.1016/j.lungcan.2019.07.007]</w:t>
      </w:r>
    </w:p>
    <w:p w14:paraId="72F92C64" w14:textId="1B3B77BC" w:rsidR="000F1AEF" w:rsidRPr="002772D1" w:rsidRDefault="000F1AEF" w:rsidP="00E06D87">
      <w:pPr>
        <w:spacing w:line="360" w:lineRule="auto"/>
        <w:jc w:val="both"/>
        <w:rPr>
          <w:rFonts w:ascii="Book Antiqua" w:hAnsi="Book Antiqua"/>
        </w:rPr>
      </w:pPr>
      <w:r w:rsidRPr="002772D1">
        <w:rPr>
          <w:rFonts w:ascii="Book Antiqua" w:hAnsi="Book Antiqua"/>
        </w:rPr>
        <w:t xml:space="preserve">143 </w:t>
      </w:r>
      <w:r w:rsidRPr="002772D1">
        <w:rPr>
          <w:rFonts w:ascii="Book Antiqua" w:hAnsi="Book Antiqua"/>
          <w:b/>
          <w:bCs/>
        </w:rPr>
        <w:t>Johnson ML,</w:t>
      </w:r>
      <w:r w:rsidRPr="002772D1">
        <w:rPr>
          <w:rFonts w:ascii="Book Antiqua" w:hAnsi="Book Antiqua"/>
        </w:rPr>
        <w:t xml:space="preserve"> Ou S-HI, Barve M, Rybkin II, Papadopoulos KP, Leal TA, Velastegui K, Christensen JG, Kheoh T, Chao RC. KRYSTAL-1: activity and safety of adagrasib (MRTX849) in patients with colorectal cancer (CRC) and other solid tumors harboring a KRAS G12C mutation. </w:t>
      </w:r>
      <w:r w:rsidRPr="002772D1">
        <w:rPr>
          <w:rFonts w:ascii="Book Antiqua" w:hAnsi="Book Antiqua"/>
          <w:i/>
          <w:iCs/>
        </w:rPr>
        <w:t xml:space="preserve">Eur J </w:t>
      </w:r>
      <w:r w:rsidR="0054327E" w:rsidRPr="002772D1">
        <w:rPr>
          <w:rFonts w:ascii="Book Antiqua" w:hAnsi="Book Antiqua"/>
          <w:i/>
          <w:iCs/>
        </w:rPr>
        <w:t>C</w:t>
      </w:r>
      <w:r w:rsidRPr="002772D1">
        <w:rPr>
          <w:rFonts w:ascii="Book Antiqua" w:hAnsi="Book Antiqua"/>
          <w:i/>
          <w:iCs/>
        </w:rPr>
        <w:t xml:space="preserve">ancer </w:t>
      </w:r>
      <w:r w:rsidRPr="002772D1">
        <w:rPr>
          <w:rFonts w:ascii="Book Antiqua" w:hAnsi="Book Antiqua"/>
        </w:rPr>
        <w:t>2020 [DOI: 10.1016 / 09959-8049 (20) 31077-7]</w:t>
      </w:r>
    </w:p>
    <w:p w14:paraId="5C28F7EE" w14:textId="4C62115F" w:rsidR="000F1AEF" w:rsidRPr="002772D1" w:rsidRDefault="000F1AEF" w:rsidP="00E06D87">
      <w:pPr>
        <w:spacing w:line="360" w:lineRule="auto"/>
        <w:jc w:val="both"/>
        <w:rPr>
          <w:rFonts w:ascii="Book Antiqua" w:hAnsi="Book Antiqua"/>
        </w:rPr>
      </w:pPr>
      <w:r w:rsidRPr="002772D1">
        <w:rPr>
          <w:rFonts w:ascii="Book Antiqua" w:hAnsi="Book Antiqua"/>
        </w:rPr>
        <w:t xml:space="preserve">144 </w:t>
      </w:r>
      <w:r w:rsidRPr="002772D1">
        <w:rPr>
          <w:rFonts w:ascii="Book Antiqua" w:hAnsi="Book Antiqua"/>
          <w:b/>
          <w:bCs/>
        </w:rPr>
        <w:t>Smit EF,</w:t>
      </w:r>
      <w:r w:rsidRPr="002772D1">
        <w:rPr>
          <w:rFonts w:ascii="Book Antiqua" w:hAnsi="Book Antiqua"/>
        </w:rPr>
        <w:t xml:space="preserve"> Nakagawa K, Nagasaka M, Felip E, Janne PA. Trastuzumab deruxtecan (T-DXd; DS-8201) in patients with HER2-mutated metastatic non-small cell lung cancer </w:t>
      </w:r>
      <w:r w:rsidRPr="002772D1">
        <w:rPr>
          <w:rFonts w:ascii="Book Antiqua" w:hAnsi="Book Antiqua"/>
        </w:rPr>
        <w:lastRenderedPageBreak/>
        <w:t xml:space="preserve">(NSCLC): Interim results of DESTINY-Lung01. </w:t>
      </w:r>
      <w:r w:rsidRPr="002772D1">
        <w:rPr>
          <w:rFonts w:ascii="Book Antiqua" w:hAnsi="Book Antiqua"/>
          <w:i/>
          <w:iCs/>
        </w:rPr>
        <w:t>J Clin Oncol</w:t>
      </w:r>
      <w:r w:rsidRPr="002772D1">
        <w:rPr>
          <w:rFonts w:ascii="Book Antiqua" w:hAnsi="Book Antiqua"/>
        </w:rPr>
        <w:t xml:space="preserve"> 2020</w:t>
      </w:r>
      <w:r w:rsidR="00A24058" w:rsidRPr="002772D1">
        <w:rPr>
          <w:rFonts w:ascii="Book Antiqua" w:hAnsi="Book Antiqua"/>
        </w:rPr>
        <w:t>;</w:t>
      </w:r>
      <w:r w:rsidRPr="002772D1">
        <w:rPr>
          <w:rFonts w:ascii="Book Antiqua" w:hAnsi="Book Antiqua"/>
        </w:rPr>
        <w:t xml:space="preserve"> </w:t>
      </w:r>
      <w:r w:rsidRPr="002772D1">
        <w:rPr>
          <w:rFonts w:ascii="Book Antiqua" w:hAnsi="Book Antiqua"/>
          <w:b/>
          <w:bCs/>
        </w:rPr>
        <w:t>38</w:t>
      </w:r>
      <w:r w:rsidRPr="002772D1">
        <w:rPr>
          <w:rFonts w:ascii="Book Antiqua" w:hAnsi="Book Antiqua"/>
        </w:rPr>
        <w:t>: 9504-9504 [DOI: 10.1200/JCO.2020.38.15_suppl.9504]</w:t>
      </w:r>
    </w:p>
    <w:p w14:paraId="6561E9CA" w14:textId="77777777" w:rsidR="00A77B3E" w:rsidRPr="002772D1" w:rsidRDefault="00A77B3E" w:rsidP="00E06D87">
      <w:pPr>
        <w:spacing w:line="360" w:lineRule="auto"/>
        <w:jc w:val="both"/>
        <w:rPr>
          <w:rFonts w:ascii="Book Antiqua" w:hAnsi="Book Antiqua"/>
        </w:rPr>
        <w:sectPr w:rsidR="00A77B3E" w:rsidRPr="002772D1">
          <w:pgSz w:w="12240" w:h="15840"/>
          <w:pgMar w:top="1440" w:right="1440" w:bottom="1440" w:left="1440" w:header="720" w:footer="720" w:gutter="0"/>
          <w:cols w:space="720"/>
          <w:docGrid w:linePitch="360"/>
        </w:sectPr>
      </w:pPr>
    </w:p>
    <w:p w14:paraId="7852DFA4"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lastRenderedPageBreak/>
        <w:t>Footnotes</w:t>
      </w:r>
    </w:p>
    <w:p w14:paraId="1E5AA10C" w14:textId="6453B339"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Conflict-of-interest statement: </w:t>
      </w:r>
      <w:r w:rsidRPr="002772D1">
        <w:rPr>
          <w:rFonts w:ascii="Book Antiqua" w:eastAsia="Book Antiqua" w:hAnsi="Book Antiqua" w:cs="Book Antiqua"/>
          <w:color w:val="000000"/>
        </w:rPr>
        <w:t>Mathieu Chevallier and Maxime Borgeaud declare no potential conflicts of interest</w:t>
      </w:r>
      <w:r w:rsidR="005161B8"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Alfredo Addeo has received compensation from Bristol-Myers Squibb, AstraZeneca, Merck Sharpe &amp; Dohme, Takeda, Pfizer, Roche and Boehringer Ingelheim for participating on advisory boards</w:t>
      </w:r>
      <w:r w:rsidR="005161B8" w:rsidRPr="002772D1">
        <w:rPr>
          <w:rFonts w:ascii="Book Antiqua" w:eastAsia="Book Antiqua" w:hAnsi="Book Antiqua" w:cs="Book Antiqua"/>
          <w:color w:val="000000"/>
        </w:rPr>
        <w:t>;</w:t>
      </w:r>
      <w:r w:rsidRPr="002772D1">
        <w:rPr>
          <w:rFonts w:ascii="Book Antiqua" w:eastAsia="Book Antiqua" w:hAnsi="Book Antiqua" w:cs="Book Antiqua"/>
          <w:color w:val="000000"/>
        </w:rPr>
        <w:t xml:space="preserve"> Alex Friedlaender has received compensation from Roche, Pfizer, Merck Sharpe &amp; Dohme, and Bristol-Myers Squibb for participating in advisory boards. </w:t>
      </w:r>
    </w:p>
    <w:p w14:paraId="15E1169D" w14:textId="77777777" w:rsidR="00A77B3E" w:rsidRPr="002772D1" w:rsidRDefault="00A77B3E" w:rsidP="00E06D87">
      <w:pPr>
        <w:spacing w:line="360" w:lineRule="auto"/>
        <w:jc w:val="both"/>
        <w:rPr>
          <w:rFonts w:ascii="Book Antiqua" w:hAnsi="Book Antiqua"/>
        </w:rPr>
      </w:pPr>
    </w:p>
    <w:p w14:paraId="772D42EC"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bCs/>
          <w:color w:val="000000"/>
        </w:rPr>
        <w:t xml:space="preserve">Open-Access: </w:t>
      </w:r>
      <w:r w:rsidRPr="002772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6D594A" w14:textId="77777777" w:rsidR="00A77B3E" w:rsidRPr="002772D1" w:rsidRDefault="00A77B3E" w:rsidP="00E06D87">
      <w:pPr>
        <w:spacing w:line="360" w:lineRule="auto"/>
        <w:jc w:val="both"/>
        <w:rPr>
          <w:rFonts w:ascii="Book Antiqua" w:hAnsi="Book Antiqua"/>
        </w:rPr>
      </w:pPr>
    </w:p>
    <w:p w14:paraId="6407219B" w14:textId="4E5F3D24"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Manuscript source: </w:t>
      </w:r>
      <w:r w:rsidRPr="002772D1">
        <w:rPr>
          <w:rFonts w:ascii="Book Antiqua" w:eastAsia="Book Antiqua" w:hAnsi="Book Antiqua" w:cs="Book Antiqua"/>
          <w:color w:val="000000"/>
        </w:rPr>
        <w:t xml:space="preserve">Invited </w:t>
      </w:r>
      <w:r w:rsidR="00D822D3" w:rsidRPr="002772D1">
        <w:rPr>
          <w:rFonts w:ascii="Book Antiqua" w:eastAsia="Book Antiqua" w:hAnsi="Book Antiqua" w:cs="Book Antiqua"/>
          <w:color w:val="000000"/>
        </w:rPr>
        <w:t>m</w:t>
      </w:r>
      <w:r w:rsidRPr="002772D1">
        <w:rPr>
          <w:rFonts w:ascii="Book Antiqua" w:eastAsia="Book Antiqua" w:hAnsi="Book Antiqua" w:cs="Book Antiqua"/>
          <w:color w:val="000000"/>
        </w:rPr>
        <w:t>anuscript</w:t>
      </w:r>
    </w:p>
    <w:p w14:paraId="00A11A38" w14:textId="77777777" w:rsidR="00A77B3E" w:rsidRPr="002772D1" w:rsidRDefault="00A77B3E" w:rsidP="00E06D87">
      <w:pPr>
        <w:spacing w:line="360" w:lineRule="auto"/>
        <w:jc w:val="both"/>
        <w:rPr>
          <w:rFonts w:ascii="Book Antiqua" w:hAnsi="Book Antiqua"/>
        </w:rPr>
      </w:pPr>
    </w:p>
    <w:p w14:paraId="3F7780D4"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Peer-review started: </w:t>
      </w:r>
      <w:r w:rsidRPr="002772D1">
        <w:rPr>
          <w:rFonts w:ascii="Book Antiqua" w:eastAsia="Book Antiqua" w:hAnsi="Book Antiqua" w:cs="Book Antiqua"/>
          <w:color w:val="000000"/>
        </w:rPr>
        <w:t>January 27, 2021</w:t>
      </w:r>
    </w:p>
    <w:p w14:paraId="66961E7B"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First decision: </w:t>
      </w:r>
      <w:r w:rsidRPr="002772D1">
        <w:rPr>
          <w:rFonts w:ascii="Book Antiqua" w:eastAsia="Book Antiqua" w:hAnsi="Book Antiqua" w:cs="Book Antiqua"/>
          <w:color w:val="000000"/>
        </w:rPr>
        <w:t>March 1, 2021</w:t>
      </w:r>
    </w:p>
    <w:p w14:paraId="281C3558" w14:textId="1FB06FC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Article in press: </w:t>
      </w:r>
      <w:r w:rsidR="000F7F25" w:rsidRPr="002772D1">
        <w:rPr>
          <w:rFonts w:ascii="Book Antiqua" w:eastAsia="Book Antiqua" w:hAnsi="Book Antiqua" w:cs="Book Antiqua"/>
          <w:color w:val="000000"/>
        </w:rPr>
        <w:t>April 7, 2021</w:t>
      </w:r>
    </w:p>
    <w:p w14:paraId="5D373095" w14:textId="77777777" w:rsidR="00A77B3E" w:rsidRPr="002772D1" w:rsidRDefault="00A77B3E" w:rsidP="00E06D87">
      <w:pPr>
        <w:spacing w:line="360" w:lineRule="auto"/>
        <w:jc w:val="both"/>
        <w:rPr>
          <w:rFonts w:ascii="Book Antiqua" w:hAnsi="Book Antiqua"/>
        </w:rPr>
      </w:pPr>
    </w:p>
    <w:p w14:paraId="294FA623" w14:textId="13409DA1"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Specialty type: </w:t>
      </w:r>
      <w:bookmarkStart w:id="1" w:name="_Hlk66813953"/>
      <w:r w:rsidR="00D822D3" w:rsidRPr="002772D1">
        <w:rPr>
          <w:rFonts w:ascii="Book Antiqua" w:eastAsia="微软雅黑" w:hAnsi="Book Antiqua" w:cs="宋体"/>
        </w:rPr>
        <w:t>Oncology</w:t>
      </w:r>
      <w:bookmarkEnd w:id="1"/>
      <w:r w:rsidRPr="002772D1">
        <w:rPr>
          <w:rFonts w:ascii="Book Antiqua" w:eastAsia="Book Antiqua" w:hAnsi="Book Antiqua" w:cs="Book Antiqua"/>
          <w:color w:val="000000"/>
        </w:rPr>
        <w:t xml:space="preserve"> </w:t>
      </w:r>
    </w:p>
    <w:p w14:paraId="6FA556AB"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 xml:space="preserve">Country/Territory of origin: </w:t>
      </w:r>
      <w:r w:rsidRPr="002772D1">
        <w:rPr>
          <w:rFonts w:ascii="Book Antiqua" w:eastAsia="Book Antiqua" w:hAnsi="Book Antiqua" w:cs="Book Antiqua"/>
          <w:color w:val="000000"/>
        </w:rPr>
        <w:t>Switzerland</w:t>
      </w:r>
    </w:p>
    <w:p w14:paraId="34FAC2AD"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b/>
          <w:color w:val="000000"/>
        </w:rPr>
        <w:t>Peer-review report’s scientific quality classification</w:t>
      </w:r>
    </w:p>
    <w:p w14:paraId="130B37B3"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Grade A (Excellent): 0</w:t>
      </w:r>
    </w:p>
    <w:p w14:paraId="30648121"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Grade B (Very good): B</w:t>
      </w:r>
    </w:p>
    <w:p w14:paraId="1ABAA42F"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Grade C (Good): 0</w:t>
      </w:r>
    </w:p>
    <w:p w14:paraId="053966B6"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t>Grade D (Fair): 0</w:t>
      </w:r>
    </w:p>
    <w:p w14:paraId="0625FA1C" w14:textId="77777777" w:rsidR="00A77B3E" w:rsidRPr="002772D1" w:rsidRDefault="00664C60" w:rsidP="00E06D87">
      <w:pPr>
        <w:spacing w:line="360" w:lineRule="auto"/>
        <w:jc w:val="both"/>
        <w:rPr>
          <w:rFonts w:ascii="Book Antiqua" w:hAnsi="Book Antiqua"/>
        </w:rPr>
      </w:pPr>
      <w:r w:rsidRPr="002772D1">
        <w:rPr>
          <w:rFonts w:ascii="Book Antiqua" w:eastAsia="Book Antiqua" w:hAnsi="Book Antiqua" w:cs="Book Antiqua"/>
          <w:color w:val="000000"/>
        </w:rPr>
        <w:lastRenderedPageBreak/>
        <w:t>Grade E (Poor): 0</w:t>
      </w:r>
    </w:p>
    <w:p w14:paraId="79F8BB2B" w14:textId="77777777" w:rsidR="00A77B3E" w:rsidRPr="002772D1" w:rsidRDefault="00A77B3E" w:rsidP="00E06D87">
      <w:pPr>
        <w:spacing w:line="360" w:lineRule="auto"/>
        <w:jc w:val="both"/>
        <w:rPr>
          <w:rFonts w:ascii="Book Antiqua" w:hAnsi="Book Antiqua"/>
        </w:rPr>
      </w:pPr>
    </w:p>
    <w:p w14:paraId="563146E6" w14:textId="41155FFA" w:rsidR="00A77B3E" w:rsidRPr="002772D1" w:rsidRDefault="00664C60" w:rsidP="00E06D87">
      <w:pPr>
        <w:spacing w:line="360" w:lineRule="auto"/>
        <w:jc w:val="both"/>
        <w:rPr>
          <w:rFonts w:ascii="Book Antiqua" w:eastAsia="Book Antiqua" w:hAnsi="Book Antiqua" w:cs="Book Antiqua"/>
          <w:color w:val="000000"/>
        </w:rPr>
      </w:pPr>
      <w:r w:rsidRPr="002772D1">
        <w:rPr>
          <w:rFonts w:ascii="Book Antiqua" w:eastAsia="Book Antiqua" w:hAnsi="Book Antiqua" w:cs="Book Antiqua"/>
          <w:b/>
          <w:color w:val="000000"/>
        </w:rPr>
        <w:t xml:space="preserve">P-Reviewer: </w:t>
      </w:r>
      <w:r w:rsidRPr="002772D1">
        <w:rPr>
          <w:rFonts w:ascii="Book Antiqua" w:eastAsia="Book Antiqua" w:hAnsi="Book Antiqua" w:cs="Book Antiqua"/>
          <w:color w:val="000000"/>
        </w:rPr>
        <w:t>Chen X</w:t>
      </w:r>
      <w:r w:rsidRPr="002772D1">
        <w:rPr>
          <w:rFonts w:ascii="Book Antiqua" w:eastAsia="Book Antiqua" w:hAnsi="Book Antiqua" w:cs="Book Antiqua"/>
          <w:b/>
          <w:color w:val="000000"/>
        </w:rPr>
        <w:t xml:space="preserve"> S-Editor: </w:t>
      </w:r>
      <w:r w:rsidRPr="002772D1">
        <w:rPr>
          <w:rFonts w:ascii="Book Antiqua" w:eastAsia="Book Antiqua" w:hAnsi="Book Antiqua" w:cs="Book Antiqua"/>
          <w:color w:val="000000"/>
        </w:rPr>
        <w:t>Fan JR</w:t>
      </w:r>
      <w:r w:rsidRPr="002772D1">
        <w:rPr>
          <w:rFonts w:ascii="Book Antiqua" w:eastAsia="Book Antiqua" w:hAnsi="Book Antiqua" w:cs="Book Antiqua"/>
          <w:b/>
          <w:color w:val="000000"/>
        </w:rPr>
        <w:t xml:space="preserve"> L-Editor:</w:t>
      </w:r>
      <w:r w:rsidRPr="002772D1">
        <w:rPr>
          <w:rFonts w:ascii="Book Antiqua" w:eastAsia="Book Antiqua" w:hAnsi="Book Antiqua" w:cs="Book Antiqua"/>
          <w:color w:val="000000"/>
        </w:rPr>
        <w:t xml:space="preserve"> </w:t>
      </w:r>
      <w:r w:rsidR="00D81B34" w:rsidRPr="002772D1">
        <w:rPr>
          <w:rFonts w:ascii="Book Antiqua" w:hAnsi="Book Antiqua" w:cs="Book Antiqua" w:hint="eastAsia"/>
          <w:color w:val="000000"/>
          <w:lang w:eastAsia="zh-CN"/>
        </w:rPr>
        <w:t>A</w:t>
      </w:r>
      <w:r w:rsidRPr="002772D1">
        <w:rPr>
          <w:rFonts w:ascii="Book Antiqua" w:eastAsia="Book Antiqua" w:hAnsi="Book Antiqua" w:cs="Book Antiqua"/>
          <w:color w:val="000000"/>
        </w:rPr>
        <w:t xml:space="preserve"> </w:t>
      </w:r>
      <w:r w:rsidRPr="002772D1">
        <w:rPr>
          <w:rFonts w:ascii="Book Antiqua" w:eastAsia="Book Antiqua" w:hAnsi="Book Antiqua" w:cs="Book Antiqua"/>
          <w:b/>
          <w:color w:val="000000"/>
        </w:rPr>
        <w:t xml:space="preserve">P-Editor: </w:t>
      </w:r>
      <w:r w:rsidR="00D81B34" w:rsidRPr="002772D1">
        <w:rPr>
          <w:rFonts w:ascii="Book Antiqua" w:eastAsia="Book Antiqua" w:hAnsi="Book Antiqua" w:cs="Book Antiqua" w:hint="eastAsia"/>
          <w:color w:val="000000"/>
        </w:rPr>
        <w:t>Wang LL</w:t>
      </w:r>
    </w:p>
    <w:p w14:paraId="7D08C014" w14:textId="40322B21" w:rsidR="002C6922" w:rsidRPr="002772D1" w:rsidRDefault="002C6922" w:rsidP="00E06D87">
      <w:pPr>
        <w:spacing w:line="360" w:lineRule="auto"/>
        <w:jc w:val="both"/>
        <w:rPr>
          <w:rFonts w:ascii="Book Antiqua" w:eastAsia="Book Antiqua" w:hAnsi="Book Antiqua" w:cs="Book Antiqua"/>
          <w:b/>
          <w:color w:val="000000"/>
        </w:rPr>
      </w:pPr>
      <w:r w:rsidRPr="002772D1">
        <w:rPr>
          <w:rFonts w:ascii="Book Antiqua" w:eastAsia="Book Antiqua" w:hAnsi="Book Antiqua" w:cs="Book Antiqua"/>
          <w:b/>
          <w:color w:val="000000"/>
        </w:rPr>
        <w:br w:type="page"/>
      </w:r>
      <w:r w:rsidR="00B944C3" w:rsidRPr="002772D1">
        <w:rPr>
          <w:rFonts w:ascii="Book Antiqua" w:eastAsia="Book Antiqua" w:hAnsi="Book Antiqua" w:cs="Book Antiqua"/>
          <w:b/>
          <w:color w:val="000000"/>
        </w:rPr>
        <w:lastRenderedPageBreak/>
        <w:t>Figure Legends</w:t>
      </w:r>
    </w:p>
    <w:p w14:paraId="5FAD644F" w14:textId="6AB6782F" w:rsidR="00B944C3" w:rsidRPr="002772D1" w:rsidRDefault="00B944C3" w:rsidP="00E06D87">
      <w:pPr>
        <w:spacing w:line="360" w:lineRule="auto"/>
        <w:jc w:val="both"/>
        <w:rPr>
          <w:rFonts w:ascii="Book Antiqua" w:hAnsi="Book Antiqua"/>
        </w:rPr>
      </w:pPr>
      <w:r w:rsidRPr="002772D1">
        <w:rPr>
          <w:rFonts w:ascii="Book Antiqua" w:hAnsi="Book Antiqua"/>
          <w:noProof/>
          <w:lang w:eastAsia="zh-CN"/>
        </w:rPr>
        <w:drawing>
          <wp:inline distT="0" distB="0" distL="0" distR="0" wp14:anchorId="3FFA39E0" wp14:editId="6EA27D86">
            <wp:extent cx="5943600" cy="3290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90570"/>
                    </a:xfrm>
                    <a:prstGeom prst="rect">
                      <a:avLst/>
                    </a:prstGeom>
                  </pic:spPr>
                </pic:pic>
              </a:graphicData>
            </a:graphic>
          </wp:inline>
        </w:drawing>
      </w:r>
    </w:p>
    <w:p w14:paraId="0FAE55B0" w14:textId="039991CD" w:rsidR="008E562E" w:rsidRPr="002772D1" w:rsidRDefault="00B944C3" w:rsidP="00E06D87">
      <w:pPr>
        <w:spacing w:line="360" w:lineRule="auto"/>
        <w:jc w:val="both"/>
        <w:rPr>
          <w:rFonts w:ascii="Book Antiqua" w:eastAsia="Book Antiqua" w:hAnsi="Book Antiqua" w:cs="Book Antiqua"/>
          <w:color w:val="000000"/>
        </w:rPr>
      </w:pPr>
      <w:r w:rsidRPr="002772D1">
        <w:rPr>
          <w:rFonts w:ascii="Book Antiqua" w:hAnsi="Book Antiqua"/>
          <w:b/>
          <w:bCs/>
        </w:rPr>
        <w:t>Figure 1 Incidence of oncogenic drivers in non-small cell lung cancer.</w:t>
      </w:r>
      <w:r w:rsidR="008E562E" w:rsidRPr="002772D1">
        <w:rPr>
          <w:rFonts w:ascii="Book Antiqua" w:hAnsi="Book Antiqua"/>
          <w:b/>
          <w:bCs/>
        </w:rPr>
        <w:t xml:space="preserve"> </w:t>
      </w:r>
      <w:r w:rsidR="008E562E" w:rsidRPr="002772D1">
        <w:rPr>
          <w:rFonts w:ascii="Book Antiqua" w:hAnsi="Book Antiqua" w:cs="Arial"/>
          <w:bCs/>
          <w:color w:val="201F1E"/>
        </w:rPr>
        <w:t xml:space="preserve">KRAS: </w:t>
      </w:r>
      <w:r w:rsidR="008E562E" w:rsidRPr="002772D1">
        <w:rPr>
          <w:rFonts w:ascii="Book Antiqua" w:eastAsia="Book Antiqua" w:hAnsi="Book Antiqua" w:cs="Book Antiqua"/>
          <w:color w:val="000000"/>
        </w:rPr>
        <w:t>Kirsten rat sarcoma</w:t>
      </w:r>
      <w:r w:rsidR="008E562E" w:rsidRPr="002772D1">
        <w:rPr>
          <w:rFonts w:ascii="Book Antiqua" w:hAnsi="Book Antiqua" w:cs="Arial"/>
          <w:bCs/>
          <w:color w:val="201F1E"/>
        </w:rPr>
        <w:t xml:space="preserve">; EGFR: </w:t>
      </w:r>
      <w:r w:rsidR="008E562E" w:rsidRPr="002772D1">
        <w:rPr>
          <w:rFonts w:ascii="Book Antiqua" w:eastAsia="Book Antiqua" w:hAnsi="Book Antiqua" w:cs="Book Antiqua"/>
          <w:color w:val="000000"/>
        </w:rPr>
        <w:t>Epidermal growth factor receptor</w:t>
      </w:r>
      <w:r w:rsidR="008E562E" w:rsidRPr="002772D1">
        <w:rPr>
          <w:rFonts w:ascii="Book Antiqua" w:hAnsi="Book Antiqua" w:cs="Arial"/>
          <w:bCs/>
          <w:color w:val="201F1E"/>
        </w:rPr>
        <w:t xml:space="preserve">; ALK: </w:t>
      </w:r>
      <w:r w:rsidR="008E562E" w:rsidRPr="002772D1">
        <w:rPr>
          <w:rFonts w:ascii="Book Antiqua" w:eastAsia="Book Antiqua" w:hAnsi="Book Antiqua" w:cs="Book Antiqua"/>
          <w:color w:val="000000"/>
        </w:rPr>
        <w:t>Anaplastic lymphoma kinase</w:t>
      </w:r>
      <w:r w:rsidR="008E562E" w:rsidRPr="002772D1">
        <w:rPr>
          <w:rFonts w:ascii="Book Antiqua" w:hAnsi="Book Antiqua" w:cs="Arial"/>
          <w:bCs/>
          <w:color w:val="201F1E"/>
        </w:rPr>
        <w:t xml:space="preserve">; HER2: </w:t>
      </w:r>
      <w:r w:rsidR="008E562E" w:rsidRPr="002772D1">
        <w:rPr>
          <w:rFonts w:ascii="Book Antiqua" w:eastAsia="Book Antiqua" w:hAnsi="Book Antiqua" w:cs="Book Antiqua"/>
          <w:color w:val="000000"/>
        </w:rPr>
        <w:t>Human epidermal growth factor 2</w:t>
      </w:r>
      <w:r w:rsidR="008E562E" w:rsidRPr="002772D1">
        <w:rPr>
          <w:rFonts w:ascii="Book Antiqua" w:hAnsi="Book Antiqua" w:cs="Arial"/>
          <w:bCs/>
          <w:color w:val="201F1E"/>
        </w:rPr>
        <w:t xml:space="preserve">; ROS1: </w:t>
      </w:r>
      <w:r w:rsidR="008E562E" w:rsidRPr="002772D1">
        <w:rPr>
          <w:rFonts w:ascii="Book Antiqua" w:eastAsia="Book Antiqua" w:hAnsi="Book Antiqua" w:cs="Book Antiqua"/>
          <w:color w:val="000000"/>
        </w:rPr>
        <w:t>c-ROS oncogene 1</w:t>
      </w:r>
      <w:r w:rsidR="008E562E" w:rsidRPr="002772D1">
        <w:rPr>
          <w:rFonts w:ascii="Book Antiqua" w:hAnsi="Book Antiqua" w:cs="Arial"/>
          <w:bCs/>
          <w:color w:val="201F1E"/>
        </w:rPr>
        <w:t xml:space="preserve">; NTRK: </w:t>
      </w:r>
      <w:r w:rsidR="008E562E" w:rsidRPr="002772D1">
        <w:rPr>
          <w:rFonts w:ascii="Book Antiqua" w:eastAsia="Book Antiqua" w:hAnsi="Book Antiqua" w:cs="Book Antiqua"/>
          <w:color w:val="000000"/>
        </w:rPr>
        <w:t>Neurotrophic receptor tyrosine kinase</w:t>
      </w:r>
      <w:r w:rsidR="008E562E" w:rsidRPr="002772D1">
        <w:rPr>
          <w:rFonts w:ascii="Book Antiqua" w:hAnsi="Book Antiqua" w:cs="Arial"/>
          <w:bCs/>
          <w:color w:val="201F1E"/>
        </w:rPr>
        <w:t xml:space="preserve">; RET: </w:t>
      </w:r>
      <w:r w:rsidR="008E562E" w:rsidRPr="002772D1">
        <w:rPr>
          <w:rFonts w:ascii="Book Antiqua" w:eastAsia="Book Antiqua" w:hAnsi="Book Antiqua" w:cs="Book Antiqua"/>
          <w:color w:val="000000"/>
        </w:rPr>
        <w:t>Rearranged during transfection</w:t>
      </w:r>
      <w:r w:rsidR="008E562E" w:rsidRPr="002772D1">
        <w:rPr>
          <w:rFonts w:ascii="Book Antiqua" w:hAnsi="Book Antiqua" w:cs="Arial"/>
          <w:bCs/>
          <w:color w:val="201F1E"/>
        </w:rPr>
        <w:t>; N</w:t>
      </w:r>
      <w:r w:rsidR="00BA711B" w:rsidRPr="002772D1">
        <w:rPr>
          <w:rFonts w:ascii="Book Antiqua" w:eastAsia="Book Antiqua" w:hAnsi="Book Antiqua" w:cs="Book Antiqua"/>
          <w:color w:val="000000"/>
        </w:rPr>
        <w:t>RG</w:t>
      </w:r>
      <w:r w:rsidR="008E562E" w:rsidRPr="002772D1">
        <w:rPr>
          <w:rFonts w:ascii="Book Antiqua" w:eastAsia="Book Antiqua" w:hAnsi="Book Antiqua" w:cs="Book Antiqua"/>
          <w:color w:val="000000"/>
        </w:rPr>
        <w:t xml:space="preserve">1: </w:t>
      </w:r>
      <w:r w:rsidR="00BA711B" w:rsidRPr="002772D1">
        <w:rPr>
          <w:rFonts w:ascii="Book Antiqua" w:eastAsia="Book Antiqua" w:hAnsi="Book Antiqua" w:cs="Book Antiqua"/>
          <w:color w:val="000000"/>
        </w:rPr>
        <w:t>Neuregulin-1.</w:t>
      </w:r>
    </w:p>
    <w:p w14:paraId="4C112820" w14:textId="77777777" w:rsidR="00162A22" w:rsidRPr="002772D1" w:rsidRDefault="00B944C3" w:rsidP="00162A22">
      <w:pPr>
        <w:spacing w:line="360" w:lineRule="auto"/>
        <w:jc w:val="both"/>
        <w:rPr>
          <w:rFonts w:ascii="Book Antiqua" w:hAnsi="Book Antiqua" w:cs="Arial"/>
          <w:b/>
          <w:bCs/>
          <w:color w:val="201F1E"/>
          <w:lang w:val="en-GB"/>
        </w:rPr>
      </w:pPr>
      <w:r w:rsidRPr="002772D1">
        <w:rPr>
          <w:rFonts w:ascii="Book Antiqua" w:hAnsi="Book Antiqua"/>
        </w:rPr>
        <w:cr/>
      </w:r>
      <w:r w:rsidRPr="002772D1">
        <w:rPr>
          <w:rFonts w:ascii="Book Antiqua" w:hAnsi="Book Antiqua"/>
        </w:rPr>
        <w:br w:type="page"/>
      </w:r>
      <w:r w:rsidR="00162A22" w:rsidRPr="002772D1">
        <w:rPr>
          <w:rFonts w:ascii="Book Antiqua" w:hAnsi="Book Antiqua" w:cs="Arial"/>
          <w:b/>
          <w:bCs/>
          <w:color w:val="201F1E"/>
          <w:lang w:val="en-GB"/>
        </w:rPr>
        <w:lastRenderedPageBreak/>
        <w:t>Table 1 Selected oncogenic drivers and their treatments in non-small cell lung cancer</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2969"/>
        <w:gridCol w:w="1714"/>
        <w:gridCol w:w="1714"/>
        <w:gridCol w:w="1712"/>
      </w:tblGrid>
      <w:tr w:rsidR="00162A22" w:rsidRPr="002772D1" w14:paraId="1A275287" w14:textId="77777777" w:rsidTr="002A6ECB">
        <w:trPr>
          <w:trHeight w:val="345"/>
          <w:jc w:val="center"/>
        </w:trPr>
        <w:tc>
          <w:tcPr>
            <w:tcW w:w="766" w:type="pct"/>
            <w:tcBorders>
              <w:top w:val="single" w:sz="4" w:space="0" w:color="auto"/>
              <w:bottom w:val="single" w:sz="4" w:space="0" w:color="auto"/>
            </w:tcBorders>
            <w:shd w:val="clear" w:color="auto" w:fill="auto"/>
          </w:tcPr>
          <w:p w14:paraId="493D3D33" w14:textId="77777777" w:rsidR="00162A22" w:rsidRPr="002772D1" w:rsidRDefault="00162A22" w:rsidP="002A6ECB">
            <w:pPr>
              <w:spacing w:line="360" w:lineRule="auto"/>
              <w:jc w:val="both"/>
              <w:rPr>
                <w:rFonts w:ascii="Book Antiqua" w:hAnsi="Book Antiqua" w:cs="Arial"/>
                <w:bCs/>
                <w:color w:val="201F1E"/>
              </w:rPr>
            </w:pPr>
          </w:p>
        </w:tc>
        <w:tc>
          <w:tcPr>
            <w:tcW w:w="1550" w:type="pct"/>
            <w:tcBorders>
              <w:top w:val="single" w:sz="4" w:space="0" w:color="auto"/>
              <w:bottom w:val="single" w:sz="4" w:space="0" w:color="auto"/>
            </w:tcBorders>
            <w:shd w:val="clear" w:color="auto" w:fill="auto"/>
          </w:tcPr>
          <w:p w14:paraId="4D61A4BE" w14:textId="77777777" w:rsidR="00162A22" w:rsidRPr="002772D1" w:rsidRDefault="00162A22" w:rsidP="002A6ECB">
            <w:pPr>
              <w:spacing w:line="360" w:lineRule="auto"/>
              <w:jc w:val="both"/>
              <w:rPr>
                <w:rFonts w:ascii="Book Antiqua" w:hAnsi="Book Antiqua" w:cs="Arial"/>
                <w:b/>
                <w:color w:val="201F1E"/>
              </w:rPr>
            </w:pPr>
            <w:r w:rsidRPr="002772D1">
              <w:rPr>
                <w:rFonts w:ascii="Book Antiqua" w:hAnsi="Book Antiqua" w:cs="Arial"/>
                <w:b/>
                <w:color w:val="201F1E"/>
              </w:rPr>
              <w:t>Targeted therapy</w:t>
            </w:r>
          </w:p>
        </w:tc>
        <w:tc>
          <w:tcPr>
            <w:tcW w:w="895" w:type="pct"/>
            <w:tcBorders>
              <w:top w:val="single" w:sz="4" w:space="0" w:color="auto"/>
              <w:bottom w:val="single" w:sz="4" w:space="0" w:color="auto"/>
            </w:tcBorders>
            <w:shd w:val="clear" w:color="auto" w:fill="auto"/>
          </w:tcPr>
          <w:p w14:paraId="35F9F759" w14:textId="77777777" w:rsidR="00162A22" w:rsidRPr="002772D1" w:rsidRDefault="00162A22" w:rsidP="002A6ECB">
            <w:pPr>
              <w:spacing w:line="360" w:lineRule="auto"/>
              <w:jc w:val="both"/>
              <w:rPr>
                <w:rFonts w:ascii="Book Antiqua" w:hAnsi="Book Antiqua" w:cs="Arial"/>
                <w:b/>
                <w:color w:val="201F1E"/>
              </w:rPr>
            </w:pPr>
            <w:r w:rsidRPr="002772D1">
              <w:rPr>
                <w:rFonts w:ascii="Book Antiqua" w:hAnsi="Book Antiqua" w:cs="Arial"/>
                <w:b/>
                <w:color w:val="201F1E"/>
              </w:rPr>
              <w:t>ORR</w:t>
            </w:r>
          </w:p>
        </w:tc>
        <w:tc>
          <w:tcPr>
            <w:tcW w:w="895" w:type="pct"/>
            <w:tcBorders>
              <w:top w:val="single" w:sz="4" w:space="0" w:color="auto"/>
              <w:bottom w:val="single" w:sz="4" w:space="0" w:color="auto"/>
            </w:tcBorders>
            <w:shd w:val="clear" w:color="auto" w:fill="auto"/>
          </w:tcPr>
          <w:p w14:paraId="5192E181" w14:textId="77777777" w:rsidR="00162A22" w:rsidRPr="002772D1" w:rsidRDefault="00162A22" w:rsidP="002A6ECB">
            <w:pPr>
              <w:spacing w:line="360" w:lineRule="auto"/>
              <w:jc w:val="both"/>
              <w:rPr>
                <w:rFonts w:ascii="Book Antiqua" w:hAnsi="Book Antiqua" w:cs="Arial"/>
                <w:b/>
                <w:color w:val="201F1E"/>
              </w:rPr>
            </w:pPr>
            <w:r w:rsidRPr="002772D1">
              <w:rPr>
                <w:rFonts w:ascii="Book Antiqua" w:hAnsi="Book Antiqua" w:cs="Arial"/>
                <w:b/>
                <w:color w:val="201F1E"/>
              </w:rPr>
              <w:t>PFS</w:t>
            </w:r>
          </w:p>
        </w:tc>
        <w:tc>
          <w:tcPr>
            <w:tcW w:w="895" w:type="pct"/>
            <w:tcBorders>
              <w:top w:val="single" w:sz="4" w:space="0" w:color="auto"/>
              <w:bottom w:val="single" w:sz="4" w:space="0" w:color="auto"/>
            </w:tcBorders>
            <w:shd w:val="clear" w:color="auto" w:fill="auto"/>
          </w:tcPr>
          <w:p w14:paraId="0AE1F958" w14:textId="77777777" w:rsidR="00162A22" w:rsidRPr="002772D1" w:rsidRDefault="00162A22" w:rsidP="002A6ECB">
            <w:pPr>
              <w:spacing w:line="360" w:lineRule="auto"/>
              <w:jc w:val="both"/>
              <w:rPr>
                <w:rFonts w:ascii="Book Antiqua" w:hAnsi="Book Antiqua" w:cs="Arial"/>
                <w:b/>
                <w:color w:val="201F1E"/>
              </w:rPr>
            </w:pPr>
            <w:r w:rsidRPr="002772D1">
              <w:rPr>
                <w:rFonts w:ascii="Book Antiqua" w:hAnsi="Book Antiqua" w:cs="Arial"/>
                <w:b/>
                <w:color w:val="201F1E"/>
              </w:rPr>
              <w:t>OS</w:t>
            </w:r>
          </w:p>
        </w:tc>
      </w:tr>
      <w:tr w:rsidR="00162A22" w:rsidRPr="002772D1" w14:paraId="0159FF2E" w14:textId="77777777" w:rsidTr="002A6ECB">
        <w:trPr>
          <w:trHeight w:val="345"/>
          <w:jc w:val="center"/>
        </w:trPr>
        <w:tc>
          <w:tcPr>
            <w:tcW w:w="766" w:type="pct"/>
            <w:vMerge w:val="restart"/>
            <w:tcBorders>
              <w:top w:val="single" w:sz="4" w:space="0" w:color="auto"/>
            </w:tcBorders>
            <w:shd w:val="clear" w:color="auto" w:fill="auto"/>
          </w:tcPr>
          <w:p w14:paraId="7195C94D"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EGFR</w:t>
            </w:r>
          </w:p>
        </w:tc>
        <w:tc>
          <w:tcPr>
            <w:tcW w:w="1550" w:type="pct"/>
            <w:tcBorders>
              <w:top w:val="single" w:sz="4" w:space="0" w:color="auto"/>
            </w:tcBorders>
            <w:shd w:val="clear" w:color="auto" w:fill="auto"/>
          </w:tcPr>
          <w:p w14:paraId="1A587B06"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Erlotinib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&lt;EndNote&gt;&lt;Cite&gt;&lt;Author&gt;Lee&lt;/Author&gt;&lt;Year&gt;2017&lt;/Year&gt;&lt;RecNum&gt;470&lt;/RecNum&gt;&lt;DisplayText&gt;(40)&lt;/DisplayText&gt;&lt;record&gt;&lt;rec-number&gt;470&lt;/rec-number&gt;&lt;foreign-keys&gt;&lt;key app="EN" db-id="2xtxfz9dl9drvkeawxbpeavcdxpd2aw9s2as" timestamp="1612601921"&gt;470&lt;/key&gt;&lt;/foreign-keys&gt;&lt;ref-type name="Journal Article"&gt;17&lt;/ref-type&gt;&lt;contributors&gt;&lt;authors&gt;&lt;author&gt;Lee, Chee Khoon&lt;/author&gt;&lt;author&gt;Davies, Lucy&lt;/author&gt;&lt;author&gt;Wu, Yi-Long&lt;/author&gt;&lt;author&gt;Mitsudomi, Tetsuya&lt;/author&gt;&lt;author&gt;Inoue, Akira&lt;/author&gt;&lt;author&gt;Rosell, Rafael&lt;/author&gt;&lt;author&gt;Zhou, Caicun&lt;/author&gt;&lt;author&gt;Nakagawa, Kazuhiko&lt;/author&gt;&lt;author&gt;Thongprasert, Sumitra&lt;/author&gt;&lt;author&gt;Fukuoka, Masahiro&lt;/author&gt;&lt;/authors&gt;&lt;/contributors&gt;&lt;titles&gt;&lt;title&gt;Gefitinib or erlotinib vs chemotherapy for EGFR mutation-positive lung cancer: individual patient data meta-analysis of overall survival&lt;/title&gt;&lt;secondary-title&gt;JNCI: Journal of the National Cancer Institute&lt;/secondary-title&gt;&lt;/titles&gt;&lt;periodical&gt;&lt;full-title&gt;JNCI: Journal of the National Cancer Institute&lt;/full-title&gt;&lt;/periodical&gt;&lt;volume&gt;109&lt;/volume&gt;&lt;number&gt;6&lt;/number&gt;&lt;dates&gt;&lt;year&gt;2017&lt;/year&gt;&lt;/dates&gt;&lt;isbn&gt;0027-8874&lt;/isbn&gt;&lt;urls&gt;&lt;/urls&gt;&lt;/record&gt;&lt;/Cite&gt;&lt;/EndNote&gt;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[40]</w:t>
            </w:r>
            <w:r w:rsidRPr="002772D1">
              <w:rPr>
                <w:rFonts w:ascii="Book Antiqua" w:hAnsi="Book Antiqua" w:cs="Arial"/>
                <w:color w:val="201F1E"/>
                <w:vertAlign w:val="superscript"/>
              </w:rPr>
              <w:fldChar w:fldCharType="end"/>
            </w:r>
          </w:p>
        </w:tc>
        <w:tc>
          <w:tcPr>
            <w:tcW w:w="895" w:type="pct"/>
            <w:tcBorders>
              <w:top w:val="single" w:sz="4" w:space="0" w:color="auto"/>
            </w:tcBorders>
            <w:shd w:val="clear" w:color="auto" w:fill="auto"/>
          </w:tcPr>
          <w:p w14:paraId="4F7445CF"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62%-83%</w:t>
            </w:r>
          </w:p>
        </w:tc>
        <w:tc>
          <w:tcPr>
            <w:tcW w:w="895" w:type="pct"/>
            <w:tcBorders>
              <w:top w:val="single" w:sz="4" w:space="0" w:color="auto"/>
            </w:tcBorders>
            <w:shd w:val="clear" w:color="auto" w:fill="auto"/>
          </w:tcPr>
          <w:p w14:paraId="3AA6EB9E"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9.7-13.1 mo</w:t>
            </w:r>
          </w:p>
        </w:tc>
        <w:tc>
          <w:tcPr>
            <w:tcW w:w="895" w:type="pct"/>
            <w:tcBorders>
              <w:top w:val="single" w:sz="4" w:space="0" w:color="auto"/>
            </w:tcBorders>
            <w:shd w:val="clear" w:color="auto" w:fill="auto"/>
          </w:tcPr>
          <w:p w14:paraId="30A9E8F0"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19.3-26.3 mo</w:t>
            </w:r>
          </w:p>
        </w:tc>
      </w:tr>
      <w:tr w:rsidR="00162A22" w:rsidRPr="002772D1" w14:paraId="338973DE" w14:textId="77777777" w:rsidTr="002A6ECB">
        <w:trPr>
          <w:trHeight w:val="345"/>
          <w:jc w:val="center"/>
        </w:trPr>
        <w:tc>
          <w:tcPr>
            <w:tcW w:w="766" w:type="pct"/>
            <w:vMerge/>
            <w:shd w:val="clear" w:color="auto" w:fill="auto"/>
          </w:tcPr>
          <w:p w14:paraId="749F3FD4"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1C60AA1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Gefitinib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&lt;EndNote&gt;&lt;Cite&gt;&lt;Author&gt;Mok&lt;/Author&gt;&lt;Year&gt;2009&lt;/Year&gt;&lt;RecNum&gt;273&lt;/RecNum&gt;&lt;DisplayText&gt;(4)&lt;/DisplayText&gt;&lt;record&gt;&lt;rec-number&gt;273&lt;/rec-number&gt;&lt;foreign-keys&gt;&lt;key app="EN" db-id="2xtxfz9dl9drvkeawxbpeavcdxpd2aw9s2as" timestamp="1611669701"&gt;273&lt;/key&gt;&lt;/foreign-keys&gt;&lt;ref-type name="Journal Article"&gt;17&lt;/ref-type&gt;&lt;contributors&gt;&lt;authors&gt;&lt;author&gt;Mok, T&lt;/author&gt;&lt;author&gt;Wu, YI&lt;/author&gt;&lt;author&gt;Thongprasert, S&lt;/author&gt;&lt;author&gt;Yang, C&lt;/author&gt;&lt;author&gt;Chu, D&lt;/author&gt;&lt;author&gt;Saijo, N&lt;/author&gt;&lt;/authors&gt;&lt;/contributors&gt;&lt;titles&gt;&lt;title&gt;Initial treatment of pulmonary adenocarcinoma with gefitinib or carboplatin/paclitaxel&lt;/title&gt;&lt;secondary-title&gt;N Engl J Med&lt;/secondary-title&gt;&lt;/titles&gt;&lt;periodical&gt;&lt;full-title&gt;N Engl J Med&lt;/full-title&gt;&lt;abbr-1&gt;The New England journal of medicine&lt;/abbr-1&gt;&lt;/periodical&gt;&lt;pages&gt;947-57&lt;/pages&gt;&lt;volume&gt;361&lt;/volume&gt;&lt;dates&gt;&lt;year&gt;2009&lt;/year&gt;&lt;/dates&gt;&lt;urls&gt;&lt;/urls&gt;&lt;/record&gt;&lt;/Cite&gt;&lt;/EndNote&gt;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[4]</w:t>
            </w:r>
            <w:r w:rsidRPr="002772D1">
              <w:rPr>
                <w:rFonts w:ascii="Book Antiqua" w:hAnsi="Book Antiqua" w:cs="Arial"/>
                <w:color w:val="201F1E"/>
                <w:vertAlign w:val="superscript"/>
              </w:rPr>
              <w:fldChar w:fldCharType="end"/>
            </w:r>
          </w:p>
        </w:tc>
        <w:tc>
          <w:tcPr>
            <w:tcW w:w="895" w:type="pct"/>
            <w:shd w:val="clear" w:color="auto" w:fill="auto"/>
          </w:tcPr>
          <w:p w14:paraId="436A2652"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73.7%</w:t>
            </w:r>
          </w:p>
        </w:tc>
        <w:tc>
          <w:tcPr>
            <w:tcW w:w="895" w:type="pct"/>
            <w:shd w:val="clear" w:color="auto" w:fill="auto"/>
          </w:tcPr>
          <w:p w14:paraId="5A4CFC31"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9.5 mo</w:t>
            </w:r>
          </w:p>
        </w:tc>
        <w:tc>
          <w:tcPr>
            <w:tcW w:w="895" w:type="pct"/>
            <w:shd w:val="clear" w:color="auto" w:fill="auto"/>
          </w:tcPr>
          <w:p w14:paraId="5673CCED"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22 mo</w:t>
            </w:r>
          </w:p>
        </w:tc>
      </w:tr>
      <w:tr w:rsidR="00162A22" w:rsidRPr="002772D1" w14:paraId="0F72242D" w14:textId="77777777" w:rsidTr="002A6ECB">
        <w:trPr>
          <w:trHeight w:val="345"/>
          <w:jc w:val="center"/>
        </w:trPr>
        <w:tc>
          <w:tcPr>
            <w:tcW w:w="766" w:type="pct"/>
            <w:vMerge/>
            <w:shd w:val="clear" w:color="auto" w:fill="auto"/>
          </w:tcPr>
          <w:p w14:paraId="3B2EE856"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1193F92C"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Afatinib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&lt;EndNote&gt;&lt;Cite&gt;&lt;Author&gt;Sequist&lt;/Author&gt;&lt;Year&gt;2013&lt;/Year&gt;&lt;RecNum&gt;274&lt;/RecNum&gt;&lt;DisplayText&gt;(5)&lt;/DisplayText&gt;&lt;record&gt;&lt;rec-number&gt;274&lt;/rec-number&gt;&lt;foreign-keys&gt;&lt;key app="EN" db-id="2xtxfz9dl9drvkeawxbpeavcdxpd2aw9s2as" timestamp="1611669737"&gt;274&lt;/key&gt;&lt;/foreign-keys&gt;&lt;ref-type name="Journal Article"&gt;17&lt;/ref-type&gt;&lt;contributors&gt;&lt;authors&gt;&lt;author&gt;Sequist, Lecia V&lt;/author&gt;&lt;author&gt;Yang, James Chih Hsin&lt;/author&gt;&lt;author&gt;Yamamoto, Nobuyuki&lt;/author&gt;&lt;author&gt;O&amp;apos;Byrne, Kenneth&lt;/author&gt;&lt;author&gt;Hirsh, Vera&lt;/author&gt;&lt;author&gt;Mok, Tony&lt;/author&gt;&lt;author&gt;Geater, Sarayut Lucien&lt;/author&gt;&lt;author&gt;Orlov, Sergey&lt;/author&gt;&lt;author&gt;Tsai, Chun Ming&lt;/author&gt;&lt;author&gt;Boyer, Michael&lt;/author&gt;&lt;/authors&gt;&lt;/contributors&gt;&lt;titles&gt;&lt;title&gt;Phase III study of afatinib or cisplatin plus pemetrexed in patients with metastatic lung adenocarcinoma with EGFR mutations&lt;/title&gt;&lt;secondary-title&gt;Journal of clinical oncology&lt;/secondary-title&gt;&lt;/titles&gt;&lt;periodical&gt;&lt;full-title&gt;Journal of Clinical Oncology&lt;/full-title&gt;&lt;/periodical&gt;&lt;pages&gt;3327-3334&lt;/pages&gt;&lt;volume&gt;31&lt;/volume&gt;&lt;number&gt;27&lt;/number&gt;&lt;dates&gt;&lt;year&gt;2013&lt;/year&gt;&lt;/dates&gt;&lt;isbn&gt;0732-183X&lt;/isbn&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[5]</w:t>
            </w:r>
            <w:r w:rsidRPr="002772D1">
              <w:rPr>
                <w:rFonts w:ascii="Book Antiqua" w:hAnsi="Book Antiqua" w:cs="Arial"/>
                <w:color w:val="201F1E"/>
                <w:vertAlign w:val="superscript"/>
              </w:rPr>
              <w:fldChar w:fldCharType="end"/>
            </w:r>
          </w:p>
        </w:tc>
        <w:tc>
          <w:tcPr>
            <w:tcW w:w="895" w:type="pct"/>
            <w:shd w:val="clear" w:color="auto" w:fill="auto"/>
          </w:tcPr>
          <w:p w14:paraId="74CABCDC"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56%-67%</w:t>
            </w:r>
          </w:p>
        </w:tc>
        <w:tc>
          <w:tcPr>
            <w:tcW w:w="895" w:type="pct"/>
            <w:shd w:val="clear" w:color="auto" w:fill="auto"/>
          </w:tcPr>
          <w:p w14:paraId="20BC46C0"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11.1 mo</w:t>
            </w:r>
          </w:p>
        </w:tc>
        <w:tc>
          <w:tcPr>
            <w:tcW w:w="895" w:type="pct"/>
            <w:shd w:val="clear" w:color="auto" w:fill="auto"/>
          </w:tcPr>
          <w:p w14:paraId="71F2ECC5"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25.8 mo</w:t>
            </w:r>
          </w:p>
        </w:tc>
      </w:tr>
      <w:tr w:rsidR="00162A22" w:rsidRPr="002772D1" w14:paraId="41C00779" w14:textId="77777777" w:rsidTr="002A6ECB">
        <w:trPr>
          <w:trHeight w:val="345"/>
          <w:jc w:val="center"/>
        </w:trPr>
        <w:tc>
          <w:tcPr>
            <w:tcW w:w="766" w:type="pct"/>
            <w:vMerge/>
            <w:shd w:val="clear" w:color="auto" w:fill="auto"/>
          </w:tcPr>
          <w:p w14:paraId="28E28753"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156E3EBE"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Dacomitinib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&lt;EndNote&gt;&lt;Cite&gt;&lt;Author&gt;Wu&lt;/Author&gt;&lt;Year&gt;2017&lt;/Year&gt;&lt;RecNum&gt;471&lt;/RecNum&gt;&lt;DisplayText&gt;(127)&lt;/DisplayText&gt;&lt;record&gt;&lt;rec-number&gt;471&lt;/rec-number&gt;&lt;foreign-keys&gt;&lt;key app="EN" db-id="2xtxfz9dl9drvkeawxbpeavcdxpd2aw9s2as" timestamp="1612602081"&gt;471&lt;/key&gt;&lt;/foreign-keys&gt;&lt;ref-type name="Journal Article"&gt;17&lt;/ref-type&gt;&lt;contributors&gt;&lt;authors&gt;&lt;author&gt;Wu, Yi-Long&lt;/author&gt;&lt;author&gt;Cheng, Ying&lt;/author&gt;&lt;author&gt;Zhou, Xiangdong&lt;/author&gt;&lt;author&gt;Lee, Ki Hyeong&lt;/author&gt;&lt;author&gt;Nakagawa, Kazuhiko&lt;/author&gt;&lt;author&gt;Niho, Seiji&lt;/author&gt;&lt;author&gt;Tsuji, Fumito&lt;/author&gt;&lt;author&gt;Linke, Rolf&lt;/author&gt;&lt;author&gt;Rosell, Rafael&lt;/author&gt;&lt;author&gt;Corral, Jesus&lt;/author&gt;&lt;/authors&gt;&lt;/contributors&gt;&lt;titles&gt;&lt;title&gt;Dacomitinib versus gefitinib as first-line treatment for patients with EGFR-mutation-positive non-small-cell lung cancer (ARCHER 1050): a randomised, open-label, phase 3 trial&lt;/title&gt;&lt;secondary-title&gt;The Lancet Oncology&lt;/secondary-title&gt;&lt;/titles&gt;&lt;periodical&gt;&lt;full-title&gt;The lancet oncology&lt;/full-title&gt;&lt;/periodical&gt;&lt;pages&gt;1454-1466&lt;/pages&gt;&lt;volume&gt;18&lt;/volume&gt;&lt;number&gt;11&lt;/number&gt;&lt;dates&gt;&lt;year&gt;2017&lt;/year&gt;&lt;/dates&gt;&lt;isbn&gt;1470-2045&lt;/isbn&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[127]</w:t>
            </w:r>
            <w:r w:rsidRPr="002772D1">
              <w:rPr>
                <w:rFonts w:ascii="Book Antiqua" w:hAnsi="Book Antiqua" w:cs="Arial"/>
                <w:color w:val="201F1E"/>
                <w:vertAlign w:val="superscript"/>
              </w:rPr>
              <w:fldChar w:fldCharType="end"/>
            </w:r>
          </w:p>
        </w:tc>
        <w:tc>
          <w:tcPr>
            <w:tcW w:w="895" w:type="pct"/>
            <w:shd w:val="clear" w:color="auto" w:fill="auto"/>
          </w:tcPr>
          <w:p w14:paraId="4169AC5B"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74.9%</w:t>
            </w:r>
          </w:p>
        </w:tc>
        <w:tc>
          <w:tcPr>
            <w:tcW w:w="895" w:type="pct"/>
            <w:shd w:val="clear" w:color="auto" w:fill="auto"/>
          </w:tcPr>
          <w:p w14:paraId="0E05F4C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14.7 mo</w:t>
            </w:r>
          </w:p>
        </w:tc>
        <w:tc>
          <w:tcPr>
            <w:tcW w:w="895" w:type="pct"/>
            <w:shd w:val="clear" w:color="auto" w:fill="auto"/>
          </w:tcPr>
          <w:p w14:paraId="158C485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34 mo</w:t>
            </w:r>
          </w:p>
        </w:tc>
      </w:tr>
      <w:tr w:rsidR="00162A22" w:rsidRPr="002772D1" w14:paraId="6FCEFE31" w14:textId="77777777" w:rsidTr="002A6ECB">
        <w:trPr>
          <w:trHeight w:val="345"/>
          <w:jc w:val="center"/>
        </w:trPr>
        <w:tc>
          <w:tcPr>
            <w:tcW w:w="766" w:type="pct"/>
            <w:vMerge/>
            <w:shd w:val="clear" w:color="auto" w:fill="auto"/>
          </w:tcPr>
          <w:p w14:paraId="7EEB8CF0"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2D8AC72E"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Osimertinib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&lt;EndNote&gt;&lt;Cite&gt;&lt;Author&gt;Ramalingam&lt;/Author&gt;&lt;Year&gt;2019&lt;/Year&gt;&lt;RecNum&gt;63&lt;/RecNum&gt;&lt;DisplayText&gt;(128)&lt;/DisplayText&gt;&lt;record&gt;&lt;rec-number&gt;63&lt;/rec-number&gt;&lt;foreign-keys&gt;&lt;key app="EN" db-id="2xtxfz9dl9drvkeawxbpeavcdxpd2aw9s2as" timestamp="1598697396"&gt;63&lt;/key&gt;&lt;/foreign-keys&gt;&lt;ref-type name="Journal Article"&gt;17&lt;/ref-type&gt;&lt;contributors&gt;&lt;authors&gt;&lt;author&gt;Ramalingam, SS&lt;/author&gt;&lt;author&gt;Gray, JE&lt;/author&gt;&lt;author&gt;Ohe, Y&lt;/author&gt;&lt;author&gt;Cho, BC&lt;/author&gt;&lt;author&gt;Vansteenkiste, J&lt;/author&gt;&lt;author&gt;Zhou, C&lt;/author&gt;&lt;author&gt;Reungwetwattana, T&lt;/author&gt;&lt;author&gt;Cheng, Y&lt;/author&gt;&lt;author&gt;Chewaskulyong, B&lt;/author&gt;&lt;author&gt;Shah, R&lt;/author&gt;&lt;/authors&gt;&lt;/contributors&gt;&lt;titles&gt;&lt;title&gt;Osimertinib vs comparator EGFR-TKI as first-line treatment for EGFRm advanced NSCLC (FLAURA): Final overall survival analysis&lt;/title&gt;&lt;secondary-title&gt;Annals of Oncology&lt;/secondary-title&gt;&lt;/titles&gt;&lt;periodical&gt;&lt;full-title&gt;Annals of Oncology&lt;/full-title&gt;&lt;/periodical&gt;&lt;pages&gt;v914-v915&lt;/pages&gt;&lt;volume&gt;30&lt;/volume&gt;&lt;dates&gt;&lt;year&gt;2019&lt;/year&gt;&lt;/dates&gt;&lt;isbn&gt;0923-7534&lt;/isbn&gt;&lt;urls&gt;&lt;/urls&gt;&lt;/record&gt;&lt;/Cite&gt;&lt;/EndNote&gt;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[128]</w:t>
            </w:r>
            <w:r w:rsidRPr="002772D1">
              <w:rPr>
                <w:rFonts w:ascii="Book Antiqua" w:hAnsi="Book Antiqua" w:cs="Arial"/>
                <w:color w:val="201F1E"/>
                <w:vertAlign w:val="superscript"/>
              </w:rPr>
              <w:fldChar w:fldCharType="end"/>
            </w:r>
          </w:p>
        </w:tc>
        <w:tc>
          <w:tcPr>
            <w:tcW w:w="895" w:type="pct"/>
            <w:shd w:val="clear" w:color="auto" w:fill="auto"/>
          </w:tcPr>
          <w:p w14:paraId="4007EA15"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80%</w:t>
            </w:r>
          </w:p>
        </w:tc>
        <w:tc>
          <w:tcPr>
            <w:tcW w:w="895" w:type="pct"/>
            <w:shd w:val="clear" w:color="auto" w:fill="auto"/>
          </w:tcPr>
          <w:p w14:paraId="0AABEE3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18.9 mo</w:t>
            </w:r>
          </w:p>
        </w:tc>
        <w:tc>
          <w:tcPr>
            <w:tcW w:w="895" w:type="pct"/>
            <w:shd w:val="clear" w:color="auto" w:fill="auto"/>
          </w:tcPr>
          <w:p w14:paraId="00DE6B82"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38.6 mo</w:t>
            </w:r>
          </w:p>
        </w:tc>
      </w:tr>
      <w:tr w:rsidR="00162A22" w:rsidRPr="002772D1" w14:paraId="54574682" w14:textId="77777777" w:rsidTr="002A6ECB">
        <w:trPr>
          <w:trHeight w:val="345"/>
          <w:jc w:val="center"/>
        </w:trPr>
        <w:tc>
          <w:tcPr>
            <w:tcW w:w="766" w:type="pct"/>
            <w:vMerge w:val="restart"/>
            <w:shd w:val="clear" w:color="auto" w:fill="auto"/>
          </w:tcPr>
          <w:p w14:paraId="72FA7ED5"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ALK</w:t>
            </w:r>
          </w:p>
        </w:tc>
        <w:tc>
          <w:tcPr>
            <w:tcW w:w="1550" w:type="pct"/>
            <w:shd w:val="clear" w:color="auto" w:fill="auto"/>
          </w:tcPr>
          <w:p w14:paraId="0EE09F4D" w14:textId="77777777" w:rsidR="00162A22" w:rsidRPr="002772D1" w:rsidRDefault="00162A22" w:rsidP="002A6ECB">
            <w:pPr>
              <w:autoSpaceDE w:val="0"/>
              <w:autoSpaceDN w:val="0"/>
              <w:adjustRightInd w:val="0"/>
              <w:spacing w:line="360" w:lineRule="auto"/>
              <w:jc w:val="both"/>
              <w:rPr>
                <w:rFonts w:ascii="Book Antiqua" w:hAnsi="Book Antiqua" w:cs="Arial"/>
                <w:color w:val="201F1E"/>
              </w:rPr>
            </w:pPr>
            <w:r w:rsidRPr="002772D1">
              <w:rPr>
                <w:rFonts w:ascii="Book Antiqua" w:eastAsia="Times New Roman" w:hAnsi="Book Antiqua" w:cs="Arial"/>
                <w:color w:val="131413"/>
              </w:rPr>
              <w:t>Crizotinib</w:t>
            </w:r>
            <w:r w:rsidRPr="002772D1">
              <w:rPr>
                <w:rFonts w:ascii="Book Antiqua" w:hAnsi="Book Antiqua" w:cs="Arial"/>
                <w:color w:val="201F1E"/>
                <w:vertAlign w:val="superscript"/>
              </w:rPr>
              <w:t>1</w:t>
            </w:r>
            <w:r w:rsidRPr="002772D1">
              <w:rPr>
                <w:rFonts w:ascii="Book Antiqua" w:eastAsia="Times New Roman" w:hAnsi="Book Antiqua" w:cs="Arial"/>
                <w:color w:val="131413"/>
                <w:vertAlign w:val="superscript"/>
              </w:rPr>
              <w:fldChar w:fldCharType="begin"/>
            </w:r>
            <w:r w:rsidRPr="002772D1">
              <w:rPr>
                <w:rFonts w:ascii="Book Antiqua" w:eastAsia="Times New Roman" w:hAnsi="Book Antiqua" w:cs="Arial"/>
                <w:color w:val="131413"/>
                <w:vertAlign w:val="superscript"/>
              </w:rPr>
              <w:instrText xml:space="preserve"> ADDIN EN.CITE &lt;EndNote&gt;&lt;Cite&gt;&lt;Author&gt;Solomon&lt;/Author&gt;&lt;Year&gt;2018&lt;/Year&gt;&lt;RecNum&gt;296&lt;/RecNum&gt;&lt;DisplayText&gt;(53)&lt;/DisplayText&gt;&lt;record&gt;&lt;rec-number&gt;296&lt;/rec-number&gt;&lt;foreign-keys&gt;&lt;key app="EN" db-id="2xtxfz9dl9drvkeawxbpeavcdxpd2aw9s2as" timestamp="1611738268"&gt;296&lt;/key&gt;&lt;/foreign-keys&gt;&lt;ref-type name="Journal Article"&gt;17&lt;/ref-type&gt;&lt;contributors&gt;&lt;authors&gt;&lt;author&gt;Solomon, Benjamin J&lt;/author&gt;&lt;author&gt;Kim, Dong-Wan&lt;/author&gt;&lt;author&gt;Wu, Yi-Long&lt;/author&gt;&lt;author&gt;Nakagawa, Kazuhiko&lt;/author&gt;&lt;author&gt;Mekhail, Tarek&lt;/author&gt;&lt;author&gt;Felip, Enriqueta&lt;/author&gt;&lt;author&gt;Cappuzzo, Federico&lt;/author&gt;&lt;author&gt;Paolini, Jolanda&lt;/author&gt;&lt;author&gt;Usari, Tiziana&lt;/author&gt;&lt;author&gt;Tang, Yiyun&lt;/author&gt;&lt;/authors&gt;&lt;/contributors&gt;&lt;titles&gt;&lt;title&gt;Final overall survival analysis from a study comparing first-line crizotinib versus chemotherapy in ALK-mutation-positive non-small-cell lung cancer&lt;/title&gt;&lt;secondary-title&gt;J Clin Oncol&lt;/secondary-title&gt;&lt;/titles&gt;&lt;periodical&gt;&lt;full-title&gt;J Clin Oncol&lt;/full-title&gt;&lt;abbr-1&gt;Journal of clinical oncology : official journal of the American Society of Clinical Oncology&lt;/abbr-1&gt;&lt;/periodical&gt;&lt;pages&gt;2251-2258&lt;/pages&gt;&lt;volume&gt;36&lt;/volume&gt;&lt;number&gt;22&lt;/number&gt;&lt;dates&gt;&lt;year&gt;2018&lt;/year&gt;&lt;/dates&gt;&lt;urls&gt;&lt;/urls&gt;&lt;/record&gt;&lt;/Cite&gt;&lt;/EndNote&gt;</w:instrText>
            </w:r>
            <w:r w:rsidRPr="002772D1">
              <w:rPr>
                <w:rFonts w:ascii="Book Antiqua" w:eastAsia="Times New Roman" w:hAnsi="Book Antiqua" w:cs="Arial"/>
                <w:color w:val="131413"/>
                <w:vertAlign w:val="superscript"/>
              </w:rPr>
              <w:fldChar w:fldCharType="separate"/>
            </w:r>
            <w:r w:rsidRPr="002772D1">
              <w:rPr>
                <w:rFonts w:ascii="Book Antiqua" w:eastAsia="Times New Roman" w:hAnsi="Book Antiqua" w:cs="Arial"/>
                <w:noProof/>
                <w:color w:val="131413"/>
                <w:vertAlign w:val="superscript"/>
              </w:rPr>
              <w:t>[53]</w:t>
            </w:r>
            <w:r w:rsidRPr="002772D1">
              <w:rPr>
                <w:rFonts w:ascii="Book Antiqua" w:eastAsia="Times New Roman" w:hAnsi="Book Antiqua" w:cs="Arial"/>
                <w:color w:val="131413"/>
                <w:vertAlign w:val="superscript"/>
              </w:rPr>
              <w:fldChar w:fldCharType="end"/>
            </w:r>
          </w:p>
        </w:tc>
        <w:tc>
          <w:tcPr>
            <w:tcW w:w="895" w:type="pct"/>
            <w:shd w:val="clear" w:color="auto" w:fill="auto"/>
          </w:tcPr>
          <w:p w14:paraId="5A4C126E"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75.5%</w:t>
            </w:r>
          </w:p>
        </w:tc>
        <w:tc>
          <w:tcPr>
            <w:tcW w:w="895" w:type="pct"/>
            <w:shd w:val="clear" w:color="auto" w:fill="auto"/>
          </w:tcPr>
          <w:p w14:paraId="336BEE69"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11 mo</w:t>
            </w:r>
          </w:p>
        </w:tc>
        <w:tc>
          <w:tcPr>
            <w:tcW w:w="895" w:type="pct"/>
            <w:shd w:val="clear" w:color="auto" w:fill="auto"/>
          </w:tcPr>
          <w:p w14:paraId="4EA613ED"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57 mo</w:t>
            </w:r>
          </w:p>
        </w:tc>
      </w:tr>
      <w:tr w:rsidR="00162A22" w:rsidRPr="002772D1" w14:paraId="79BF9263" w14:textId="77777777" w:rsidTr="002A6ECB">
        <w:trPr>
          <w:trHeight w:val="345"/>
          <w:jc w:val="center"/>
        </w:trPr>
        <w:tc>
          <w:tcPr>
            <w:tcW w:w="766" w:type="pct"/>
            <w:vMerge/>
            <w:shd w:val="clear" w:color="auto" w:fill="auto"/>
          </w:tcPr>
          <w:p w14:paraId="3338DA25"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27158D04"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Ceritinib</w:t>
            </w:r>
            <w:r w:rsidRPr="002772D1">
              <w:rPr>
                <w:rFonts w:ascii="Book Antiqua" w:hAnsi="Book Antiqua" w:cs="Arial"/>
                <w:color w:val="201F1E"/>
                <w:vertAlign w:val="superscript"/>
              </w:rPr>
              <w:t>1</w:t>
            </w:r>
            <w:r w:rsidRPr="002772D1">
              <w:rPr>
                <w:rFonts w:ascii="Book Antiqua" w:eastAsia="Times New Roman" w:hAnsi="Book Antiqua" w:cs="Arial"/>
                <w:color w:val="131413"/>
                <w:vertAlign w:val="superscript"/>
              </w:rPr>
              <w:fldChar w:fldCharType="begin"/>
            </w:r>
            <w:r w:rsidRPr="002772D1">
              <w:rPr>
                <w:rFonts w:ascii="Book Antiqua" w:eastAsia="Times New Roman" w:hAnsi="Book Antiqua" w:cs="Arial"/>
                <w:color w:val="131413"/>
                <w:vertAlign w:val="superscript"/>
              </w:rPr>
              <w:instrText xml:space="preserve"> ADDIN EN.CITE &lt;EndNote&gt;&lt;Cite&gt;&lt;Author&gt;Soria&lt;/Author&gt;&lt;Year&gt;2017&lt;/Year&gt;&lt;RecNum&gt;1014&lt;/RecNum&gt;&lt;DisplayText&gt;(129)&lt;/DisplayText&gt;&lt;record&gt;&lt;rec-number&gt;1014&lt;/rec-number&gt;&lt;foreign-keys&gt;&lt;key app="EN" db-id="xvf2rtzp55zvz4es0eavf2pmsrrddweewrdt" timestamp="1612602437"&gt;1014&lt;/key&gt;&lt;/foreign-keys&gt;&lt;ref-type name="Journal Article"&gt;17&lt;/ref-type&gt;&lt;contributors&gt;&lt;authors&gt;&lt;author&gt;Soria, Jean-Charles&lt;/author&gt;&lt;author&gt;Tan, Daniel SW&lt;/author&gt;&lt;author&gt;Chiari, Rita&lt;/author&gt;&lt;author&gt;Wu, Yi-Long&lt;/author&gt;&lt;author&gt;Paz-Ares, Luis&lt;/author&gt;&lt;author&gt;Wolf, Juergen&lt;/author&gt;&lt;author&gt;Geater, Sarayut L&lt;/author&gt;&lt;author&gt;Orlov, Sergey&lt;/author&gt;&lt;author&gt;Cortinovis, Diego&lt;/author&gt;&lt;author&gt;Yu, Chong-Jen&lt;/author&gt;&lt;/authors&gt;&lt;/contributors&gt;&lt;titles&gt;&lt;title&gt;First-line ceritinib versus platinum-based chemotherapy in advanced ALK-rearranged non-small-cell lung cancer (ASCEND-4): a randomised, open-label, phase 3 study&lt;/title&gt;&lt;secondary-title&gt;The Lancet&lt;/secondary-title&gt;&lt;/titles&gt;&lt;periodical&gt;&lt;full-title&gt;The Lancet&lt;/full-title&gt;&lt;/periodical&gt;&lt;pages&gt;917-929&lt;/pages&gt;&lt;volume&gt;389&lt;/volume&gt;&lt;number&gt;10072&lt;/number&gt;&lt;dates&gt;&lt;year&gt;2017&lt;/year&gt;&lt;/dates&gt;&lt;isbn&gt;0140-6736&lt;/isbn&gt;&lt;urls&gt;&lt;/urls&gt;&lt;/record&gt;&lt;/Cite&gt;&lt;/EndNote&gt;</w:instrText>
            </w:r>
            <w:r w:rsidRPr="002772D1">
              <w:rPr>
                <w:rFonts w:ascii="Book Antiqua" w:eastAsia="Times New Roman" w:hAnsi="Book Antiqua" w:cs="Arial"/>
                <w:color w:val="131413"/>
                <w:vertAlign w:val="superscript"/>
              </w:rPr>
              <w:fldChar w:fldCharType="separate"/>
            </w:r>
            <w:r w:rsidRPr="002772D1">
              <w:rPr>
                <w:rFonts w:ascii="Book Antiqua" w:eastAsia="Times New Roman" w:hAnsi="Book Antiqua" w:cs="Arial"/>
                <w:noProof/>
                <w:color w:val="131413"/>
                <w:vertAlign w:val="superscript"/>
              </w:rPr>
              <w:t>[129]</w:t>
            </w:r>
            <w:r w:rsidRPr="002772D1">
              <w:rPr>
                <w:rFonts w:ascii="Book Antiqua" w:eastAsia="Times New Roman" w:hAnsi="Book Antiqua" w:cs="Arial"/>
                <w:color w:val="131413"/>
                <w:vertAlign w:val="superscript"/>
              </w:rPr>
              <w:fldChar w:fldCharType="end"/>
            </w:r>
          </w:p>
        </w:tc>
        <w:tc>
          <w:tcPr>
            <w:tcW w:w="895" w:type="pct"/>
            <w:shd w:val="clear" w:color="auto" w:fill="auto"/>
          </w:tcPr>
          <w:p w14:paraId="00CFA88D"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72.5%</w:t>
            </w:r>
          </w:p>
        </w:tc>
        <w:tc>
          <w:tcPr>
            <w:tcW w:w="895" w:type="pct"/>
            <w:shd w:val="clear" w:color="auto" w:fill="auto"/>
          </w:tcPr>
          <w:p w14:paraId="3981D163"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16.6 mo</w:t>
            </w:r>
          </w:p>
        </w:tc>
        <w:tc>
          <w:tcPr>
            <w:tcW w:w="895" w:type="pct"/>
            <w:shd w:val="clear" w:color="auto" w:fill="auto"/>
          </w:tcPr>
          <w:p w14:paraId="444A843B"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NA</w:t>
            </w:r>
          </w:p>
        </w:tc>
      </w:tr>
      <w:tr w:rsidR="00162A22" w:rsidRPr="002772D1" w14:paraId="42C3E529" w14:textId="77777777" w:rsidTr="002A6ECB">
        <w:trPr>
          <w:trHeight w:val="345"/>
          <w:jc w:val="center"/>
        </w:trPr>
        <w:tc>
          <w:tcPr>
            <w:tcW w:w="766" w:type="pct"/>
            <w:vMerge/>
            <w:shd w:val="clear" w:color="auto" w:fill="auto"/>
          </w:tcPr>
          <w:p w14:paraId="455FE0B1"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0A3BC264"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Brigatinib</w:t>
            </w:r>
            <w:r w:rsidRPr="002772D1">
              <w:rPr>
                <w:rFonts w:ascii="Book Antiqua" w:eastAsia="Times New Roman" w:hAnsi="Book Antiqua" w:cs="Arial"/>
                <w:color w:val="131413"/>
                <w:vertAlign w:val="superscript"/>
              </w:rPr>
              <w:fldChar w:fldCharType="begin"/>
            </w:r>
            <w:r w:rsidRPr="002772D1">
              <w:rPr>
                <w:rFonts w:ascii="Book Antiqua" w:eastAsia="Times New Roman" w:hAnsi="Book Antiqua" w:cs="Arial"/>
                <w:color w:val="131413"/>
                <w:vertAlign w:val="superscript"/>
              </w:rPr>
              <w:instrText xml:space="preserve"> ADDIN EN.CITE &lt;EndNote&gt;&lt;Cite&gt;&lt;Author&gt;Camidge&lt;/Author&gt;&lt;Year&gt;2018&lt;/Year&gt;&lt;RecNum&gt;1015&lt;/RecNum&gt;&lt;DisplayText&gt;(130)&lt;/DisplayText&gt;&lt;record&gt;&lt;rec-number&gt;1015&lt;/rec-number&gt;&lt;foreign-keys&gt;&lt;key app="EN" db-id="xvf2rtzp55zvz4es0eavf2pmsrrddweewrdt" timestamp="1612602491"&gt;1015&lt;/key&gt;&lt;/foreign-keys&gt;&lt;ref-type name="Journal Article"&gt;17&lt;/ref-type&gt;&lt;contributors&gt;&lt;authors&gt;&lt;author&gt;Camidge, D Ross&lt;/author&gt;&lt;author&gt;Kim, Hye Ryun&lt;/author&gt;&lt;author&gt;Ahn, Myung-Ju&lt;/author&gt;&lt;author&gt;Yang, James Chih-Hsin&lt;/author&gt;&lt;author&gt;Han, Ji-Youn&lt;/author&gt;&lt;author&gt;Lee, Jong-Seok&lt;/author&gt;&lt;author&gt;Hochmair, Maximilian J&lt;/author&gt;&lt;author&gt;Li, Jacky Yu-Chung&lt;/author&gt;&lt;author&gt;Chang, Gee-Chen&lt;/author&gt;&lt;author&gt;Lee, Ki Hyeong&lt;/author&gt;&lt;/authors&gt;&lt;/contributors&gt;&lt;titles&gt;&lt;title&gt;Brigatinib versus crizotinib in ALK-positive non–small-cell lung cancer&lt;/title&gt;&lt;secondary-title&gt;New England Journal of Medicine&lt;/secondary-title&gt;&lt;/titles&gt;&lt;periodical&gt;&lt;full-title&gt;New England Journal of Medicine&lt;/full-title&gt;&lt;/periodical&gt;&lt;pages&gt;2027-2039&lt;/pages&gt;&lt;volume&gt;379&lt;/volume&gt;&lt;number&gt;21&lt;/number&gt;&lt;dates&gt;&lt;year&gt;2018&lt;/year&gt;&lt;/dates&gt;&lt;isbn&gt;0028-4793&lt;/isbn&gt;&lt;urls&gt;&lt;/urls&gt;&lt;/record&gt;&lt;/Cite&gt;&lt;/EndNote&gt;</w:instrText>
            </w:r>
            <w:r w:rsidRPr="002772D1">
              <w:rPr>
                <w:rFonts w:ascii="Book Antiqua" w:eastAsia="Times New Roman" w:hAnsi="Book Antiqua" w:cs="Arial"/>
                <w:color w:val="131413"/>
                <w:vertAlign w:val="superscript"/>
              </w:rPr>
              <w:fldChar w:fldCharType="separate"/>
            </w:r>
            <w:r w:rsidRPr="002772D1">
              <w:rPr>
                <w:rFonts w:ascii="Book Antiqua" w:eastAsia="Times New Roman" w:hAnsi="Book Antiqua" w:cs="Arial"/>
                <w:noProof/>
                <w:color w:val="131413"/>
                <w:vertAlign w:val="superscript"/>
              </w:rPr>
              <w:t>[130]</w:t>
            </w:r>
            <w:r w:rsidRPr="002772D1">
              <w:rPr>
                <w:rFonts w:ascii="Book Antiqua" w:eastAsia="Times New Roman" w:hAnsi="Book Antiqua" w:cs="Arial"/>
                <w:color w:val="131413"/>
                <w:vertAlign w:val="superscript"/>
              </w:rPr>
              <w:fldChar w:fldCharType="end"/>
            </w:r>
          </w:p>
        </w:tc>
        <w:tc>
          <w:tcPr>
            <w:tcW w:w="895" w:type="pct"/>
            <w:shd w:val="clear" w:color="auto" w:fill="auto"/>
          </w:tcPr>
          <w:p w14:paraId="319D32DF"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79%</w:t>
            </w:r>
          </w:p>
        </w:tc>
        <w:tc>
          <w:tcPr>
            <w:tcW w:w="895" w:type="pct"/>
            <w:shd w:val="clear" w:color="auto" w:fill="auto"/>
          </w:tcPr>
          <w:p w14:paraId="76B565DB"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24 mo</w:t>
            </w:r>
          </w:p>
        </w:tc>
        <w:tc>
          <w:tcPr>
            <w:tcW w:w="895" w:type="pct"/>
            <w:shd w:val="clear" w:color="auto" w:fill="auto"/>
          </w:tcPr>
          <w:p w14:paraId="28118263"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NA</w:t>
            </w:r>
          </w:p>
        </w:tc>
      </w:tr>
      <w:tr w:rsidR="00162A22" w:rsidRPr="002772D1" w14:paraId="333803FE" w14:textId="77777777" w:rsidTr="002A6ECB">
        <w:trPr>
          <w:trHeight w:val="345"/>
          <w:jc w:val="center"/>
        </w:trPr>
        <w:tc>
          <w:tcPr>
            <w:tcW w:w="766" w:type="pct"/>
            <w:vMerge/>
            <w:shd w:val="clear" w:color="auto" w:fill="auto"/>
          </w:tcPr>
          <w:p w14:paraId="703B1D86"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26E89066"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Alectinib</w:t>
            </w:r>
            <w:r w:rsidRPr="002772D1">
              <w:rPr>
                <w:rFonts w:ascii="Book Antiqua" w:hAnsi="Book Antiqua" w:cs="Arial"/>
                <w:color w:val="201F1E"/>
                <w:vertAlign w:val="superscript"/>
              </w:rPr>
              <w:t>1</w:t>
            </w:r>
            <w:r w:rsidRPr="002772D1">
              <w:rPr>
                <w:rFonts w:ascii="Book Antiqua" w:eastAsia="Times New Roman" w:hAnsi="Book Antiqua" w:cs="Arial"/>
                <w:color w:val="131413"/>
                <w:vertAlign w:val="superscript"/>
              </w:rPr>
              <w:fldChar w:fldCharType="begin"/>
            </w:r>
            <w:r w:rsidRPr="002772D1">
              <w:rPr>
                <w:rFonts w:ascii="Book Antiqua" w:eastAsia="Times New Roman" w:hAnsi="Book Antiqua" w:cs="Arial"/>
                <w:color w:val="131413"/>
                <w:vertAlign w:val="superscript"/>
              </w:rPr>
              <w:instrText xml:space="preserve"> ADDIN EN.CITE &lt;EndNote&gt;&lt;Cite&gt;&lt;Author&gt;Peters&lt;/Author&gt;&lt;Year&gt;2017&lt;/Year&gt;&lt;RecNum&gt;128&lt;/RecNum&gt;&lt;DisplayText&gt;(131)&lt;/DisplayText&gt;&lt;record&gt;&lt;rec-number&gt;128&lt;/rec-number&gt;&lt;foreign-keys&gt;&lt;key app="EN" db-id="xvf2rtzp55zvz4es0eavf2pmsrrddweewrdt" timestamp="1580221320"&gt;128&lt;/key&gt;&lt;/foreign-keys&gt;&lt;ref-type name="Journal Article"&gt;17&lt;/ref-type&gt;&lt;contributors&gt;&lt;authors&gt;&lt;author&gt;Peters, Solange&lt;/author&gt;&lt;author&gt;Camidge, D. Ross&lt;/author&gt;&lt;author&gt;Shaw, Alice T.&lt;/author&gt;&lt;author&gt;Gadgeel, Shirish&lt;/author&gt;&lt;author&gt;Ahn, Jin S.&lt;/author&gt;&lt;author&gt;Kim, Dong-Wan&lt;/author&gt;&lt;author&gt;Ou, Sai-Hong I.&lt;/author&gt;&lt;author&gt;Pérol, Maurice&lt;/author&gt;&lt;author&gt;Dziadziuszko, Rafal&lt;/author&gt;&lt;author&gt;Rosell, Rafael&lt;/author&gt;&lt;author&gt;Zeaiter, Ali&lt;/author&gt;&lt;author&gt;Mitry, Emmanuel&lt;/author&gt;&lt;author&gt;Golding, Sophie&lt;/author&gt;&lt;author&gt;Balas, Bogdana&lt;/author&gt;&lt;author&gt;Noe, Johannes&lt;/author&gt;&lt;author&gt;Morcos, Peter N.&lt;/author&gt;&lt;author&gt;Mok, Tony&lt;/author&gt;&lt;/authors&gt;&lt;/contributors&gt;&lt;titles&gt;&lt;title&gt;Alectinib versus Crizotinib in Untreated ALK-Positive Non–Small-Cell Lung Cancer&lt;/title&gt;&lt;secondary-title&gt;New England Journal of Medicine&lt;/secondary-title&gt;&lt;/titles&gt;&lt;periodical&gt;&lt;full-title&gt;New England Journal of Medicine&lt;/full-title&gt;&lt;/periodical&gt;&lt;pages&gt;829-838&lt;/pages&gt;&lt;volume&gt;377&lt;/volume&gt;&lt;number&gt;9&lt;/number&gt;&lt;dates&gt;&lt;year&gt;2017&lt;/year&gt;&lt;/dates&gt;&lt;accession-num&gt;28586279&lt;/accession-num&gt;&lt;urls&gt;&lt;related-urls&gt;&lt;url&gt;https://www.nejm.org/doi/full/10.1056/NEJMoa1704795&lt;/url&gt;&lt;/related-urls&gt;&lt;/urls&gt;&lt;electronic-resource-num&gt;10.1056/NEJMoa1704795&lt;/electronic-resource-num&gt;&lt;/record&gt;&lt;/Cite&gt;&lt;/EndNote&gt;</w:instrText>
            </w:r>
            <w:r w:rsidRPr="002772D1">
              <w:rPr>
                <w:rFonts w:ascii="Book Antiqua" w:eastAsia="Times New Roman" w:hAnsi="Book Antiqua" w:cs="Arial"/>
                <w:color w:val="131413"/>
                <w:vertAlign w:val="superscript"/>
              </w:rPr>
              <w:fldChar w:fldCharType="separate"/>
            </w:r>
            <w:r w:rsidRPr="002772D1">
              <w:rPr>
                <w:rFonts w:ascii="Book Antiqua" w:eastAsia="Times New Roman" w:hAnsi="Book Antiqua" w:cs="Arial"/>
                <w:noProof/>
                <w:color w:val="131413"/>
                <w:vertAlign w:val="superscript"/>
              </w:rPr>
              <w:t>[131]</w:t>
            </w:r>
            <w:r w:rsidRPr="002772D1">
              <w:rPr>
                <w:rFonts w:ascii="Book Antiqua" w:eastAsia="Times New Roman" w:hAnsi="Book Antiqua" w:cs="Arial"/>
                <w:color w:val="131413"/>
                <w:vertAlign w:val="superscript"/>
              </w:rPr>
              <w:fldChar w:fldCharType="end"/>
            </w:r>
          </w:p>
        </w:tc>
        <w:tc>
          <w:tcPr>
            <w:tcW w:w="895" w:type="pct"/>
            <w:shd w:val="clear" w:color="auto" w:fill="auto"/>
          </w:tcPr>
          <w:p w14:paraId="42F85021"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82.9%</w:t>
            </w:r>
          </w:p>
        </w:tc>
        <w:tc>
          <w:tcPr>
            <w:tcW w:w="895" w:type="pct"/>
            <w:shd w:val="clear" w:color="auto" w:fill="auto"/>
          </w:tcPr>
          <w:p w14:paraId="4B26C8DF"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35 mo</w:t>
            </w:r>
          </w:p>
        </w:tc>
        <w:tc>
          <w:tcPr>
            <w:tcW w:w="895" w:type="pct"/>
            <w:shd w:val="clear" w:color="auto" w:fill="auto"/>
          </w:tcPr>
          <w:p w14:paraId="29F4E669"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NA</w:t>
            </w:r>
          </w:p>
        </w:tc>
      </w:tr>
      <w:tr w:rsidR="00162A22" w:rsidRPr="002772D1" w14:paraId="7FDAC9E6" w14:textId="77777777" w:rsidTr="002A6ECB">
        <w:trPr>
          <w:trHeight w:val="345"/>
          <w:jc w:val="center"/>
        </w:trPr>
        <w:tc>
          <w:tcPr>
            <w:tcW w:w="766" w:type="pct"/>
            <w:vMerge/>
            <w:shd w:val="clear" w:color="auto" w:fill="auto"/>
          </w:tcPr>
          <w:p w14:paraId="06FDE372"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550B3A6B"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Lorlatinib</w:t>
            </w:r>
            <w:r w:rsidRPr="002772D1">
              <w:rPr>
                <w:rFonts w:ascii="Book Antiqua" w:hAnsi="Book Antiqua" w:cs="Arial"/>
                <w:color w:val="201F1E"/>
                <w:vertAlign w:val="superscript"/>
              </w:rPr>
              <w:t>1</w:t>
            </w:r>
            <w:r w:rsidRPr="002772D1">
              <w:rPr>
                <w:rFonts w:ascii="Book Antiqua" w:eastAsia="Times New Roman" w:hAnsi="Book Antiqua" w:cs="Arial"/>
                <w:color w:val="131413"/>
                <w:vertAlign w:val="superscript"/>
              </w:rPr>
              <w:fldChar w:fldCharType="begin"/>
            </w:r>
            <w:r w:rsidRPr="002772D1">
              <w:rPr>
                <w:rFonts w:ascii="Book Antiqua" w:eastAsia="Times New Roman" w:hAnsi="Book Antiqua" w:cs="Arial"/>
                <w:color w:val="131413"/>
                <w:vertAlign w:val="superscript"/>
              </w:rPr>
              <w:instrText xml:space="preserve"> ADDIN EN.CITE &lt;EndNote&gt;&lt;Cite&gt;&lt;Author&gt;Shaw&lt;/Author&gt;&lt;Year&gt;2020&lt;/Year&gt;&lt;RecNum&gt;1016&lt;/RecNum&gt;&lt;DisplayText&gt;(54)&lt;/DisplayText&gt;&lt;record&gt;&lt;rec-number&gt;1016&lt;/rec-number&gt;&lt;foreign-keys&gt;&lt;key app="EN" db-id="xvf2rtzp55zvz4es0eavf2pmsrrddweewrdt" timestamp="1612602547"&gt;1016&lt;/key&gt;&lt;/foreign-keys&gt;&lt;ref-type name="Journal Article"&gt;17&lt;/ref-type&gt;&lt;contributors&gt;&lt;authors&gt;&lt;author&gt;Shaw, Alice T&lt;/author&gt;&lt;author&gt;Bauer, Todd M&lt;/author&gt;&lt;author&gt;de Marinis, Filippo&lt;/author&gt;&lt;author&gt;Felip, Enriqueta&lt;/author&gt;&lt;author&gt;Goto, Yasushi&lt;/author&gt;&lt;author&gt;Liu, Geoffrey&lt;/author&gt;&lt;author&gt;Mazieres, Julien&lt;/author&gt;&lt;author&gt;Kim, Dong-Wan&lt;/author&gt;&lt;author&gt;Mok, Tony&lt;/author&gt;&lt;author&gt;Polli, Anna&lt;/author&gt;&lt;/authors&gt;&lt;/contributors&gt;&lt;titles&gt;&lt;title&gt;First-line lorlatinib or crizotinib in advanced ALK-positive lung cancer&lt;/title&gt;&lt;secondary-title&gt;New England Journal of Medicine&lt;/secondary-title&gt;&lt;/titles&gt;&lt;periodical&gt;&lt;full-title&gt;New England Journal of Medicine&lt;/full-title&gt;&lt;/periodical&gt;&lt;pages&gt;2018-2029&lt;/pages&gt;&lt;volume&gt;383&lt;/volume&gt;&lt;number&gt;21&lt;/number&gt;&lt;dates&gt;&lt;year&gt;2020&lt;/year&gt;&lt;/dates&gt;&lt;isbn&gt;0028-4793&lt;/isbn&gt;&lt;urls&gt;&lt;/urls&gt;&lt;/record&gt;&lt;/Cite&gt;&lt;/EndNote&gt;</w:instrText>
            </w:r>
            <w:r w:rsidRPr="002772D1">
              <w:rPr>
                <w:rFonts w:ascii="Book Antiqua" w:eastAsia="Times New Roman" w:hAnsi="Book Antiqua" w:cs="Arial"/>
                <w:color w:val="131413"/>
                <w:vertAlign w:val="superscript"/>
              </w:rPr>
              <w:fldChar w:fldCharType="separate"/>
            </w:r>
            <w:r w:rsidRPr="002772D1">
              <w:rPr>
                <w:rFonts w:ascii="Book Antiqua" w:eastAsia="Times New Roman" w:hAnsi="Book Antiqua" w:cs="Arial"/>
                <w:noProof/>
                <w:color w:val="131413"/>
                <w:vertAlign w:val="superscript"/>
              </w:rPr>
              <w:t>[54]</w:t>
            </w:r>
            <w:r w:rsidRPr="002772D1">
              <w:rPr>
                <w:rFonts w:ascii="Book Antiqua" w:eastAsia="Times New Roman" w:hAnsi="Book Antiqua" w:cs="Arial"/>
                <w:color w:val="131413"/>
                <w:vertAlign w:val="superscript"/>
              </w:rPr>
              <w:fldChar w:fldCharType="end"/>
            </w:r>
          </w:p>
        </w:tc>
        <w:tc>
          <w:tcPr>
            <w:tcW w:w="895" w:type="pct"/>
            <w:shd w:val="clear" w:color="auto" w:fill="auto"/>
          </w:tcPr>
          <w:p w14:paraId="2ACD08F1"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76%</w:t>
            </w:r>
          </w:p>
        </w:tc>
        <w:tc>
          <w:tcPr>
            <w:tcW w:w="895" w:type="pct"/>
            <w:shd w:val="clear" w:color="auto" w:fill="auto"/>
          </w:tcPr>
          <w:p w14:paraId="16DCD8E0"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NA</w:t>
            </w:r>
          </w:p>
        </w:tc>
        <w:tc>
          <w:tcPr>
            <w:tcW w:w="895" w:type="pct"/>
            <w:shd w:val="clear" w:color="auto" w:fill="auto"/>
          </w:tcPr>
          <w:p w14:paraId="3178BC41" w14:textId="77777777" w:rsidR="00162A22" w:rsidRPr="002772D1" w:rsidRDefault="00162A22" w:rsidP="002A6ECB">
            <w:pPr>
              <w:autoSpaceDE w:val="0"/>
              <w:autoSpaceDN w:val="0"/>
              <w:adjustRightInd w:val="0"/>
              <w:spacing w:line="360" w:lineRule="auto"/>
              <w:jc w:val="both"/>
              <w:rPr>
                <w:rFonts w:ascii="Book Antiqua" w:eastAsia="Times New Roman" w:hAnsi="Book Antiqua" w:cs="Arial"/>
                <w:color w:val="131413"/>
              </w:rPr>
            </w:pPr>
            <w:r w:rsidRPr="002772D1">
              <w:rPr>
                <w:rFonts w:ascii="Book Antiqua" w:eastAsia="Times New Roman" w:hAnsi="Book Antiqua" w:cs="Arial"/>
                <w:color w:val="131413"/>
              </w:rPr>
              <w:t>NA</w:t>
            </w:r>
          </w:p>
        </w:tc>
      </w:tr>
      <w:tr w:rsidR="00162A22" w:rsidRPr="002772D1" w14:paraId="30426146" w14:textId="77777777" w:rsidTr="002A6ECB">
        <w:trPr>
          <w:trHeight w:val="345"/>
          <w:jc w:val="center"/>
        </w:trPr>
        <w:tc>
          <w:tcPr>
            <w:tcW w:w="766" w:type="pct"/>
            <w:vMerge w:val="restart"/>
            <w:shd w:val="clear" w:color="auto" w:fill="auto"/>
          </w:tcPr>
          <w:p w14:paraId="078076EB"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ROS1</w:t>
            </w:r>
          </w:p>
        </w:tc>
        <w:tc>
          <w:tcPr>
            <w:tcW w:w="1550" w:type="pct"/>
            <w:shd w:val="clear" w:color="auto" w:fill="auto"/>
          </w:tcPr>
          <w:p w14:paraId="665EBA4F"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Crizotinib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&lt;EndNote&gt;&lt;Cite&gt;&lt;Author&gt;Moro-Sibilot&lt;/Author&gt;&lt;Year&gt;2019&lt;/Year&gt;&lt;RecNum&gt;1017&lt;/RecNum&gt;&lt;DisplayText&gt;(132)&lt;/DisplayText&gt;&lt;record&gt;&lt;rec-number&gt;1017&lt;/rec-number&gt;&lt;foreign-keys&gt;&lt;key app="EN" db-id="xvf2rtzp55zvz4es0eavf2pmsrrddweewrdt" timestamp="1612602594"&gt;1017&lt;/key&gt;&lt;/foreign-keys&gt;&lt;ref-type name="Journal Article"&gt;17&lt;/ref-type&gt;&lt;contributors&gt;&lt;authors&gt;&lt;author&gt;Moro-Sibilot, D&lt;/author&gt;&lt;author&gt;Cozic, N&lt;/author&gt;&lt;author&gt;Pérol, M&lt;/author&gt;&lt;author&gt;Mazières, J&lt;/author&gt;&lt;author&gt;Otto, J&lt;/author&gt;&lt;author&gt;Souquet, PJ&lt;/author&gt;&lt;author&gt;Bahleda, R&lt;/author&gt;&lt;author&gt;Wislez, M&lt;/author&gt;&lt;author&gt;Zalcman, G&lt;/author&gt;&lt;author&gt;Guibert, SD&lt;/author&gt;&lt;/authors&gt;&lt;/contributors&gt;&lt;titles&gt;&lt;title&gt;Crizotinib in c-MET-or ROS1-positive NSCLC: results of the AcSé phase II trial&lt;/title&gt;&lt;secondary-title&gt;Annals of Oncology&lt;/secondary-title&gt;&lt;/titles&gt;&lt;periodical&gt;&lt;full-title&gt;Annals of Oncology&lt;/full-title&gt;&lt;/periodical&gt;&lt;pages&gt;1985-1991&lt;/pages&gt;&lt;volume&gt;30&lt;/volume&gt;&lt;number&gt;12&lt;/number&gt;&lt;dates&gt;&lt;year&gt;2019&lt;/year&gt;&lt;/dates&gt;&lt;isbn&gt;0923-7534&lt;/isbn&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[132]</w:t>
            </w:r>
            <w:r w:rsidRPr="002772D1">
              <w:rPr>
                <w:rFonts w:ascii="Book Antiqua" w:hAnsi="Book Antiqua" w:cs="Arial"/>
                <w:color w:val="201F1E"/>
                <w:vertAlign w:val="superscript"/>
              </w:rPr>
              <w:fldChar w:fldCharType="end"/>
            </w:r>
          </w:p>
        </w:tc>
        <w:tc>
          <w:tcPr>
            <w:tcW w:w="895" w:type="pct"/>
            <w:shd w:val="clear" w:color="auto" w:fill="auto"/>
          </w:tcPr>
          <w:p w14:paraId="5B1E579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63-72%</w:t>
            </w:r>
          </w:p>
        </w:tc>
        <w:tc>
          <w:tcPr>
            <w:tcW w:w="895" w:type="pct"/>
            <w:shd w:val="clear" w:color="auto" w:fill="auto"/>
          </w:tcPr>
          <w:p w14:paraId="3613357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15.9-19.2 mo</w:t>
            </w:r>
          </w:p>
        </w:tc>
        <w:tc>
          <w:tcPr>
            <w:tcW w:w="895" w:type="pct"/>
            <w:shd w:val="clear" w:color="auto" w:fill="auto"/>
          </w:tcPr>
          <w:p w14:paraId="19F6E881"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51 mo</w:t>
            </w:r>
          </w:p>
        </w:tc>
      </w:tr>
      <w:tr w:rsidR="00162A22" w:rsidRPr="002772D1" w14:paraId="006483EE" w14:textId="77777777" w:rsidTr="002A6ECB">
        <w:trPr>
          <w:trHeight w:val="345"/>
          <w:jc w:val="center"/>
        </w:trPr>
        <w:tc>
          <w:tcPr>
            <w:tcW w:w="766" w:type="pct"/>
            <w:vMerge/>
            <w:shd w:val="clear" w:color="auto" w:fill="auto"/>
          </w:tcPr>
          <w:p w14:paraId="7D9A8E0C"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2D485779"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Lorlatinib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&lt;EndNote&gt;&lt;Cite&gt;&lt;Author&gt;Shaw&lt;/Author&gt;&lt;Year&gt;2019&lt;/Year&gt;&lt;RecNum&gt;769&lt;/RecNum&gt;&lt;DisplayText&gt;(133)&lt;/DisplayText&gt;&lt;record&gt;&lt;rec-number&gt;769&lt;/rec-number&gt;&lt;foreign-keys&gt;&lt;key app="EN" db-id="xvf2rtzp55zvz4es0eavf2pmsrrddweewrdt" timestamp="1593756427"&gt;769&lt;/key&gt;&lt;/foreign-keys&gt;&lt;ref-type name="Journal Article"&gt;17&lt;/ref-type&gt;&lt;contributors&gt;&lt;authors&gt;&lt;author&gt;Shaw, Alice T.&lt;/author&gt;&lt;author&gt;Solomon, Benjamin J.&lt;/author&gt;&lt;author&gt;Chiari, Rita&lt;/author&gt;&lt;author&gt;Riely, Gregory J.&lt;/author&gt;&lt;author&gt;Besse, Benjamin&lt;/author&gt;&lt;author&gt;Soo, Ross A.&lt;/author&gt;&lt;author&gt;Kao, Steven&lt;/author&gt;&lt;author&gt;Lin, Chia-Chi&lt;/author&gt;&lt;author&gt;Bauer, Todd M.&lt;/author&gt;&lt;author&gt;Clancy, Jill S.&lt;/author&gt;&lt;author&gt;Thurm, Holger&lt;/author&gt;&lt;author&gt;Martini, Jean-Francois&lt;/author&gt;&lt;author&gt;Peltz, Gerson&lt;/author&gt;&lt;author&gt;Abbattista, Antonello&lt;/author&gt;&lt;author&gt;Li, Sherry&lt;/author&gt;&lt;author&gt;Ou, Sai-Hong Ignatius&lt;/author&gt;&lt;/authors&gt;&lt;/contributors&gt;&lt;titles&gt;&lt;title&gt;Lorlatinib in advanced &amp;lt;em&amp;gt;ROS1&amp;lt;/em&amp;gt;-positive non-small-cell lung cancer: a multicentre, open-label, single-arm, phase 1&amp;amp;#x2013;2 trial&lt;/title&gt;&lt;secondary-title&gt;The Lancet Oncology&lt;/secondary-title&gt;&lt;/titles&gt;&lt;periodical&gt;&lt;full-title&gt;The Lancet Oncology&lt;/full-title&gt;&lt;/periodical&gt;&lt;pages&gt;1691-1701&lt;/pages&gt;&lt;volume&gt;20&lt;/volume&gt;&lt;number&gt;12&lt;/number&gt;&lt;dates&gt;&lt;year&gt;2019&lt;/year&gt;&lt;/dates&gt;&lt;publisher&gt;Elsevier&lt;/publisher&gt;&lt;isbn&gt;1470-2045&lt;/isbn&gt;&lt;urls&gt;&lt;related-urls&gt;&lt;url&gt;https://doi.org/10.1016/S1470-2045(19)30655-2&lt;/url&gt;&lt;/related-urls&gt;&lt;/urls&gt;&lt;electronic-resource-num&gt;10.1016/S1470-2045(19)30655-2&lt;/electronic-resource-num&gt;&lt;access-date&gt;2020/07/02&lt;/access-date&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[133]</w:t>
            </w:r>
            <w:r w:rsidRPr="002772D1">
              <w:rPr>
                <w:rFonts w:ascii="Book Antiqua" w:hAnsi="Book Antiqua" w:cs="Arial"/>
                <w:color w:val="201F1E"/>
                <w:vertAlign w:val="superscript"/>
              </w:rPr>
              <w:fldChar w:fldCharType="end"/>
            </w:r>
          </w:p>
        </w:tc>
        <w:tc>
          <w:tcPr>
            <w:tcW w:w="895" w:type="pct"/>
            <w:shd w:val="clear" w:color="auto" w:fill="auto"/>
          </w:tcPr>
          <w:p w14:paraId="4B509333"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62%</w:t>
            </w:r>
          </w:p>
        </w:tc>
        <w:tc>
          <w:tcPr>
            <w:tcW w:w="895" w:type="pct"/>
            <w:shd w:val="clear" w:color="auto" w:fill="auto"/>
          </w:tcPr>
          <w:p w14:paraId="6D2BE7FD"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19.3 mo</w:t>
            </w:r>
          </w:p>
        </w:tc>
        <w:tc>
          <w:tcPr>
            <w:tcW w:w="895" w:type="pct"/>
            <w:shd w:val="clear" w:color="auto" w:fill="auto"/>
          </w:tcPr>
          <w:p w14:paraId="486FB44B"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08DFA68E" w14:textId="77777777" w:rsidTr="002A6ECB">
        <w:trPr>
          <w:trHeight w:val="345"/>
          <w:jc w:val="center"/>
        </w:trPr>
        <w:tc>
          <w:tcPr>
            <w:tcW w:w="766" w:type="pct"/>
            <w:vMerge/>
            <w:shd w:val="clear" w:color="auto" w:fill="auto"/>
          </w:tcPr>
          <w:p w14:paraId="2B25FD68"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6B773E3F"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Entrectinib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fldData xml:space="preserve">PEVuZE5vdGU+PENpdGU+PEF1dGhvcj5Ecmlsb248L0F1dGhvcj48WWVhcj4yMDIwPC9ZZWFyPjxS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</w:fldData>
              </w:fldChar>
            </w:r>
            <w:r w:rsidRPr="002772D1">
              <w:rPr>
                <w:rFonts w:ascii="Book Antiqua" w:hAnsi="Book Antiqua" w:cs="Arial"/>
                <w:color w:val="201F1E"/>
                <w:vertAlign w:val="superscript"/>
              </w:rPr>
              <w:instrText xml:space="preserve"> ADDIN EN.CITE </w:instrText>
            </w:r>
            <w:r w:rsidRPr="002772D1">
              <w:rPr>
                <w:rFonts w:ascii="Book Antiqua" w:hAnsi="Book Antiqua" w:cs="Arial"/>
                <w:color w:val="201F1E"/>
                <w:vertAlign w:val="superscript"/>
              </w:rPr>
              <w:fldChar w:fldCharType="begin">
                <w:fldData xml:space="preserve">PEVuZE5vdGU+PENpdGU+PEF1dGhvcj5Ecmlsb248L0F1dGhvcj48WWVhcj4yMDIwPC9ZZWFyPjxS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</w:fldData>
              </w:fldChar>
            </w:r>
            <w:r w:rsidRPr="002772D1">
              <w:rPr>
                <w:rFonts w:ascii="Book Antiqua" w:hAnsi="Book Antiqua" w:cs="Arial"/>
                <w:color w:val="201F1E"/>
                <w:vertAlign w:val="superscript"/>
              </w:rPr>
              <w:instrText xml:space="preserve"> ADDIN EN.CITE.DATA </w:instrText>
            </w:r>
            <w:r w:rsidRPr="002772D1">
              <w:rPr>
                <w:rFonts w:ascii="Book Antiqua" w:hAnsi="Book Antiqua" w:cs="Arial"/>
                <w:color w:val="201F1E"/>
                <w:vertAlign w:val="superscript"/>
              </w:rPr>
            </w:r>
            <w:r w:rsidRPr="002772D1">
              <w:rPr>
                <w:rFonts w:ascii="Book Antiqua" w:hAnsi="Book Antiqua" w:cs="Arial"/>
                <w:color w:val="201F1E"/>
                <w:vertAlign w:val="superscript"/>
              </w:rPr>
              <w:fldChar w:fldCharType="end"/>
            </w:r>
            <w:r w:rsidRPr="002772D1">
              <w:rPr>
                <w:rFonts w:ascii="Book Antiqua" w:hAnsi="Book Antiqua" w:cs="Arial"/>
                <w:color w:val="201F1E"/>
                <w:vertAlign w:val="superscript"/>
              </w:rPr>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[134]</w:t>
            </w:r>
            <w:r w:rsidRPr="002772D1">
              <w:rPr>
                <w:rFonts w:ascii="Book Antiqua" w:hAnsi="Book Antiqua" w:cs="Arial"/>
                <w:color w:val="201F1E"/>
                <w:vertAlign w:val="superscript"/>
              </w:rPr>
              <w:fldChar w:fldCharType="end"/>
            </w:r>
          </w:p>
        </w:tc>
        <w:tc>
          <w:tcPr>
            <w:tcW w:w="895" w:type="pct"/>
            <w:shd w:val="clear" w:color="auto" w:fill="auto"/>
          </w:tcPr>
          <w:p w14:paraId="589BD95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77%</w:t>
            </w:r>
          </w:p>
        </w:tc>
        <w:tc>
          <w:tcPr>
            <w:tcW w:w="895" w:type="pct"/>
            <w:shd w:val="clear" w:color="auto" w:fill="auto"/>
          </w:tcPr>
          <w:p w14:paraId="6DEDD25E"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19 mo</w:t>
            </w:r>
          </w:p>
        </w:tc>
        <w:tc>
          <w:tcPr>
            <w:tcW w:w="895" w:type="pct"/>
            <w:shd w:val="clear" w:color="auto" w:fill="auto"/>
          </w:tcPr>
          <w:p w14:paraId="57AC525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7F5C8A2A" w14:textId="77777777" w:rsidTr="002A6ECB">
        <w:trPr>
          <w:trHeight w:val="345"/>
          <w:jc w:val="center"/>
        </w:trPr>
        <w:tc>
          <w:tcPr>
            <w:tcW w:w="766" w:type="pct"/>
            <w:shd w:val="clear" w:color="auto" w:fill="auto"/>
          </w:tcPr>
          <w:p w14:paraId="07054BFD"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BRAF</w:t>
            </w:r>
          </w:p>
        </w:tc>
        <w:tc>
          <w:tcPr>
            <w:tcW w:w="1550" w:type="pct"/>
            <w:shd w:val="clear" w:color="auto" w:fill="auto"/>
          </w:tcPr>
          <w:p w14:paraId="7140D770"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Dabrafenib- trametinib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&lt;EndNote&gt;&lt;Cite&gt;&lt;Author&gt;Planchard&lt;/Author&gt;&lt;Year&gt;2016&lt;/Year&gt;&lt;RecNum&gt;196&lt;/RecNum&gt;&lt;DisplayText&gt;(135)&lt;/DisplayText&gt;&lt;record&gt;&lt;rec-number&gt;196&lt;/rec-number&gt;&lt;foreign-keys&gt;&lt;key app="EN" db-id="xvf2rtzp55zvz4es0eavf2pmsrrddweewrdt" timestamp="1582015892"&gt;196&lt;/key&gt;&lt;/foreign-keys&gt;&lt;ref-type name="Journal Article"&gt;17&lt;/ref-type&gt;&lt;contributors&gt;&lt;authors&gt;&lt;author&gt;Planchard, David&lt;/author&gt;&lt;author&gt;Besse, Benjamin&lt;/author&gt;&lt;author&gt;Groen, Harry JM&lt;/author&gt;&lt;author&gt;Souquet, Pierre-Jean&lt;/author&gt;&lt;author&gt;Quoix, Elisabeth&lt;/author&gt;&lt;author&gt;Baik, Christina S&lt;/author&gt;&lt;author&gt;Barlesi, Fabrice&lt;/author&gt;&lt;author&gt;Kim, Tae Min&lt;/author&gt;&lt;author&gt;Mazieres, Julien&lt;/author&gt;&lt;author&gt;Novello, Silvia&lt;/author&gt;&lt;/authors&gt;&lt;/contributors&gt;&lt;titles&gt;&lt;title&gt;Dabrafenib plus trametinib in patients with previously treated BRAFV600E-mutant metastatic non-small cell lung cancer: an open-label, multicentre phase 2 trial&lt;/title&gt;&lt;secondary-title&gt;The Lancet Oncology&lt;/secondary-title&gt;&lt;/titles&gt;&lt;periodical&gt;&lt;full-title&gt;The Lancet Oncology&lt;/full-title&gt;&lt;/periodical&gt;&lt;pages&gt;984-993&lt;/pages&gt;&lt;volume&gt;17&lt;/volume&gt;&lt;number&gt;7&lt;/number&gt;&lt;dates&gt;&lt;year&gt;2016&lt;/year&gt;&lt;/dates&gt;&lt;isbn&gt;1470-2045&lt;/isbn&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[135]</w:t>
            </w:r>
            <w:r w:rsidRPr="002772D1">
              <w:rPr>
                <w:rFonts w:ascii="Book Antiqua" w:hAnsi="Book Antiqua" w:cs="Arial"/>
                <w:color w:val="201F1E"/>
                <w:vertAlign w:val="superscript"/>
              </w:rPr>
              <w:fldChar w:fldCharType="end"/>
            </w:r>
          </w:p>
        </w:tc>
        <w:tc>
          <w:tcPr>
            <w:tcW w:w="895" w:type="pct"/>
            <w:shd w:val="clear" w:color="auto" w:fill="auto"/>
          </w:tcPr>
          <w:p w14:paraId="5F95DC2C"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64%</w:t>
            </w:r>
          </w:p>
        </w:tc>
        <w:tc>
          <w:tcPr>
            <w:tcW w:w="895" w:type="pct"/>
            <w:shd w:val="clear" w:color="auto" w:fill="auto"/>
          </w:tcPr>
          <w:p w14:paraId="132C60D3"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10.9 mo</w:t>
            </w:r>
          </w:p>
        </w:tc>
        <w:tc>
          <w:tcPr>
            <w:tcW w:w="895" w:type="pct"/>
            <w:shd w:val="clear" w:color="auto" w:fill="auto"/>
          </w:tcPr>
          <w:p w14:paraId="288B342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24.6 mo</w:t>
            </w:r>
          </w:p>
        </w:tc>
      </w:tr>
      <w:tr w:rsidR="00162A22" w:rsidRPr="002772D1" w14:paraId="65FAB609" w14:textId="77777777" w:rsidTr="002A6ECB">
        <w:trPr>
          <w:trHeight w:val="345"/>
          <w:jc w:val="center"/>
        </w:trPr>
        <w:tc>
          <w:tcPr>
            <w:tcW w:w="766" w:type="pct"/>
            <w:vMerge w:val="restart"/>
            <w:shd w:val="clear" w:color="auto" w:fill="auto"/>
          </w:tcPr>
          <w:p w14:paraId="1C2D70D6"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MET</w:t>
            </w:r>
          </w:p>
        </w:tc>
        <w:tc>
          <w:tcPr>
            <w:tcW w:w="1550" w:type="pct"/>
            <w:shd w:val="clear" w:color="auto" w:fill="auto"/>
          </w:tcPr>
          <w:p w14:paraId="164E73B9"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Crizotinib</w:t>
            </w:r>
            <w:r w:rsidRPr="002772D1">
              <w:rPr>
                <w:rFonts w:ascii="Book Antiqua" w:hAnsi="Book Antiqua" w:cs="Arial"/>
                <w:color w:val="201F1E"/>
                <w:vertAlign w:val="superscript"/>
                <w:lang w:val="fr-CH"/>
              </w:rPr>
              <w:fldChar w:fldCharType="begin"/>
            </w:r>
            <w:r w:rsidRPr="002772D1">
              <w:rPr>
                <w:rFonts w:ascii="Book Antiqua" w:hAnsi="Book Antiqua" w:cs="Arial"/>
                <w:color w:val="201F1E"/>
                <w:vertAlign w:val="superscript"/>
                <w:lang w:val="fr-CH"/>
              </w:rPr>
              <w:instrText xml:space="preserve"> ADDIN EN.CITE &lt;EndNote&gt;&lt;Cite&gt;&lt;Author&gt;Camidge&lt;/Author&gt;&lt;Year&gt;2014&lt;/Year&gt;&lt;RecNum&gt;575&lt;/RecNum&gt;&lt;DisplayText&gt;(50)&lt;/DisplayText&gt;&lt;record&gt;&lt;rec-number&gt;575&lt;/rec-number&gt;&lt;foreign-keys&gt;&lt;key app="EN" db-id="xvf2rtzp55zvz4es0eavf2pmsrrddweewrdt" timestamp="1590500858"&gt;575&lt;/key&gt;&lt;/foreign-keys&gt;&lt;ref-type name="Generic"&gt;13&lt;/ref-type&gt;&lt;contributors&gt;&lt;authors&gt;&lt;author&gt;Camidge, D Ross&lt;/author&gt;&lt;author&gt;Ou, Sai-Hong Ignatius&lt;/author&gt;&lt;author&gt;Shapiro, Geoffrey&lt;/author&gt;&lt;author&gt;Otterson, Gregory Alan&lt;/author&gt;&lt;author&gt;Villaruz, Liza Cosca&lt;/author&gt;&lt;author&gt;Villalona-Calero, Miguel Angel&lt;/author&gt;&lt;author&gt;Iafrate, A John&lt;/author&gt;&lt;author&gt;Varella-Garcia, Marileila&lt;/author&gt;&lt;author&gt;Dacic, Sanja&lt;/author&gt;&lt;author&gt;Cardarella, Stephanie&lt;/author&gt;&lt;/authors&gt;&lt;/contributors&gt;&lt;titles&gt;&lt;title&gt;Efficacy and safety of crizotinib in patients with advanced c-MET-amplified non-small cell lung cancer (NSCLC)&lt;/title&gt;&lt;/titles&gt;&lt;dates&gt;&lt;year&gt;2014&lt;/year&gt;&lt;/dates&gt;&lt;publisher&gt;American Society of Clinical Oncology&lt;/publisher&gt;&lt;isbn&gt;0732-183X&lt;/isbn&gt;&lt;urls&gt;&lt;/urls&gt;&lt;/record&gt;&lt;/Cite&gt;&lt;/EndNote&gt;</w:instrText>
            </w:r>
            <w:r w:rsidRPr="002772D1">
              <w:rPr>
                <w:rFonts w:ascii="Book Antiqua" w:hAnsi="Book Antiqua" w:cs="Arial"/>
                <w:color w:val="201F1E"/>
                <w:vertAlign w:val="superscript"/>
                <w:lang w:val="fr-CH"/>
              </w:rPr>
              <w:fldChar w:fldCharType="separate"/>
            </w:r>
            <w:r w:rsidRPr="002772D1">
              <w:rPr>
                <w:rFonts w:ascii="Book Antiqua" w:hAnsi="Book Antiqua" w:cs="Arial"/>
                <w:noProof/>
                <w:color w:val="201F1E"/>
                <w:vertAlign w:val="superscript"/>
                <w:lang w:val="fr-CH"/>
              </w:rPr>
              <w:t>[50]</w:t>
            </w:r>
            <w:r w:rsidRPr="002772D1">
              <w:rPr>
                <w:rFonts w:ascii="Book Antiqua" w:hAnsi="Book Antiqua" w:cs="Arial"/>
                <w:color w:val="201F1E"/>
                <w:vertAlign w:val="superscript"/>
                <w:lang w:val="fr-CH"/>
              </w:rPr>
              <w:fldChar w:fldCharType="end"/>
            </w:r>
          </w:p>
        </w:tc>
        <w:tc>
          <w:tcPr>
            <w:tcW w:w="895" w:type="pct"/>
            <w:shd w:val="clear" w:color="auto" w:fill="auto"/>
          </w:tcPr>
          <w:p w14:paraId="5ABA399A"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32%</w:t>
            </w:r>
          </w:p>
        </w:tc>
        <w:tc>
          <w:tcPr>
            <w:tcW w:w="895" w:type="pct"/>
            <w:shd w:val="clear" w:color="auto" w:fill="auto"/>
          </w:tcPr>
          <w:p w14:paraId="3540A808"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7.3 mo</w:t>
            </w:r>
          </w:p>
        </w:tc>
        <w:tc>
          <w:tcPr>
            <w:tcW w:w="895" w:type="pct"/>
            <w:shd w:val="clear" w:color="auto" w:fill="auto"/>
          </w:tcPr>
          <w:p w14:paraId="0C7B01A4"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r>
      <w:tr w:rsidR="00162A22" w:rsidRPr="002772D1" w14:paraId="0F0BCEDF" w14:textId="77777777" w:rsidTr="002A6ECB">
        <w:trPr>
          <w:trHeight w:val="345"/>
          <w:jc w:val="center"/>
        </w:trPr>
        <w:tc>
          <w:tcPr>
            <w:tcW w:w="766" w:type="pct"/>
            <w:vMerge/>
            <w:shd w:val="clear" w:color="auto" w:fill="auto"/>
          </w:tcPr>
          <w:p w14:paraId="5E265FB8"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0132F7A1"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Cabozantinib</w:t>
            </w:r>
            <w:r w:rsidRPr="002772D1">
              <w:rPr>
                <w:rFonts w:ascii="Book Antiqua" w:hAnsi="Book Antiqua" w:cs="Arial"/>
                <w:color w:val="201F1E"/>
                <w:vertAlign w:val="superscript"/>
                <w:lang w:val="fr-CH"/>
              </w:rPr>
              <w:fldChar w:fldCharType="begin"/>
            </w:r>
            <w:r w:rsidRPr="002772D1">
              <w:rPr>
                <w:rFonts w:ascii="Book Antiqua" w:hAnsi="Book Antiqua" w:cs="Arial"/>
                <w:color w:val="201F1E"/>
                <w:vertAlign w:val="superscript"/>
                <w:lang w:val="fr-CH"/>
              </w:rPr>
              <w:instrText xml:space="preserve"> ADDIN EN.CITE &lt;EndNote&gt;&lt;Cite&gt;&lt;Author&gt;D&amp;apos;Arcangelo&lt;/Author&gt;&lt;Year&gt;2019&lt;/Year&gt;&lt;RecNum&gt;1019&lt;/RecNum&gt;&lt;DisplayText&gt;(136)&lt;/DisplayText&gt;&lt;record&gt;&lt;rec-number&gt;1019&lt;/rec-number&gt;&lt;foreign-keys&gt;&lt;key app="EN" db-id="xvf2rtzp55zvz4es0eavf2pmsrrddweewrdt" timestamp="1612602940"&gt;1019&lt;/key&gt;&lt;/foreign-keys&gt;&lt;ref-type name="Journal Article"&gt;17&lt;/ref-type&gt;&lt;contributors&gt;&lt;authors&gt;&lt;author&gt;D&amp;apos;Arcangelo, M.&lt;/author&gt;&lt;author&gt;Tassinari, D.&lt;/author&gt;&lt;author&gt;De Marinis, F.&lt;/author&gt;&lt;author&gt;Delmonte, A.&lt;/author&gt;&lt;author&gt;Galetta, D.&lt;/author&gt;&lt;author&gt;Cecere, F.&lt;/author&gt;&lt;author&gt;Pilotto, S.&lt;/author&gt;&lt;author&gt;Zanelli, F.&lt;/author&gt;&lt;author&gt;Bonanno, L.&lt;/author&gt;&lt;author&gt;Landi, L.&lt;/author&gt;&lt;author&gt;D&amp;apos;Incà, F.&lt;/author&gt;&lt;author&gt;Cappuzzo, F.&lt;/author&gt;&lt;/authors&gt;&lt;/contributors&gt;&lt;titles&gt;&lt;title&gt;P2.01-15 Phase II Single Arm Study of CABozantinib in Non-Small Cell Lung Cancer Patients with MET Deregulation (CABinMET)&lt;/title&gt;&lt;secondary-title&gt;Journal of Thoracic Oncology&lt;/secondary-title&gt;&lt;/titles&gt;&lt;periodical&gt;&lt;full-title&gt;Journal of Thoracic Oncology&lt;/full-title&gt;&lt;/periodical&gt;&lt;pages&gt;S644&lt;/pages&gt;&lt;volume&gt;14&lt;/volume&gt;&lt;number&gt;10&lt;/number&gt;&lt;dates&gt;&lt;year&gt;2019&lt;/year&gt;&lt;/dates&gt;&lt;publisher&gt;Elsevier&lt;/publisher&gt;&lt;isbn&gt;1556-0864&lt;/isbn&gt;&lt;urls&gt;&lt;related-urls&gt;&lt;url&gt;https://doi.org/10.1016/j.jtho.2019.08.1359&lt;/url&gt;&lt;/related-urls&gt;&lt;/urls&gt;&lt;electronic-resource-num&gt;10.1016/j.jtho.2019.08.1359&lt;/electronic-resource-num&gt;&lt;access-date&gt;2021/02/06&lt;/access-date&gt;&lt;/record&gt;&lt;/Cite&gt;&lt;/EndNote&gt;</w:instrText>
            </w:r>
            <w:r w:rsidRPr="002772D1">
              <w:rPr>
                <w:rFonts w:ascii="Book Antiqua" w:hAnsi="Book Antiqua" w:cs="Arial"/>
                <w:color w:val="201F1E"/>
                <w:vertAlign w:val="superscript"/>
                <w:lang w:val="fr-CH"/>
              </w:rPr>
              <w:fldChar w:fldCharType="separate"/>
            </w:r>
            <w:r w:rsidRPr="002772D1">
              <w:rPr>
                <w:rFonts w:ascii="Book Antiqua" w:hAnsi="Book Antiqua" w:cs="Arial"/>
                <w:noProof/>
                <w:color w:val="201F1E"/>
                <w:vertAlign w:val="superscript"/>
                <w:lang w:val="fr-CH"/>
              </w:rPr>
              <w:t>[136]</w:t>
            </w:r>
            <w:r w:rsidRPr="002772D1">
              <w:rPr>
                <w:rFonts w:ascii="Book Antiqua" w:hAnsi="Book Antiqua" w:cs="Arial"/>
                <w:color w:val="201F1E"/>
                <w:vertAlign w:val="superscript"/>
                <w:lang w:val="fr-CH"/>
              </w:rPr>
              <w:fldChar w:fldCharType="end"/>
            </w:r>
          </w:p>
        </w:tc>
        <w:tc>
          <w:tcPr>
            <w:tcW w:w="895" w:type="pct"/>
            <w:shd w:val="clear" w:color="auto" w:fill="auto"/>
          </w:tcPr>
          <w:p w14:paraId="1B52908A"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c>
          <w:tcPr>
            <w:tcW w:w="895" w:type="pct"/>
            <w:shd w:val="clear" w:color="auto" w:fill="auto"/>
          </w:tcPr>
          <w:p w14:paraId="497FC8B0"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c>
          <w:tcPr>
            <w:tcW w:w="895" w:type="pct"/>
            <w:shd w:val="clear" w:color="auto" w:fill="auto"/>
          </w:tcPr>
          <w:p w14:paraId="4642E303"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r>
      <w:tr w:rsidR="00162A22" w:rsidRPr="002772D1" w14:paraId="57A6210A" w14:textId="77777777" w:rsidTr="002A6ECB">
        <w:trPr>
          <w:trHeight w:val="345"/>
          <w:jc w:val="center"/>
        </w:trPr>
        <w:tc>
          <w:tcPr>
            <w:tcW w:w="766" w:type="pct"/>
            <w:vMerge/>
            <w:shd w:val="clear" w:color="auto" w:fill="auto"/>
          </w:tcPr>
          <w:p w14:paraId="530C0040"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0E727CC8"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Capmatinib</w:t>
            </w:r>
            <w:r w:rsidRPr="002772D1">
              <w:rPr>
                <w:rFonts w:ascii="Book Antiqua" w:hAnsi="Book Antiqua" w:cs="Arial"/>
                <w:color w:val="201F1E"/>
                <w:vertAlign w:val="superscript"/>
              </w:rPr>
              <w:t>1</w:t>
            </w:r>
            <w:r w:rsidRPr="002772D1">
              <w:rPr>
                <w:rFonts w:ascii="Book Antiqua" w:hAnsi="Book Antiqua" w:cs="Arial"/>
                <w:color w:val="201F1E"/>
                <w:vertAlign w:val="superscript"/>
                <w:lang w:val="fr-CH"/>
              </w:rPr>
              <w:fldChar w:fldCharType="begin"/>
            </w:r>
            <w:r w:rsidRPr="002772D1">
              <w:rPr>
                <w:rFonts w:ascii="Book Antiqua" w:hAnsi="Book Antiqua" w:cs="Arial"/>
                <w:color w:val="201F1E"/>
                <w:vertAlign w:val="superscript"/>
                <w:lang w:val="fr-CH"/>
              </w:rPr>
              <w:instrText xml:space="preserve"> ADDIN EN.CITE &lt;EndNote&gt;&lt;Cite&gt;&lt;Author&gt;Wolf&lt;/Author&gt;&lt;Year&gt;2020 ASCO meeting&lt;/Year&gt;&lt;RecNum&gt;605&lt;/RecNum&gt;&lt;DisplayText&gt;(137)&lt;/DisplayText&gt;&lt;record&gt;&lt;rec-number&gt;605&lt;/rec-number&gt;&lt;foreign-keys&gt;&lt;key app="EN" db-id="xvf2rtzp55zvz4es0eavf2pmsrrddweewrdt" timestamp="1590568269"&gt;605&lt;/key&gt;&lt;/foreign-keys&gt;&lt;ref-type name="Journal Article"&gt;17&lt;/ref-type&gt;&lt;contributors&gt;&lt;authors&gt;&lt;author&gt;Juergen Wolf &lt;/author&gt;&lt;/authors&gt;&lt;/contributors&gt;&lt;titles&gt;&lt;title&gt;Capmatinib in patients with high-level MET-amplified advanced non–small cell lung cancer (NSCLC): results from the phase 2 GEOMETRY mono-1 study.&lt;/title&gt;&lt;/titles&gt;&lt;dates&gt;&lt;year&gt;2020 ASCO meeting&lt;/year&gt;&lt;/dates&gt;&lt;urls&gt;&lt;/urls&gt;&lt;/record&gt;&lt;/Cite&gt;&lt;/EndNote&gt;</w:instrText>
            </w:r>
            <w:r w:rsidRPr="002772D1">
              <w:rPr>
                <w:rFonts w:ascii="Book Antiqua" w:hAnsi="Book Antiqua" w:cs="Arial"/>
                <w:color w:val="201F1E"/>
                <w:vertAlign w:val="superscript"/>
                <w:lang w:val="fr-CH"/>
              </w:rPr>
              <w:fldChar w:fldCharType="separate"/>
            </w:r>
            <w:r w:rsidRPr="002772D1">
              <w:rPr>
                <w:rFonts w:ascii="Book Antiqua" w:hAnsi="Book Antiqua" w:cs="Arial"/>
                <w:noProof/>
                <w:color w:val="201F1E"/>
                <w:vertAlign w:val="superscript"/>
                <w:lang w:val="fr-CH"/>
              </w:rPr>
              <w:t>[137]</w:t>
            </w:r>
            <w:r w:rsidRPr="002772D1">
              <w:rPr>
                <w:rFonts w:ascii="Book Antiqua" w:hAnsi="Book Antiqua" w:cs="Arial"/>
                <w:color w:val="201F1E"/>
                <w:vertAlign w:val="superscript"/>
                <w:lang w:val="fr-CH"/>
              </w:rPr>
              <w:fldChar w:fldCharType="end"/>
            </w:r>
          </w:p>
        </w:tc>
        <w:tc>
          <w:tcPr>
            <w:tcW w:w="895" w:type="pct"/>
            <w:shd w:val="clear" w:color="auto" w:fill="auto"/>
          </w:tcPr>
          <w:p w14:paraId="5929BCDA"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68%</w:t>
            </w:r>
          </w:p>
        </w:tc>
        <w:tc>
          <w:tcPr>
            <w:tcW w:w="895" w:type="pct"/>
            <w:shd w:val="clear" w:color="auto" w:fill="auto"/>
          </w:tcPr>
          <w:p w14:paraId="313ED9E1"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9.7 mo</w:t>
            </w:r>
          </w:p>
        </w:tc>
        <w:tc>
          <w:tcPr>
            <w:tcW w:w="895" w:type="pct"/>
            <w:shd w:val="clear" w:color="auto" w:fill="auto"/>
          </w:tcPr>
          <w:p w14:paraId="533948AE"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r>
      <w:tr w:rsidR="00162A22" w:rsidRPr="002772D1" w14:paraId="64DEBF3A" w14:textId="77777777" w:rsidTr="002A6ECB">
        <w:trPr>
          <w:trHeight w:val="345"/>
          <w:jc w:val="center"/>
        </w:trPr>
        <w:tc>
          <w:tcPr>
            <w:tcW w:w="766" w:type="pct"/>
            <w:vMerge/>
            <w:shd w:val="clear" w:color="auto" w:fill="auto"/>
          </w:tcPr>
          <w:p w14:paraId="1B4E50B4"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267ADB97"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Tepotinib</w:t>
            </w:r>
            <w:r w:rsidRPr="002772D1">
              <w:rPr>
                <w:rFonts w:ascii="Book Antiqua" w:hAnsi="Book Antiqua" w:cs="Arial"/>
                <w:color w:val="201F1E"/>
                <w:vertAlign w:val="superscript"/>
                <w:lang w:val="fr-CH"/>
              </w:rPr>
              <w:fldChar w:fldCharType="begin"/>
            </w:r>
            <w:r w:rsidRPr="002772D1">
              <w:rPr>
                <w:rFonts w:ascii="Book Antiqua" w:hAnsi="Book Antiqua" w:cs="Arial"/>
                <w:color w:val="201F1E"/>
                <w:vertAlign w:val="superscript"/>
                <w:lang w:val="fr-CH"/>
              </w:rPr>
              <w:instrText xml:space="preserve"> ADDIN EN.CITE &lt;EndNote&gt;&lt;Cite&gt;&lt;Author&gt;Paik&lt;/Author&gt;&lt;Year&gt;2020&lt;/Year&gt;&lt;RecNum&gt;642&lt;/RecNum&gt;&lt;DisplayText&gt;(138)&lt;/DisplayText&gt;&lt;record&gt;&lt;rec-number&gt;642&lt;/rec-number&gt;&lt;foreign-keys&gt;&lt;key app="EN" db-id="xvf2rtzp55zvz4es0eavf2pmsrrddweewrdt" timestamp="1591434517"&gt;642&lt;/key&gt;&lt;/foreign-keys&gt;&lt;ref-type name="Journal Article"&gt;17&lt;/ref-type&gt;&lt;contributors&gt;&lt;authors&gt;&lt;author&gt;Paik, Paul K.&lt;/author&gt;&lt;author&gt;Felip, Enriqueta&lt;/author&gt;&lt;author&gt;Veillon, Remi&lt;/author&gt;&lt;author&gt;Sakai, Hiroshi&lt;/author&gt;&lt;author&gt;Cortot, Alexis B.&lt;/author&gt;&lt;author&gt;Garassino, Marina C.&lt;/author&gt;&lt;author&gt;Mazieres, Julien&lt;/author&gt;&lt;author&gt;Viteri, Santiago&lt;/author&gt;&lt;author&gt;Senellart, Helene&lt;/author&gt;&lt;author&gt;Van Meerbeeck, Jan&lt;/author&gt;&lt;author&gt;Raskin, Jo&lt;/author&gt;&lt;author&gt;Reinmuth, Niels&lt;/author&gt;&lt;author&gt;Conte, Pierfranco&lt;/author&gt;&lt;author&gt;Kowalski, Dariusz&lt;/author&gt;&lt;author&gt;Cho, Byoung Chul&lt;/author&gt;&lt;author&gt;Patel, Jyoti D.&lt;/author&gt;&lt;author&gt;Horn, Leora&lt;/author&gt;&lt;author&gt;Griesinger, Frank&lt;/author&gt;&lt;author&gt;Han, Ji-Youn&lt;/author&gt;&lt;author&gt;Kim, Young-Chul&lt;/author&gt;&lt;author&gt;Chang, Gee-Chen&lt;/author&gt;&lt;author&gt;Tsai, Chen-Liang&lt;/author&gt;&lt;author&gt;Yang, James C.-H.&lt;/author&gt;&lt;author&gt;Chen, Yuh-Min&lt;/author&gt;&lt;author&gt;Smit, Egbert F.&lt;/author&gt;&lt;author&gt;van der Wekken, Anthonie J.&lt;/author&gt;&lt;author&gt;Kato, Terufumi&lt;/author&gt;&lt;author&gt;Juraeva, Dilafruz&lt;/author&gt;&lt;author&gt;Stroh, Christopher&lt;/author&gt;&lt;author&gt;Bruns, Rolf&lt;/author&gt;&lt;author&gt;Straub, Josef&lt;/author&gt;&lt;author&gt;Johne, Andreas&lt;/author&gt;&lt;author&gt;Scheele, Jürgen&lt;/author&gt;&lt;author&gt;Heymach, John V.&lt;/author&gt;&lt;author&gt;Le, Xiuning&lt;/author&gt;&lt;/authors&gt;&lt;/contributors&gt;&lt;titles&gt;&lt;title&gt;Tepotinib in Non–Small-Cell Lung Cancer with MET Exon 14 Skipping Mutations&lt;/title&gt;&lt;secondary-title&gt;New England Journal of Medicine&lt;/secondary-title&gt;&lt;/titles&gt;&lt;periodical&gt;&lt;full-title&gt;New England Journal of Medicine&lt;/full-title&gt;&lt;/periodical&gt;&lt;dates&gt;&lt;year&gt;2020&lt;/year&gt;&lt;/dates&gt;&lt;urls&gt;&lt;related-urls&gt;&lt;url&gt;https://www.nejm.org/doi/full/10.1056/NEJMoa2004407&lt;/url&gt;&lt;/related-urls&gt;&lt;/urls&gt;&lt;electronic-resource-num&gt;10.1056/NEJMoa2004407&lt;/electronic-resource-num&gt;&lt;/record&gt;&lt;/Cite&gt;&lt;/EndNote&gt;</w:instrText>
            </w:r>
            <w:r w:rsidRPr="002772D1">
              <w:rPr>
                <w:rFonts w:ascii="Book Antiqua" w:hAnsi="Book Antiqua" w:cs="Arial"/>
                <w:color w:val="201F1E"/>
                <w:vertAlign w:val="superscript"/>
                <w:lang w:val="fr-CH"/>
              </w:rPr>
              <w:fldChar w:fldCharType="separate"/>
            </w:r>
            <w:r w:rsidRPr="002772D1">
              <w:rPr>
                <w:rFonts w:ascii="Book Antiqua" w:hAnsi="Book Antiqua" w:cs="Arial"/>
                <w:noProof/>
                <w:color w:val="201F1E"/>
                <w:vertAlign w:val="superscript"/>
                <w:lang w:val="fr-CH"/>
              </w:rPr>
              <w:t>[138]</w:t>
            </w:r>
            <w:r w:rsidRPr="002772D1">
              <w:rPr>
                <w:rFonts w:ascii="Book Antiqua" w:hAnsi="Book Antiqua" w:cs="Arial"/>
                <w:color w:val="201F1E"/>
                <w:vertAlign w:val="superscript"/>
                <w:lang w:val="fr-CH"/>
              </w:rPr>
              <w:fldChar w:fldCharType="end"/>
            </w:r>
          </w:p>
        </w:tc>
        <w:tc>
          <w:tcPr>
            <w:tcW w:w="895" w:type="pct"/>
            <w:shd w:val="clear" w:color="auto" w:fill="auto"/>
          </w:tcPr>
          <w:p w14:paraId="5246ED4C"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46%</w:t>
            </w:r>
          </w:p>
        </w:tc>
        <w:tc>
          <w:tcPr>
            <w:tcW w:w="895" w:type="pct"/>
            <w:shd w:val="clear" w:color="auto" w:fill="auto"/>
          </w:tcPr>
          <w:p w14:paraId="060A545B"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c>
          <w:tcPr>
            <w:tcW w:w="895" w:type="pct"/>
            <w:shd w:val="clear" w:color="auto" w:fill="auto"/>
          </w:tcPr>
          <w:p w14:paraId="5552CF12" w14:textId="77777777" w:rsidR="00162A22" w:rsidRPr="002772D1" w:rsidRDefault="00162A22" w:rsidP="002A6ECB">
            <w:pPr>
              <w:spacing w:line="360" w:lineRule="auto"/>
              <w:jc w:val="both"/>
              <w:rPr>
                <w:rFonts w:ascii="Book Antiqua" w:hAnsi="Book Antiqua" w:cs="Arial"/>
                <w:color w:val="201F1E"/>
                <w:lang w:val="fr-CH"/>
              </w:rPr>
            </w:pPr>
            <w:r w:rsidRPr="002772D1">
              <w:rPr>
                <w:rFonts w:ascii="Book Antiqua" w:hAnsi="Book Antiqua" w:cs="Arial"/>
                <w:color w:val="201F1E"/>
                <w:lang w:val="fr-CH"/>
              </w:rPr>
              <w:t>NA</w:t>
            </w:r>
          </w:p>
        </w:tc>
      </w:tr>
      <w:tr w:rsidR="00162A22" w:rsidRPr="002772D1" w14:paraId="444E0869" w14:textId="77777777" w:rsidTr="002A6ECB">
        <w:trPr>
          <w:trHeight w:val="345"/>
          <w:jc w:val="center"/>
        </w:trPr>
        <w:tc>
          <w:tcPr>
            <w:tcW w:w="766" w:type="pct"/>
            <w:vMerge w:val="restart"/>
            <w:shd w:val="clear" w:color="auto" w:fill="auto"/>
          </w:tcPr>
          <w:p w14:paraId="505AFE2B"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NTRK</w:t>
            </w:r>
          </w:p>
        </w:tc>
        <w:tc>
          <w:tcPr>
            <w:tcW w:w="1550" w:type="pct"/>
            <w:shd w:val="clear" w:color="auto" w:fill="auto"/>
          </w:tcPr>
          <w:p w14:paraId="4DD59941"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Entrectinib</w:t>
            </w:r>
            <w:r w:rsidRPr="002772D1">
              <w:rPr>
                <w:rFonts w:ascii="Book Antiqua" w:hAnsi="Book Antiqua" w:cs="Arial"/>
                <w:color w:val="201F1E"/>
                <w:vertAlign w:val="superscript"/>
              </w:rPr>
              <w:t>1</w:t>
            </w:r>
            <w:r w:rsidRPr="002772D1">
              <w:rPr>
                <w:rFonts w:ascii="Book Antiqua" w:hAnsi="Book Antiqua" w:cs="Arial"/>
                <w:color w:val="201F1E"/>
                <w:vertAlign w:val="superscript"/>
              </w:rPr>
              <w:fldChar w:fldCharType="begin">
                <w:fldData xml:space="preserve">PEVuZE5vdGU+PENpdGU+PEF1dGhvcj5Eb2ViZWxlPC9BdXRob3I+PFllYXI+MjAyMDwvWWVhcj48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</w:fldData>
              </w:fldChar>
            </w:r>
            <w:r w:rsidRPr="002772D1">
              <w:rPr>
                <w:rFonts w:ascii="Book Antiqua" w:hAnsi="Book Antiqua" w:cs="Arial"/>
                <w:color w:val="201F1E"/>
                <w:vertAlign w:val="superscript"/>
              </w:rPr>
              <w:instrText xml:space="preserve"> ADDIN EN.CITE </w:instrText>
            </w:r>
            <w:r w:rsidRPr="002772D1">
              <w:rPr>
                <w:rFonts w:ascii="Book Antiqua" w:hAnsi="Book Antiqua" w:cs="Arial"/>
                <w:color w:val="201F1E"/>
                <w:vertAlign w:val="superscript"/>
              </w:rPr>
              <w:fldChar w:fldCharType="begin">
                <w:fldData xml:space="preserve">PEVuZE5vdGU+PENpdGU+PEF1dGhvcj5Eb2ViZWxlPC9BdXRob3I+PFllYXI+MjAyMDwvWWVhcj48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</w:fldData>
              </w:fldChar>
            </w:r>
            <w:r w:rsidRPr="002772D1">
              <w:rPr>
                <w:rFonts w:ascii="Book Antiqua" w:hAnsi="Book Antiqua" w:cs="Arial"/>
                <w:color w:val="201F1E"/>
                <w:vertAlign w:val="superscript"/>
              </w:rPr>
              <w:instrText xml:space="preserve"> ADDIN EN.CITE.DATA </w:instrText>
            </w:r>
            <w:r w:rsidRPr="002772D1">
              <w:rPr>
                <w:rFonts w:ascii="Book Antiqua" w:hAnsi="Book Antiqua" w:cs="Arial"/>
                <w:color w:val="201F1E"/>
                <w:vertAlign w:val="superscript"/>
              </w:rPr>
            </w:r>
            <w:r w:rsidRPr="002772D1">
              <w:rPr>
                <w:rFonts w:ascii="Book Antiqua" w:hAnsi="Book Antiqua" w:cs="Arial"/>
                <w:color w:val="201F1E"/>
                <w:vertAlign w:val="superscript"/>
              </w:rPr>
              <w:fldChar w:fldCharType="end"/>
            </w:r>
            <w:r w:rsidRPr="002772D1">
              <w:rPr>
                <w:rFonts w:ascii="Book Antiqua" w:hAnsi="Book Antiqua" w:cs="Arial"/>
                <w:color w:val="201F1E"/>
                <w:vertAlign w:val="superscript"/>
              </w:rPr>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[139]</w:t>
            </w:r>
            <w:r w:rsidRPr="002772D1">
              <w:rPr>
                <w:rFonts w:ascii="Book Antiqua" w:hAnsi="Book Antiqua" w:cs="Arial"/>
                <w:color w:val="201F1E"/>
                <w:vertAlign w:val="superscript"/>
              </w:rPr>
              <w:fldChar w:fldCharType="end"/>
            </w:r>
          </w:p>
        </w:tc>
        <w:tc>
          <w:tcPr>
            <w:tcW w:w="895" w:type="pct"/>
            <w:shd w:val="clear" w:color="auto" w:fill="auto"/>
          </w:tcPr>
          <w:p w14:paraId="1665201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70%</w:t>
            </w:r>
          </w:p>
        </w:tc>
        <w:tc>
          <w:tcPr>
            <w:tcW w:w="895" w:type="pct"/>
            <w:shd w:val="clear" w:color="auto" w:fill="auto"/>
          </w:tcPr>
          <w:p w14:paraId="408CE52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c>
          <w:tcPr>
            <w:tcW w:w="895" w:type="pct"/>
            <w:shd w:val="clear" w:color="auto" w:fill="auto"/>
          </w:tcPr>
          <w:p w14:paraId="783FD7FD"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57B6AB0D" w14:textId="77777777" w:rsidTr="002A6ECB">
        <w:trPr>
          <w:trHeight w:val="345"/>
          <w:jc w:val="center"/>
        </w:trPr>
        <w:tc>
          <w:tcPr>
            <w:tcW w:w="766" w:type="pct"/>
            <w:vMerge/>
            <w:shd w:val="clear" w:color="auto" w:fill="auto"/>
          </w:tcPr>
          <w:p w14:paraId="00A57599"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669D0CB4"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rPr>
              <w:t>Larotrectinib</w:t>
            </w:r>
            <w:r w:rsidRPr="002772D1">
              <w:rPr>
                <w:rFonts w:ascii="Book Antiqua" w:hAnsi="Book Antiqua" w:cs="Arial"/>
                <w:color w:val="201F1E"/>
                <w:vertAlign w:val="superscript"/>
              </w:rPr>
              <w:t>1</w:t>
            </w:r>
            <w:r w:rsidRPr="002772D1">
              <w:rPr>
                <w:rFonts w:ascii="Book Antiqua" w:hAnsi="Book Antiqua" w:cs="Arial"/>
                <w:vertAlign w:val="superscript"/>
              </w:rPr>
              <w:fldChar w:fldCharType="begin"/>
            </w:r>
            <w:r w:rsidRPr="002772D1">
              <w:rPr>
                <w:rFonts w:ascii="Book Antiqua" w:hAnsi="Book Antiqua" w:cs="Arial"/>
                <w:vertAlign w:val="superscript"/>
              </w:rPr>
              <w:instrText xml:space="preserve"> ADDIN EN.CITE &lt;EndNote&gt;&lt;Cite&gt;&lt;Author&gt;Hong&lt;/Author&gt;&lt;Year&gt;2020&lt;/Year&gt;&lt;RecNum&gt;1022&lt;/RecNum&gt;&lt;DisplayText&gt;(140)&lt;/DisplayText&gt;&lt;record&gt;&lt;rec-number&gt;1022&lt;/rec-number&gt;&lt;foreign-keys&gt;&lt;key app="EN" db-id="xvf2rtzp55zvz4es0eavf2pmsrrddweewrdt" timestamp="1612603124"&gt;1022&lt;/key&gt;&lt;/foreign-keys&gt;&lt;ref-type name="Journal Article"&gt;17&lt;/ref-type&gt;&lt;contributors&gt;&lt;authors&gt;&lt;author&gt;Hong, David S.&lt;/author&gt;&lt;author&gt;DuBois, Steven G.&lt;/author&gt;&lt;author&gt;Kummar, Shivaani&lt;/author&gt;&lt;author&gt;Farago, Anna F.&lt;/author&gt;&lt;author&gt;Albert, Catherine M.&lt;/author&gt;&lt;author&gt;Rohrberg, Kristoffer S.&lt;/author&gt;&lt;author&gt;van Tilburg, Cornelis M.&lt;/author&gt;&lt;author&gt;Nagasubramanian, Ramamoorthy&lt;/author&gt;&lt;author&gt;Berlin, Jordan D.&lt;/author&gt;&lt;author&gt;Federman, Noah&lt;/author&gt;&lt;author&gt;Mascarenhas, Leo&lt;/author&gt;&lt;author&gt;Geoerger, Birgit&lt;/author&gt;&lt;author&gt;Dowlati, Afshin&lt;/author&gt;&lt;author&gt;Pappo, Alberto S.&lt;/author&gt;&lt;author&gt;Bielack, Stefan&lt;/author&gt;&lt;author&gt;Doz, François&lt;/author&gt;&lt;author&gt;McDermott, Ray&lt;/author&gt;&lt;author&gt;Patel, Jyoti D.&lt;/author&gt;&lt;author&gt;Schilder, Russell J.&lt;/author&gt;&lt;author&gt;Tahara, Makoto&lt;/author&gt;&lt;author&gt;Pfister, Stefan M.&lt;/author&gt;&lt;author&gt;Witt, Olaf&lt;/author&gt;&lt;author&gt;Ladanyi, Marc&lt;/author&gt;&lt;author&gt;Rudzinski, Erin R.&lt;/author&gt;&lt;author&gt;Nanda, Shivani&lt;/author&gt;&lt;author&gt;Childs, Barrett H.&lt;/author&gt;&lt;author&gt;Laetsch, Theodore W.&lt;/author&gt;&lt;author&gt;Hyman, David M.&lt;/author&gt;&lt;author&gt;Drilon, Alexander&lt;/author&gt;&lt;/authors&gt;&lt;/contributors&gt;&lt;titles&gt;&lt;title&gt;Larotrectinib in patients with TRK fusion-positive solid tumours: a pooled analysis of three phase 1/2 clinical trials&lt;/title&gt;&lt;secondary-title&gt;The Lancet Oncology&lt;/secondary-title&gt;&lt;/titles&gt;&lt;periodical&gt;&lt;full-title&gt;The Lancet Oncology&lt;/full-title&gt;&lt;/periodical&gt;&lt;pages&gt;531-540&lt;/pages&gt;&lt;volume&gt;21&lt;/volume&gt;&lt;number&gt;4&lt;/number&gt;&lt;dates&gt;&lt;year&gt;2020&lt;/year&gt;&lt;/dates&gt;&lt;publisher&gt;Elsevier&lt;/publisher&gt;&lt;isbn&gt;1470-2045&lt;/isbn&gt;&lt;urls&gt;&lt;related-urls&gt;&lt;url&gt;https://doi.org/10.1016/S1470-2045(19)30856-3&lt;/url&gt;&lt;/related-urls&gt;&lt;/urls&gt;&lt;electronic-resource-num&gt;10.1016/S1470-2045(19)30856-3&lt;/electronic-resource-num&gt;&lt;access-date&gt;2021/02/06&lt;/access-date&gt;&lt;/record&gt;&lt;/Cite&gt;&lt;/EndNote&gt;</w:instrText>
            </w:r>
            <w:r w:rsidRPr="002772D1">
              <w:rPr>
                <w:rFonts w:ascii="Book Antiqua" w:hAnsi="Book Antiqua" w:cs="Arial"/>
                <w:vertAlign w:val="superscript"/>
              </w:rPr>
              <w:fldChar w:fldCharType="separate"/>
            </w:r>
            <w:r w:rsidRPr="002772D1">
              <w:rPr>
                <w:rFonts w:ascii="Book Antiqua" w:hAnsi="Book Antiqua" w:cs="Arial"/>
                <w:noProof/>
                <w:vertAlign w:val="superscript"/>
              </w:rPr>
              <w:t>[140]</w:t>
            </w:r>
            <w:r w:rsidRPr="002772D1">
              <w:rPr>
                <w:rFonts w:ascii="Book Antiqua" w:hAnsi="Book Antiqua" w:cs="Arial"/>
                <w:vertAlign w:val="superscript"/>
              </w:rPr>
              <w:fldChar w:fldCharType="end"/>
            </w:r>
          </w:p>
        </w:tc>
        <w:tc>
          <w:tcPr>
            <w:tcW w:w="895" w:type="pct"/>
            <w:shd w:val="clear" w:color="auto" w:fill="auto"/>
          </w:tcPr>
          <w:p w14:paraId="31FD2FFB"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75%</w:t>
            </w:r>
          </w:p>
        </w:tc>
        <w:tc>
          <w:tcPr>
            <w:tcW w:w="895" w:type="pct"/>
            <w:shd w:val="clear" w:color="auto" w:fill="auto"/>
          </w:tcPr>
          <w:p w14:paraId="59268646"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c>
          <w:tcPr>
            <w:tcW w:w="895" w:type="pct"/>
            <w:shd w:val="clear" w:color="auto" w:fill="auto"/>
          </w:tcPr>
          <w:p w14:paraId="35FA2052"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77ADC04E" w14:textId="77777777" w:rsidTr="002A6ECB">
        <w:trPr>
          <w:trHeight w:val="345"/>
          <w:jc w:val="center"/>
        </w:trPr>
        <w:tc>
          <w:tcPr>
            <w:tcW w:w="766" w:type="pct"/>
            <w:vMerge w:val="restart"/>
            <w:shd w:val="clear" w:color="auto" w:fill="auto"/>
          </w:tcPr>
          <w:p w14:paraId="15CCF395"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RET</w:t>
            </w:r>
          </w:p>
        </w:tc>
        <w:tc>
          <w:tcPr>
            <w:tcW w:w="1550" w:type="pct"/>
            <w:shd w:val="clear" w:color="auto" w:fill="auto"/>
          </w:tcPr>
          <w:p w14:paraId="72A95725"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Selpercatinib</w:t>
            </w:r>
            <w:r w:rsidRPr="002772D1">
              <w:rPr>
                <w:rFonts w:ascii="Book Antiqua" w:hAnsi="Book Antiqua" w:cs="Arial"/>
                <w:color w:val="201F1E"/>
                <w:vertAlign w:val="superscript"/>
              </w:rPr>
              <w:t>1</w:t>
            </w:r>
            <w:r w:rsidRPr="002772D1">
              <w:rPr>
                <w:rFonts w:ascii="Book Antiqua" w:hAnsi="Book Antiqua" w:cs="Arial"/>
                <w:vertAlign w:val="superscript"/>
              </w:rPr>
              <w:fldChar w:fldCharType="begin"/>
            </w:r>
            <w:r w:rsidRPr="002772D1">
              <w:rPr>
                <w:rFonts w:ascii="Book Antiqua" w:hAnsi="Book Antiqua" w:cs="Arial"/>
                <w:vertAlign w:val="superscript"/>
              </w:rPr>
              <w:instrText xml:space="preserve"> ADDIN EN.CITE &lt;EndNote&gt;&lt;Cite&gt;&lt;Author&gt;Drilon&lt;/Author&gt;&lt;Year&gt;2019&lt;/Year&gt;&lt;RecNum&gt;788&lt;/RecNum&gt;&lt;DisplayText&gt;(141)&lt;/DisplayText&gt;&lt;record&gt;&lt;rec-number&gt;788&lt;/rec-number&gt;&lt;foreign-keys&gt;&lt;key app="EN" db-id="xvf2rtzp55zvz4es0eavf2pmsrrddweewrdt" timestamp="1595915729"&gt;788&lt;/key&gt;&lt;/foreign-keys&gt;&lt;ref-type name="Journal Article"&gt;17&lt;/ref-type&gt;&lt;contributors&gt;&lt;authors&gt;&lt;author&gt;Drilon, A&lt;/author&gt;&lt;author&gt;Oxnard, G&lt;/author&gt;&lt;author&gt;Wirth, L&lt;/author&gt;&lt;author&gt;Besse, B&lt;/author&gt;&lt;author&gt;Gautschi, O&lt;/author&gt;&lt;author&gt;Tan, SWD&lt;/author&gt;&lt;author&gt;Loong, H&lt;/author&gt;&lt;author&gt;Bauer, T&lt;/author&gt;&lt;author&gt;Kim, YJ&lt;/author&gt;&lt;author&gt;Horiike, A&lt;/author&gt;&lt;/authors&gt;&lt;/contributors&gt;&lt;titles&gt;&lt;title&gt;PL02. 08 registrational results of LIBRETTO-001: a phase 1/2 trial of LOXO-292 in patients with RET fusion-positive lung cancers&lt;/title&gt;&lt;secondary-title&gt;Journal of Thoracic Oncology&lt;/secondary-title&gt;&lt;/titles&gt;&lt;periodical&gt;&lt;full-title&gt;Journal of Thoracic Oncology&lt;/full-title&gt;&lt;/periodical&gt;&lt;pages&gt;S6-S7&lt;/pages&gt;&lt;volume&gt;14&lt;/volume&gt;&lt;number&gt;10&lt;/number&gt;&lt;dates&gt;&lt;year&gt;2019&lt;/year&gt;&lt;/dates&gt;&lt;isbn&gt;1556-0864&lt;/isbn&gt;&lt;urls&gt;&lt;/urls&gt;&lt;/record&gt;&lt;/Cite&gt;&lt;/EndNote&gt;</w:instrText>
            </w:r>
            <w:r w:rsidRPr="002772D1">
              <w:rPr>
                <w:rFonts w:ascii="Book Antiqua" w:hAnsi="Book Antiqua" w:cs="Arial"/>
                <w:vertAlign w:val="superscript"/>
              </w:rPr>
              <w:fldChar w:fldCharType="separate"/>
            </w:r>
            <w:r w:rsidRPr="002772D1">
              <w:rPr>
                <w:rFonts w:ascii="Book Antiqua" w:hAnsi="Book Antiqua" w:cs="Arial"/>
                <w:noProof/>
                <w:vertAlign w:val="superscript"/>
              </w:rPr>
              <w:t>[141]</w:t>
            </w:r>
            <w:r w:rsidRPr="002772D1">
              <w:rPr>
                <w:rFonts w:ascii="Book Antiqua" w:hAnsi="Book Antiqua" w:cs="Arial"/>
                <w:vertAlign w:val="superscript"/>
              </w:rPr>
              <w:fldChar w:fldCharType="end"/>
            </w:r>
          </w:p>
        </w:tc>
        <w:tc>
          <w:tcPr>
            <w:tcW w:w="895" w:type="pct"/>
            <w:shd w:val="clear" w:color="auto" w:fill="auto"/>
          </w:tcPr>
          <w:p w14:paraId="6581133C"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85%</w:t>
            </w:r>
          </w:p>
        </w:tc>
        <w:tc>
          <w:tcPr>
            <w:tcW w:w="895" w:type="pct"/>
            <w:shd w:val="clear" w:color="auto" w:fill="auto"/>
          </w:tcPr>
          <w:p w14:paraId="23CBDB1C"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NA</w:t>
            </w:r>
          </w:p>
        </w:tc>
        <w:tc>
          <w:tcPr>
            <w:tcW w:w="895" w:type="pct"/>
            <w:shd w:val="clear" w:color="auto" w:fill="auto"/>
          </w:tcPr>
          <w:p w14:paraId="5EA193BE"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NA</w:t>
            </w:r>
          </w:p>
        </w:tc>
      </w:tr>
      <w:tr w:rsidR="00162A22" w:rsidRPr="002772D1" w14:paraId="07974C1D" w14:textId="77777777" w:rsidTr="002A6ECB">
        <w:trPr>
          <w:trHeight w:val="345"/>
          <w:jc w:val="center"/>
        </w:trPr>
        <w:tc>
          <w:tcPr>
            <w:tcW w:w="766" w:type="pct"/>
            <w:vMerge/>
            <w:shd w:val="clear" w:color="auto" w:fill="auto"/>
          </w:tcPr>
          <w:p w14:paraId="5FB759D5"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17FE36FE"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Pralsetinib</w:t>
            </w:r>
            <w:r w:rsidRPr="002772D1">
              <w:rPr>
                <w:rFonts w:ascii="Book Antiqua" w:hAnsi="Book Antiqua" w:cs="Arial"/>
                <w:color w:val="201F1E"/>
                <w:vertAlign w:val="superscript"/>
              </w:rPr>
              <w:t>1</w:t>
            </w:r>
            <w:r w:rsidRPr="002772D1">
              <w:rPr>
                <w:rFonts w:ascii="Book Antiqua" w:hAnsi="Book Antiqua" w:cs="Arial"/>
                <w:vertAlign w:val="superscript"/>
              </w:rPr>
              <w:fldChar w:fldCharType="begin"/>
            </w:r>
            <w:r w:rsidRPr="002772D1">
              <w:rPr>
                <w:rFonts w:ascii="Book Antiqua" w:hAnsi="Book Antiqua" w:cs="Arial"/>
                <w:vertAlign w:val="superscript"/>
              </w:rPr>
              <w:instrText xml:space="preserve"> ADDIN EN.CITE &lt;EndNote&gt;&lt;Cite&gt;&lt;Author&gt;Gainor&lt;/Author&gt;&lt;Year&gt;2020&lt;/Year&gt;&lt;RecNum&gt;789&lt;/RecNum&gt;&lt;DisplayText&gt;(121)&lt;/DisplayText&gt;&lt;record&gt;&lt;rec-number&gt;789&lt;/rec-number&gt;&lt;foreign-keys&gt;&lt;key app="EN" db-id="xvf2rtzp55zvz4es0eavf2pmsrrddweewrdt" timestamp="1595915788"&gt;789&lt;/key&gt;&lt;/foreign-keys&gt;&lt;ref-type name="Generic"&gt;13&lt;/ref-type&gt;&lt;contributors&gt;&lt;authors&gt;&lt;author&gt;Gainor, Justin F&lt;/author&gt;&lt;author&gt;Curigliano, Giuseppe&lt;/author&gt;&lt;author&gt;Kim, Dong-Wan&lt;/author&gt;&lt;author&gt;Lee, Dae Ho&lt;/author&gt;&lt;author&gt;Besse, Benjamin&lt;/author&gt;&lt;author&gt;Baik, Christina S&lt;/author&gt;&lt;author&gt;Doebele, Robert C&lt;/author&gt;&lt;author&gt;Cassier, Philippe Alexandre&lt;/author&gt;&lt;author&gt;Lopes, Gilberto&lt;/author&gt;&lt;author&gt;Tan, Daniel Shao-Weng&lt;/author&gt;&lt;/authors&gt;&lt;/contributors&gt;&lt;titles&gt;&lt;title&gt;Registrational dataset from the phase I/II ARROW trial of pralsetinib (BLU-667) in patients (pts) with advanced RET fusion+ non-small cell lung cancer (NSCLC)&lt;/title&gt;&lt;/titles&gt;&lt;dates&gt;&lt;year&gt;2020&lt;/year&gt;&lt;/dates&gt;&lt;publisher&gt;American Society of Clinical Oncology&lt;/publisher&gt;&lt;isbn&gt;0732-183X&lt;/isbn&gt;&lt;urls&gt;&lt;/urls&gt;&lt;/record&gt;&lt;/Cite&gt;&lt;/EndNote&gt;</w:instrText>
            </w:r>
            <w:r w:rsidRPr="002772D1">
              <w:rPr>
                <w:rFonts w:ascii="Book Antiqua" w:hAnsi="Book Antiqua" w:cs="Arial"/>
                <w:vertAlign w:val="superscript"/>
              </w:rPr>
              <w:fldChar w:fldCharType="separate"/>
            </w:r>
            <w:r w:rsidRPr="002772D1">
              <w:rPr>
                <w:rFonts w:ascii="Book Antiqua" w:hAnsi="Book Antiqua" w:cs="Arial"/>
                <w:noProof/>
                <w:vertAlign w:val="superscript"/>
              </w:rPr>
              <w:t>[121]</w:t>
            </w:r>
            <w:r w:rsidRPr="002772D1">
              <w:rPr>
                <w:rFonts w:ascii="Book Antiqua" w:hAnsi="Book Antiqua" w:cs="Arial"/>
                <w:vertAlign w:val="superscript"/>
              </w:rPr>
              <w:fldChar w:fldCharType="end"/>
            </w:r>
          </w:p>
        </w:tc>
        <w:tc>
          <w:tcPr>
            <w:tcW w:w="895" w:type="pct"/>
            <w:shd w:val="clear" w:color="auto" w:fill="auto"/>
          </w:tcPr>
          <w:p w14:paraId="0E90765C"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70%</w:t>
            </w:r>
          </w:p>
        </w:tc>
        <w:tc>
          <w:tcPr>
            <w:tcW w:w="895" w:type="pct"/>
            <w:shd w:val="clear" w:color="auto" w:fill="auto"/>
          </w:tcPr>
          <w:p w14:paraId="571950DB"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NA</w:t>
            </w:r>
          </w:p>
        </w:tc>
        <w:tc>
          <w:tcPr>
            <w:tcW w:w="895" w:type="pct"/>
            <w:shd w:val="clear" w:color="auto" w:fill="auto"/>
          </w:tcPr>
          <w:p w14:paraId="013FCC8F" w14:textId="77777777" w:rsidR="00162A22" w:rsidRPr="002772D1" w:rsidRDefault="00162A22" w:rsidP="002A6ECB">
            <w:pPr>
              <w:spacing w:line="360" w:lineRule="auto"/>
              <w:jc w:val="both"/>
              <w:rPr>
                <w:rFonts w:ascii="Book Antiqua" w:hAnsi="Book Antiqua" w:cs="Arial"/>
              </w:rPr>
            </w:pPr>
            <w:r w:rsidRPr="002772D1">
              <w:rPr>
                <w:rFonts w:ascii="Book Antiqua" w:hAnsi="Book Antiqua" w:cs="Arial"/>
              </w:rPr>
              <w:t>NA</w:t>
            </w:r>
          </w:p>
        </w:tc>
      </w:tr>
      <w:tr w:rsidR="00162A22" w:rsidRPr="002772D1" w14:paraId="081C0169" w14:textId="77777777" w:rsidTr="002A6ECB">
        <w:trPr>
          <w:trHeight w:val="345"/>
          <w:jc w:val="center"/>
        </w:trPr>
        <w:tc>
          <w:tcPr>
            <w:tcW w:w="766" w:type="pct"/>
            <w:vMerge w:val="restart"/>
            <w:shd w:val="clear" w:color="auto" w:fill="auto"/>
          </w:tcPr>
          <w:p w14:paraId="524FB6EC"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KRAS</w:t>
            </w:r>
          </w:p>
        </w:tc>
        <w:tc>
          <w:tcPr>
            <w:tcW w:w="1550" w:type="pct"/>
            <w:shd w:val="clear" w:color="auto" w:fill="auto"/>
          </w:tcPr>
          <w:p w14:paraId="57295E87"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Sotorasib</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&lt;EndNote&gt;&lt;Cite&gt;&lt;Author&gt;Hong&lt;/Author&gt;&lt;Year&gt;2020&lt;/Year&gt;&lt;RecNum&gt;1023&lt;/RecNum&gt;&lt;DisplayText&gt;(142)&lt;/DisplayText&gt;&lt;record&gt;&lt;rec-number&gt;1023&lt;/rec-number&gt;&lt;foreign-keys&gt;&lt;key app="EN" db-id="xvf2rtzp55zvz4es0eavf2pmsrrddweewrdt" timestamp="1612603289"&gt;1023&lt;/key&gt;&lt;/foreign-keys&gt;&lt;ref-type name="Journal Article"&gt;17&lt;/ref-type&gt;&lt;contributors&gt;&lt;authors&gt;&lt;author&gt;Hong, David S.&lt;/author&gt;&lt;author&gt;Fakih, Marwan G.&lt;/author&gt;&lt;author&gt;Strickler, John H.&lt;/author&gt;&lt;author&gt;Desai, Jayesh&lt;/author&gt;&lt;author&gt;Durm, Gregory A.&lt;/author&gt;&lt;author&gt;Shapiro, Geoffrey I.&lt;/author&gt;&lt;author&gt;Falchook, Gerald S.&lt;/author&gt;&lt;author&gt;Price, Timothy J.&lt;/author&gt;&lt;author&gt;Sacher, Adrian&lt;/author&gt;&lt;author&gt;Denlinger, Crystal S.&lt;/author&gt;&lt;author&gt;Bang, Yung-Jue&lt;/author&gt;&lt;author&gt;Dy, Grace K.&lt;/author&gt;&lt;author&gt;Krauss, John C.&lt;/author&gt;&lt;author&gt;Kuboki, Yasutoshi&lt;/author&gt;&lt;author&gt;Kuo, James C.&lt;/author&gt;&lt;author&gt;Coveler, Andrew L.&lt;/author&gt;&lt;author&gt;Park, Keunchil&lt;/author&gt;&lt;author&gt;Kim, Tae Won&lt;/author&gt;&lt;author&gt;Barlesi, Fabrice&lt;/author&gt;&lt;author&gt;Munster, Pamela N.&lt;/author&gt;&lt;author&gt;Ramalingam, Suresh S.&lt;/author&gt;&lt;author&gt;Burns, Timothy F.&lt;/author&gt;&lt;author&gt;Meric-Bernstam, Funda&lt;/author&gt;&lt;author&gt;Henary, Haby&lt;/author&gt;&lt;author&gt;Ngang, Jude&lt;/author&gt;&lt;author&gt;Ngarmchamnanrith, Gataree&lt;/author&gt;&lt;author&gt;Kim, June&lt;/author&gt;&lt;author&gt;Houk, Brett E.&lt;/author&gt;&lt;author&gt;Canon, Jude&lt;/author&gt;&lt;author&gt;Lipford, J. Russell&lt;/author&gt;&lt;author&gt;Friberg, Gregory&lt;/author&gt;&lt;author&gt;Lito, Piro&lt;/author&gt;&lt;author&gt;Govindan, Ramaswamy&lt;/author&gt;&lt;author&gt;Li, Bob T.&lt;/author&gt;&lt;/authors&gt;&lt;/contributors&gt;&lt;titles&gt;&lt;title&gt;KRASG12C Inhibition with Sotorasib in Advanced Solid Tumors&lt;/title&gt;&lt;secondary-title&gt;New England Journal of Medicine&lt;/secondary-title&gt;&lt;/titles&gt;&lt;periodical&gt;&lt;full-title&gt;New England Journal of Medicine&lt;/full-title&gt;&lt;/periodical&gt;&lt;pages&gt;1207-1217&lt;/pages&gt;&lt;volume&gt;383&lt;/volume&gt;&lt;number&gt;13&lt;/number&gt;&lt;dates&gt;&lt;year&gt;2020&lt;/year&gt;&lt;/dates&gt;&lt;urls&gt;&lt;related-urls&gt;&lt;url&gt;https://www.nejm.org/doi/full/10.1056/NEJMoa1917239&lt;/url&gt;&lt;/related-urls&gt;&lt;/urls&gt;&lt;electronic-resource-num&gt;10.1056/NEJMoa1917239&lt;/electronic-resource-num&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[142]</w:t>
            </w:r>
            <w:r w:rsidRPr="002772D1">
              <w:rPr>
                <w:rFonts w:ascii="Book Antiqua" w:hAnsi="Book Antiqua" w:cs="Arial"/>
                <w:color w:val="201F1E"/>
                <w:vertAlign w:val="superscript"/>
              </w:rPr>
              <w:fldChar w:fldCharType="end"/>
            </w:r>
          </w:p>
        </w:tc>
        <w:tc>
          <w:tcPr>
            <w:tcW w:w="895" w:type="pct"/>
            <w:shd w:val="clear" w:color="auto" w:fill="auto"/>
          </w:tcPr>
          <w:p w14:paraId="691C3AA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32.2%</w:t>
            </w:r>
          </w:p>
        </w:tc>
        <w:tc>
          <w:tcPr>
            <w:tcW w:w="895" w:type="pct"/>
            <w:shd w:val="clear" w:color="auto" w:fill="auto"/>
          </w:tcPr>
          <w:p w14:paraId="7B03222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10.2 mo</w:t>
            </w:r>
          </w:p>
        </w:tc>
        <w:tc>
          <w:tcPr>
            <w:tcW w:w="895" w:type="pct"/>
            <w:shd w:val="clear" w:color="auto" w:fill="auto"/>
          </w:tcPr>
          <w:p w14:paraId="424264A6"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5B7FDF9A" w14:textId="77777777" w:rsidTr="002A6ECB">
        <w:trPr>
          <w:trHeight w:val="345"/>
          <w:jc w:val="center"/>
        </w:trPr>
        <w:tc>
          <w:tcPr>
            <w:tcW w:w="766" w:type="pct"/>
            <w:vMerge/>
            <w:shd w:val="clear" w:color="auto" w:fill="auto"/>
          </w:tcPr>
          <w:p w14:paraId="356EC91A" w14:textId="77777777" w:rsidR="00162A22" w:rsidRPr="002772D1" w:rsidRDefault="00162A22" w:rsidP="002A6ECB">
            <w:pPr>
              <w:spacing w:line="360" w:lineRule="auto"/>
              <w:jc w:val="both"/>
              <w:rPr>
                <w:rFonts w:ascii="Book Antiqua" w:hAnsi="Book Antiqua" w:cs="Arial"/>
                <w:bCs/>
                <w:color w:val="201F1E"/>
              </w:rPr>
            </w:pPr>
          </w:p>
        </w:tc>
        <w:tc>
          <w:tcPr>
            <w:tcW w:w="1550" w:type="pct"/>
            <w:shd w:val="clear" w:color="auto" w:fill="auto"/>
          </w:tcPr>
          <w:p w14:paraId="7625A782"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Adagrasib</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&lt;EndNote&gt;&lt;Cite&gt;&lt;Author&gt;Johnson&lt;/Author&gt;&lt;Year&gt;2020&lt;/Year&gt;&lt;RecNum&gt;1024&lt;/RecNum&gt;&lt;DisplayText&gt;(143)&lt;/DisplayText&gt;&lt;record&gt;&lt;rec-number&gt;1024&lt;/rec-number&gt;&lt;foreign-keys&gt;&lt;key app="EN" db-id="xvf2rtzp55zvz4es0eavf2pmsrrddweewrdt" timestamp="1612603416"&gt;1024&lt;/key&gt;&lt;/foreign-keys&gt;&lt;ref-type name="Journal Article"&gt;17&lt;/ref-type&gt;&lt;contributors&gt;&lt;authors&gt;&lt;author&gt;Johnson, Melissa L&lt;/author&gt;&lt;author&gt;Ou, Sai-Hong Ignatius&lt;/author&gt;&lt;author&gt;Barve, Minal&lt;/author&gt;&lt;author&gt;Rybkin, Igor I&lt;/author&gt;&lt;author&gt;Papadopoulos, Kyriakos P&lt;/author&gt;&lt;author&gt;Leal, Ticiana A&lt;/author&gt;&lt;author&gt;Velastegui, Karen&lt;/author&gt;&lt;author&gt;Christensen, James G&lt;/author&gt;&lt;author&gt;Kheoh, Thian&lt;/author&gt;&lt;author&gt;Chao, Richard C&lt;/author&gt;&lt;/authors&gt;&lt;/contributors&gt;&lt;titles&gt;&lt;title&gt;KRYSTAL-1: activity and safety of adagrasib (MRTX849) in patients with colorectal cancer (CRC) and other solid tumors harboring a KRAS G12C mutation&lt;/title&gt;&lt;/titles&gt;&lt;dates&gt;&lt;year&gt;2020&lt;/year&gt;&lt;/dates&gt;&lt;urls&gt;&lt;/urls&gt;&lt;/record&gt;&lt;/Cite&gt;&lt;/EndNote&gt;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[143]</w:t>
            </w:r>
            <w:r w:rsidRPr="002772D1">
              <w:rPr>
                <w:rFonts w:ascii="Book Antiqua" w:hAnsi="Book Antiqua" w:cs="Arial"/>
                <w:color w:val="201F1E"/>
                <w:vertAlign w:val="superscript"/>
              </w:rPr>
              <w:fldChar w:fldCharType="end"/>
            </w:r>
          </w:p>
        </w:tc>
        <w:tc>
          <w:tcPr>
            <w:tcW w:w="895" w:type="pct"/>
            <w:shd w:val="clear" w:color="auto" w:fill="auto"/>
          </w:tcPr>
          <w:p w14:paraId="1D9827DB"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45%</w:t>
            </w:r>
          </w:p>
        </w:tc>
        <w:tc>
          <w:tcPr>
            <w:tcW w:w="895" w:type="pct"/>
            <w:shd w:val="clear" w:color="auto" w:fill="auto"/>
          </w:tcPr>
          <w:p w14:paraId="713DB92C"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c>
          <w:tcPr>
            <w:tcW w:w="895" w:type="pct"/>
            <w:shd w:val="clear" w:color="auto" w:fill="auto"/>
          </w:tcPr>
          <w:p w14:paraId="67F5CB29"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18C7754B" w14:textId="77777777" w:rsidTr="002A6ECB">
        <w:trPr>
          <w:trHeight w:val="345"/>
          <w:jc w:val="center"/>
        </w:trPr>
        <w:tc>
          <w:tcPr>
            <w:tcW w:w="766" w:type="pct"/>
            <w:shd w:val="clear" w:color="auto" w:fill="auto"/>
          </w:tcPr>
          <w:p w14:paraId="53B1EC83"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t>HER2</w:t>
            </w:r>
          </w:p>
        </w:tc>
        <w:tc>
          <w:tcPr>
            <w:tcW w:w="1550" w:type="pct"/>
            <w:shd w:val="clear" w:color="auto" w:fill="auto"/>
          </w:tcPr>
          <w:p w14:paraId="6BCB4810"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Trastuzumab-</w:t>
            </w:r>
            <w:r w:rsidRPr="002772D1">
              <w:rPr>
                <w:rFonts w:ascii="Book Antiqua" w:hAnsi="Book Antiqua" w:cs="Arial"/>
                <w:color w:val="201F1E"/>
              </w:rPr>
              <w:lastRenderedPageBreak/>
              <w:t>deruxtecan</w:t>
            </w:r>
            <w:r w:rsidRPr="002772D1">
              <w:rPr>
                <w:rFonts w:ascii="Book Antiqua" w:hAnsi="Book Antiqua" w:cs="Arial"/>
                <w:color w:val="201F1E"/>
                <w:vertAlign w:val="superscript"/>
              </w:rPr>
              <w:fldChar w:fldCharType="begin"/>
            </w:r>
            <w:r w:rsidRPr="002772D1">
              <w:rPr>
                <w:rFonts w:ascii="Book Antiqua" w:hAnsi="Book Antiqua" w:cs="Arial"/>
                <w:color w:val="201F1E"/>
                <w:vertAlign w:val="superscript"/>
              </w:rPr>
              <w:instrText xml:space="preserve"> ADDIN EN.CITE &lt;EndNote&gt;&lt;Cite&gt;&lt;Author&gt;Smit&lt;/Author&gt;&lt;Year&gt;2020&lt;/Year&gt;&lt;RecNum&gt;776&lt;/RecNum&gt;&lt;DisplayText&gt;(144)&lt;/DisplayText&gt;&lt;record&gt;&lt;rec-number&gt;776&lt;/rec-number&gt;&lt;foreign-keys&gt;&lt;key app="EN" db-id="xvf2rtzp55zvz4es0eavf2pmsrrddweewrdt" timestamp="1593756954"&gt;776&lt;/key&gt;&lt;/foreign-keys&gt;&lt;ref-type name="Journal Article"&gt;17&lt;/ref-type&gt;&lt;contributors&gt;&lt;authors&gt;&lt;author&gt;Egbert F. Smit&lt;/author&gt;&lt;author&gt;Kazuhiko Nakagawa&lt;/author&gt;&lt;author&gt;Misako Nagasaka&lt;/author&gt;&lt;author&gt;Enriqueta Felip&lt;/author&gt;&lt;author&gt;Yasushi Goto&lt;/author&gt;&lt;author&gt;Bob T. Li&lt;/author&gt;&lt;author&gt;Jose Maria Pacheco&lt;/author&gt;&lt;author&gt;Haruyasu Murakami&lt;/author&gt;&lt;author&gt;Fabrice Barlesi&lt;/author&gt;&lt;author&gt;Andreas Nicholas Saltos&lt;/author&gt;&lt;author&gt;Maurice Perol&lt;/author&gt;&lt;author&gt;Hibiki Udagawa&lt;/author&gt;&lt;author&gt;Kapil Saxena&lt;/author&gt;&lt;author&gt;Ryota Shiga&lt;/author&gt;&lt;author&gt;Ferdinand M. Guevara&lt;/author&gt;&lt;author&gt;Suddhasatta Acharyya&lt;/author&gt;&lt;author&gt;Javad Shahidi&lt;/author&gt;&lt;author&gt;David Planchard&lt;/author&gt;&lt;author&gt;Pasi A. Janne&lt;/author&gt;&lt;/authors&gt;&lt;/contributors&gt;&lt;titles&gt;&lt;title&gt;Trastuzumab deruxtecan (T-DXd; DS-8201) in patients with HER2-mutated metastatic non-small cell lung cancer (NSCLC): Interim results of DESTINY-Lung01&lt;/title&gt;&lt;secondary-title&gt;Journal of Clinical Oncology&lt;/secondary-title&gt;&lt;/titles&gt;&lt;periodical&gt;&lt;full-title&gt;Journal of Clinical Oncology&lt;/full-title&gt;&lt;/periodical&gt;&lt;pages&gt;9504-9504&lt;/pages&gt;&lt;volume&gt;38&lt;/volume&gt;&lt;number&gt;15_suppl&lt;/number&gt;&lt;keywords&gt;&lt;keyword&gt;283-197-481,3282-206-326-5009-5018,261-492-5651-10662,613-135-244-3829,9,2,2,2,291,3,38092-22447,38116-38094-8,38092-34311,2,1,1&lt;/keyword&gt;&lt;/keywords&gt;&lt;dates&gt;&lt;year&gt;2020&lt;/year&gt;&lt;/dates&gt;&lt;urls&gt;&lt;related-urls&gt;&lt;url&gt;https://ascopubs.org/doi/abs/10.1200/JCO.2020.38.15_suppl.9504&lt;/url&gt;&lt;/related-urls&gt;&lt;/urls&gt;&lt;electronic-resource-num&gt;10.1200/JCO.2020.38.15_suppl.9504&lt;/electronic-resource-num&gt;&lt;/record&gt;&lt;/Cite&gt;&lt;/EndNote&gt;</w:instrText>
            </w:r>
            <w:r w:rsidRPr="002772D1">
              <w:rPr>
                <w:rFonts w:ascii="Book Antiqua" w:hAnsi="Book Antiqua" w:cs="Arial"/>
                <w:color w:val="201F1E"/>
                <w:vertAlign w:val="superscript"/>
              </w:rPr>
              <w:fldChar w:fldCharType="separate"/>
            </w:r>
            <w:r w:rsidRPr="002772D1">
              <w:rPr>
                <w:rFonts w:ascii="Book Antiqua" w:hAnsi="Book Antiqua" w:cs="Arial"/>
                <w:noProof/>
                <w:color w:val="201F1E"/>
                <w:vertAlign w:val="superscript"/>
              </w:rPr>
              <w:t>[144]</w:t>
            </w:r>
            <w:r w:rsidRPr="002772D1">
              <w:rPr>
                <w:rFonts w:ascii="Book Antiqua" w:hAnsi="Book Antiqua" w:cs="Arial"/>
                <w:color w:val="201F1E"/>
                <w:vertAlign w:val="superscript"/>
              </w:rPr>
              <w:fldChar w:fldCharType="end"/>
            </w:r>
          </w:p>
        </w:tc>
        <w:tc>
          <w:tcPr>
            <w:tcW w:w="895" w:type="pct"/>
            <w:shd w:val="clear" w:color="auto" w:fill="auto"/>
          </w:tcPr>
          <w:p w14:paraId="70986BEB"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lastRenderedPageBreak/>
              <w:t>62%</w:t>
            </w:r>
          </w:p>
        </w:tc>
        <w:tc>
          <w:tcPr>
            <w:tcW w:w="895" w:type="pct"/>
            <w:shd w:val="clear" w:color="auto" w:fill="auto"/>
          </w:tcPr>
          <w:p w14:paraId="22711BF8"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14 mo</w:t>
            </w:r>
          </w:p>
        </w:tc>
        <w:tc>
          <w:tcPr>
            <w:tcW w:w="895" w:type="pct"/>
            <w:shd w:val="clear" w:color="auto" w:fill="auto"/>
          </w:tcPr>
          <w:p w14:paraId="684ACDD6"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color w:val="201F1E"/>
              </w:rPr>
              <w:t>NA</w:t>
            </w:r>
          </w:p>
        </w:tc>
      </w:tr>
      <w:tr w:rsidR="00162A22" w:rsidRPr="002772D1" w14:paraId="50F3C589" w14:textId="77777777" w:rsidTr="002A6ECB">
        <w:trPr>
          <w:trHeight w:val="63"/>
          <w:jc w:val="center"/>
        </w:trPr>
        <w:tc>
          <w:tcPr>
            <w:tcW w:w="766" w:type="pct"/>
            <w:shd w:val="clear" w:color="auto" w:fill="auto"/>
          </w:tcPr>
          <w:p w14:paraId="36EB7CF6" w14:textId="77777777" w:rsidR="00162A22" w:rsidRPr="002772D1" w:rsidRDefault="00162A22" w:rsidP="002A6ECB">
            <w:pPr>
              <w:spacing w:line="360" w:lineRule="auto"/>
              <w:jc w:val="both"/>
              <w:rPr>
                <w:rFonts w:ascii="Book Antiqua" w:hAnsi="Book Antiqua" w:cs="Arial"/>
                <w:bCs/>
                <w:color w:val="201F1E"/>
              </w:rPr>
            </w:pPr>
            <w:r w:rsidRPr="002772D1">
              <w:rPr>
                <w:rFonts w:ascii="Book Antiqua" w:hAnsi="Book Antiqua" w:cs="Arial"/>
                <w:bCs/>
                <w:color w:val="201F1E"/>
              </w:rPr>
              <w:lastRenderedPageBreak/>
              <w:t>NRG1</w:t>
            </w:r>
          </w:p>
        </w:tc>
        <w:tc>
          <w:tcPr>
            <w:tcW w:w="1550" w:type="pct"/>
            <w:shd w:val="clear" w:color="auto" w:fill="auto"/>
          </w:tcPr>
          <w:p w14:paraId="0325C47C" w14:textId="77777777" w:rsidR="00162A22" w:rsidRPr="002772D1" w:rsidRDefault="00162A22" w:rsidP="002A6ECB">
            <w:pPr>
              <w:spacing w:line="360" w:lineRule="auto"/>
              <w:jc w:val="both"/>
              <w:rPr>
                <w:rFonts w:ascii="Book Antiqua" w:hAnsi="Book Antiqua" w:cs="Arial"/>
                <w:color w:val="201F1E"/>
              </w:rPr>
            </w:pPr>
            <w:r w:rsidRPr="002772D1">
              <w:rPr>
                <w:rFonts w:ascii="Book Antiqua" w:hAnsi="Book Antiqua" w:cs="Arial"/>
                <w:shd w:val="clear" w:color="auto" w:fill="FFFFFF"/>
              </w:rPr>
              <w:t>Afatinib</w:t>
            </w:r>
            <w:r w:rsidRPr="002772D1">
              <w:rPr>
                <w:rFonts w:ascii="Book Antiqua" w:hAnsi="Book Antiqua" w:cs="Arial"/>
                <w:shd w:val="clear" w:color="auto" w:fill="FFFFFF"/>
                <w:vertAlign w:val="superscript"/>
              </w:rPr>
              <w:fldChar w:fldCharType="begin"/>
            </w:r>
            <w:r w:rsidRPr="002772D1">
              <w:rPr>
                <w:rFonts w:ascii="Book Antiqua" w:hAnsi="Book Antiqua" w:cs="Arial"/>
                <w:shd w:val="clear" w:color="auto" w:fill="FFFFFF"/>
                <w:vertAlign w:val="superscript"/>
              </w:rPr>
              <w:instrText xml:space="preserve"> ADDIN EN.CITE &lt;EndNote&gt;&lt;Cite&gt;&lt;Author&gt;Cheema&lt;/Author&gt;&lt;Year&gt;2017&lt;/Year&gt;&lt;RecNum&gt;1026&lt;/RecNum&gt;&lt;DisplayText&gt;(112)&lt;/DisplayText&gt;&lt;record&gt;&lt;rec-number&gt;1026&lt;/rec-number&gt;&lt;foreign-keys&gt;&lt;key app="EN" db-id="xvf2rtzp55zvz4es0eavf2pmsrrddweewrdt" timestamp="1612603633"&gt;1026&lt;/key&gt;&lt;/foreign-keys&gt;&lt;ref-type name="Journal Article"&gt;17&lt;/ref-type&gt;&lt;contributors&gt;&lt;authors&gt;&lt;author&gt;Cheema, Parneet K&lt;/author&gt;&lt;author&gt;Doherty, Mark&lt;/author&gt;&lt;author&gt;Tsao, Ming-Sound&lt;/author&gt;&lt;/authors&gt;&lt;/contributors&gt;&lt;titles&gt;&lt;title&gt;A case of invasive mucinous pulmonary adenocarcinoma with a CD74-NRG1 fusion protein targeted with afatinib&lt;/title&gt;&lt;secondary-title&gt;Journal of Thoracic Oncology&lt;/secondary-title&gt;&lt;/titles&gt;&lt;periodical&gt;&lt;full-title&gt;Journal of Thoracic Oncology&lt;/full-title&gt;&lt;/periodical&gt;&lt;pages&gt;e200-e202&lt;/pages&gt;&lt;volume&gt;12&lt;/volume&gt;&lt;number&gt;12&lt;/number&gt;&lt;dates&gt;&lt;year&gt;2017&lt;/year&gt;&lt;/dates&gt;&lt;isbn&gt;1556-0864&lt;/isbn&gt;&lt;urls&gt;&lt;/urls&gt;&lt;/record&gt;&lt;/Cite&gt;&lt;/EndNote&gt;</w:instrText>
            </w:r>
            <w:r w:rsidRPr="002772D1">
              <w:rPr>
                <w:rFonts w:ascii="Book Antiqua" w:hAnsi="Book Antiqua" w:cs="Arial"/>
                <w:shd w:val="clear" w:color="auto" w:fill="FFFFFF"/>
                <w:vertAlign w:val="superscript"/>
              </w:rPr>
              <w:fldChar w:fldCharType="separate"/>
            </w:r>
            <w:r w:rsidRPr="002772D1">
              <w:rPr>
                <w:rFonts w:ascii="Book Antiqua" w:hAnsi="Book Antiqua" w:cs="Arial"/>
                <w:noProof/>
                <w:shd w:val="clear" w:color="auto" w:fill="FFFFFF"/>
                <w:vertAlign w:val="superscript"/>
              </w:rPr>
              <w:t>[112]</w:t>
            </w:r>
            <w:r w:rsidRPr="002772D1">
              <w:rPr>
                <w:rFonts w:ascii="Book Antiqua" w:hAnsi="Book Antiqua" w:cs="Arial"/>
                <w:shd w:val="clear" w:color="auto" w:fill="FFFFFF"/>
                <w:vertAlign w:val="superscript"/>
              </w:rPr>
              <w:fldChar w:fldCharType="end"/>
            </w:r>
          </w:p>
        </w:tc>
        <w:tc>
          <w:tcPr>
            <w:tcW w:w="895" w:type="pct"/>
            <w:shd w:val="clear" w:color="auto" w:fill="auto"/>
          </w:tcPr>
          <w:p w14:paraId="5AEF77BA" w14:textId="77777777" w:rsidR="00162A22" w:rsidRPr="002772D1" w:rsidRDefault="00162A22" w:rsidP="002A6ECB">
            <w:pPr>
              <w:spacing w:line="360" w:lineRule="auto"/>
              <w:jc w:val="both"/>
              <w:rPr>
                <w:rFonts w:ascii="Book Antiqua" w:hAnsi="Book Antiqua" w:cs="Arial"/>
                <w:shd w:val="clear" w:color="auto" w:fill="FFFFFF"/>
              </w:rPr>
            </w:pPr>
            <w:r w:rsidRPr="002772D1">
              <w:rPr>
                <w:rFonts w:ascii="Book Antiqua" w:hAnsi="Book Antiqua" w:cs="Arial"/>
                <w:shd w:val="clear" w:color="auto" w:fill="FFFFFF"/>
              </w:rPr>
              <w:t>NA</w:t>
            </w:r>
          </w:p>
        </w:tc>
        <w:tc>
          <w:tcPr>
            <w:tcW w:w="895" w:type="pct"/>
            <w:shd w:val="clear" w:color="auto" w:fill="auto"/>
          </w:tcPr>
          <w:p w14:paraId="2FD0FAA2" w14:textId="77777777" w:rsidR="00162A22" w:rsidRPr="002772D1" w:rsidRDefault="00162A22" w:rsidP="002A6ECB">
            <w:pPr>
              <w:spacing w:line="360" w:lineRule="auto"/>
              <w:jc w:val="both"/>
              <w:rPr>
                <w:rFonts w:ascii="Book Antiqua" w:hAnsi="Book Antiqua" w:cs="Arial"/>
                <w:shd w:val="clear" w:color="auto" w:fill="FFFFFF"/>
              </w:rPr>
            </w:pPr>
            <w:r w:rsidRPr="002772D1">
              <w:rPr>
                <w:rFonts w:ascii="Book Antiqua" w:hAnsi="Book Antiqua" w:cs="Arial"/>
                <w:shd w:val="clear" w:color="auto" w:fill="FFFFFF"/>
              </w:rPr>
              <w:t>NA</w:t>
            </w:r>
          </w:p>
        </w:tc>
        <w:tc>
          <w:tcPr>
            <w:tcW w:w="895" w:type="pct"/>
            <w:shd w:val="clear" w:color="auto" w:fill="auto"/>
          </w:tcPr>
          <w:p w14:paraId="7F2BDE15" w14:textId="77777777" w:rsidR="00162A22" w:rsidRPr="002772D1" w:rsidRDefault="00162A22" w:rsidP="002A6ECB">
            <w:pPr>
              <w:spacing w:line="360" w:lineRule="auto"/>
              <w:jc w:val="both"/>
              <w:rPr>
                <w:rFonts w:ascii="Book Antiqua" w:hAnsi="Book Antiqua" w:cs="Arial"/>
                <w:shd w:val="clear" w:color="auto" w:fill="FFFFFF"/>
              </w:rPr>
            </w:pPr>
            <w:r w:rsidRPr="002772D1">
              <w:rPr>
                <w:rFonts w:ascii="Book Antiqua" w:hAnsi="Book Antiqua" w:cs="Arial"/>
                <w:shd w:val="clear" w:color="auto" w:fill="FFFFFF"/>
              </w:rPr>
              <w:t>NA</w:t>
            </w:r>
          </w:p>
        </w:tc>
      </w:tr>
    </w:tbl>
    <w:p w14:paraId="32EE06FD" w14:textId="77777777" w:rsidR="00162A22" w:rsidRDefault="00162A22" w:rsidP="00162A22">
      <w:pPr>
        <w:spacing w:line="360" w:lineRule="auto"/>
        <w:jc w:val="both"/>
        <w:rPr>
          <w:rFonts w:ascii="Book Antiqua" w:hAnsi="Book Antiqua" w:cs="Book Antiqua" w:hint="eastAsia"/>
          <w:color w:val="000000"/>
          <w:lang w:eastAsia="zh-CN"/>
        </w:rPr>
      </w:pPr>
      <w:r w:rsidRPr="002772D1">
        <w:rPr>
          <w:rFonts w:ascii="Book Antiqua" w:hAnsi="Book Antiqua" w:cs="Arial"/>
          <w:color w:val="201F1E"/>
          <w:vertAlign w:val="superscript"/>
          <w:lang w:val="en-GB"/>
        </w:rPr>
        <w:t>1</w:t>
      </w:r>
      <w:r w:rsidRPr="002772D1">
        <w:rPr>
          <w:rFonts w:ascii="Book Antiqua" w:hAnsi="Book Antiqua" w:cs="Arial"/>
          <w:color w:val="201F1E"/>
        </w:rPr>
        <w:t>Food and Drug Administration</w:t>
      </w:r>
      <w:r w:rsidRPr="002772D1">
        <w:rPr>
          <w:rFonts w:ascii="Book Antiqua" w:hAnsi="Book Antiqua" w:cs="Arial"/>
          <w:color w:val="201F1E"/>
          <w:lang w:val="en-GB"/>
        </w:rPr>
        <w:t xml:space="preserve"> approved. </w:t>
      </w:r>
      <w:r w:rsidRPr="002772D1">
        <w:rPr>
          <w:rFonts w:ascii="Book Antiqua" w:hAnsi="Book Antiqua" w:cs="Arial"/>
          <w:bCs/>
          <w:color w:val="201F1E"/>
        </w:rPr>
        <w:t xml:space="preserve">ORR: </w:t>
      </w:r>
      <w:r w:rsidRPr="002772D1">
        <w:rPr>
          <w:rFonts w:ascii="Book Antiqua" w:eastAsia="Book Antiqua" w:hAnsi="Book Antiqua" w:cs="Book Antiqua"/>
          <w:color w:val="000000"/>
        </w:rPr>
        <w:t>Objective response rate</w:t>
      </w:r>
      <w:r w:rsidRPr="002772D1">
        <w:rPr>
          <w:rFonts w:ascii="Book Antiqua" w:hAnsi="Book Antiqua" w:cs="Arial"/>
          <w:bCs/>
          <w:color w:val="201F1E"/>
        </w:rPr>
        <w:t xml:space="preserve">; PFS: </w:t>
      </w:r>
      <w:r w:rsidRPr="002772D1">
        <w:rPr>
          <w:rFonts w:ascii="Book Antiqua" w:eastAsia="Book Antiqua" w:hAnsi="Book Antiqua" w:cs="Book Antiqua"/>
          <w:color w:val="000000"/>
        </w:rPr>
        <w:t>Progression-free survival</w:t>
      </w:r>
      <w:r w:rsidRPr="002772D1">
        <w:rPr>
          <w:rFonts w:ascii="Book Antiqua" w:hAnsi="Book Antiqua" w:cs="Arial"/>
          <w:bCs/>
          <w:color w:val="201F1E"/>
        </w:rPr>
        <w:t xml:space="preserve">; OS: </w:t>
      </w:r>
      <w:r w:rsidRPr="002772D1">
        <w:rPr>
          <w:rFonts w:ascii="Book Antiqua" w:eastAsia="Book Antiqua" w:hAnsi="Book Antiqua" w:cs="Book Antiqua"/>
          <w:color w:val="000000"/>
        </w:rPr>
        <w:t>Overall survival</w:t>
      </w:r>
      <w:r w:rsidRPr="002772D1">
        <w:rPr>
          <w:rFonts w:ascii="Book Antiqua" w:hAnsi="Book Antiqua" w:cs="Arial"/>
          <w:bCs/>
          <w:color w:val="201F1E"/>
        </w:rPr>
        <w:t>;</w:t>
      </w:r>
      <w:r w:rsidRPr="002772D1">
        <w:rPr>
          <w:rFonts w:ascii="Book Antiqua" w:hAnsi="Book Antiqua" w:cs="Arial"/>
          <w:b/>
          <w:color w:val="201F1E"/>
        </w:rPr>
        <w:t xml:space="preserve"> </w:t>
      </w:r>
      <w:r w:rsidRPr="002772D1">
        <w:rPr>
          <w:rFonts w:ascii="Book Antiqua" w:hAnsi="Book Antiqua" w:cs="Arial"/>
          <w:bCs/>
          <w:color w:val="201F1E"/>
        </w:rPr>
        <w:t xml:space="preserve">EGFR: </w:t>
      </w:r>
      <w:r w:rsidRPr="002772D1">
        <w:rPr>
          <w:rFonts w:ascii="Book Antiqua" w:eastAsia="Book Antiqua" w:hAnsi="Book Antiqua" w:cs="Book Antiqua"/>
          <w:color w:val="000000"/>
        </w:rPr>
        <w:t>Epidermal growth factor receptor</w:t>
      </w:r>
      <w:r w:rsidRPr="002772D1">
        <w:rPr>
          <w:rFonts w:ascii="Book Antiqua" w:hAnsi="Book Antiqua" w:cs="Arial"/>
          <w:bCs/>
          <w:color w:val="201F1E"/>
        </w:rPr>
        <w:t xml:space="preserve">; ALK: </w:t>
      </w:r>
      <w:r w:rsidRPr="002772D1">
        <w:rPr>
          <w:rFonts w:ascii="Book Antiqua" w:eastAsia="Book Antiqua" w:hAnsi="Book Antiqua" w:cs="Book Antiqua"/>
          <w:color w:val="000000"/>
        </w:rPr>
        <w:t>Anaplastic lymphoma kinase</w:t>
      </w:r>
      <w:r w:rsidRPr="002772D1">
        <w:rPr>
          <w:rFonts w:ascii="Book Antiqua" w:hAnsi="Book Antiqua" w:cs="Arial"/>
          <w:bCs/>
          <w:color w:val="201F1E"/>
        </w:rPr>
        <w:t xml:space="preserve">; ROS1: </w:t>
      </w:r>
      <w:r w:rsidRPr="002772D1">
        <w:rPr>
          <w:rFonts w:ascii="Book Antiqua" w:eastAsia="Book Antiqua" w:hAnsi="Book Antiqua" w:cs="Book Antiqua"/>
          <w:color w:val="000000"/>
        </w:rPr>
        <w:t>c-ROS oncogene 1</w:t>
      </w:r>
      <w:r w:rsidRPr="002772D1">
        <w:rPr>
          <w:rFonts w:ascii="Book Antiqua" w:hAnsi="Book Antiqua" w:cs="Arial"/>
          <w:bCs/>
          <w:color w:val="201F1E"/>
        </w:rPr>
        <w:t xml:space="preserve">; NTRK: </w:t>
      </w:r>
      <w:r w:rsidRPr="002772D1">
        <w:rPr>
          <w:rFonts w:ascii="Book Antiqua" w:eastAsia="Book Antiqua" w:hAnsi="Book Antiqua" w:cs="Book Antiqua"/>
          <w:color w:val="000000"/>
        </w:rPr>
        <w:t>Neurotrophic receptor tyrosine kinase</w:t>
      </w:r>
      <w:r w:rsidRPr="002772D1">
        <w:rPr>
          <w:rFonts w:ascii="Book Antiqua" w:hAnsi="Book Antiqua" w:cs="Arial"/>
          <w:bCs/>
          <w:color w:val="201F1E"/>
        </w:rPr>
        <w:t xml:space="preserve">; RET: </w:t>
      </w:r>
      <w:r w:rsidRPr="002772D1">
        <w:rPr>
          <w:rFonts w:ascii="Book Antiqua" w:eastAsia="Book Antiqua" w:hAnsi="Book Antiqua" w:cs="Book Antiqua"/>
          <w:color w:val="000000"/>
        </w:rPr>
        <w:t>Rearranged during transfection</w:t>
      </w:r>
      <w:r w:rsidRPr="002772D1">
        <w:rPr>
          <w:rFonts w:ascii="Book Antiqua" w:hAnsi="Book Antiqua" w:cs="Arial"/>
          <w:bCs/>
          <w:color w:val="201F1E"/>
        </w:rPr>
        <w:t xml:space="preserve">; KRAS: </w:t>
      </w:r>
      <w:r w:rsidRPr="002772D1">
        <w:rPr>
          <w:rFonts w:ascii="Book Antiqua" w:eastAsia="Book Antiqua" w:hAnsi="Book Antiqua" w:cs="Book Antiqua"/>
          <w:color w:val="000000"/>
        </w:rPr>
        <w:t>Kirsten rat sarcoma</w:t>
      </w:r>
      <w:r w:rsidRPr="002772D1">
        <w:rPr>
          <w:rFonts w:ascii="Book Antiqua" w:hAnsi="Book Antiqua" w:cs="Arial"/>
          <w:bCs/>
          <w:color w:val="201F1E"/>
        </w:rPr>
        <w:t xml:space="preserve">; HER2: </w:t>
      </w:r>
      <w:r w:rsidRPr="002772D1">
        <w:rPr>
          <w:rFonts w:ascii="Book Antiqua" w:eastAsia="Book Antiqua" w:hAnsi="Book Antiqua" w:cs="Book Antiqua"/>
          <w:color w:val="000000"/>
        </w:rPr>
        <w:t>Human epidermal growth factor 2</w:t>
      </w:r>
      <w:r w:rsidRPr="002772D1">
        <w:rPr>
          <w:rFonts w:ascii="Book Antiqua" w:hAnsi="Book Antiqua" w:cs="Arial"/>
          <w:bCs/>
          <w:color w:val="201F1E"/>
        </w:rPr>
        <w:t>; N</w:t>
      </w:r>
      <w:r w:rsidRPr="002772D1">
        <w:rPr>
          <w:rFonts w:ascii="Book Antiqua" w:eastAsia="Book Antiqua" w:hAnsi="Book Antiqua" w:cs="Book Antiqua"/>
          <w:color w:val="000000"/>
        </w:rPr>
        <w:t>RG1: Neuregulin-1; BRAF: V-raf murine sarcoma viral oncogene homolog B.</w:t>
      </w:r>
    </w:p>
    <w:p w14:paraId="585488B9" w14:textId="77777777" w:rsidR="002772D1" w:rsidRDefault="002772D1" w:rsidP="00162A22">
      <w:pPr>
        <w:spacing w:line="360" w:lineRule="auto"/>
        <w:jc w:val="both"/>
        <w:rPr>
          <w:rFonts w:ascii="Book Antiqua" w:hAnsi="Book Antiqua" w:cs="Book Antiqua" w:hint="eastAsia"/>
          <w:color w:val="000000"/>
          <w:lang w:eastAsia="zh-CN"/>
        </w:rPr>
      </w:pPr>
    </w:p>
    <w:p w14:paraId="3E0E04A3" w14:textId="77777777" w:rsidR="002772D1" w:rsidRDefault="002772D1" w:rsidP="00162A22">
      <w:pPr>
        <w:spacing w:line="360" w:lineRule="auto"/>
        <w:jc w:val="both"/>
        <w:rPr>
          <w:rFonts w:ascii="Book Antiqua" w:hAnsi="Book Antiqua" w:cs="Book Antiqua" w:hint="eastAsia"/>
          <w:color w:val="000000"/>
          <w:lang w:eastAsia="zh-CN"/>
        </w:rPr>
      </w:pPr>
    </w:p>
    <w:p w14:paraId="3AD4BC7A" w14:textId="77777777" w:rsidR="002772D1" w:rsidRDefault="002772D1" w:rsidP="00162A22">
      <w:pPr>
        <w:spacing w:line="360" w:lineRule="auto"/>
        <w:jc w:val="both"/>
        <w:rPr>
          <w:rFonts w:ascii="Book Antiqua" w:hAnsi="Book Antiqua" w:cs="Book Antiqua" w:hint="eastAsia"/>
          <w:color w:val="000000"/>
          <w:lang w:eastAsia="zh-CN"/>
        </w:rPr>
      </w:pPr>
    </w:p>
    <w:p w14:paraId="0E4F774E" w14:textId="77777777" w:rsidR="002772D1" w:rsidRDefault="002772D1" w:rsidP="00162A22">
      <w:pPr>
        <w:spacing w:line="360" w:lineRule="auto"/>
        <w:jc w:val="both"/>
        <w:rPr>
          <w:rFonts w:ascii="Book Antiqua" w:hAnsi="Book Antiqua" w:cs="Book Antiqua" w:hint="eastAsia"/>
          <w:color w:val="000000"/>
          <w:lang w:eastAsia="zh-CN"/>
        </w:rPr>
      </w:pPr>
    </w:p>
    <w:p w14:paraId="19A09CCB" w14:textId="77777777" w:rsidR="002772D1" w:rsidRDefault="002772D1" w:rsidP="00162A22">
      <w:pPr>
        <w:spacing w:line="360" w:lineRule="auto"/>
        <w:jc w:val="both"/>
        <w:rPr>
          <w:rFonts w:ascii="Book Antiqua" w:hAnsi="Book Antiqua" w:cs="Book Antiqua" w:hint="eastAsia"/>
          <w:color w:val="000000"/>
          <w:lang w:eastAsia="zh-CN"/>
        </w:rPr>
      </w:pPr>
    </w:p>
    <w:p w14:paraId="41ABC6BA" w14:textId="77777777" w:rsidR="002772D1" w:rsidRDefault="002772D1" w:rsidP="00162A22">
      <w:pPr>
        <w:spacing w:line="360" w:lineRule="auto"/>
        <w:jc w:val="both"/>
        <w:rPr>
          <w:rFonts w:ascii="Book Antiqua" w:hAnsi="Book Antiqua" w:cs="Book Antiqua" w:hint="eastAsia"/>
          <w:color w:val="000000"/>
          <w:lang w:eastAsia="zh-CN"/>
        </w:rPr>
      </w:pPr>
    </w:p>
    <w:p w14:paraId="75F3A323" w14:textId="77777777" w:rsidR="002772D1" w:rsidRDefault="002772D1" w:rsidP="00162A22">
      <w:pPr>
        <w:spacing w:line="360" w:lineRule="auto"/>
        <w:jc w:val="both"/>
        <w:rPr>
          <w:rFonts w:ascii="Book Antiqua" w:hAnsi="Book Antiqua" w:cs="Book Antiqua" w:hint="eastAsia"/>
          <w:color w:val="000000"/>
          <w:lang w:eastAsia="zh-CN"/>
        </w:rPr>
      </w:pPr>
    </w:p>
    <w:p w14:paraId="1EC66031" w14:textId="77777777" w:rsidR="002772D1" w:rsidRDefault="002772D1" w:rsidP="00162A22">
      <w:pPr>
        <w:spacing w:line="360" w:lineRule="auto"/>
        <w:jc w:val="both"/>
        <w:rPr>
          <w:rFonts w:ascii="Book Antiqua" w:hAnsi="Book Antiqua" w:cs="Book Antiqua" w:hint="eastAsia"/>
          <w:color w:val="000000"/>
          <w:lang w:eastAsia="zh-CN"/>
        </w:rPr>
      </w:pPr>
    </w:p>
    <w:p w14:paraId="3B64EF9F" w14:textId="77777777" w:rsidR="002772D1" w:rsidRDefault="002772D1" w:rsidP="00162A22">
      <w:pPr>
        <w:spacing w:line="360" w:lineRule="auto"/>
        <w:jc w:val="both"/>
        <w:rPr>
          <w:rFonts w:ascii="Book Antiqua" w:hAnsi="Book Antiqua" w:cs="Book Antiqua" w:hint="eastAsia"/>
          <w:color w:val="000000"/>
          <w:lang w:eastAsia="zh-CN"/>
        </w:rPr>
      </w:pPr>
    </w:p>
    <w:p w14:paraId="2A498CF7" w14:textId="77777777" w:rsidR="002772D1" w:rsidRDefault="002772D1" w:rsidP="00162A22">
      <w:pPr>
        <w:spacing w:line="360" w:lineRule="auto"/>
        <w:jc w:val="both"/>
        <w:rPr>
          <w:rFonts w:ascii="Book Antiqua" w:hAnsi="Book Antiqua" w:cs="Book Antiqua" w:hint="eastAsia"/>
          <w:color w:val="000000"/>
          <w:lang w:eastAsia="zh-CN"/>
        </w:rPr>
      </w:pPr>
    </w:p>
    <w:p w14:paraId="62B1B047" w14:textId="77777777" w:rsidR="002772D1" w:rsidRDefault="002772D1" w:rsidP="00162A22">
      <w:pPr>
        <w:spacing w:line="360" w:lineRule="auto"/>
        <w:jc w:val="both"/>
        <w:rPr>
          <w:rFonts w:ascii="Book Antiqua" w:hAnsi="Book Antiqua" w:cs="Book Antiqua" w:hint="eastAsia"/>
          <w:color w:val="000000"/>
          <w:lang w:eastAsia="zh-CN"/>
        </w:rPr>
      </w:pPr>
    </w:p>
    <w:p w14:paraId="55C477BF" w14:textId="77777777" w:rsidR="002772D1" w:rsidRDefault="002772D1" w:rsidP="00162A22">
      <w:pPr>
        <w:spacing w:line="360" w:lineRule="auto"/>
        <w:jc w:val="both"/>
        <w:rPr>
          <w:rFonts w:ascii="Book Antiqua" w:hAnsi="Book Antiqua" w:cs="Book Antiqua" w:hint="eastAsia"/>
          <w:color w:val="000000"/>
          <w:lang w:eastAsia="zh-CN"/>
        </w:rPr>
      </w:pPr>
    </w:p>
    <w:p w14:paraId="6D32C010" w14:textId="77777777" w:rsidR="002772D1" w:rsidRDefault="002772D1" w:rsidP="00162A22">
      <w:pPr>
        <w:spacing w:line="360" w:lineRule="auto"/>
        <w:jc w:val="both"/>
        <w:rPr>
          <w:rFonts w:ascii="Book Antiqua" w:hAnsi="Book Antiqua" w:cs="Book Antiqua" w:hint="eastAsia"/>
          <w:color w:val="000000"/>
          <w:lang w:eastAsia="zh-CN"/>
        </w:rPr>
      </w:pPr>
    </w:p>
    <w:p w14:paraId="4EFF124F" w14:textId="77777777" w:rsidR="002772D1" w:rsidRDefault="002772D1" w:rsidP="00162A22">
      <w:pPr>
        <w:spacing w:line="360" w:lineRule="auto"/>
        <w:jc w:val="both"/>
        <w:rPr>
          <w:rFonts w:ascii="Book Antiqua" w:hAnsi="Book Antiqua" w:cs="Book Antiqua" w:hint="eastAsia"/>
          <w:color w:val="000000"/>
          <w:lang w:eastAsia="zh-CN"/>
        </w:rPr>
      </w:pPr>
    </w:p>
    <w:p w14:paraId="2A6E3B24" w14:textId="77777777" w:rsidR="002772D1" w:rsidRDefault="002772D1" w:rsidP="00162A22">
      <w:pPr>
        <w:spacing w:line="360" w:lineRule="auto"/>
        <w:jc w:val="both"/>
        <w:rPr>
          <w:rFonts w:ascii="Book Antiqua" w:hAnsi="Book Antiqua" w:cs="Book Antiqua" w:hint="eastAsia"/>
          <w:color w:val="000000"/>
          <w:lang w:eastAsia="zh-CN"/>
        </w:rPr>
      </w:pPr>
    </w:p>
    <w:p w14:paraId="61DF90C5" w14:textId="77777777" w:rsidR="002772D1" w:rsidRDefault="002772D1" w:rsidP="00162A22">
      <w:pPr>
        <w:spacing w:line="360" w:lineRule="auto"/>
        <w:jc w:val="both"/>
        <w:rPr>
          <w:rFonts w:ascii="Book Antiqua" w:hAnsi="Book Antiqua" w:cs="Book Antiqua" w:hint="eastAsia"/>
          <w:color w:val="000000"/>
          <w:lang w:eastAsia="zh-CN"/>
        </w:rPr>
      </w:pPr>
    </w:p>
    <w:p w14:paraId="58C1B459" w14:textId="77777777" w:rsidR="002772D1" w:rsidRDefault="002772D1" w:rsidP="00162A22">
      <w:pPr>
        <w:spacing w:line="360" w:lineRule="auto"/>
        <w:jc w:val="both"/>
        <w:rPr>
          <w:rFonts w:ascii="Book Antiqua" w:hAnsi="Book Antiqua" w:cs="Book Antiqua" w:hint="eastAsia"/>
          <w:color w:val="000000"/>
          <w:lang w:eastAsia="zh-CN"/>
        </w:rPr>
      </w:pPr>
    </w:p>
    <w:p w14:paraId="1A30B1EC" w14:textId="77777777" w:rsidR="002772D1" w:rsidRDefault="002772D1" w:rsidP="00162A22">
      <w:pPr>
        <w:spacing w:line="360" w:lineRule="auto"/>
        <w:jc w:val="both"/>
        <w:rPr>
          <w:rFonts w:ascii="Book Antiqua" w:hAnsi="Book Antiqua" w:cs="Book Antiqua" w:hint="eastAsia"/>
          <w:color w:val="000000"/>
          <w:lang w:eastAsia="zh-CN"/>
        </w:rPr>
      </w:pPr>
    </w:p>
    <w:p w14:paraId="59265A50" w14:textId="77777777" w:rsidR="002772D1" w:rsidRPr="002772D1" w:rsidRDefault="002772D1" w:rsidP="00162A22">
      <w:pPr>
        <w:spacing w:line="360" w:lineRule="auto"/>
        <w:jc w:val="both"/>
        <w:rPr>
          <w:rFonts w:ascii="Book Antiqua" w:hAnsi="Book Antiqua" w:cs="Book Antiqua" w:hint="eastAsia"/>
          <w:color w:val="000000"/>
          <w:lang w:eastAsia="zh-CN"/>
        </w:rPr>
      </w:pPr>
    </w:p>
    <w:p w14:paraId="708EF92A" w14:textId="77777777" w:rsidR="00162A22" w:rsidRPr="00E06D87" w:rsidRDefault="00162A22" w:rsidP="00162A22">
      <w:pPr>
        <w:spacing w:line="360" w:lineRule="auto"/>
        <w:jc w:val="both"/>
        <w:rPr>
          <w:rFonts w:ascii="Book Antiqua" w:eastAsia="Book Antiqua" w:hAnsi="Book Antiqua" w:cs="Book Antiqua"/>
          <w:color w:val="000000"/>
        </w:rPr>
      </w:pPr>
    </w:p>
    <w:p w14:paraId="752DA2AD" w14:textId="6B202AA7" w:rsidR="00B944C3" w:rsidRDefault="00B944C3" w:rsidP="00162A22">
      <w:pPr>
        <w:spacing w:line="360" w:lineRule="auto"/>
        <w:jc w:val="both"/>
        <w:rPr>
          <w:rFonts w:ascii="Book Antiqua" w:hAnsi="Book Antiqua" w:cs="Book Antiqua" w:hint="eastAsia"/>
          <w:color w:val="000000"/>
          <w:lang w:eastAsia="zh-CN"/>
        </w:rPr>
      </w:pPr>
    </w:p>
    <w:p w14:paraId="417A9BF9" w14:textId="77777777" w:rsidR="002772D1" w:rsidRDefault="002772D1" w:rsidP="002772D1">
      <w:pPr>
        <w:jc w:val="center"/>
        <w:rPr>
          <w:rFonts w:ascii="Book Antiqua" w:hAnsi="Book Antiqua"/>
          <w:lang w:eastAsia="zh-CN"/>
        </w:rPr>
      </w:pPr>
    </w:p>
    <w:p w14:paraId="17BE75ED" w14:textId="77777777" w:rsidR="002772D1" w:rsidRDefault="002772D1" w:rsidP="002772D1">
      <w:pPr>
        <w:jc w:val="center"/>
        <w:rPr>
          <w:rFonts w:ascii="Book Antiqua" w:hAnsi="Book Antiqua"/>
          <w:lang w:eastAsia="zh-CN"/>
        </w:rPr>
      </w:pPr>
    </w:p>
    <w:p w14:paraId="00BED01B" w14:textId="77777777" w:rsidR="002772D1" w:rsidRDefault="002772D1" w:rsidP="002772D1">
      <w:pPr>
        <w:jc w:val="center"/>
        <w:rPr>
          <w:rFonts w:ascii="Book Antiqua" w:hAnsi="Book Antiqua"/>
          <w:lang w:eastAsia="zh-CN"/>
        </w:rPr>
      </w:pPr>
    </w:p>
    <w:p w14:paraId="33424878" w14:textId="77777777" w:rsidR="002772D1" w:rsidRDefault="002772D1" w:rsidP="002772D1">
      <w:pPr>
        <w:jc w:val="center"/>
        <w:rPr>
          <w:rFonts w:ascii="Book Antiqua" w:hAnsi="Book Antiqua"/>
          <w:lang w:eastAsia="zh-CN"/>
        </w:rPr>
      </w:pPr>
    </w:p>
    <w:p w14:paraId="10E2E0F7" w14:textId="77777777" w:rsidR="002772D1" w:rsidRDefault="002772D1" w:rsidP="002772D1">
      <w:pPr>
        <w:jc w:val="center"/>
        <w:rPr>
          <w:rFonts w:ascii="Book Antiqua" w:hAnsi="Book Antiqua"/>
          <w:lang w:eastAsia="zh-CN"/>
        </w:rPr>
      </w:pPr>
    </w:p>
    <w:p w14:paraId="6ADD19A4" w14:textId="2417E083" w:rsidR="002772D1" w:rsidRDefault="002772D1" w:rsidP="002772D1">
      <w:pPr>
        <w:jc w:val="center"/>
        <w:rPr>
          <w:rFonts w:ascii="Book Antiqua" w:hAnsi="Book Antiqua"/>
          <w:lang w:eastAsia="zh-CN"/>
        </w:rPr>
      </w:pPr>
      <w:r>
        <w:rPr>
          <w:rFonts w:ascii="Book Antiqua" w:hAnsi="Book Antiqua"/>
          <w:noProof/>
          <w:lang w:eastAsia="zh-CN"/>
        </w:rPr>
        <w:drawing>
          <wp:inline distT="0" distB="0" distL="0" distR="0" wp14:anchorId="1D8730E4" wp14:editId="04B80EAE">
            <wp:extent cx="2500630" cy="1438275"/>
            <wp:effectExtent l="0" t="0" r="0" b="952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3F2D89B9" w14:textId="77777777" w:rsidR="002772D1" w:rsidRDefault="002772D1" w:rsidP="002772D1">
      <w:pPr>
        <w:jc w:val="center"/>
        <w:rPr>
          <w:rFonts w:ascii="Book Antiqua" w:hAnsi="Book Antiqua"/>
          <w:lang w:eastAsia="zh-CN"/>
        </w:rPr>
      </w:pPr>
    </w:p>
    <w:p w14:paraId="510957E5" w14:textId="77777777" w:rsidR="002772D1" w:rsidRDefault="002772D1" w:rsidP="002772D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7DD64A" w14:textId="77777777" w:rsidR="002772D1" w:rsidRDefault="002772D1" w:rsidP="002772D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92B683" w14:textId="77777777" w:rsidR="002772D1" w:rsidRDefault="002772D1" w:rsidP="002772D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70B381" w14:textId="77777777" w:rsidR="002772D1" w:rsidRDefault="002772D1" w:rsidP="002772D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A335B4" w14:textId="77777777" w:rsidR="002772D1" w:rsidRDefault="002772D1" w:rsidP="002772D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500C11" w14:textId="77777777" w:rsidR="002772D1" w:rsidRDefault="002772D1" w:rsidP="002772D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6EB9B33" w14:textId="77777777" w:rsidR="002772D1" w:rsidRDefault="002772D1" w:rsidP="002772D1">
      <w:pPr>
        <w:jc w:val="center"/>
        <w:rPr>
          <w:rFonts w:ascii="Book Antiqua" w:hAnsi="Book Antiqua"/>
          <w:lang w:eastAsia="zh-CN"/>
        </w:rPr>
      </w:pPr>
    </w:p>
    <w:p w14:paraId="47ADE81E" w14:textId="77777777" w:rsidR="002772D1" w:rsidRDefault="002772D1" w:rsidP="002772D1">
      <w:pPr>
        <w:jc w:val="center"/>
        <w:rPr>
          <w:rFonts w:ascii="Book Antiqua" w:hAnsi="Book Antiqua"/>
          <w:lang w:eastAsia="zh-CN"/>
        </w:rPr>
      </w:pPr>
    </w:p>
    <w:p w14:paraId="75AE9E30" w14:textId="77777777" w:rsidR="002772D1" w:rsidRDefault="002772D1" w:rsidP="002772D1">
      <w:pPr>
        <w:jc w:val="center"/>
        <w:rPr>
          <w:rFonts w:ascii="Book Antiqua" w:hAnsi="Book Antiqua"/>
          <w:lang w:eastAsia="zh-CN"/>
        </w:rPr>
      </w:pPr>
    </w:p>
    <w:p w14:paraId="46F788BB" w14:textId="073B6047" w:rsidR="002772D1" w:rsidRDefault="002772D1" w:rsidP="002772D1">
      <w:pPr>
        <w:jc w:val="center"/>
        <w:rPr>
          <w:rFonts w:ascii="Book Antiqua" w:hAnsi="Book Antiqua"/>
          <w:lang w:eastAsia="zh-CN"/>
        </w:rPr>
      </w:pPr>
      <w:r>
        <w:rPr>
          <w:rFonts w:ascii="Book Antiqua" w:hAnsi="Book Antiqua"/>
          <w:noProof/>
          <w:lang w:eastAsia="zh-CN"/>
        </w:rPr>
        <w:drawing>
          <wp:inline distT="0" distB="0" distL="0" distR="0" wp14:anchorId="666B67D1" wp14:editId="0C49D349">
            <wp:extent cx="1447800" cy="1438275"/>
            <wp:effectExtent l="0" t="0" r="0" b="952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14539FD" w14:textId="77777777" w:rsidR="002772D1" w:rsidRDefault="002772D1" w:rsidP="002772D1">
      <w:pPr>
        <w:jc w:val="center"/>
        <w:rPr>
          <w:rFonts w:ascii="Book Antiqua" w:hAnsi="Book Antiqua"/>
          <w:lang w:eastAsia="zh-CN"/>
        </w:rPr>
      </w:pPr>
    </w:p>
    <w:p w14:paraId="77CE6065" w14:textId="77777777" w:rsidR="002772D1" w:rsidRDefault="002772D1" w:rsidP="002772D1">
      <w:pPr>
        <w:jc w:val="center"/>
        <w:rPr>
          <w:rFonts w:ascii="Book Antiqua" w:hAnsi="Book Antiqua"/>
          <w:lang w:eastAsia="zh-CN"/>
        </w:rPr>
      </w:pPr>
    </w:p>
    <w:p w14:paraId="4354F974" w14:textId="77777777" w:rsidR="002772D1" w:rsidRDefault="002772D1" w:rsidP="002772D1">
      <w:pPr>
        <w:jc w:val="center"/>
        <w:rPr>
          <w:rFonts w:ascii="Book Antiqua" w:hAnsi="Book Antiqua"/>
          <w:lang w:eastAsia="zh-CN"/>
        </w:rPr>
      </w:pPr>
    </w:p>
    <w:p w14:paraId="2DF2AD3C" w14:textId="77777777" w:rsidR="002772D1" w:rsidRDefault="002772D1" w:rsidP="002772D1">
      <w:pPr>
        <w:jc w:val="center"/>
        <w:rPr>
          <w:rFonts w:ascii="Book Antiqua" w:hAnsi="Book Antiqua"/>
          <w:lang w:eastAsia="zh-CN"/>
        </w:rPr>
      </w:pPr>
    </w:p>
    <w:p w14:paraId="51ECA552" w14:textId="77777777" w:rsidR="002772D1" w:rsidRDefault="002772D1" w:rsidP="002772D1">
      <w:pPr>
        <w:jc w:val="center"/>
        <w:rPr>
          <w:rFonts w:ascii="Book Antiqua" w:hAnsi="Book Antiqua"/>
          <w:lang w:eastAsia="zh-CN"/>
        </w:rPr>
      </w:pPr>
    </w:p>
    <w:p w14:paraId="7E8F2269" w14:textId="77777777" w:rsidR="002772D1" w:rsidRDefault="002772D1" w:rsidP="002772D1">
      <w:pPr>
        <w:jc w:val="center"/>
        <w:rPr>
          <w:rFonts w:ascii="Book Antiqua" w:hAnsi="Book Antiqua"/>
          <w:lang w:eastAsia="zh-CN"/>
        </w:rPr>
      </w:pPr>
    </w:p>
    <w:p w14:paraId="54281E5D" w14:textId="77777777" w:rsidR="002772D1" w:rsidRDefault="002772D1" w:rsidP="002772D1">
      <w:pPr>
        <w:jc w:val="center"/>
        <w:rPr>
          <w:rFonts w:ascii="Book Antiqua" w:hAnsi="Book Antiqua"/>
          <w:lang w:eastAsia="zh-CN"/>
        </w:rPr>
      </w:pPr>
    </w:p>
    <w:p w14:paraId="2221B82B" w14:textId="77777777" w:rsidR="002772D1" w:rsidRDefault="002772D1" w:rsidP="002772D1">
      <w:pPr>
        <w:jc w:val="center"/>
        <w:rPr>
          <w:rFonts w:ascii="Book Antiqua" w:hAnsi="Book Antiqua"/>
          <w:lang w:eastAsia="zh-CN"/>
        </w:rPr>
      </w:pPr>
    </w:p>
    <w:p w14:paraId="02A3100F" w14:textId="77777777" w:rsidR="002772D1" w:rsidRDefault="002772D1" w:rsidP="002772D1">
      <w:pPr>
        <w:jc w:val="center"/>
        <w:rPr>
          <w:rFonts w:ascii="Book Antiqua" w:hAnsi="Book Antiqua"/>
          <w:lang w:eastAsia="zh-CN"/>
        </w:rPr>
      </w:pPr>
    </w:p>
    <w:p w14:paraId="44ABB909" w14:textId="77777777" w:rsidR="002772D1" w:rsidRDefault="002772D1" w:rsidP="002772D1">
      <w:pPr>
        <w:jc w:val="right"/>
        <w:rPr>
          <w:rFonts w:ascii="Book Antiqua" w:hAnsi="Book Antiqua"/>
          <w:color w:val="000000" w:themeColor="text1"/>
          <w:lang w:eastAsia="zh-CN"/>
        </w:rPr>
      </w:pPr>
    </w:p>
    <w:p w14:paraId="0AE660D9" w14:textId="77777777" w:rsidR="002772D1" w:rsidRDefault="002772D1" w:rsidP="002772D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F639604" w14:textId="77777777" w:rsidR="002772D1" w:rsidRPr="002772D1" w:rsidRDefault="002772D1" w:rsidP="00162A22">
      <w:pPr>
        <w:spacing w:line="360" w:lineRule="auto"/>
        <w:jc w:val="both"/>
        <w:rPr>
          <w:rFonts w:ascii="Book Antiqua" w:hAnsi="Book Antiqua" w:cs="Book Antiqua" w:hint="eastAsia"/>
          <w:color w:val="000000"/>
          <w:lang w:eastAsia="zh-CN"/>
        </w:rPr>
      </w:pPr>
      <w:bookmarkStart w:id="2" w:name="_GoBack"/>
      <w:bookmarkEnd w:id="2"/>
    </w:p>
    <w:sectPr w:rsidR="002772D1" w:rsidRPr="00277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FB50" w14:textId="77777777" w:rsidR="00830208" w:rsidRDefault="00830208" w:rsidP="002C6922">
      <w:r>
        <w:separator/>
      </w:r>
    </w:p>
  </w:endnote>
  <w:endnote w:type="continuationSeparator" w:id="0">
    <w:p w14:paraId="400BB4C4" w14:textId="77777777" w:rsidR="00830208" w:rsidRDefault="00830208" w:rsidP="002C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503CD" w14:textId="77777777" w:rsidR="00C1122E" w:rsidRPr="002C6922" w:rsidRDefault="00C1122E" w:rsidP="002C6922">
    <w:pPr>
      <w:pStyle w:val="a4"/>
      <w:jc w:val="right"/>
      <w:rPr>
        <w:rFonts w:ascii="Book Antiqua" w:hAnsi="Book Antiqua"/>
        <w:sz w:val="24"/>
        <w:szCs w:val="24"/>
      </w:rPr>
    </w:pPr>
    <w:r w:rsidRPr="002C6922">
      <w:rPr>
        <w:rFonts w:ascii="Book Antiqua" w:hAnsi="Book Antiqua"/>
        <w:sz w:val="24"/>
        <w:szCs w:val="24"/>
        <w:lang w:val="zh-CN" w:eastAsia="zh-CN"/>
      </w:rPr>
      <w:t xml:space="preserve"> </w:t>
    </w:r>
    <w:r w:rsidRPr="002C6922">
      <w:rPr>
        <w:rFonts w:ascii="Book Antiqua" w:hAnsi="Book Antiqua"/>
        <w:sz w:val="24"/>
        <w:szCs w:val="24"/>
      </w:rPr>
      <w:fldChar w:fldCharType="begin"/>
    </w:r>
    <w:r w:rsidRPr="002C6922">
      <w:rPr>
        <w:rFonts w:ascii="Book Antiqua" w:hAnsi="Book Antiqua"/>
        <w:sz w:val="24"/>
        <w:szCs w:val="24"/>
      </w:rPr>
      <w:instrText>PAGE  \* Arabic  \* MERGEFORMAT</w:instrText>
    </w:r>
    <w:r w:rsidRPr="002C6922">
      <w:rPr>
        <w:rFonts w:ascii="Book Antiqua" w:hAnsi="Book Antiqua"/>
        <w:sz w:val="24"/>
        <w:szCs w:val="24"/>
      </w:rPr>
      <w:fldChar w:fldCharType="separate"/>
    </w:r>
    <w:r w:rsidR="002772D1" w:rsidRPr="002772D1">
      <w:rPr>
        <w:rFonts w:ascii="Book Antiqua" w:hAnsi="Book Antiqua"/>
        <w:noProof/>
        <w:sz w:val="24"/>
        <w:szCs w:val="24"/>
        <w:lang w:val="zh-CN" w:eastAsia="zh-CN"/>
      </w:rPr>
      <w:t>51</w:t>
    </w:r>
    <w:r w:rsidRPr="002C6922">
      <w:rPr>
        <w:rFonts w:ascii="Book Antiqua" w:hAnsi="Book Antiqua"/>
        <w:sz w:val="24"/>
        <w:szCs w:val="24"/>
      </w:rPr>
      <w:fldChar w:fldCharType="end"/>
    </w:r>
    <w:r w:rsidRPr="002C6922">
      <w:rPr>
        <w:rFonts w:ascii="Book Antiqua" w:hAnsi="Book Antiqua"/>
        <w:sz w:val="24"/>
        <w:szCs w:val="24"/>
        <w:lang w:val="zh-CN" w:eastAsia="zh-CN"/>
      </w:rPr>
      <w:t xml:space="preserve"> / </w:t>
    </w:r>
    <w:r w:rsidRPr="002C6922">
      <w:rPr>
        <w:rFonts w:ascii="Book Antiqua" w:hAnsi="Book Antiqua"/>
        <w:sz w:val="24"/>
        <w:szCs w:val="24"/>
      </w:rPr>
      <w:fldChar w:fldCharType="begin"/>
    </w:r>
    <w:r w:rsidRPr="002C6922">
      <w:rPr>
        <w:rFonts w:ascii="Book Antiqua" w:hAnsi="Book Antiqua"/>
        <w:sz w:val="24"/>
        <w:szCs w:val="24"/>
      </w:rPr>
      <w:instrText>NUMPAGES  \* Arabic  \* MERGEFORMAT</w:instrText>
    </w:r>
    <w:r w:rsidRPr="002C6922">
      <w:rPr>
        <w:rFonts w:ascii="Book Antiqua" w:hAnsi="Book Antiqua"/>
        <w:sz w:val="24"/>
        <w:szCs w:val="24"/>
      </w:rPr>
      <w:fldChar w:fldCharType="separate"/>
    </w:r>
    <w:r w:rsidR="002772D1" w:rsidRPr="002772D1">
      <w:rPr>
        <w:rFonts w:ascii="Book Antiqua" w:hAnsi="Book Antiqua"/>
        <w:noProof/>
        <w:sz w:val="24"/>
        <w:szCs w:val="24"/>
        <w:lang w:val="zh-CN" w:eastAsia="zh-CN"/>
      </w:rPr>
      <w:t>52</w:t>
    </w:r>
    <w:r w:rsidRPr="002C6922">
      <w:rPr>
        <w:rFonts w:ascii="Book Antiqua" w:hAnsi="Book Antiqua"/>
        <w:sz w:val="24"/>
        <w:szCs w:val="24"/>
      </w:rPr>
      <w:fldChar w:fldCharType="end"/>
    </w:r>
  </w:p>
  <w:p w14:paraId="2BBF0884" w14:textId="77777777" w:rsidR="00C1122E" w:rsidRPr="002C6922" w:rsidRDefault="00C1122E" w:rsidP="002C692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1EACB" w14:textId="77777777" w:rsidR="00830208" w:rsidRDefault="00830208" w:rsidP="002C6922">
      <w:r>
        <w:separator/>
      </w:r>
    </w:p>
  </w:footnote>
  <w:footnote w:type="continuationSeparator" w:id="0">
    <w:p w14:paraId="5073BA10" w14:textId="77777777" w:rsidR="00830208" w:rsidRDefault="00830208" w:rsidP="002C6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9C3"/>
    <w:rsid w:val="00034488"/>
    <w:rsid w:val="0004745B"/>
    <w:rsid w:val="00067119"/>
    <w:rsid w:val="00071A04"/>
    <w:rsid w:val="000864F3"/>
    <w:rsid w:val="000A4571"/>
    <w:rsid w:val="000D4991"/>
    <w:rsid w:val="000F1AEF"/>
    <w:rsid w:val="000F7F25"/>
    <w:rsid w:val="001015D4"/>
    <w:rsid w:val="00151D22"/>
    <w:rsid w:val="00161CE3"/>
    <w:rsid w:val="00162A22"/>
    <w:rsid w:val="00190526"/>
    <w:rsid w:val="001A2B56"/>
    <w:rsid w:val="001B667F"/>
    <w:rsid w:val="001C486E"/>
    <w:rsid w:val="001C4C91"/>
    <w:rsid w:val="001E1895"/>
    <w:rsid w:val="00250200"/>
    <w:rsid w:val="00251673"/>
    <w:rsid w:val="00270435"/>
    <w:rsid w:val="002772D1"/>
    <w:rsid w:val="002A4DEF"/>
    <w:rsid w:val="002B758D"/>
    <w:rsid w:val="002C6922"/>
    <w:rsid w:val="00386CC6"/>
    <w:rsid w:val="00401B62"/>
    <w:rsid w:val="00425A4E"/>
    <w:rsid w:val="00432358"/>
    <w:rsid w:val="00435F64"/>
    <w:rsid w:val="004C5312"/>
    <w:rsid w:val="004C6929"/>
    <w:rsid w:val="005007E2"/>
    <w:rsid w:val="005161B8"/>
    <w:rsid w:val="005336BF"/>
    <w:rsid w:val="0054327E"/>
    <w:rsid w:val="005514B5"/>
    <w:rsid w:val="00552C66"/>
    <w:rsid w:val="005627BC"/>
    <w:rsid w:val="005C0424"/>
    <w:rsid w:val="005E5AFC"/>
    <w:rsid w:val="005E7F70"/>
    <w:rsid w:val="005F688A"/>
    <w:rsid w:val="00613391"/>
    <w:rsid w:val="00615DD3"/>
    <w:rsid w:val="00627E9D"/>
    <w:rsid w:val="0064352A"/>
    <w:rsid w:val="00651E27"/>
    <w:rsid w:val="00664C60"/>
    <w:rsid w:val="00684D1D"/>
    <w:rsid w:val="00692311"/>
    <w:rsid w:val="006D6A8F"/>
    <w:rsid w:val="006F17B7"/>
    <w:rsid w:val="00717663"/>
    <w:rsid w:val="007279C9"/>
    <w:rsid w:val="00765DB6"/>
    <w:rsid w:val="00830208"/>
    <w:rsid w:val="00830AB3"/>
    <w:rsid w:val="008338D4"/>
    <w:rsid w:val="00840243"/>
    <w:rsid w:val="00845367"/>
    <w:rsid w:val="00850CAE"/>
    <w:rsid w:val="0089110F"/>
    <w:rsid w:val="008A0B4B"/>
    <w:rsid w:val="008A632D"/>
    <w:rsid w:val="008C161A"/>
    <w:rsid w:val="008C3989"/>
    <w:rsid w:val="008E562E"/>
    <w:rsid w:val="00920A0E"/>
    <w:rsid w:val="00941980"/>
    <w:rsid w:val="009F05AD"/>
    <w:rsid w:val="00A003D3"/>
    <w:rsid w:val="00A11F6D"/>
    <w:rsid w:val="00A24058"/>
    <w:rsid w:val="00A73503"/>
    <w:rsid w:val="00A77B3E"/>
    <w:rsid w:val="00A87DB0"/>
    <w:rsid w:val="00AD675F"/>
    <w:rsid w:val="00B06B69"/>
    <w:rsid w:val="00B944C3"/>
    <w:rsid w:val="00B96399"/>
    <w:rsid w:val="00BA1C63"/>
    <w:rsid w:val="00BA711B"/>
    <w:rsid w:val="00BB7718"/>
    <w:rsid w:val="00BE19B6"/>
    <w:rsid w:val="00C1122E"/>
    <w:rsid w:val="00C12DBA"/>
    <w:rsid w:val="00C17FF1"/>
    <w:rsid w:val="00CA2A55"/>
    <w:rsid w:val="00CB7EB9"/>
    <w:rsid w:val="00CC398A"/>
    <w:rsid w:val="00CC6062"/>
    <w:rsid w:val="00CD46D4"/>
    <w:rsid w:val="00D5270A"/>
    <w:rsid w:val="00D81B34"/>
    <w:rsid w:val="00D822D3"/>
    <w:rsid w:val="00DB2579"/>
    <w:rsid w:val="00E06D87"/>
    <w:rsid w:val="00E071B1"/>
    <w:rsid w:val="00E3389C"/>
    <w:rsid w:val="00E43561"/>
    <w:rsid w:val="00E50CE0"/>
    <w:rsid w:val="00EC179A"/>
    <w:rsid w:val="00F11F9C"/>
    <w:rsid w:val="00F503AF"/>
    <w:rsid w:val="00FA37E7"/>
    <w:rsid w:val="00FB4C08"/>
    <w:rsid w:val="00FC32B4"/>
    <w:rsid w:val="00FE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A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kfpyv3yvq">
    <w:name w:val="markkfpyv3yvq"/>
    <w:basedOn w:val="a0"/>
  </w:style>
  <w:style w:type="paragraph" w:styleId="a3">
    <w:name w:val="header"/>
    <w:basedOn w:val="a"/>
    <w:link w:val="Char"/>
    <w:unhideWhenUsed/>
    <w:rsid w:val="002C6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6922"/>
    <w:rPr>
      <w:sz w:val="18"/>
      <w:szCs w:val="18"/>
    </w:rPr>
  </w:style>
  <w:style w:type="paragraph" w:styleId="a4">
    <w:name w:val="footer"/>
    <w:basedOn w:val="a"/>
    <w:link w:val="Char0"/>
    <w:uiPriority w:val="99"/>
    <w:unhideWhenUsed/>
    <w:rsid w:val="002C6922"/>
    <w:pPr>
      <w:tabs>
        <w:tab w:val="center" w:pos="4153"/>
        <w:tab w:val="right" w:pos="8306"/>
      </w:tabs>
      <w:snapToGrid w:val="0"/>
    </w:pPr>
    <w:rPr>
      <w:sz w:val="18"/>
      <w:szCs w:val="18"/>
    </w:rPr>
  </w:style>
  <w:style w:type="character" w:customStyle="1" w:styleId="Char0">
    <w:name w:val="页脚 Char"/>
    <w:basedOn w:val="a0"/>
    <w:link w:val="a4"/>
    <w:uiPriority w:val="99"/>
    <w:rsid w:val="002C6922"/>
    <w:rPr>
      <w:sz w:val="18"/>
      <w:szCs w:val="18"/>
    </w:rPr>
  </w:style>
  <w:style w:type="table" w:styleId="a5">
    <w:name w:val="Table Grid"/>
    <w:basedOn w:val="a1"/>
    <w:uiPriority w:val="39"/>
    <w:rsid w:val="00B94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7279C9"/>
  </w:style>
  <w:style w:type="character" w:styleId="a6">
    <w:name w:val="Hyperlink"/>
    <w:basedOn w:val="a0"/>
    <w:uiPriority w:val="99"/>
    <w:unhideWhenUsed/>
    <w:rsid w:val="005C0424"/>
    <w:rPr>
      <w:color w:val="0000FF"/>
      <w:u w:val="single"/>
    </w:rPr>
  </w:style>
  <w:style w:type="character" w:styleId="a7">
    <w:name w:val="annotation reference"/>
    <w:basedOn w:val="a0"/>
    <w:semiHidden/>
    <w:unhideWhenUsed/>
    <w:rsid w:val="00684D1D"/>
    <w:rPr>
      <w:sz w:val="21"/>
      <w:szCs w:val="21"/>
    </w:rPr>
  </w:style>
  <w:style w:type="paragraph" w:styleId="a8">
    <w:name w:val="annotation text"/>
    <w:basedOn w:val="a"/>
    <w:link w:val="Char1"/>
    <w:semiHidden/>
    <w:unhideWhenUsed/>
    <w:rsid w:val="00684D1D"/>
  </w:style>
  <w:style w:type="character" w:customStyle="1" w:styleId="Char1">
    <w:name w:val="批注文字 Char"/>
    <w:basedOn w:val="a0"/>
    <w:link w:val="a8"/>
    <w:semiHidden/>
    <w:rsid w:val="00684D1D"/>
    <w:rPr>
      <w:sz w:val="24"/>
      <w:szCs w:val="24"/>
    </w:rPr>
  </w:style>
  <w:style w:type="paragraph" w:styleId="a9">
    <w:name w:val="annotation subject"/>
    <w:basedOn w:val="a8"/>
    <w:next w:val="a8"/>
    <w:link w:val="Char2"/>
    <w:semiHidden/>
    <w:unhideWhenUsed/>
    <w:rsid w:val="00684D1D"/>
    <w:rPr>
      <w:b/>
      <w:bCs/>
    </w:rPr>
  </w:style>
  <w:style w:type="character" w:customStyle="1" w:styleId="Char2">
    <w:name w:val="批注主题 Char"/>
    <w:basedOn w:val="Char1"/>
    <w:link w:val="a9"/>
    <w:semiHidden/>
    <w:rsid w:val="00684D1D"/>
    <w:rPr>
      <w:b/>
      <w:bCs/>
      <w:sz w:val="24"/>
      <w:szCs w:val="24"/>
    </w:rPr>
  </w:style>
  <w:style w:type="paragraph" w:styleId="aa">
    <w:name w:val="Balloon Text"/>
    <w:basedOn w:val="a"/>
    <w:link w:val="Char3"/>
    <w:semiHidden/>
    <w:unhideWhenUsed/>
    <w:rsid w:val="00425A4E"/>
    <w:rPr>
      <w:sz w:val="18"/>
      <w:szCs w:val="18"/>
    </w:rPr>
  </w:style>
  <w:style w:type="character" w:customStyle="1" w:styleId="Char3">
    <w:name w:val="批注框文本 Char"/>
    <w:basedOn w:val="a0"/>
    <w:link w:val="aa"/>
    <w:semiHidden/>
    <w:rsid w:val="00425A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kfpyv3yvq">
    <w:name w:val="markkfpyv3yvq"/>
    <w:basedOn w:val="a0"/>
  </w:style>
  <w:style w:type="paragraph" w:styleId="a3">
    <w:name w:val="header"/>
    <w:basedOn w:val="a"/>
    <w:link w:val="Char"/>
    <w:unhideWhenUsed/>
    <w:rsid w:val="002C6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6922"/>
    <w:rPr>
      <w:sz w:val="18"/>
      <w:szCs w:val="18"/>
    </w:rPr>
  </w:style>
  <w:style w:type="paragraph" w:styleId="a4">
    <w:name w:val="footer"/>
    <w:basedOn w:val="a"/>
    <w:link w:val="Char0"/>
    <w:uiPriority w:val="99"/>
    <w:unhideWhenUsed/>
    <w:rsid w:val="002C6922"/>
    <w:pPr>
      <w:tabs>
        <w:tab w:val="center" w:pos="4153"/>
        <w:tab w:val="right" w:pos="8306"/>
      </w:tabs>
      <w:snapToGrid w:val="0"/>
    </w:pPr>
    <w:rPr>
      <w:sz w:val="18"/>
      <w:szCs w:val="18"/>
    </w:rPr>
  </w:style>
  <w:style w:type="character" w:customStyle="1" w:styleId="Char0">
    <w:name w:val="页脚 Char"/>
    <w:basedOn w:val="a0"/>
    <w:link w:val="a4"/>
    <w:uiPriority w:val="99"/>
    <w:rsid w:val="002C6922"/>
    <w:rPr>
      <w:sz w:val="18"/>
      <w:szCs w:val="18"/>
    </w:rPr>
  </w:style>
  <w:style w:type="table" w:styleId="a5">
    <w:name w:val="Table Grid"/>
    <w:basedOn w:val="a1"/>
    <w:uiPriority w:val="39"/>
    <w:rsid w:val="00B94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7279C9"/>
  </w:style>
  <w:style w:type="character" w:styleId="a6">
    <w:name w:val="Hyperlink"/>
    <w:basedOn w:val="a0"/>
    <w:uiPriority w:val="99"/>
    <w:unhideWhenUsed/>
    <w:rsid w:val="005C0424"/>
    <w:rPr>
      <w:color w:val="0000FF"/>
      <w:u w:val="single"/>
    </w:rPr>
  </w:style>
  <w:style w:type="character" w:styleId="a7">
    <w:name w:val="annotation reference"/>
    <w:basedOn w:val="a0"/>
    <w:semiHidden/>
    <w:unhideWhenUsed/>
    <w:rsid w:val="00684D1D"/>
    <w:rPr>
      <w:sz w:val="21"/>
      <w:szCs w:val="21"/>
    </w:rPr>
  </w:style>
  <w:style w:type="paragraph" w:styleId="a8">
    <w:name w:val="annotation text"/>
    <w:basedOn w:val="a"/>
    <w:link w:val="Char1"/>
    <w:semiHidden/>
    <w:unhideWhenUsed/>
    <w:rsid w:val="00684D1D"/>
  </w:style>
  <w:style w:type="character" w:customStyle="1" w:styleId="Char1">
    <w:name w:val="批注文字 Char"/>
    <w:basedOn w:val="a0"/>
    <w:link w:val="a8"/>
    <w:semiHidden/>
    <w:rsid w:val="00684D1D"/>
    <w:rPr>
      <w:sz w:val="24"/>
      <w:szCs w:val="24"/>
    </w:rPr>
  </w:style>
  <w:style w:type="paragraph" w:styleId="a9">
    <w:name w:val="annotation subject"/>
    <w:basedOn w:val="a8"/>
    <w:next w:val="a8"/>
    <w:link w:val="Char2"/>
    <w:semiHidden/>
    <w:unhideWhenUsed/>
    <w:rsid w:val="00684D1D"/>
    <w:rPr>
      <w:b/>
      <w:bCs/>
    </w:rPr>
  </w:style>
  <w:style w:type="character" w:customStyle="1" w:styleId="Char2">
    <w:name w:val="批注主题 Char"/>
    <w:basedOn w:val="Char1"/>
    <w:link w:val="a9"/>
    <w:semiHidden/>
    <w:rsid w:val="00684D1D"/>
    <w:rPr>
      <w:b/>
      <w:bCs/>
      <w:sz w:val="24"/>
      <w:szCs w:val="24"/>
    </w:rPr>
  </w:style>
  <w:style w:type="paragraph" w:styleId="aa">
    <w:name w:val="Balloon Text"/>
    <w:basedOn w:val="a"/>
    <w:link w:val="Char3"/>
    <w:semiHidden/>
    <w:unhideWhenUsed/>
    <w:rsid w:val="00425A4E"/>
    <w:rPr>
      <w:sz w:val="18"/>
      <w:szCs w:val="18"/>
    </w:rPr>
  </w:style>
  <w:style w:type="character" w:customStyle="1" w:styleId="Char3">
    <w:name w:val="批注框文本 Char"/>
    <w:basedOn w:val="a0"/>
    <w:link w:val="aa"/>
    <w:semiHidden/>
    <w:rsid w:val="00425A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791">
      <w:bodyDiv w:val="1"/>
      <w:marLeft w:val="0"/>
      <w:marRight w:val="0"/>
      <w:marTop w:val="0"/>
      <w:marBottom w:val="0"/>
      <w:divBdr>
        <w:top w:val="none" w:sz="0" w:space="0" w:color="auto"/>
        <w:left w:val="none" w:sz="0" w:space="0" w:color="auto"/>
        <w:bottom w:val="none" w:sz="0" w:space="0" w:color="auto"/>
        <w:right w:val="none" w:sz="0" w:space="0" w:color="auto"/>
      </w:divBdr>
    </w:div>
    <w:div w:id="785196952">
      <w:bodyDiv w:val="1"/>
      <w:marLeft w:val="0"/>
      <w:marRight w:val="0"/>
      <w:marTop w:val="0"/>
      <w:marBottom w:val="0"/>
      <w:divBdr>
        <w:top w:val="none" w:sz="0" w:space="0" w:color="auto"/>
        <w:left w:val="none" w:sz="0" w:space="0" w:color="auto"/>
        <w:bottom w:val="none" w:sz="0" w:space="0" w:color="auto"/>
        <w:right w:val="none" w:sz="0" w:space="0" w:color="auto"/>
      </w:divBdr>
    </w:div>
    <w:div w:id="954018591">
      <w:bodyDiv w:val="1"/>
      <w:marLeft w:val="0"/>
      <w:marRight w:val="0"/>
      <w:marTop w:val="0"/>
      <w:marBottom w:val="0"/>
      <w:divBdr>
        <w:top w:val="none" w:sz="0" w:space="0" w:color="auto"/>
        <w:left w:val="none" w:sz="0" w:space="0" w:color="auto"/>
        <w:bottom w:val="none" w:sz="0" w:space="0" w:color="auto"/>
        <w:right w:val="none" w:sz="0" w:space="0" w:color="auto"/>
      </w:divBdr>
    </w:div>
    <w:div w:id="1104228041">
      <w:bodyDiv w:val="1"/>
      <w:marLeft w:val="0"/>
      <w:marRight w:val="0"/>
      <w:marTop w:val="0"/>
      <w:marBottom w:val="0"/>
      <w:divBdr>
        <w:top w:val="none" w:sz="0" w:space="0" w:color="auto"/>
        <w:left w:val="none" w:sz="0" w:space="0" w:color="auto"/>
        <w:bottom w:val="none" w:sz="0" w:space="0" w:color="auto"/>
        <w:right w:val="none" w:sz="0" w:space="0" w:color="auto"/>
      </w:divBdr>
    </w:div>
    <w:div w:id="1414399788">
      <w:bodyDiv w:val="1"/>
      <w:marLeft w:val="0"/>
      <w:marRight w:val="0"/>
      <w:marTop w:val="0"/>
      <w:marBottom w:val="0"/>
      <w:divBdr>
        <w:top w:val="none" w:sz="0" w:space="0" w:color="auto"/>
        <w:left w:val="none" w:sz="0" w:space="0" w:color="auto"/>
        <w:bottom w:val="none" w:sz="0" w:space="0" w:color="auto"/>
        <w:right w:val="none" w:sz="0" w:space="0" w:color="auto"/>
      </w:divBdr>
    </w:div>
    <w:div w:id="1487279461">
      <w:bodyDiv w:val="1"/>
      <w:marLeft w:val="0"/>
      <w:marRight w:val="0"/>
      <w:marTop w:val="0"/>
      <w:marBottom w:val="0"/>
      <w:divBdr>
        <w:top w:val="none" w:sz="0" w:space="0" w:color="auto"/>
        <w:left w:val="none" w:sz="0" w:space="0" w:color="auto"/>
        <w:bottom w:val="none" w:sz="0" w:space="0" w:color="auto"/>
        <w:right w:val="none" w:sz="0" w:space="0" w:color="auto"/>
      </w:divBdr>
    </w:div>
    <w:div w:id="21345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7543-F5DF-4E7C-B9EE-51A32233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51</Pages>
  <Words>18602</Words>
  <Characters>106034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16</cp:revision>
  <dcterms:created xsi:type="dcterms:W3CDTF">2021-04-07T17:31:00Z</dcterms:created>
  <dcterms:modified xsi:type="dcterms:W3CDTF">2021-04-16T11:53:00Z</dcterms:modified>
</cp:coreProperties>
</file>