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FB40" w14:textId="0D77547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Name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Journal: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World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Journal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of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Clinical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Oncology</w:t>
      </w:r>
    </w:p>
    <w:p w14:paraId="7555A495" w14:textId="6EB2D0B8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NO: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63832</w:t>
      </w:r>
    </w:p>
    <w:p w14:paraId="7197DC44" w14:textId="34DA7A2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Type: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MINIREVIEWS</w:t>
      </w:r>
    </w:p>
    <w:p w14:paraId="69EA0B85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8E008" w14:textId="5FD7E3DA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Mechanisms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acquired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resistance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BRCA1/2-driven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to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platinum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compounds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and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PARP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inhibitors</w:t>
      </w:r>
    </w:p>
    <w:p w14:paraId="7F47704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AAC6FA" w14:textId="7D1EAFA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33160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</w:p>
    <w:p w14:paraId="1CA062C7" w14:textId="4F577201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FA2CCE" w14:textId="62089C3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33160">
        <w:rPr>
          <w:rFonts w:ascii="Book Antiqua" w:eastAsia="Book Antiqua" w:hAnsi="Book Antiqua" w:cs="Book Antiqua"/>
          <w:color w:val="000000"/>
        </w:rPr>
        <w:t>Evgeny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Sokolenko</w:t>
      </w:r>
      <w:proofErr w:type="spellEnd"/>
    </w:p>
    <w:p w14:paraId="4B95C3B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2E886" w14:textId="6613564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Sokolenko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Growth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Petrov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197758,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781F45BA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C2E3BC" w14:textId="579FEAE8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Sokolenko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St.-Petersburg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Pediatric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University,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194100,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69A7842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6AD3B" w14:textId="14B367ED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I.I.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North-Western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University,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191015,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7BB0861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147858" w14:textId="4A1C3A2C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prepared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draft</w:t>
      </w:r>
      <w:r w:rsidR="008B233D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Sokolenko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collected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figures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manuscript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writing.</w:t>
      </w:r>
    </w:p>
    <w:p w14:paraId="3259A21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ACD35B" w14:textId="230CABF3" w:rsidR="00A77B3E" w:rsidRPr="00477F07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7F07">
        <w:rPr>
          <w:rFonts w:ascii="Book Antiqua" w:hAnsi="Book Antiqua" w:cs="Book Antiqua" w:hint="eastAsia"/>
          <w:color w:val="000000"/>
          <w:lang w:eastAsia="zh-CN"/>
        </w:rPr>
        <w:t>T</w:t>
      </w:r>
      <w:r w:rsidRPr="00E33160">
        <w:rPr>
          <w:rFonts w:ascii="Book Antiqua" w:eastAsia="Book Antiqua" w:hAnsi="Book Antiqua" w:cs="Book Antiqua"/>
          <w:color w:val="000000"/>
        </w:rPr>
        <w:t>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Ministry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Science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Education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Federation,</w:t>
      </w:r>
      <w:r w:rsidR="00ED1590">
        <w:rPr>
          <w:rFonts w:ascii="Book Antiqua" w:eastAsia="Book Antiqua" w:hAnsi="Book Antiqua" w:cs="Book Antiqua"/>
          <w:color w:val="000000"/>
        </w:rPr>
        <w:t xml:space="preserve"> No. </w:t>
      </w:r>
      <w:r w:rsidRPr="00E33160">
        <w:rPr>
          <w:rFonts w:ascii="Book Antiqua" w:eastAsia="Book Antiqua" w:hAnsi="Book Antiqua" w:cs="Book Antiqua"/>
          <w:color w:val="000000"/>
        </w:rPr>
        <w:t>075-15-2020-789.</w:t>
      </w:r>
    </w:p>
    <w:p w14:paraId="083512F8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255D73" w14:textId="48CB37F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E331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Growth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Petrov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71D5" w:rsidRPr="00E33160">
        <w:rPr>
          <w:rFonts w:ascii="Book Antiqua" w:eastAsia="Book Antiqua" w:hAnsi="Book Antiqua" w:cs="Book Antiqua"/>
          <w:color w:val="000000"/>
        </w:rPr>
        <w:t>Pesochny</w:t>
      </w:r>
      <w:proofErr w:type="spellEnd"/>
      <w:r w:rsidR="00D871D5"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71D5" w:rsidRPr="00E33160">
        <w:rPr>
          <w:rFonts w:ascii="Book Antiqua" w:eastAsia="Book Antiqua" w:hAnsi="Book Antiqua" w:cs="Book Antiqua"/>
          <w:color w:val="000000"/>
        </w:rPr>
        <w:t>Leningradskaya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str.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68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197758,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evgeny@imyanitov.spb.ru</w:t>
      </w:r>
    </w:p>
    <w:p w14:paraId="6F7F0F2B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75D157" w14:textId="3A7417F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February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5AECE606" w14:textId="15F35AE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April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4,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4D4151EA" w14:textId="153D30C6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DD31C7">
        <w:rPr>
          <w:rFonts w:ascii="Book Antiqua" w:eastAsia="宋体" w:hAnsi="Book Antiqua"/>
          <w:color w:val="000000" w:themeColor="text1"/>
        </w:rPr>
        <w:t>J</w:t>
      </w:r>
      <w:r w:rsidR="00DD31C7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DD31C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DD31C7">
        <w:rPr>
          <w:rFonts w:ascii="Book Antiqua" w:eastAsia="宋体" w:hAnsi="Book Antiqua"/>
          <w:color w:val="000000" w:themeColor="text1"/>
        </w:rPr>
        <w:t>3</w:t>
      </w:r>
      <w:r w:rsidR="00DD31C7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DF060C3" w14:textId="66EA6A0A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1945" w:rsidRPr="001D1945">
        <w:rPr>
          <w:rFonts w:ascii="Book Antiqua" w:eastAsia="Book Antiqua" w:hAnsi="Book Antiqua" w:cs="Book Antiqua"/>
          <w:bCs/>
          <w:color w:val="000000"/>
        </w:rPr>
        <w:t>Ju</w:t>
      </w:r>
      <w:r w:rsidR="001D1945">
        <w:rPr>
          <w:rFonts w:ascii="Book Antiqua" w:hAnsi="Book Antiqua" w:cs="Book Antiqua" w:hint="eastAsia"/>
          <w:bCs/>
          <w:color w:val="000000"/>
          <w:lang w:eastAsia="zh-CN"/>
        </w:rPr>
        <w:t>ly</w:t>
      </w:r>
      <w:r w:rsidR="001D1945" w:rsidRPr="001D194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D1945">
        <w:rPr>
          <w:rFonts w:ascii="Book Antiqua" w:hAnsi="Book Antiqua" w:cs="Book Antiqua" w:hint="eastAsia"/>
          <w:bCs/>
          <w:color w:val="000000"/>
          <w:lang w:eastAsia="zh-CN"/>
        </w:rPr>
        <w:t>24</w:t>
      </w:r>
      <w:r w:rsidR="001D1945" w:rsidRPr="001D1945">
        <w:rPr>
          <w:rFonts w:ascii="Book Antiqua" w:eastAsia="Book Antiqua" w:hAnsi="Book Antiqua" w:cs="Book Antiqua"/>
          <w:bCs/>
          <w:color w:val="000000"/>
        </w:rPr>
        <w:t>, 2021</w:t>
      </w:r>
    </w:p>
    <w:p w14:paraId="69BD021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316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6F43F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D4C2F9" w14:textId="01E440E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F262E">
        <w:rPr>
          <w:rFonts w:ascii="Book Antiqua" w:eastAsia="Book Antiqua" w:hAnsi="Book Antiqua" w:cs="Book Antiqua"/>
          <w:color w:val="000000"/>
        </w:rPr>
        <w:t>cludes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inhibitors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Long-term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open-reading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repeatedly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validated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laboratory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F63F19">
        <w:rPr>
          <w:rFonts w:ascii="Book Antiqua" w:eastAsia="Book Antiqua" w:hAnsi="Book Antiqua" w:cs="Book Antiqua"/>
          <w:i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68030B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68030B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established.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short-term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holidays.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Understanding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novel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aim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improve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evaluation.</w:t>
      </w:r>
    </w:p>
    <w:p w14:paraId="594872C4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67BEC4" w14:textId="0B22282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D471B3">
        <w:rPr>
          <w:rFonts w:ascii="Book Antiqua" w:eastAsia="Book Antiqua" w:hAnsi="Book Antiqua" w:cs="Book Antiqua"/>
          <w:color w:val="000000"/>
        </w:rPr>
        <w:t>s</w:t>
      </w:r>
      <w:r w:rsidRPr="00E33160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8030B">
        <w:rPr>
          <w:rFonts w:ascii="Book Antiqua" w:eastAsia="Book Antiqua" w:hAnsi="Book Antiqua" w:cs="Book Antiqua"/>
          <w:color w:val="000000"/>
        </w:rPr>
        <w:t>P</w:t>
      </w:r>
      <w:r w:rsidR="0068030B" w:rsidRPr="00E33160">
        <w:rPr>
          <w:rFonts w:ascii="Book Antiqua" w:eastAsia="Book Antiqua" w:hAnsi="Book Antiqua" w:cs="Book Antiqua"/>
          <w:color w:val="000000"/>
        </w:rPr>
        <w:t>latinum</w:t>
      </w:r>
      <w:r w:rsidR="00E33160" w:rsidRPr="00E33160">
        <w:rPr>
          <w:rFonts w:ascii="Book Antiqua" w:eastAsia="Book Antiqua" w:hAnsi="Book Antiqua" w:cs="Book Antiqua"/>
          <w:color w:val="000000"/>
        </w:rPr>
        <w:t>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33160" w:rsidRPr="00E33160">
        <w:rPr>
          <w:rFonts w:ascii="Book Antiqua" w:eastAsia="Book Antiqua" w:hAnsi="Book Antiqua" w:cs="Book Antiqua"/>
          <w:color w:val="000000"/>
        </w:rPr>
        <w:t>therapy</w:t>
      </w:r>
      <w:r w:rsidR="00D471B3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P</w:t>
      </w:r>
      <w:r w:rsidR="00D471B3" w:rsidRPr="00E33160">
        <w:rPr>
          <w:rFonts w:ascii="Book Antiqua" w:eastAsia="Book Antiqua" w:hAnsi="Book Antiqua" w:cs="Book Antiqua"/>
          <w:color w:val="000000"/>
        </w:rPr>
        <w:t>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inhibitors</w:t>
      </w:r>
      <w:r w:rsidR="00D471B3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8030B">
        <w:rPr>
          <w:rFonts w:ascii="Book Antiqua" w:eastAsia="Book Antiqua" w:hAnsi="Book Antiqua" w:cs="Book Antiqua"/>
          <w:color w:val="000000"/>
        </w:rPr>
        <w:t xml:space="preserve">Drug </w:t>
      </w:r>
      <w:r w:rsidR="00D471B3">
        <w:rPr>
          <w:rFonts w:ascii="Book Antiqua" w:eastAsia="Book Antiqua" w:hAnsi="Book Antiqua" w:cs="Book Antiqua"/>
          <w:color w:val="000000"/>
        </w:rPr>
        <w:t>resistance;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S</w:t>
      </w:r>
      <w:r w:rsidR="00D471B3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mutations;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351E">
        <w:rPr>
          <w:rFonts w:ascii="Book Antiqua" w:eastAsia="Book Antiqua" w:hAnsi="Book Antiqua" w:cs="Book Antiqua"/>
          <w:color w:val="000000"/>
        </w:rPr>
        <w:t>I</w:t>
      </w:r>
      <w:r w:rsidR="00D471B3">
        <w:rPr>
          <w:rFonts w:ascii="Book Antiqua" w:eastAsia="Book Antiqua" w:hAnsi="Book Antiqua" w:cs="Book Antiqua"/>
          <w:color w:val="000000"/>
        </w:rPr>
        <w:t>ntratumoral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heterogeneity;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351E">
        <w:rPr>
          <w:rFonts w:ascii="Book Antiqua" w:eastAsia="Book Antiqua" w:hAnsi="Book Antiqua" w:cs="Book Antiqua"/>
          <w:color w:val="000000"/>
        </w:rPr>
        <w:t>N</w:t>
      </w:r>
      <w:r w:rsidR="00D471B3">
        <w:rPr>
          <w:rFonts w:ascii="Book Antiqua" w:eastAsia="Book Antiqua" w:hAnsi="Book Antiqua" w:cs="Book Antiqua"/>
          <w:color w:val="000000"/>
        </w:rPr>
        <w:t>eoadjuvant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therapy</w:t>
      </w:r>
    </w:p>
    <w:p w14:paraId="26280066" w14:textId="77777777" w:rsidR="00DD15B1" w:rsidRDefault="00DD15B1" w:rsidP="00DD15B1">
      <w:pPr>
        <w:rPr>
          <w:rFonts w:asciiTheme="minorEastAsia" w:hAnsiTheme="minorEastAsia"/>
          <w:b/>
        </w:rPr>
      </w:pPr>
    </w:p>
    <w:p w14:paraId="67A41781" w14:textId="77777777" w:rsidR="00DD15B1" w:rsidRDefault="00DD15B1" w:rsidP="00DD15B1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60E3ED1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FF3883" w14:textId="2D3C1E1E" w:rsidR="000803CE" w:rsidRDefault="00DD15B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Citation: </w:t>
      </w:r>
      <w:proofErr w:type="spellStart"/>
      <w:r w:rsidR="00741601" w:rsidRPr="00E33160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1601" w:rsidRPr="00E33160">
        <w:rPr>
          <w:rFonts w:ascii="Book Antiqua" w:eastAsia="Book Antiqua" w:hAnsi="Book Antiqua" w:cs="Book Antiqua"/>
          <w:color w:val="000000"/>
        </w:rPr>
        <w:t>Sokolenko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A.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PARP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inhibitors.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741601" w:rsidRPr="00E33160">
        <w:rPr>
          <w:rFonts w:ascii="Book Antiqua" w:eastAsia="Book Antiqua" w:hAnsi="Book Antiqua" w:cs="Book Antiqua"/>
          <w:color w:val="000000"/>
        </w:rPr>
        <w:t>2021;</w:t>
      </w:r>
      <w:r w:rsidR="00F42D43" w:rsidRPr="00F42D43">
        <w:rPr>
          <w:rFonts w:ascii="Book Antiqua" w:eastAsia="Book Antiqua" w:hAnsi="Book Antiqua" w:cs="Book Antiqua"/>
          <w:color w:val="000000"/>
        </w:rPr>
        <w:t xml:space="preserve"> 1</w:t>
      </w:r>
      <w:r w:rsidR="00F42D43">
        <w:rPr>
          <w:rFonts w:ascii="Book Antiqua" w:hAnsi="Book Antiqua" w:cs="Book Antiqua" w:hint="eastAsia"/>
          <w:color w:val="000000"/>
          <w:lang w:eastAsia="zh-CN"/>
        </w:rPr>
        <w:t>2</w:t>
      </w:r>
      <w:r w:rsidR="00F42D43" w:rsidRPr="00F42D43">
        <w:rPr>
          <w:rFonts w:ascii="Book Antiqua" w:eastAsia="Book Antiqua" w:hAnsi="Book Antiqua" w:cs="Book Antiqua"/>
          <w:color w:val="000000"/>
        </w:rPr>
        <w:t>(</w:t>
      </w:r>
      <w:r w:rsidR="00F42D43">
        <w:rPr>
          <w:rFonts w:ascii="Book Antiqua" w:hAnsi="Book Antiqua" w:cs="Book Antiqua" w:hint="eastAsia"/>
          <w:color w:val="000000"/>
          <w:lang w:eastAsia="zh-CN"/>
        </w:rPr>
        <w:t>7</w:t>
      </w:r>
      <w:r w:rsidR="00F42D43" w:rsidRPr="00F42D43">
        <w:rPr>
          <w:rFonts w:ascii="Book Antiqua" w:eastAsia="Book Antiqua" w:hAnsi="Book Antiqua" w:cs="Book Antiqua"/>
          <w:color w:val="000000"/>
        </w:rPr>
        <w:t xml:space="preserve">): </w:t>
      </w:r>
      <w:r w:rsidR="000803CE">
        <w:rPr>
          <w:rFonts w:ascii="Book Antiqua" w:hAnsi="Book Antiqua"/>
        </w:rPr>
        <w:t>544</w:t>
      </w:r>
      <w:r w:rsidR="00F42D43" w:rsidRPr="00F42D43">
        <w:rPr>
          <w:rFonts w:ascii="Book Antiqua" w:eastAsia="Book Antiqua" w:hAnsi="Book Antiqua" w:cs="Book Antiqua"/>
          <w:color w:val="000000"/>
        </w:rPr>
        <w:t>-</w:t>
      </w:r>
      <w:r w:rsidR="00B522A8">
        <w:rPr>
          <w:rFonts w:ascii="Book Antiqua" w:hAnsi="Book Antiqua"/>
        </w:rPr>
        <w:t>556</w:t>
      </w:r>
    </w:p>
    <w:p w14:paraId="6FAA14D1" w14:textId="54E647F9" w:rsidR="000803CE" w:rsidRDefault="00F42D43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522A8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F42D43">
        <w:rPr>
          <w:rFonts w:ascii="Book Antiqua" w:eastAsia="Book Antiqua" w:hAnsi="Book Antiqua" w:cs="Book Antiqua"/>
          <w:color w:val="000000"/>
        </w:rPr>
        <w:t>https://www.wjgnet.com/2218-4333/full/v1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F42D43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F42D43">
        <w:rPr>
          <w:rFonts w:ascii="Book Antiqua" w:eastAsia="Book Antiqua" w:hAnsi="Book Antiqua" w:cs="Book Antiqua"/>
          <w:color w:val="000000"/>
        </w:rPr>
        <w:t>/</w:t>
      </w:r>
      <w:r w:rsidR="000803CE">
        <w:rPr>
          <w:rFonts w:ascii="Book Antiqua" w:hAnsi="Book Antiqua"/>
        </w:rPr>
        <w:t>544</w:t>
      </w:r>
      <w:r w:rsidRPr="00F42D43">
        <w:rPr>
          <w:rFonts w:ascii="Book Antiqua" w:eastAsia="Book Antiqua" w:hAnsi="Book Antiqua" w:cs="Book Antiqua"/>
          <w:color w:val="000000"/>
        </w:rPr>
        <w:t xml:space="preserve">.htm  </w:t>
      </w:r>
    </w:p>
    <w:p w14:paraId="4B8CBB0E" w14:textId="23A23944" w:rsidR="00A77B3E" w:rsidRPr="00E33160" w:rsidRDefault="00F42D43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522A8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F42D43">
        <w:rPr>
          <w:rFonts w:ascii="Book Antiqua" w:eastAsia="Book Antiqua" w:hAnsi="Book Antiqua" w:cs="Book Antiqua"/>
          <w:color w:val="000000"/>
        </w:rPr>
        <w:t>https://dx.doi.org/10.5306/</w:t>
      </w:r>
      <w:r>
        <w:rPr>
          <w:rFonts w:ascii="Book Antiqua" w:hAnsi="Book Antiqua" w:cs="Book Antiqua" w:hint="eastAsia"/>
          <w:color w:val="000000"/>
          <w:lang w:eastAsia="zh-CN"/>
        </w:rPr>
        <w:t>wjco</w:t>
      </w:r>
      <w:r w:rsidRPr="00F42D43">
        <w:rPr>
          <w:rFonts w:ascii="Book Antiqua" w:eastAsia="Book Antiqua" w:hAnsi="Book Antiqua" w:cs="Book Antiqua"/>
          <w:color w:val="000000"/>
        </w:rPr>
        <w:t>.v1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F42D43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F42D43">
        <w:rPr>
          <w:rFonts w:ascii="Book Antiqua" w:eastAsia="Book Antiqua" w:hAnsi="Book Antiqua" w:cs="Book Antiqua"/>
          <w:color w:val="000000"/>
        </w:rPr>
        <w:t>.</w:t>
      </w:r>
      <w:r w:rsidR="000803CE">
        <w:rPr>
          <w:rFonts w:ascii="Book Antiqua" w:hAnsi="Book Antiqua"/>
        </w:rPr>
        <w:t>544</w:t>
      </w:r>
    </w:p>
    <w:p w14:paraId="70F0EDD6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E11E34" w14:textId="160F17B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inhibitors</w:t>
      </w:r>
      <w:r w:rsidR="0068030B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68030B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known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first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inevitability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seemingly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successful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debulking.</w:t>
      </w:r>
    </w:p>
    <w:p w14:paraId="22F4691A" w14:textId="77777777" w:rsidR="00ED159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D1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27D58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82F49BF" w14:textId="55CFF331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well-known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predisposition.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</w:t>
      </w:r>
      <w:r w:rsidR="008B233D">
        <w:rPr>
          <w:rFonts w:ascii="Book Antiqua" w:eastAsia="Book Antiqua" w:hAnsi="Book Antiqua" w:cs="Book Antiqua"/>
          <w:color w:val="000000"/>
        </w:rPr>
        <w:t>%</w:t>
      </w:r>
      <w:r w:rsidRPr="00E33160">
        <w:rPr>
          <w:rFonts w:ascii="Book Antiqua" w:eastAsia="Book Antiqua" w:hAnsi="Book Antiqua" w:cs="Book Antiqua"/>
          <w:color w:val="000000"/>
        </w:rPr>
        <w:t>-10%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15</w:t>
      </w:r>
      <w:r w:rsidR="008B233D">
        <w:rPr>
          <w:rFonts w:ascii="Book Antiqua" w:eastAsia="Book Antiqua" w:hAnsi="Book Antiqua" w:cs="Book Antiqua"/>
          <w:color w:val="000000"/>
        </w:rPr>
        <w:t>%</w:t>
      </w:r>
      <w:r w:rsidRPr="00E33160">
        <w:rPr>
          <w:rFonts w:ascii="Book Antiqua" w:eastAsia="Book Antiqua" w:hAnsi="Book Antiqua" w:cs="Book Antiqua"/>
          <w:color w:val="000000"/>
        </w:rPr>
        <w:t>-30%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morbidity,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respectively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1-6]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mentioned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subset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stomach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inheritance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risk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pancreatic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characteristics</w:t>
      </w:r>
      <w:r w:rsidR="00F5624E">
        <w:rPr>
          <w:rFonts w:ascii="Book Antiqua" w:hAnsi="Book Antiqua" w:cs="Book Antiqua" w:hint="eastAsia"/>
          <w:color w:val="000000"/>
          <w:lang w:eastAsia="zh-CN"/>
        </w:rPr>
        <w:t>, b</w:t>
      </w:r>
      <w:r w:rsidRPr="00E33160">
        <w:rPr>
          <w:rFonts w:ascii="Book Antiqua" w:eastAsia="Book Antiqua" w:hAnsi="Book Antiqua" w:cs="Book Antiqua"/>
          <w:color w:val="000000"/>
        </w:rPr>
        <w:t>eing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younger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onset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phenotype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(BCs)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A5AD6">
        <w:rPr>
          <w:rFonts w:ascii="Book Antiqua" w:eastAsia="Book Antiqua" w:hAnsi="Book Antiqua" w:cs="Book Antiqua"/>
          <w:color w:val="000000"/>
        </w:rPr>
        <w:t>occur</w:t>
      </w:r>
      <w:r w:rsidR="00A878A6">
        <w:rPr>
          <w:rFonts w:ascii="Book Antiqua" w:eastAsia="Book Antiqua" w:hAnsi="Book Antiqua" w:cs="Book Antiqua"/>
          <w:color w:val="000000"/>
        </w:rPr>
        <w:t>r</w:t>
      </w:r>
      <w:r w:rsidR="00DA5AD6">
        <w:rPr>
          <w:rFonts w:ascii="Book Antiqua" w:eastAsia="Book Antiqua" w:hAnsi="Book Antiqua" w:cs="Book Antiqua"/>
          <w:color w:val="000000"/>
        </w:rPr>
        <w:t>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expression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estrogen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progesterone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receptors,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</w:t>
      </w:r>
      <w:bookmarkStart w:id="3" w:name="_Hlk73132213"/>
      <w:r w:rsidR="00A878A6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bookmarkEnd w:id="3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(OCs)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histological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appearance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92D07BF" w14:textId="1215D620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syndrome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A5AD6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integrity.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lacking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homologous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recombination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(HR).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inhibitors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induce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requires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BRCA1/2-null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C27B6">
        <w:rPr>
          <w:rFonts w:ascii="Book Antiqua" w:eastAsia="Book Antiqua" w:hAnsi="Book Antiqua" w:cs="Book Antiqua"/>
          <w:color w:val="000000"/>
        </w:rPr>
        <w:t xml:space="preserve">consequently </w:t>
      </w:r>
      <w:r w:rsidRPr="00E33160">
        <w:rPr>
          <w:rFonts w:ascii="Book Antiqua" w:eastAsia="Book Antiqua" w:hAnsi="Book Antiqua" w:cs="Book Antiqua"/>
          <w:color w:val="000000"/>
        </w:rPr>
        <w:t>die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tumor-selective,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damage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1F8ED852" w14:textId="7E591FF1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mentioned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biallelic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members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pathways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1,15]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empirically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discovery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standard-of-care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expected,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sporadic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tumors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2,16]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BC27B6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incorporated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non-selected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might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outperform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BCs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and/or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slightly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varying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indications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460D8287" w14:textId="692B46D6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clear-cut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vulnerability,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C27B6" w:rsidRPr="00E33160">
        <w:rPr>
          <w:rFonts w:ascii="Book Antiqua" w:eastAsia="Book Antiqua" w:hAnsi="Book Antiqua" w:cs="Book Antiqua"/>
          <w:color w:val="000000"/>
        </w:rPr>
        <w:t xml:space="preserve">usually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metastatic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-exposed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alternative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scenario,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enriched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brief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overview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F554C7D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566409E9" w14:textId="7DC1A2B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RESTORATION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F5624E">
        <w:rPr>
          <w:rFonts w:ascii="Book Antiqua" w:hAnsi="Book Antiqua" w:cs="Book Antiqua" w:hint="eastAsia"/>
          <w:b/>
          <w:caps/>
          <w:color w:val="000000"/>
          <w:u w:val="single"/>
          <w:lang w:eastAsia="zh-CN"/>
        </w:rPr>
        <w:t xml:space="preserve">OF </w:t>
      </w:r>
      <w:r w:rsidRPr="00E33160">
        <w:rPr>
          <w:rFonts w:ascii="Book Antiqua" w:eastAsia="Book Antiqua" w:hAnsi="Book Antiqua" w:cs="Book Antiqua"/>
          <w:b/>
          <w:i/>
          <w:iCs/>
          <w:caps/>
          <w:color w:val="000000"/>
          <w:u w:val="single"/>
        </w:rPr>
        <w:t>BRCA1/2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bookmarkStart w:id="4" w:name="_GoBack"/>
      <w:r w:rsidR="00F562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function </w:t>
      </w:r>
      <w:bookmarkEnd w:id="4"/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BY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SECONDARY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SOMATIC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MUTATIONS</w:t>
      </w:r>
    </w:p>
    <w:p w14:paraId="56DD19D1" w14:textId="443AD96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inherited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represented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frameshift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premature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stop-codons.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(ORF)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nearby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original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3-letter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reconstitutes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)</w:t>
      </w:r>
      <w:r w:rsidR="00E33160"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3160" w:rsidRPr="00E33160">
        <w:rPr>
          <w:rFonts w:ascii="Book Antiqua" w:eastAsia="Book Antiqua" w:hAnsi="Book Antiqua" w:cs="Book Antiqua"/>
          <w:color w:val="000000"/>
          <w:vertAlign w:val="superscript"/>
        </w:rPr>
        <w:t>22-24]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first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myeloid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leukemia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Fanconi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lastRenderedPageBreak/>
        <w:t>anemia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discovery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recognition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stimulated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reproducible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hallmark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phenotype.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repeatedly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patient-derived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xenografts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(PDX)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samples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7B344F86" w14:textId="23BFA66F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convincingly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validated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difficult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biases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limitations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assays: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7725F">
        <w:rPr>
          <w:rFonts w:ascii="Book Antiqua" w:hAnsi="Book Antiqua" w:cs="Book Antiqua" w:hint="eastAsia"/>
          <w:color w:val="000000"/>
          <w:lang w:eastAsia="zh-CN"/>
        </w:rPr>
        <w:t>T</w:t>
      </w:r>
      <w:r w:rsidRPr="00E33160">
        <w:rPr>
          <w:rFonts w:ascii="Book Antiqua" w:eastAsia="Book Antiqua" w:hAnsi="Book Antiqua" w:cs="Book Antiqua"/>
          <w:color w:val="000000"/>
        </w:rPr>
        <w:t>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quarter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/platinum-resistant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estimates.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describe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distinct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9C1216">
        <w:rPr>
          <w:rFonts w:ascii="Book Antiqua" w:eastAsia="Book Antiqua" w:hAnsi="Book Antiqua" w:cs="Book Antiqua"/>
          <w:color w:val="000000"/>
        </w:rPr>
        <w:t>-</w:t>
      </w:r>
      <w:r w:rsidRPr="00E33160">
        <w:rPr>
          <w:rFonts w:ascii="Book Antiqua" w:eastAsia="Book Antiqua" w:hAnsi="Book Antiqua" w:cs="Book Antiqua"/>
          <w:color w:val="000000"/>
        </w:rPr>
        <w:t>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pathways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0DBB766" w14:textId="3A6F4A90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Distinct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477F07">
        <w:rPr>
          <w:rFonts w:ascii="Book Antiqua" w:hAnsi="Book Antiqua" w:cs="Book Antiqua" w:hint="eastAsia"/>
          <w:color w:val="000000"/>
          <w:lang w:eastAsia="zh-CN"/>
        </w:rPr>
        <w:t>I</w:t>
      </w:r>
      <w:r w:rsidRPr="00E33160">
        <w:rPr>
          <w:rFonts w:ascii="Book Antiqua" w:eastAsia="Book Antiqua" w:hAnsi="Book Antiqua" w:cs="Book Antiqua"/>
          <w:color w:val="000000"/>
        </w:rPr>
        <w:t>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hypothesized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acceptable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non-conservative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dispensable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genuine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subtle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</w:t>
      </w:r>
      <w:r w:rsidRPr="00ED1590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change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amino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acids);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tolerate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[14,26,27]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2817974D" w14:textId="3B0E8618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production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hypomorphic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compatible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participation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77F07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alternative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splicing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skipping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resistance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N-terminal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production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hypomorphic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frameshift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terminate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mutation-containing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BCRT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domain</w:t>
      </w:r>
      <w:r w:rsidR="0096338E">
        <w:rPr>
          <w:rFonts w:ascii="Book Antiqua" w:eastAsia="Book Antiqua" w:hAnsi="Book Antiqua" w:cs="Book Antiqua"/>
          <w:color w:val="000000"/>
        </w:rPr>
        <w:t>, consequently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prevent</w:t>
      </w:r>
      <w:r w:rsidR="0096338E">
        <w:rPr>
          <w:rFonts w:ascii="Book Antiqua" w:eastAsia="Book Antiqua" w:hAnsi="Book Antiqua" w:cs="Book Antiqua"/>
          <w:color w:val="000000"/>
        </w:rPr>
        <w:t>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proteasomal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degradation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BRCA1</w:t>
      </w:r>
      <w:r w:rsidR="0096338E">
        <w:rPr>
          <w:rFonts w:ascii="Book Antiqua" w:eastAsia="Book Antiqua" w:hAnsi="Book Antiqua" w:cs="Book Antiqua"/>
          <w:color w:val="000000"/>
        </w:rPr>
        <w:t>. T</w:t>
      </w:r>
      <w:r w:rsidR="0096338E" w:rsidRPr="00E33160">
        <w:rPr>
          <w:rFonts w:ascii="Book Antiqua" w:eastAsia="Book Antiqua" w:hAnsi="Book Antiqua" w:cs="Book Antiqua"/>
          <w:color w:val="000000"/>
        </w:rPr>
        <w:t>hese</w:t>
      </w:r>
      <w:r w:rsidR="0096338E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truncated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resistance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HSP90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stabilize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BRCA1-mutant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function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Amplification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compensate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rendered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2C14373F" w14:textId="5315FAEA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represented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so-called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(LGRs),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prolonged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LGRs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considered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exceptional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responsiveness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LGR-associated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1E98304C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4F81A73B" w14:textId="1823F4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BYPASS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</w:p>
    <w:p w14:paraId="3BF9512F" w14:textId="604BF38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double-strand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(DSB).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Accurate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correction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achieved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exclusively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error-prone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non-homologous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end-joining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(NHEJ)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prevailing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DSB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choice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balance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regulators,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53BP1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prevails.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accumulation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death.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53BP1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suppression,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re-activate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exposure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31,34,35]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failed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therapy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31,36,37]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F2351E">
        <w:rPr>
          <w:rFonts w:ascii="Book Antiqua" w:eastAsia="Book Antiqua" w:hAnsi="Book Antiqua" w:cs="Book Antiqua"/>
          <w:i/>
          <w:color w:val="000000"/>
        </w:rPr>
        <w:t>In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351E">
        <w:rPr>
          <w:rFonts w:ascii="Book Antiqua" w:eastAsia="Book Antiqua" w:hAnsi="Book Antiqua" w:cs="Book Antiqua"/>
          <w:i/>
          <w:color w:val="000000"/>
        </w:rPr>
        <w:t>vitro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switch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Noticeably,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exemplifies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Cs/>
          <w:color w:val="000000"/>
        </w:rPr>
        <w:t>BRCA1</w:t>
      </w:r>
      <w:r w:rsidRPr="00E33160">
        <w:rPr>
          <w:rFonts w:ascii="Book Antiqua" w:eastAsia="Book Antiqua" w:hAnsi="Book Antiqua" w:cs="Book Antiqua"/>
          <w:color w:val="000000"/>
        </w:rPr>
        <w:t>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Cs/>
          <w:color w:val="000000"/>
        </w:rPr>
        <w:t>BRCA2</w:t>
      </w:r>
      <w:r w:rsidRPr="00E33160">
        <w:rPr>
          <w:rFonts w:ascii="Book Antiqua" w:eastAsia="Book Antiqua" w:hAnsi="Book Antiqua" w:cs="Book Antiqua"/>
          <w:color w:val="000000"/>
        </w:rPr>
        <w:t>-mutated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cancers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stabilization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replication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forks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66AC4E3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427603" w14:textId="0FBA78F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BRCA1/2-NON-RELATED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ACQUIRED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RESISTANCE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PLATINUM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COMPOUNDS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PARP</w:t>
      </w:r>
      <w:r w:rsidR="00254498" w:rsidRPr="00F2351E">
        <w:rPr>
          <w:rFonts w:ascii="Book Antiqua" w:eastAsia="Book Antiqua" w:hAnsi="Book Antiqua" w:cs="Book Antiqua"/>
          <w:color w:val="000000"/>
          <w:u w:val="single"/>
        </w:rPr>
        <w:t>i</w:t>
      </w:r>
      <w:proofErr w:type="spellEnd"/>
    </w:p>
    <w:p w14:paraId="3FB65AF5" w14:textId="5F6BB5DA" w:rsidR="00A77B3E" w:rsidRPr="004246A5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above-described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indirectly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efflux,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down-deregulation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preservation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stem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(CSCs)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epithelial-mesenchymal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(EMT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)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ABCB1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(MDR1)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multidrug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Therapy-resistant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carcinomas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fusions,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ABCB1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gene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implications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immediately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1590" w:rsidRPr="00E33160">
        <w:rPr>
          <w:rFonts w:ascii="Book Antiqua" w:eastAsia="Book Antiqua" w:hAnsi="Book Antiqua" w:cs="Book Antiqua"/>
          <w:color w:val="000000"/>
        </w:rPr>
        <w:t>D</w:t>
      </w:r>
      <w:r w:rsidRPr="00E33160">
        <w:rPr>
          <w:rFonts w:ascii="Book Antiqua" w:eastAsia="Book Antiqua" w:hAnsi="Book Antiqua" w:cs="Book Antiqua"/>
          <w:color w:val="000000"/>
        </w:rPr>
        <w:t>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transporters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physiological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processes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redundancy,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adverse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insufficient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efficacy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CSCs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exposure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cells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51CC4B3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6F1BA8" w14:textId="0969C6A0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SELECTION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BRCA1-PROFICIENT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CELLS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PLATINUM-BASED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THERAPY</w:t>
      </w:r>
    </w:p>
    <w:p w14:paraId="3284D439" w14:textId="6A98456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inoperable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(first-line)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aimed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reduce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burden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permit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lumps.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category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amenable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debulking.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presumably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surgery,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apparently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eliminate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relapse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CCE6088" w14:textId="72DB59EE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Comparison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weeks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surprising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findings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(LOH)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weeks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retention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wild-type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occurs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96338E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visualized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imaging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techniques.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primary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triggers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survive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stages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evolution,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tolerated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4246A5">
        <w:rPr>
          <w:rFonts w:ascii="Book Antiqua" w:eastAsia="Book Antiqua" w:hAnsi="Book Antiqua" w:cs="Book Antiqua"/>
          <w:i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“restoration”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two-thirds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OCs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45A0260" w14:textId="31DD7338" w:rsidR="00A77B3E" w:rsidRPr="006D7CE2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  <w:lang w:eastAsia="zh-CN"/>
        </w:rPr>
      </w:pPr>
      <w:r w:rsidRPr="00E33160">
        <w:rPr>
          <w:rFonts w:ascii="Book Antiqua" w:eastAsia="Book Antiqua" w:hAnsi="Book Antiqua" w:cs="Book Antiqua"/>
          <w:color w:val="000000"/>
        </w:rPr>
        <w:t>Intriguingly,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397C2F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tissues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holidays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throughout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natural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history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point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chromosome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Overall,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ecosystem: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D7CE2">
        <w:rPr>
          <w:rFonts w:ascii="Book Antiqua" w:hAnsi="Book Antiqua" w:cs="Book Antiqua" w:hint="eastAsia"/>
          <w:color w:val="000000"/>
          <w:lang w:eastAsia="zh-CN"/>
        </w:rPr>
        <w:t>W</w:t>
      </w:r>
      <w:r w:rsidRPr="00E33160">
        <w:rPr>
          <w:rFonts w:ascii="Book Antiqua" w:eastAsia="Book Antiqua" w:hAnsi="Book Antiqua" w:cs="Book Antiqua"/>
          <w:color w:val="000000"/>
        </w:rPr>
        <w:t>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apparently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reasons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external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hazards,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6D7CE2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perhaps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kinds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unfavorable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environment,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reservoir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invulnerable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(BRCA1-proficient)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warranting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plasticity.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take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advantage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competition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cessation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treatment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“stem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resistance.</w:t>
      </w:r>
    </w:p>
    <w:p w14:paraId="0C19BC80" w14:textId="3A89F033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platinum-induced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performed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yet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self-explanatory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phenomenon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applicable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dissimilarities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structure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function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pancreatic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strongly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linked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397C2F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triple-negative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receptor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status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PgR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HER2),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expressing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steroid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hormone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receptors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taxane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death,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taxanes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cells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heavily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gene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lethal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survival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BRCA1-null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5564CE">
        <w:rPr>
          <w:rFonts w:ascii="Book Antiqua" w:eastAsia="Book Antiqua" w:hAnsi="Book Antiqua" w:cs="Book Antiqua"/>
          <w:i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compatible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viability,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wild-type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status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unclear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“natural”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conditions.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necessarily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“stem”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sporadic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BRCAness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phenotype.</w:t>
      </w:r>
    </w:p>
    <w:p w14:paraId="526120A3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732DF882" w14:textId="00E78CC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CONTROVERSIAL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UNRESOLVED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ISSUES</w:t>
      </w:r>
    </w:p>
    <w:p w14:paraId="45A397A0" w14:textId="36BF5F6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repair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drug-specific.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54A8D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disease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advantage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talazoparib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presumably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hand,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PARP1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trapping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stressed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setting,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exceeding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6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impossible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shorter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period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BB6537" w:rsidRPr="00F2351E">
        <w:rPr>
          <w:rFonts w:ascii="Book Antiqua" w:eastAsia="Book Antiqua" w:hAnsi="Book Antiqua" w:cs="Book Antiqua"/>
          <w:color w:val="000000"/>
        </w:rPr>
        <w:t>-</w:t>
      </w:r>
      <w:r w:rsidR="00BB6537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B6537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trials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unaware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</w:p>
    <w:p w14:paraId="2FFCAD77" w14:textId="4EA76759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viewed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equivalent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justified,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acknowledged.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tumors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entirely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limited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4C3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negligible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predisposition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0B978DFE" w14:textId="7291A9E7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cycles,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peak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concentrations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infusions.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intermittent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drugs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prolonged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period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influence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intervention.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Furthermore,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published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included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groups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heavily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cycles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rarely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sequence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26,27,46,52]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502F01FE" w14:textId="64FCBC27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lastRenderedPageBreak/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animal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recapitulate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complexity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microenvironment,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interplay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immune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dosing,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setting.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material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challenging,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re-biopsy,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requires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ethical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justification;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circulating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Liquid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biopsy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theory,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uncover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entire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subclonal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underestimate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frequency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account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BRCA1/2-restored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technologies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utilized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material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collection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subject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comprehensive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monitor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subsequent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modalities.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gene-response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correlation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help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guide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failure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standard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366C5A5F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75D3B3F8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AC198B" w14:textId="7A903C8E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in-built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Nowadays,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subjected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long-term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certainly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properties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surprising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research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literature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emphasis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potential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background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7559"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mechanisms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465CCB6D" w14:textId="66BB508C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Genome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lesions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BRCAness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underlie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antigenicity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Interestingly,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antigenic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epitopes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feasibility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immune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systematically,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7559">
        <w:rPr>
          <w:rFonts w:ascii="Book Antiqua" w:eastAsia="Book Antiqua" w:hAnsi="Book Antiqua" w:cs="Book Antiqua"/>
          <w:color w:val="000000"/>
        </w:rPr>
        <w:t>promise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D7559">
        <w:rPr>
          <w:rFonts w:ascii="Book Antiqua" w:eastAsia="Book Antiqua" w:hAnsi="Book Antiqua" w:cs="Book Antiqua"/>
          <w:color w:val="000000"/>
        </w:rPr>
        <w:t>option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70F4FDF2" w14:textId="3B0E072B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implement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ongoing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combinations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drugs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34,54]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potentially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impact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high-dose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excessive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adverse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effects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combination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mitomycin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elimination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160">
        <w:rPr>
          <w:rFonts w:ascii="Book Antiqua" w:eastAsia="Book Antiqua" w:hAnsi="Book Antiqua" w:cs="Book Antiqua"/>
          <w:color w:val="000000"/>
        </w:rPr>
        <w:t>OCs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3316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01BF1598" w14:textId="71289140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breakthroughs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improvement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understanding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inspired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multitude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novel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well-defined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vulnerabilities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hematological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already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tools.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reasonable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future.</w:t>
      </w:r>
    </w:p>
    <w:p w14:paraId="1AAC1242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56451DA2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48EAE69" w14:textId="0348C52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lastRenderedPageBreak/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appreciate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greatly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Ekatherina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Petrov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preparation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Figures.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cordially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thankful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Barbara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Vona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(University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Tuebingen</w:t>
      </w:r>
      <w:proofErr w:type="spellEnd"/>
      <w:r w:rsidRPr="00E33160">
        <w:rPr>
          <w:rFonts w:ascii="Book Antiqua" w:eastAsia="Book Antiqua" w:hAnsi="Book Antiqua" w:cs="Book Antiqua"/>
          <w:color w:val="000000"/>
        </w:rPr>
        <w:t>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critical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manuscript.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60C5D4D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FFD3F2" w14:textId="77777777" w:rsidR="00490D43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062D15" w14:textId="7572D9EF" w:rsidR="00490D43" w:rsidRPr="00E33160" w:rsidRDefault="00490D43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14"/>
      <w:r w:rsidRPr="00E33160">
        <w:rPr>
          <w:rFonts w:ascii="Book Antiqua" w:hAnsi="Book Antiqua"/>
          <w:color w:val="201F35"/>
        </w:rPr>
        <w:t>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Walsh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Casadei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Pennil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Roeb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Agnew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Stray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Wickramanayake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Norquist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Pennington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Garcia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inherited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fallopian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tube,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peritoneal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massively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parallel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sequencing.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Proc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Natl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Acad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Sci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USA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2011;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18032-18037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22006311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10.1073/pnas.1115052108]</w:t>
      </w:r>
    </w:p>
    <w:p w14:paraId="6DFC5312" w14:textId="18491D3E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Alsop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Fereday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Meldrum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deFazio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Emmanuel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George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Dobrovic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Birrer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Stewart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Bowtell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Mitchell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frequency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patterns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mutation-positive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women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report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Australian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2012;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2654-2663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22711857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10.1200/JCO.2011.39.8545]</w:t>
      </w:r>
    </w:p>
    <w:p w14:paraId="040BCE95" w14:textId="5BF8A50B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Kast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Rhiem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Wappenschmidt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Hahnen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Hauke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Bluemcke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Zarghooni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Herold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Ditsch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Kiechle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Fischer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Dikow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Schott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Rahner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Niederacher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Fehm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Gehrig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Mueller-</w:t>
      </w:r>
      <w:proofErr w:type="spellStart"/>
      <w:r w:rsidRPr="00E33160">
        <w:rPr>
          <w:rFonts w:ascii="Book Antiqua" w:hAnsi="Book Antiqua"/>
          <w:color w:val="201F35"/>
        </w:rPr>
        <w:t>Reible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Maass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Borck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Gregorio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Scholz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Varon-Manteeva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Speiser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Horvath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Lichey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Wimberger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Faust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Emons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Zachariae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Meindl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Schmutzler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(GC-HBOC).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Prevalence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21</w:t>
      </w:r>
      <w:r w:rsidR="00ED1590">
        <w:rPr>
          <w:rFonts w:ascii="MS Mincho" w:eastAsia="MS Mincho" w:hAnsi="MS Mincho" w:cs="MS Mincho" w:hint="eastAsi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 w:cs="Verdan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465-471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26928436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10.1136/jmedgenet-2015-103672]</w:t>
      </w:r>
    </w:p>
    <w:p w14:paraId="5400D31D" w14:textId="4DCEFAC9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Hauke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Horvath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Groß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Gehrig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Honisch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Hackmann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Schmidt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Faust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Sutter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Hentschel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Wang-</w:t>
      </w:r>
      <w:proofErr w:type="spellStart"/>
      <w:r w:rsidRPr="00E33160">
        <w:rPr>
          <w:rFonts w:ascii="Book Antiqua" w:hAnsi="Book Antiqua"/>
          <w:color w:val="201F35"/>
        </w:rPr>
        <w:t>Gohrke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Smogavec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BHF,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Weber-Lassalle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Weber-Lassalle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Borde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Ernst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Altmüller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Volk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Thiele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Hübbel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Nürnberg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Keupp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Versmold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Pohl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Kubisch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Grill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Paul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Herold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Lichey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Rhiem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Ditsch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Ruckert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Wappenschmidt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Rump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lastRenderedPageBreak/>
        <w:t>Niederacher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Haaf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Ramser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Dworniczak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Meindl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Schmutzler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Hahnen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panel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testing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5589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BRCA1/2-negative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index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routine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diagnostic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setting: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1349-1358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29522266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10.1002/cam4.1376]</w:t>
      </w:r>
    </w:p>
    <w:p w14:paraId="3EAFE716" w14:textId="43695180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Beitsch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PD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Whitworth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Compagnoni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Simmons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Grady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Kinney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Coomer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Barbosa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Lyons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Ruiz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MacDonald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Curcio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Hardwick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Esplin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Underdiagnosis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Testing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Guidelines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Obstacle?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453-460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30526229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10.1200/JCO.18.01631]</w:t>
      </w:r>
    </w:p>
    <w:p w14:paraId="7D4111E0" w14:textId="38EFDE2A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6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Gorodnova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Kotiv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Petrik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Amelina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Berlev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sporadic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outcomes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cytoreductive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surgery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Int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Gynecol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779-786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30839285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10.1136/ijgc-2018-000175]</w:t>
      </w:r>
    </w:p>
    <w:p w14:paraId="4457CB3E" w14:textId="326F6597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van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Asperen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Brohet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Meijers-Heijboer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Hoogerbrugge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Verhoef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Vasen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Ausems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Gomez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Garcia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Klijn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Hogervorst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Houwelingen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van't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Rookus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Leeuwen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Netherlands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(HEBON).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risks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families: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estimates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other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ovary.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42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711-719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16141007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10.1136/jmg.2004.028829]</w:t>
      </w:r>
    </w:p>
    <w:p w14:paraId="771CCF94" w14:textId="48D65A0D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8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Avanesyan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Kleshchev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Maydin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Bizin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Raskin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Shelekhova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Gorodnova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Bessonov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Anisimova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Volynshchikova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Romanko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Broyde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Tkachenko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Whitehead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Scherbakov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Gastric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Endoscopic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Screening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Molecular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Tissues.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Pathobiology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367-374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33161400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10.1159/000511323]</w:t>
      </w:r>
    </w:p>
    <w:p w14:paraId="27545A9A" w14:textId="549B0A9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Antoniou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Pharoah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Narod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Risch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Eyfjord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Hopper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Johannsson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Pasini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Radice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Manoukian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Eccles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lastRenderedPageBreak/>
        <w:t>Olah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Anton-Culver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Warner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Lubinski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Gronwald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Gorski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Tulinius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Thorlacius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Eerola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Nevanlinna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Syrjäkoski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Kallioniemi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Thompson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Peto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Lalloo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Easton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Average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risks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detected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unselected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history: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studies.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Am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Hum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1117-1130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12677558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10.1086/375033]</w:t>
      </w:r>
    </w:p>
    <w:p w14:paraId="6A2486E8" w14:textId="04E706C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Hodgson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Turashvili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Front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531790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33117676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10.3389/fonc.2020.531790]</w:t>
      </w:r>
    </w:p>
    <w:p w14:paraId="16585EA1" w14:textId="4798ED40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11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Mavaddat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Barrowdale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Andrulis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Domchek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Eccles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Nevanlinna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Ramus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Spurdle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Robson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Mulligan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Couch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McGuffog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Healey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Sinilnikova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Southey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Terry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Goldgar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Janavicius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Tihomirova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Hansen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Nielsen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Osorio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Stavropoulou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Benítez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Manoukian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Peissel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Barile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Volorio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Pasini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Dolcetti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Putignano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Ottini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Radice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Rashid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Hogervorst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Kriege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Luijt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HEBON,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Peock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Brewer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Rogers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Houghton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EMBRACE,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Weaver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Godwin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Schmutzler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Wappenschmidt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Meindl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Kast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Niederacher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Sutter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Deissler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Gadzicki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Preisler</w:t>
      </w:r>
      <w:proofErr w:type="spellEnd"/>
      <w:r w:rsidRPr="00E33160">
        <w:rPr>
          <w:rFonts w:ascii="Book Antiqua" w:hAnsi="Book Antiqua"/>
          <w:color w:val="201F35"/>
        </w:rPr>
        <w:t>-Adams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Varon-Mateeva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Schönbuchner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Gevensleben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Stoppa-Lyonnet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Belotti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Barjhoux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GEMO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Isaacs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Peshkin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Caldes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Cañadas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Heikkinen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Heikkilä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Aittomäki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Blanco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Lazaro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Brunet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Agnarsson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Arason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Barkardottir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Dumont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Simard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Montagna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Agata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S;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kConFab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Rebbeck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Rubinstein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Fredericksen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Pankratz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Lindor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Szabo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Offit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Sakr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Gaudet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Singer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Rappaport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Toland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Senter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Sweet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Thomassen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Gerdes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Kruse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Caligo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Aretini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Rantala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Wachenfeld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Henriksson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SWE-BRCA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Neuhausen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Beattie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Odunsi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Sucheston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Gayther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Nathanson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Walsh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Karlan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Chenevix</w:t>
      </w:r>
      <w:proofErr w:type="spellEnd"/>
      <w:r w:rsidRPr="00E33160">
        <w:rPr>
          <w:rFonts w:ascii="Book Antiqua" w:hAnsi="Book Antiqua"/>
          <w:color w:val="201F35"/>
        </w:rPr>
        <w:t>-Trench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Easton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Antoniou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Modifiers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cancers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Modifiers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(CIMBA).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Epidemiol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Biomarkers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Prev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2012;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134-147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22144499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10.1158/1055-9965.EPI-11-0775]</w:t>
      </w:r>
    </w:p>
    <w:p w14:paraId="573312FD" w14:textId="4F38C21E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Iyevleva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AG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Cytotoxic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targeted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cancers.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Hered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Clin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Pract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14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27555886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10.1186/s13053-016-0057-2]</w:t>
      </w:r>
    </w:p>
    <w:p w14:paraId="5D6C5F35" w14:textId="71E91A1A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Maxwell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Wubbenhorst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Wenz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Sloover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Pluta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Emery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Kraya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Anastopoulos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Jiang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Hackman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Daber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Morrissette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Feldman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Domchek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Nathanson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locus-specific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heterozygosity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Commun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2017;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28831036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10.1038/s41467-017-00388-9]</w:t>
      </w:r>
    </w:p>
    <w:p w14:paraId="218D524B" w14:textId="74DE3AB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Page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Amuzu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Rahimi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Gotlieb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Ragoussis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Tonin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Lessons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learned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understanding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tubo</w:t>
      </w:r>
      <w:proofErr w:type="spellEnd"/>
      <w:r w:rsidRPr="00E33160">
        <w:rPr>
          <w:rFonts w:ascii="Book Antiqua" w:hAnsi="Book Antiqua"/>
          <w:color w:val="201F35"/>
        </w:rPr>
        <w:t>-ovarian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Semin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32827632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10.1016/j.semcancer.2020.08.005]</w:t>
      </w:r>
    </w:p>
    <w:p w14:paraId="459AB926" w14:textId="24912F4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15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Jonsson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Bandlamudi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Srinivasan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Richards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Bouvier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Selcuklu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Bielski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Abida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Mandelker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Birsoy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Zehir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Donoghue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MTA,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Baselga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Offit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O'Reilly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Stadler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Schultz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Socci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Viale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Ladanyi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Robson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Hyman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Solit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Taylor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BS.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Tumour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lineage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BRCA-mediated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phenotypes.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571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576-579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31292550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10.1038/s41586-019-1382-1]</w:t>
      </w:r>
    </w:p>
    <w:p w14:paraId="5BBDBF98" w14:textId="7B6D8678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16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Gorodnova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TV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Iyevleva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Suspitsin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Aleksakhina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Yanus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Togo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Maximov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SY,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platinum-based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germ-line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369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363-367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26342406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10.1016/j.canlet.2015.08.028]</w:t>
      </w:r>
    </w:p>
    <w:p w14:paraId="196C0D6D" w14:textId="5029DAC9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17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Byrski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Gronwald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Huzarski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Grzybowska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Budryk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Stawicka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Mierzwa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Szwiec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Wisniowski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Siolek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Lubinski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Narod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complete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young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women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after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chemotherapy.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375-379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20008645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10.1200/JCO.2008.20.7019]</w:t>
      </w:r>
    </w:p>
    <w:p w14:paraId="614BD4F4" w14:textId="67D9020D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Tutt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Tovey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Cheang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MCU,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Kernaghan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Kilburn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Gazinska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Owen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Abraham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Barrett-Lee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Dowsett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Flanagan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Grigoriadis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Gutin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Harper-Wynne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Hatton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Hoadley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Parikh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Perou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Roylance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Timms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Wardley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Lanchbury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Ashworth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Rahman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Ellis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Pinder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Bliss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triple-negative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BRCAness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subgroups: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Trial.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24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628-637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29713086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10.1038/s41591-018-0009-7]</w:t>
      </w:r>
    </w:p>
    <w:p w14:paraId="353583FC" w14:textId="782A251D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19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Garutti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Pelizzari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Bartoletti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Malfatti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Gerratana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Puglisi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Focus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Factors.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Sci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31295913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10.3390/ijms20143390]</w:t>
      </w:r>
    </w:p>
    <w:p w14:paraId="6115313D" w14:textId="3D0B04E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Patel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Nowsheen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Maraboyina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proofErr w:type="gramStart"/>
      <w:r w:rsidRPr="00E33160">
        <w:rPr>
          <w:rFonts w:ascii="Book Antiqua" w:hAnsi="Book Antiqua"/>
          <w:color w:val="201F35"/>
        </w:rPr>
        <w:t>poly(</w:t>
      </w:r>
      <w:proofErr w:type="gramEnd"/>
      <w:r w:rsidRPr="00E33160">
        <w:rPr>
          <w:rFonts w:ascii="Book Antiqua" w:hAnsi="Book Antiqua"/>
          <w:color w:val="201F35"/>
        </w:rPr>
        <w:t>ADP-ribose)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polymerase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methods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overcome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review.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Cell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Biosci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32180937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10.1186/s13578-020-00390-7]</w:t>
      </w:r>
    </w:p>
    <w:p w14:paraId="050ED113" w14:textId="227765DB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Rose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Burgess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O'Byrne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Richard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Bolderson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Relevance,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Front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Cell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Dev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564601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33015058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10.3389/fcell.2020.564601]</w:t>
      </w:r>
    </w:p>
    <w:p w14:paraId="24776633" w14:textId="2EC4C47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Patch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Christie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Etemadmoghadam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Garsed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George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Fereday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Nones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Cowin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Alsop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Bailey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Kassahn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Quinn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Kazakoff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Quek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Wilhelm-</w:t>
      </w:r>
      <w:proofErr w:type="spellStart"/>
      <w:r w:rsidRPr="00E33160">
        <w:rPr>
          <w:rFonts w:ascii="Book Antiqua" w:hAnsi="Book Antiqua"/>
          <w:color w:val="201F35"/>
        </w:rPr>
        <w:t>Benartzi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Curry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HS;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Australian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Hamilton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Mileshkin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Au-</w:t>
      </w:r>
      <w:proofErr w:type="spellStart"/>
      <w:r w:rsidRPr="00E33160">
        <w:rPr>
          <w:rFonts w:ascii="Book Antiqua" w:hAnsi="Book Antiqua"/>
          <w:color w:val="201F35"/>
        </w:rPr>
        <w:t>Yeung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Kennedy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Chiew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Harnett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Quinn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Pyman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Cordner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O'Brien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Leditschke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Young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Strachan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Azar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Mitchell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Traficante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Hendley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Shackleton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Miller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Arnau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Tothill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Holloway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Semple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Harliwong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Nourse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Nourbakhsh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Idrisoglu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Bruxner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Christ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Poudel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Anderson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Leonard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Lonie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Wood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Taylor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Fink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Waddell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Drapkin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Stronach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Gabra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Nagaraj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Markham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Ellul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McNally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Doyle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Vedururu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Stewart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Lengyel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Pearson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Waddell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deFazio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Grimmond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Bowtell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DD.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Whole-genome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characterization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chemoresistant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521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489-494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26017449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10.1038/nature14410]</w:t>
      </w:r>
    </w:p>
    <w:p w14:paraId="13987105" w14:textId="2D6CD93F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Lin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Oza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Oaknin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Ray-</w:t>
      </w:r>
      <w:proofErr w:type="spellStart"/>
      <w:r w:rsidRPr="00E33160">
        <w:rPr>
          <w:rFonts w:ascii="Book Antiqua" w:hAnsi="Book Antiqua"/>
          <w:color w:val="201F35"/>
        </w:rPr>
        <w:t>Coquard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Tinker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Helman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Isaacson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Maloney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Chambers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Kaufmann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Scott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Konecny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Coleman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JX,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Giordano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Brenton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McNeish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Circulating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Rucaparib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Discov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210-219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30425037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10.1158/2159-8290.CD-18-0715]</w:t>
      </w:r>
    </w:p>
    <w:p w14:paraId="5A349306" w14:textId="21E82D8B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Carneiro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Collier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Pamarthy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Sagar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Fairclough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Odegaard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Lanman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Costa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Taxter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Kuzel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Chae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Cristofanilli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Hussain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Abdulkadir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(ADP-ribose)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Polymerase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Pr="00E33160">
        <w:rPr>
          <w:rFonts w:ascii="Book Antiqua" w:hAnsi="Book Antiqua"/>
          <w:color w:val="201F35"/>
        </w:rPr>
        <w:t>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Prostate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Resulting</w:t>
      </w:r>
      <w:r w:rsidR="00ED1590">
        <w:rPr>
          <w:rFonts w:ascii="Book Antiqua" w:hAnsi="Book Antiqua"/>
          <w:color w:val="201F35"/>
        </w:rPr>
        <w:t xml:space="preserve"> </w:t>
      </w:r>
      <w:proofErr w:type="gramStart"/>
      <w:r w:rsidRPr="00E33160">
        <w:rPr>
          <w:rFonts w:ascii="Book Antiqua" w:hAnsi="Book Antiqua"/>
          <w:color w:val="201F35"/>
        </w:rPr>
        <w:t>From</w:t>
      </w:r>
      <w:proofErr w:type="gram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Biallelic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Restores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Somatic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Loss-of-Function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JCO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Precis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31501807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10.1200/PO.17.00176]</w:t>
      </w:r>
    </w:p>
    <w:p w14:paraId="2DF92E97" w14:textId="3DEC8D2A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Ikeda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Matsushita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Waisfisz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Kinoshita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Oostra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Nieuwint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Winter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Hoatlin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Kawai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Sasaki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Kawakami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Joenje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acute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myelogenous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leukemia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Fanconi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anemia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biallelic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63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2688-2694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12750298]</w:t>
      </w:r>
    </w:p>
    <w:p w14:paraId="4B7D0F6D" w14:textId="4BC144A0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26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Pettitt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Frankum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Punta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Alexander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Haider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Hotspot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Neoantigens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Discov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1475-1488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32699032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10.1158/2159-8290.CD-19-1485]</w:t>
      </w:r>
    </w:p>
    <w:p w14:paraId="17C5A7C2" w14:textId="502CED12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27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Tobalina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Armenia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Irving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O'Connor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Forment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JV.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meta-analysis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signatures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end-joining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repair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Ann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2021;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103-112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33091561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10.1016/j.annonc.2020.10.470]</w:t>
      </w:r>
    </w:p>
    <w:p w14:paraId="14C18B2E" w14:textId="57CD4D38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Wang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Y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Bernhardy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Cruz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Krais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Nacson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Nicolas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Gulden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Heijden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O'Brien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Candido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Pharoah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Karlan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Gourley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Lambrechts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Chenevix</w:t>
      </w:r>
      <w:proofErr w:type="spellEnd"/>
      <w:r w:rsidRPr="00E33160">
        <w:rPr>
          <w:rFonts w:ascii="Book Antiqua" w:hAnsi="Book Antiqua"/>
          <w:color w:val="201F35"/>
        </w:rPr>
        <w:t>-Trench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Benitez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Sadetzki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Gayther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Kjaer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SK;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kConFab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Wiest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Connolly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Bouwman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Jonkers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Balmaña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BRCA1-Δ11q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Alternative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Splice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Isoform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Bypasses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Therapeutic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Cisplatin.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2778-2790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27197267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10.1158/0008-5472.CAN-16-0186]</w:t>
      </w:r>
    </w:p>
    <w:p w14:paraId="6005250C" w14:textId="715233C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29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Drost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Dhillon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Gulden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Heijden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Brandsma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Cruz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Chondronasiou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Castroviejo-Bermejo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Schut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Wientjens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Pieterse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Klijn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Klarenbeek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Loayza-Puch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Elkon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Deemter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Rottenberg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Dekkers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Demmers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Agami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Balmaña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Taniguchi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Bouwman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Jonkers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BRCA1185delAG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through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expression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RING-less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Invest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2903-2918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27454287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10.1172/JCI70196]</w:t>
      </w:r>
    </w:p>
    <w:p w14:paraId="406B262F" w14:textId="172333D3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Wang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Y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Bernhardy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Nacson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Nicolas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Radke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Handorf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Llop</w:t>
      </w:r>
      <w:proofErr w:type="spellEnd"/>
      <w:r w:rsidRPr="00E33160">
        <w:rPr>
          <w:rFonts w:ascii="Book Antiqua" w:hAnsi="Book Antiqua"/>
          <w:color w:val="201F35"/>
        </w:rPr>
        <w:t>-Guevara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Balmaña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intronic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elements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rearrangements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Commun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5661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31827092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10.1038/s41467-019-13530-6]</w:t>
      </w:r>
    </w:p>
    <w:p w14:paraId="69A4B755" w14:textId="240022FB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Johnson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Bernhardy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Capelletti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Sarosiek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Moreau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Chowdhury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Wickramanayake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Miron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Stabilization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protein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confers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Proc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Natl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Acad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Sci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USA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17041-17046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24085845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10.1073/pnas.1305170110]</w:t>
      </w:r>
    </w:p>
    <w:p w14:paraId="6F1A250C" w14:textId="277A2783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Park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PH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Yamamoto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Alcivar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Bernhardy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Turner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Kossenkov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Watson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Behbakht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Casadei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Mischel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Bitler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Amplification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Mutation-Carrying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Allele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Loading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Absence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Mol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Ther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602-613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31575654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10.1158/1535-7163.MCT-17-0256]</w:t>
      </w:r>
    </w:p>
    <w:p w14:paraId="590C3026" w14:textId="5FAE46C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33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Moiseyenko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VM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Chubenko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Moiseyenko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Zagorskaya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Zaytseva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Gesha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Zykov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Preobrazhenskaya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"Lazarus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Response"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Virtually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Chemonaive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Deletion.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Cureus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e2150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29651367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10.7759/cureus.2150]</w:t>
      </w:r>
    </w:p>
    <w:p w14:paraId="43A00622" w14:textId="4F5E806F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McMullen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Karakasis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Madariaga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Oza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Overcoming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PARP-Inhibitor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32560564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10.3390/cancers12061607]</w:t>
      </w:r>
    </w:p>
    <w:p w14:paraId="6D182881" w14:textId="5C6DC21D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35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Belotserkovskaya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Lawrence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Butler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Clifford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Jackson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PALB2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chromatin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recruitment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restores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homologous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recombination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depleted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53BP1.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Commun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819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32041954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10.1038/s41467-020-14563-y]</w:t>
      </w:r>
    </w:p>
    <w:p w14:paraId="52D6DB1E" w14:textId="4AED6F1E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Hurley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Wahner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Hendrickson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Visscher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Ansell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Wagner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Negron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Goergen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Maurer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Oberg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Flatten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Jonge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Herpen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Gietema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Koornstra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RHT,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Shepherd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Kaufmann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53BP1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potential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inhibitor-treated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homologous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recombination-deficient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Gynecol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Oncol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127-134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30686551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10.1016/j.ygyno.2019.01.015]</w:t>
      </w:r>
    </w:p>
    <w:p w14:paraId="17A0EA4A" w14:textId="36903B73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37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Waks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AG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Kochupurakkal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Buendia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Buendia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Helvie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Lloyd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Freeman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Geradts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Isakoff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LoRusso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Adalsteinsson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Tolaney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Matulonis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Krop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D'Andrea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Wagle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non-reversion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metastatic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Ann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590-598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32245699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10.1016/j.annonc.2020.02.008]</w:t>
      </w:r>
    </w:p>
    <w:p w14:paraId="1348CAF0" w14:textId="7ECC512E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38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Ray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Chaudhuri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Callen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Gogola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Duarte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Lafarga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Calvo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Panzarino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Crespo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Starnes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Ruiter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Daniel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Konstantinopoulos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Cortez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Fernandez-</w:t>
      </w:r>
      <w:proofErr w:type="spellStart"/>
      <w:r w:rsidRPr="00E33160">
        <w:rPr>
          <w:rFonts w:ascii="Book Antiqua" w:hAnsi="Book Antiqua"/>
          <w:color w:val="201F35"/>
        </w:rPr>
        <w:t>Capetillo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Jonkers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Rottenberg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Sharan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Nussenzweig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Replication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stability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confers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535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382-387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27443740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10.1038/nature18325]</w:t>
      </w:r>
    </w:p>
    <w:p w14:paraId="6A9E198C" w14:textId="4D628162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39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Aleksakhina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Kashyap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drug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Biochim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Biophys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Acta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Rev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1872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188310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31442474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10.1016/j.bbcan.2019.188310]</w:t>
      </w:r>
    </w:p>
    <w:p w14:paraId="4E47112F" w14:textId="25C24D6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Christie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EL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Pattnaik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Beach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Copeland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Rashoo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Fereday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Hendley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Alsop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Lamb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Pandey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deFazio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Bild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Bowtell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DDL.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Multiple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ABCB1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transcriptional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fusions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drug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Commun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1295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30894541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10.1038/s41467-019-09312-9]</w:t>
      </w:r>
    </w:p>
    <w:p w14:paraId="176B258C" w14:textId="7170C17F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41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Lhommé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Joly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Lissoni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Nicoletto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Manikhas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Baekelandt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Gordon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Fracasso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Mietlowski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III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valspodar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(PSC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833)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paclitaxel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compared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paclitaxel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alone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suboptimally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debulked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III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peritoneal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2674-2682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18509179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10.1200/JCO.2007.14.9807]</w:t>
      </w:r>
    </w:p>
    <w:p w14:paraId="048C2DCD" w14:textId="4C9C0DBB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42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Bellio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DiGloria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Foster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Konstantinopoulos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Growdon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Rueda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Induces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Enrichment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Repair-Proficient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CD133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CD117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431-445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30401718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10.1158/1541-7786.MCR-18-0594]</w:t>
      </w:r>
    </w:p>
    <w:p w14:paraId="10C5BEF5" w14:textId="44CDDF3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Ordonez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LD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McEwen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Polanska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Delpuech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Cadogan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Tornillo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Silcock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O'Connor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Clarke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activation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epithelial-mesenchymal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Pr="00E33160">
        <w:rPr>
          <w:rFonts w:ascii="Book Antiqua" w:hAnsi="Book Antiqua"/>
          <w:color w:val="201F35"/>
        </w:rPr>
        <w:t>-mutant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mammary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tumours</w:t>
      </w:r>
      <w:proofErr w:type="spellEnd"/>
      <w:r w:rsidRPr="00E33160">
        <w:rPr>
          <w:rFonts w:ascii="Book Antiqua" w:hAnsi="Book Antiqua"/>
          <w:color w:val="201F35"/>
        </w:rPr>
        <w:t>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Oncotarget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2586-2606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31080552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10.18632/oncotarget.26830]</w:t>
      </w:r>
    </w:p>
    <w:p w14:paraId="0D3B7A4C" w14:textId="78C3265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44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Gorodnova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TV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Kotiv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Mikheyeva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Mikhailiuk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Lisyanskaya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Mikaya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Guseynov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Bondarev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Matveyeva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Nekrasova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Sidoruk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Manikhas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Belyaev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Sokolenko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Berlev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Efficacy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proofErr w:type="gramStart"/>
      <w:r w:rsidRPr="00E33160">
        <w:rPr>
          <w:rFonts w:ascii="Book Antiqua" w:hAnsi="Book Antiqua"/>
          <w:color w:val="201F35"/>
        </w:rPr>
        <w:t>With</w:t>
      </w:r>
      <w:proofErr w:type="gram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Cisplatin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Mitomycin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Int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Gynecol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1498-1506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30247247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10.1097/IGC.0000000000001352]</w:t>
      </w:r>
    </w:p>
    <w:p w14:paraId="3DCF7F6A" w14:textId="008181B2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45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Sokolenko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Savonevich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Raskin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Kuligina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Gorodnova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Preobrazhenskaya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Kleshchov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Tiurin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Mukhina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Kotiv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Shulga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Kuznetsov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Berlev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selection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BRCA1-proficient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2017;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397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127-132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28377179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10.1016/j.canlet.2017.03.036]</w:t>
      </w:r>
    </w:p>
    <w:p w14:paraId="5C57DC20" w14:textId="751EAF12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46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Sokolenko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Bizin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Preobrazhenskaya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Gorodnova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Ivantsov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Iyevleva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Savonevich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Kotiv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Kuligina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Imyanitov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Molecular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profiles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platinum-based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residual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relapsed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146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1879-1888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31693165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10.1002/ijc.32776]</w:t>
      </w:r>
    </w:p>
    <w:p w14:paraId="31A49091" w14:textId="3ED97E20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Park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JY,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Ahn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Characteristics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Exploratory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Genomic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1315-1325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32554602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10.1158/1541-7786.MCR-19-1108]</w:t>
      </w:r>
    </w:p>
    <w:p w14:paraId="114AD575" w14:textId="22168943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48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Madariaga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Lheureux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Oza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Tailoring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Implications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30909618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10.3390/cancers11030416]</w:t>
      </w:r>
    </w:p>
    <w:p w14:paraId="7EEBA79E" w14:textId="1FA4D2DD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49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Veneris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Matulonis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Konstantinopoulos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Choosing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wisely: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Selecting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anti-tumor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immune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beyond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Gynecol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Oncol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156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488-497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31630846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10.1016/j.ygyno.2019.09.021]</w:t>
      </w:r>
    </w:p>
    <w:p w14:paraId="318A487E" w14:textId="2E8A468C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Litton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Rugo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Ettl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Hurvitz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Gonçalves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Fehrenbacher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Yerushalmi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Roché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Im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RGW,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Markova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Tudor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Hannah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Eiermann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proofErr w:type="gramStart"/>
      <w:r w:rsidRPr="00E33160">
        <w:rPr>
          <w:rFonts w:ascii="Book Antiqua" w:hAnsi="Book Antiqua"/>
          <w:color w:val="201F35"/>
        </w:rPr>
        <w:t>Talazoparib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Advanced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Mutation.</w:t>
      </w:r>
      <w:proofErr w:type="gram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Engl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379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753-763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30110579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10.1056/NEJMoa1802905]</w:t>
      </w:r>
    </w:p>
    <w:p w14:paraId="210BD96D" w14:textId="58CD3BD6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Pettitt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Krastev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Brandsma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Dréan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Aleksandrov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Menon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Brough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Campbell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Frankum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Ranes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Pemberton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Rafiq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Fenwick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Swain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Guettler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Stoynov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Yusa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Ashworth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Genome-wide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high-density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CRISPR-Cas9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screens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point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causing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Commun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1849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29748565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10.1038/s41467-018-03917-2]</w:t>
      </w:r>
    </w:p>
    <w:p w14:paraId="5EA0E14B" w14:textId="0E8BDEBA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52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b/>
          <w:bCs/>
          <w:color w:val="201F35"/>
        </w:rPr>
        <w:t>Lambrechts</w:t>
      </w:r>
      <w:proofErr w:type="spellEnd"/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Smeets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Moisse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Braicu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Vanderstichele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Nieuwenhuysen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Berns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Sehouli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Zeillinger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Darb-Esfahani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Cacsire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Castillo-Tong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Lambrechts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Vergote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heterogeneity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after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first-line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Eur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51-64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26693899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10.1016/j.ejca.2015.11.001]</w:t>
      </w:r>
    </w:p>
    <w:p w14:paraId="5CEFEB03" w14:textId="442A577F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Matsuo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Spragg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Ciccone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LD.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Nivolumab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recurrent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series.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Gynecol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i/>
          <w:iCs/>
          <w:color w:val="201F35"/>
        </w:rPr>
        <w:t>Oncol</w:t>
      </w:r>
      <w:proofErr w:type="spellEnd"/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25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98-101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29998185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10.1016/j.gore.2018.06.011]</w:t>
      </w:r>
    </w:p>
    <w:p w14:paraId="7B17BA16" w14:textId="1DA43914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Lee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EK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Matulonis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Implications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Post-Progression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Therapies.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32722408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10.3390/cancers12082054]</w:t>
      </w:r>
    </w:p>
    <w:p w14:paraId="584AE2B0" w14:textId="74D40998" w:rsidR="00490D43" w:rsidRPr="00E33160" w:rsidRDefault="00490D43" w:rsidP="00490D4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Boudin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Gonçalves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Sabatier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Moretta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Sfumato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Asseeva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Livon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Bertucci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Tarpin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Houvenaeghel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Lambaudie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Tallet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Resbeut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Sobol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Charafe-Jauffret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Calmels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Lemarie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Boher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Viens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Eisinger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proofErr w:type="spellStart"/>
      <w:r w:rsidRPr="00E33160">
        <w:rPr>
          <w:rFonts w:ascii="Book Antiqua" w:hAnsi="Book Antiqua"/>
          <w:color w:val="201F35"/>
        </w:rPr>
        <w:t>Chabannon</w:t>
      </w:r>
      <w:proofErr w:type="spellEnd"/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favorable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outcome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metastatic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receiving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high-dose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autologous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hematopoietic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transplantation.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Bone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Marrow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Transplant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1082-1086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27042835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10.1038/bmt.2016.82]</w:t>
      </w:r>
    </w:p>
    <w:bookmarkEnd w:id="5"/>
    <w:p w14:paraId="3CC573E4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31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BBC4E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73EB4E" w14:textId="0771176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authors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declare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conflict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interests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article.</w:t>
      </w:r>
    </w:p>
    <w:p w14:paraId="2316E9A0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0D743E" w14:textId="627CBFD6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open-access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in-house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editor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peer-reviewed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external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reviewers.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accordance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Creative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Attribution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(CC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BY-NC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4.0)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license,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permits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distribute,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remix,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build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non-commercially,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license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derivative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terms,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original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properly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non-commercial.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See: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31558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ABD2B2" w14:textId="3361E06E" w:rsidR="00A77B3E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source: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m</w:t>
      </w:r>
      <w:r w:rsidRPr="00E33160">
        <w:rPr>
          <w:rFonts w:ascii="Book Antiqua" w:eastAsia="Book Antiqua" w:hAnsi="Book Antiqua" w:cs="Book Antiqua"/>
          <w:color w:val="000000"/>
        </w:rPr>
        <w:t>anuscript</w:t>
      </w:r>
    </w:p>
    <w:p w14:paraId="4CEB9D39" w14:textId="77777777" w:rsidR="00ED1590" w:rsidRPr="00E3316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BED3A7" w14:textId="2AB24A58" w:rsidR="00A77B3E" w:rsidRPr="00097FB5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Corresponding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Author's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Membership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Professional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Societies:</w:t>
      </w:r>
      <w:r w:rsidR="00ED1590"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European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Society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for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Medical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Oncology</w:t>
      </w:r>
      <w:r w:rsidRPr="00097FB5">
        <w:rPr>
          <w:rFonts w:ascii="Book Antiqua" w:eastAsia="Book Antiqua" w:hAnsi="Book Antiqua" w:cs="Book Antiqua"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>
        <w:rPr>
          <w:rFonts w:ascii="Book Antiqua" w:eastAsia="Book Antiqua" w:hAnsi="Book Antiqua" w:cs="Book Antiqua"/>
          <w:bCs/>
          <w:color w:val="000000"/>
        </w:rPr>
        <w:t>No.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7FB5">
        <w:rPr>
          <w:rFonts w:ascii="Book Antiqua" w:eastAsia="Book Antiqua" w:hAnsi="Book Antiqua" w:cs="Book Antiqua"/>
          <w:bCs/>
          <w:color w:val="000000"/>
        </w:rPr>
        <w:t>6102</w:t>
      </w:r>
    </w:p>
    <w:p w14:paraId="48CA711A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61DE92" w14:textId="42A0A32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Peer-review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started: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February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5AA43EA2" w14:textId="2BB196A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First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decision: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March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31,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6A03C483" w14:textId="5FD40EE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Article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press: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2D43" w:rsidRPr="00F42D43">
        <w:rPr>
          <w:rFonts w:ascii="Book Antiqua" w:eastAsia="Book Antiqua" w:hAnsi="Book Antiqua" w:cs="Book Antiqua"/>
          <w:color w:val="000000"/>
        </w:rPr>
        <w:t>June 3, 2021</w:t>
      </w:r>
    </w:p>
    <w:p w14:paraId="2D96B281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4ABB56" w14:textId="0AF3FC7A" w:rsidR="00A77B3E" w:rsidRPr="00716CA4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Specialty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type: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</w:t>
      </w:r>
    </w:p>
    <w:p w14:paraId="130175C3" w14:textId="67F70560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Country/Territory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origin: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3A0F7110" w14:textId="181A620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Peer-review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report’s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scientific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quality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D7147A1" w14:textId="384D434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(Excellent):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7DD5DD00" w14:textId="5572485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good):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B,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B</w:t>
      </w:r>
    </w:p>
    <w:p w14:paraId="108C5066" w14:textId="75466F0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(Good):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71F51538" w14:textId="55FCB9B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(Fair):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623C0013" w14:textId="3815B46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(Poor):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32DBC71F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72D185" w14:textId="3AC5CB88" w:rsidR="00F42D43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P-Reviewer: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Zheng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Z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Liu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L-Editor: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3349">
        <w:rPr>
          <w:rFonts w:ascii="Book Antiqua" w:eastAsia="Book Antiqua" w:hAnsi="Book Antiqua" w:cs="Book Antiqua"/>
          <w:bCs/>
          <w:color w:val="000000"/>
        </w:rPr>
        <w:t>Filipodia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2D43" w:rsidRPr="00F42D43">
        <w:rPr>
          <w:rFonts w:ascii="Book Antiqua" w:eastAsia="Book Antiqua" w:hAnsi="Book Antiqua" w:cs="Book Antiqua"/>
          <w:color w:val="000000"/>
        </w:rPr>
        <w:t>Yuan YY</w:t>
      </w:r>
    </w:p>
    <w:p w14:paraId="511DF8E5" w14:textId="77777777" w:rsidR="00F42D43" w:rsidRDefault="00F42D4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41EC058" w14:textId="77777777" w:rsidR="00A77B3E" w:rsidRPr="002F11B2" w:rsidRDefault="00A77B3E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77B3E" w:rsidRPr="002F11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CAC51" w14:textId="306AACFB" w:rsidR="00A77B3E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Legends</w:t>
      </w:r>
    </w:p>
    <w:p w14:paraId="148E55E5" w14:textId="1220667C" w:rsidR="00EE17A6" w:rsidRPr="00E3316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t xml:space="preserve"> </w:t>
      </w:r>
      <w:r w:rsidR="002F11B2">
        <w:rPr>
          <w:rFonts w:ascii="Book Antiqua" w:hAnsi="Book Antiqua"/>
          <w:noProof/>
          <w:lang w:eastAsia="zh-CN"/>
        </w:rPr>
        <w:drawing>
          <wp:inline distT="0" distB="0" distL="0" distR="0" wp14:anchorId="1A94E008" wp14:editId="5C634EEC">
            <wp:extent cx="4941170" cy="31417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79" cy="314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6D294" w14:textId="6138CF15" w:rsidR="002F11B2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1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Examples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17A6" w:rsidRPr="00EE17A6">
        <w:rPr>
          <w:rFonts w:ascii="Book Antiqua" w:eastAsia="Book Antiqua" w:hAnsi="Book Antiqua" w:cs="Book Antiqua"/>
          <w:b/>
          <w:bCs/>
          <w:color w:val="000000"/>
        </w:rPr>
        <w:t>open-reading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17A6" w:rsidRPr="00EE17A6">
        <w:rPr>
          <w:rFonts w:ascii="Book Antiqua" w:eastAsia="Book Antiqua" w:hAnsi="Book Antiqua" w:cs="Book Antiqua"/>
          <w:b/>
          <w:bCs/>
          <w:color w:val="000000"/>
        </w:rPr>
        <w:t>frame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restoration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BRCA1/2-mutated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1-bp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occurring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downstream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germline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c.5266dupC;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E17A6">
        <w:rPr>
          <w:rFonts w:ascii="Book Antiqua" w:eastAsia="Book Antiqua" w:hAnsi="Book Antiqua" w:cs="Book Antiqua"/>
          <w:color w:val="000000"/>
        </w:rPr>
        <w:t>in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E17A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E17A6">
        <w:rPr>
          <w:rFonts w:ascii="Book Antiqua" w:eastAsia="Book Antiqua" w:hAnsi="Book Antiqua" w:cs="Book Antiqua"/>
          <w:color w:val="000000"/>
        </w:rPr>
        <w:t>)</w:t>
      </w:r>
      <w:r w:rsidR="00EE17A6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B: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4-bp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located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upstream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germline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c.3770_3771delAG;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example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from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EE17A6">
        <w:rPr>
          <w:rFonts w:ascii="Book Antiqua" w:eastAsia="Book Antiqua" w:hAnsi="Book Antiqua" w:cs="Book Antiqua"/>
          <w:color w:val="000000"/>
        </w:rPr>
        <w:t>)</w:t>
      </w:r>
      <w:r w:rsidR="00EE17A6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in-frame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deletion/insertion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excising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mutation-containing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fragment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c.5946delT;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example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from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EE17A6">
        <w:rPr>
          <w:rFonts w:ascii="Book Antiqua" w:eastAsia="Book Antiqua" w:hAnsi="Book Antiqua" w:cs="Book Antiqua"/>
          <w:color w:val="000000"/>
        </w:rPr>
        <w:t>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ORF: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Open-reading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frame.</w:t>
      </w:r>
      <w:r w:rsidR="00EE17A6">
        <w:rPr>
          <w:rFonts w:ascii="Book Antiqua" w:hAnsi="Book Antiqua"/>
        </w:rPr>
        <w:br w:type="page"/>
      </w:r>
      <w:r w:rsidR="002F11B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5F8F0B9" wp14:editId="4A37D1BB">
            <wp:extent cx="4355615" cy="22008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19" cy="220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CF0D74" w14:textId="3CA88A1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11B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2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pre-existing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BRCA1-proficient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platinum-based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forming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FE099D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FE099D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160"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2F11B2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2F11B2">
        <w:rPr>
          <w:rFonts w:ascii="Book Antiqua" w:eastAsia="Book Antiqua" w:hAnsi="Book Antiqua" w:cs="Book Antiqua"/>
          <w:color w:val="000000"/>
        </w:rPr>
        <w:t>cancer</w:t>
      </w:r>
      <w:r w:rsidRPr="00E33160">
        <w:rPr>
          <w:rFonts w:ascii="Book Antiqua" w:eastAsia="Book Antiqua" w:hAnsi="Book Antiqua" w:cs="Book Antiqua"/>
          <w:color w:val="000000"/>
        </w:rPr>
        <w:t>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transformed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platinum-free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occurs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carrying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resemble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primary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status,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F63F19">
        <w:rPr>
          <w:rFonts w:ascii="Book Antiqua" w:eastAsia="Book Antiqua" w:hAnsi="Book Antiqua" w:cs="Book Antiqua"/>
          <w:i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50A2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</w:t>
      </w:r>
      <w:r w:rsidRPr="00EE17A6">
        <w:rPr>
          <w:rFonts w:ascii="Book Antiqua" w:eastAsia="Book Antiqua" w:hAnsi="Book Antiqua" w:cs="Book Antiqua"/>
          <w:color w:val="000000"/>
        </w:rPr>
        <w:t>pounds.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F4406D0" w14:textId="3FC8A0E5" w:rsidR="00A77B3E" w:rsidRPr="00E33160" w:rsidRDefault="002F11B2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24E0009" wp14:editId="2D9BC6FC">
            <wp:extent cx="5536729" cy="29040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67" cy="290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EB53B" w14:textId="77777777" w:rsidR="00DD15B1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D15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11B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3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acquired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BRCA1/2-driven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platinum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compounds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PARP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inhibitors.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AC58B2" w14:textId="77777777" w:rsidR="00DD15B1" w:rsidRDefault="00DD15B1" w:rsidP="00DD15B1">
      <w:pPr>
        <w:jc w:val="center"/>
        <w:rPr>
          <w:rFonts w:ascii="Book Antiqua" w:hAnsi="Book Antiqua"/>
          <w:sz w:val="21"/>
          <w:szCs w:val="22"/>
        </w:rPr>
      </w:pPr>
    </w:p>
    <w:p w14:paraId="17D37A4F" w14:textId="127995F5" w:rsidR="00DD15B1" w:rsidRDefault="00DD15B1" w:rsidP="00DD15B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4B8A2FB" wp14:editId="7DCF3D8F">
            <wp:extent cx="2493010" cy="1440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F3C7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771FF347" w14:textId="77777777" w:rsidR="00DD15B1" w:rsidRDefault="00DD15B1" w:rsidP="00DD15B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FC4F0C4" w14:textId="77777777" w:rsidR="00DD15B1" w:rsidRDefault="00DD15B1" w:rsidP="00DD15B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1556059" w14:textId="77777777" w:rsidR="00DD15B1" w:rsidRDefault="00DD15B1" w:rsidP="00DD15B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35E2BAC" w14:textId="77777777" w:rsidR="00DD15B1" w:rsidRDefault="00DD15B1" w:rsidP="00DD15B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EBE2A31" w14:textId="77777777" w:rsidR="00DD15B1" w:rsidRDefault="00DD15B1" w:rsidP="00DD15B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065894C" w14:textId="77777777" w:rsidR="00DD15B1" w:rsidRDefault="00DD15B1" w:rsidP="00DD15B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250E6E0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14B5F70B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23D32868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76C1D53A" w14:textId="3B873A48" w:rsidR="00DD15B1" w:rsidRDefault="00DD15B1" w:rsidP="00DD15B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515812" wp14:editId="6AFE5EC9">
            <wp:extent cx="1449070" cy="14408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FBCC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6A517FF9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53A75C81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5694B407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21CB515A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0FFCB740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6D0EC5A6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6AC1625F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17E7B41A" w14:textId="77777777" w:rsidR="00DD15B1" w:rsidRDefault="00DD15B1" w:rsidP="00DD15B1">
      <w:pPr>
        <w:jc w:val="center"/>
        <w:rPr>
          <w:rFonts w:ascii="Book Antiqua" w:hAnsi="Book Antiqua"/>
        </w:rPr>
      </w:pPr>
    </w:p>
    <w:p w14:paraId="2EF4F7E7" w14:textId="77777777" w:rsidR="00DD15B1" w:rsidRDefault="00DD15B1" w:rsidP="00DD15B1">
      <w:pPr>
        <w:jc w:val="right"/>
        <w:rPr>
          <w:rFonts w:ascii="Book Antiqua" w:hAnsi="Book Antiqua"/>
          <w:color w:val="000000" w:themeColor="text1"/>
        </w:rPr>
      </w:pPr>
    </w:p>
    <w:p w14:paraId="06D72413" w14:textId="77777777" w:rsidR="00DD15B1" w:rsidRDefault="00DD15B1" w:rsidP="00DD15B1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FC63426" w14:textId="1EFF0E92" w:rsidR="00A77B3E" w:rsidRPr="002F11B2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A77B3E" w:rsidRPr="002F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AEEF" w14:textId="77777777" w:rsidR="0015196E" w:rsidRDefault="0015196E" w:rsidP="00490D43">
      <w:r>
        <w:separator/>
      </w:r>
    </w:p>
  </w:endnote>
  <w:endnote w:type="continuationSeparator" w:id="0">
    <w:p w14:paraId="29C981EF" w14:textId="77777777" w:rsidR="0015196E" w:rsidRDefault="0015196E" w:rsidP="0049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98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D5FA50" w14:textId="05D428ED" w:rsidR="008B233D" w:rsidRPr="00B03D90" w:rsidRDefault="008B233D" w:rsidP="008B233D">
            <w:pPr>
              <w:pStyle w:val="a4"/>
              <w:jc w:val="right"/>
            </w:pPr>
            <w:r w:rsidRPr="008B23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84D2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624E">
              <w:rPr>
                <w:rFonts w:ascii="Book Antiqua" w:hAnsi="Book Antiqua"/>
                <w:noProof/>
                <w:sz w:val="24"/>
                <w:szCs w:val="24"/>
              </w:rPr>
              <w:t>6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03D9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84D2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624E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82D11B3" w14:textId="77777777" w:rsidR="008B233D" w:rsidRDefault="008B23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F9BA" w14:textId="77777777" w:rsidR="0015196E" w:rsidRDefault="0015196E" w:rsidP="00490D43">
      <w:r>
        <w:separator/>
      </w:r>
    </w:p>
  </w:footnote>
  <w:footnote w:type="continuationSeparator" w:id="0">
    <w:p w14:paraId="20E36D51" w14:textId="77777777" w:rsidR="0015196E" w:rsidRDefault="0015196E" w:rsidP="0049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34D1"/>
    <w:rsid w:val="00073349"/>
    <w:rsid w:val="000803CE"/>
    <w:rsid w:val="000830F6"/>
    <w:rsid w:val="00097FB5"/>
    <w:rsid w:val="00124205"/>
    <w:rsid w:val="001448D7"/>
    <w:rsid w:val="0015196E"/>
    <w:rsid w:val="001A1F87"/>
    <w:rsid w:val="001D1945"/>
    <w:rsid w:val="00254498"/>
    <w:rsid w:val="002F11B2"/>
    <w:rsid w:val="003076B7"/>
    <w:rsid w:val="0033493C"/>
    <w:rsid w:val="003417AB"/>
    <w:rsid w:val="00397C2F"/>
    <w:rsid w:val="004246A5"/>
    <w:rsid w:val="00477F07"/>
    <w:rsid w:val="00490D43"/>
    <w:rsid w:val="005564CE"/>
    <w:rsid w:val="005608B7"/>
    <w:rsid w:val="005A5F65"/>
    <w:rsid w:val="005F1535"/>
    <w:rsid w:val="00637788"/>
    <w:rsid w:val="00641D85"/>
    <w:rsid w:val="00654A8D"/>
    <w:rsid w:val="0068030B"/>
    <w:rsid w:val="006B2AC1"/>
    <w:rsid w:val="006C4B64"/>
    <w:rsid w:val="006D7CE2"/>
    <w:rsid w:val="00704F93"/>
    <w:rsid w:val="00713D46"/>
    <w:rsid w:val="00716CA4"/>
    <w:rsid w:val="00741601"/>
    <w:rsid w:val="00777480"/>
    <w:rsid w:val="007959D0"/>
    <w:rsid w:val="008535FA"/>
    <w:rsid w:val="0086714D"/>
    <w:rsid w:val="008B233D"/>
    <w:rsid w:val="0096338E"/>
    <w:rsid w:val="009C1216"/>
    <w:rsid w:val="00A77B3E"/>
    <w:rsid w:val="00A844C3"/>
    <w:rsid w:val="00A84D26"/>
    <w:rsid w:val="00A878A6"/>
    <w:rsid w:val="00AB76DE"/>
    <w:rsid w:val="00B03D90"/>
    <w:rsid w:val="00B263C2"/>
    <w:rsid w:val="00B40651"/>
    <w:rsid w:val="00B522A8"/>
    <w:rsid w:val="00B7725F"/>
    <w:rsid w:val="00BA1CB5"/>
    <w:rsid w:val="00BB2362"/>
    <w:rsid w:val="00BB6537"/>
    <w:rsid w:val="00BC27B6"/>
    <w:rsid w:val="00C06044"/>
    <w:rsid w:val="00C13F25"/>
    <w:rsid w:val="00C91CBD"/>
    <w:rsid w:val="00C938CF"/>
    <w:rsid w:val="00CA2A55"/>
    <w:rsid w:val="00CC157F"/>
    <w:rsid w:val="00CE28CA"/>
    <w:rsid w:val="00D0219F"/>
    <w:rsid w:val="00D17DA1"/>
    <w:rsid w:val="00D471B3"/>
    <w:rsid w:val="00D871D5"/>
    <w:rsid w:val="00DA5AD6"/>
    <w:rsid w:val="00DD15B1"/>
    <w:rsid w:val="00DD31C7"/>
    <w:rsid w:val="00E33160"/>
    <w:rsid w:val="00E745EF"/>
    <w:rsid w:val="00E90D8D"/>
    <w:rsid w:val="00EB3AFF"/>
    <w:rsid w:val="00ED1590"/>
    <w:rsid w:val="00ED7559"/>
    <w:rsid w:val="00EE17A6"/>
    <w:rsid w:val="00EE50A2"/>
    <w:rsid w:val="00EF262E"/>
    <w:rsid w:val="00F10230"/>
    <w:rsid w:val="00F2351E"/>
    <w:rsid w:val="00F42D43"/>
    <w:rsid w:val="00F5624E"/>
    <w:rsid w:val="00F63F19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A2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43"/>
    <w:rPr>
      <w:sz w:val="18"/>
      <w:szCs w:val="18"/>
    </w:rPr>
  </w:style>
  <w:style w:type="character" w:styleId="a5">
    <w:name w:val="annotation reference"/>
    <w:basedOn w:val="a0"/>
    <w:semiHidden/>
    <w:unhideWhenUsed/>
    <w:rsid w:val="00490D4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490D43"/>
  </w:style>
  <w:style w:type="character" w:customStyle="1" w:styleId="Char1">
    <w:name w:val="批注文字 Char"/>
    <w:basedOn w:val="a0"/>
    <w:link w:val="a6"/>
    <w:semiHidden/>
    <w:rsid w:val="00490D4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490D43"/>
    <w:rPr>
      <w:b/>
      <w:bCs/>
    </w:rPr>
  </w:style>
  <w:style w:type="character" w:customStyle="1" w:styleId="Char2">
    <w:name w:val="批注主题 Char"/>
    <w:basedOn w:val="Char1"/>
    <w:link w:val="a7"/>
    <w:semiHidden/>
    <w:rsid w:val="00490D43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90D4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Char3"/>
    <w:rsid w:val="00D871D5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D871D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77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43"/>
    <w:rPr>
      <w:sz w:val="18"/>
      <w:szCs w:val="18"/>
    </w:rPr>
  </w:style>
  <w:style w:type="character" w:styleId="a5">
    <w:name w:val="annotation reference"/>
    <w:basedOn w:val="a0"/>
    <w:semiHidden/>
    <w:unhideWhenUsed/>
    <w:rsid w:val="00490D4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490D43"/>
  </w:style>
  <w:style w:type="character" w:customStyle="1" w:styleId="Char1">
    <w:name w:val="批注文字 Char"/>
    <w:basedOn w:val="a0"/>
    <w:link w:val="a6"/>
    <w:semiHidden/>
    <w:rsid w:val="00490D4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490D43"/>
    <w:rPr>
      <w:b/>
      <w:bCs/>
    </w:rPr>
  </w:style>
  <w:style w:type="character" w:customStyle="1" w:styleId="Char2">
    <w:name w:val="批注主题 Char"/>
    <w:basedOn w:val="Char1"/>
    <w:link w:val="a7"/>
    <w:semiHidden/>
    <w:rsid w:val="00490D43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90D4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Char3"/>
    <w:rsid w:val="00D871D5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D871D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77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505D-60F0-4785-9B0A-29C2207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HP</cp:lastModifiedBy>
  <cp:revision>18</cp:revision>
  <dcterms:created xsi:type="dcterms:W3CDTF">2021-06-13T20:59:00Z</dcterms:created>
  <dcterms:modified xsi:type="dcterms:W3CDTF">2021-07-27T13:52:00Z</dcterms:modified>
</cp:coreProperties>
</file>