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Oncology</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74102</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pPr>
    </w:p>
    <w:p>
      <w:pPr>
        <w:spacing w:line="360" w:lineRule="auto"/>
        <w:jc w:val="both"/>
      </w:pPr>
      <w:r>
        <w:rPr>
          <w:rFonts w:ascii="Book Antiqua" w:hAnsi="Book Antiqua" w:eastAsia="Book Antiqua" w:cs="Book Antiqua"/>
          <w:b/>
          <w:i/>
          <w:color w:val="000000"/>
        </w:rPr>
        <w:t>Retrospective Study</w:t>
      </w:r>
    </w:p>
    <w:p>
      <w:pPr>
        <w:spacing w:line="360" w:lineRule="auto"/>
        <w:jc w:val="both"/>
      </w:pPr>
      <w:bookmarkStart w:id="0" w:name="OLE_LINK9"/>
      <w:bookmarkStart w:id="1" w:name="OLE_LINK10"/>
      <w:bookmarkStart w:id="2" w:name="OLE_LINK62"/>
      <w:r>
        <w:rPr>
          <w:rFonts w:ascii="Book Antiqua" w:hAnsi="Book Antiqua" w:eastAsia="Book Antiqua" w:cs="Book Antiqua"/>
          <w:b/>
          <w:color w:val="000000"/>
        </w:rPr>
        <w:t>Survival characteristics of fibrolamellar hepatocellular carcinoma: A Surveillance, Epidemiology, and End Results database study</w:t>
      </w:r>
    </w:p>
    <w:bookmarkEnd w:id="0"/>
    <w:bookmarkEnd w:id="1"/>
    <w:bookmarkEnd w:id="2"/>
    <w:p>
      <w:pPr>
        <w:spacing w:line="360" w:lineRule="auto"/>
        <w:jc w:val="both"/>
      </w:pPr>
    </w:p>
    <w:p>
      <w:pPr>
        <w:spacing w:line="360" w:lineRule="auto"/>
        <w:jc w:val="both"/>
      </w:pPr>
      <w:r>
        <w:rPr>
          <w:rFonts w:ascii="Book Antiqua" w:hAnsi="Book Antiqua" w:eastAsia="Book Antiqua" w:cs="Book Antiqua"/>
          <w:color w:val="000000"/>
        </w:rPr>
        <w:t xml:space="preserve">Sempokuya </w:t>
      </w:r>
      <w:r>
        <w:rPr>
          <w:rFonts w:hint="eastAsia" w:ascii="Book Antiqua" w:hAnsi="Book Antiqua" w:cs="Book Antiqua"/>
          <w:color w:val="000000"/>
          <w:lang w:eastAsia="zh-CN"/>
        </w:rPr>
        <w:t xml:space="preserve">T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Survival of fibrolamellar hepatocellular carcinoma</w:t>
      </w:r>
    </w:p>
    <w:p>
      <w:pPr>
        <w:spacing w:line="360" w:lineRule="auto"/>
        <w:jc w:val="both"/>
      </w:pPr>
    </w:p>
    <w:p>
      <w:pPr>
        <w:spacing w:line="360" w:lineRule="auto"/>
        <w:jc w:val="both"/>
      </w:pPr>
      <w:r>
        <w:rPr>
          <w:rFonts w:ascii="Book Antiqua" w:hAnsi="Book Antiqua" w:eastAsia="Book Antiqua" w:cs="Book Antiqua"/>
          <w:color w:val="000000"/>
        </w:rPr>
        <w:t xml:space="preserve">Tomoki </w:t>
      </w:r>
      <w:bookmarkStart w:id="3" w:name="OLE_LINK3"/>
      <w:bookmarkStart w:id="4" w:name="OLE_LINK4"/>
      <w:r>
        <w:rPr>
          <w:rFonts w:ascii="Book Antiqua" w:hAnsi="Book Antiqua" w:eastAsia="Book Antiqua" w:cs="Book Antiqua"/>
          <w:color w:val="000000"/>
        </w:rPr>
        <w:t>Sempokuya</w:t>
      </w:r>
      <w:bookmarkEnd w:id="3"/>
      <w:bookmarkEnd w:id="4"/>
      <w:r>
        <w:rPr>
          <w:rFonts w:ascii="Book Antiqua" w:hAnsi="Book Antiqua" w:eastAsia="Book Antiqua" w:cs="Book Antiqua"/>
          <w:color w:val="000000"/>
        </w:rPr>
        <w:t xml:space="preserve">, Arnold Forlemu, Muaataz Azawi, Krixie Silangcruz, Nathalie Khoury, Jihyun Ma, </w:t>
      </w:r>
      <w:bookmarkStart w:id="5" w:name="OLE_LINK49"/>
      <w:bookmarkStart w:id="6" w:name="OLE_LINK48"/>
      <w:r>
        <w:rPr>
          <w:rFonts w:ascii="Book Antiqua" w:hAnsi="Book Antiqua" w:eastAsia="Book Antiqua" w:cs="Book Antiqua"/>
          <w:color w:val="000000"/>
        </w:rPr>
        <w:t>Linda L Wong</w:t>
      </w:r>
      <w:bookmarkEnd w:id="5"/>
      <w:bookmarkEnd w:id="6"/>
    </w:p>
    <w:p>
      <w:pPr>
        <w:spacing w:line="360" w:lineRule="auto"/>
        <w:jc w:val="both"/>
      </w:pPr>
    </w:p>
    <w:p>
      <w:pPr>
        <w:spacing w:line="360" w:lineRule="auto"/>
        <w:jc w:val="both"/>
      </w:pPr>
      <w:r>
        <w:rPr>
          <w:rFonts w:ascii="Book Antiqua" w:hAnsi="Book Antiqua" w:eastAsia="Book Antiqua" w:cs="Book Antiqua"/>
          <w:b/>
          <w:bCs/>
          <w:color w:val="000000"/>
        </w:rPr>
        <w:t xml:space="preserve">Tomoki Sempokuya, Arnold Forlemu, Nathalie Khoury, </w:t>
      </w:r>
      <w:r>
        <w:rPr>
          <w:rFonts w:ascii="Book Antiqua" w:hAnsi="Book Antiqua" w:eastAsia="Book Antiqua" w:cs="Book Antiqua"/>
          <w:color w:val="000000"/>
        </w:rPr>
        <w:t>Division of Gastroenterology and Hepatology, Department of Internal Medicine, University of Nebraska Medical Center, Omaha, NE 68198, United States</w:t>
      </w:r>
    </w:p>
    <w:p>
      <w:pPr>
        <w:spacing w:line="360" w:lineRule="auto"/>
        <w:jc w:val="both"/>
      </w:pPr>
    </w:p>
    <w:p>
      <w:pPr>
        <w:spacing w:line="360" w:lineRule="auto"/>
        <w:jc w:val="both"/>
      </w:pPr>
      <w:r>
        <w:rPr>
          <w:rFonts w:ascii="Book Antiqua" w:hAnsi="Book Antiqua" w:eastAsia="Book Antiqua" w:cs="Book Antiqua"/>
          <w:b/>
          <w:bCs/>
          <w:color w:val="000000"/>
        </w:rPr>
        <w:t xml:space="preserve">Muaataz Azawi, </w:t>
      </w:r>
      <w:r>
        <w:rPr>
          <w:rFonts w:ascii="Book Antiqua" w:hAnsi="Book Antiqua" w:eastAsia="Book Antiqua" w:cs="Book Antiqua"/>
          <w:color w:val="000000"/>
        </w:rPr>
        <w:t>Division of Gastroenterology and Hepatology, Sanford Center for Digestive Health, Sioux Falls, SD 57105, United States</w:t>
      </w:r>
    </w:p>
    <w:p>
      <w:pPr>
        <w:spacing w:line="360" w:lineRule="auto"/>
        <w:jc w:val="both"/>
      </w:pPr>
    </w:p>
    <w:p>
      <w:pPr>
        <w:spacing w:line="360" w:lineRule="auto"/>
        <w:jc w:val="both"/>
      </w:pPr>
      <w:r>
        <w:rPr>
          <w:rFonts w:ascii="Book Antiqua" w:hAnsi="Book Antiqua" w:eastAsia="Book Antiqua" w:cs="Book Antiqua"/>
          <w:b/>
          <w:bCs/>
          <w:color w:val="000000"/>
        </w:rPr>
        <w:t xml:space="preserve">Krixie Silangcruz, </w:t>
      </w:r>
      <w:r>
        <w:rPr>
          <w:rFonts w:ascii="Book Antiqua" w:hAnsi="Book Antiqua" w:eastAsia="Book Antiqua" w:cs="Book Antiqua"/>
          <w:color w:val="000000"/>
        </w:rPr>
        <w:t>Department of Medicine, John A. Burns School of Medicine, University of Hawaii at Manoa, Honolulu, HI 96813, United States</w:t>
      </w:r>
    </w:p>
    <w:p>
      <w:pPr>
        <w:spacing w:line="360" w:lineRule="auto"/>
        <w:jc w:val="both"/>
      </w:pPr>
    </w:p>
    <w:p>
      <w:pPr>
        <w:spacing w:line="360" w:lineRule="auto"/>
        <w:jc w:val="both"/>
      </w:pPr>
      <w:r>
        <w:rPr>
          <w:rFonts w:ascii="Book Antiqua" w:hAnsi="Book Antiqua" w:eastAsia="Book Antiqua" w:cs="Book Antiqua"/>
          <w:b/>
          <w:bCs/>
          <w:color w:val="000000"/>
        </w:rPr>
        <w:t xml:space="preserve">Jihyun Ma, </w:t>
      </w:r>
      <w:r>
        <w:rPr>
          <w:rFonts w:ascii="Book Antiqua" w:hAnsi="Book Antiqua" w:eastAsia="Book Antiqua" w:cs="Book Antiqua"/>
          <w:color w:val="000000"/>
        </w:rPr>
        <w:t>Department of Biostatistics, College of Public Health, University of Nebraska Medical Center, Omaha, NE 68198, United States</w:t>
      </w:r>
    </w:p>
    <w:p>
      <w:pPr>
        <w:spacing w:line="360" w:lineRule="auto"/>
        <w:jc w:val="both"/>
      </w:pPr>
    </w:p>
    <w:p>
      <w:pPr>
        <w:spacing w:line="360" w:lineRule="auto"/>
        <w:jc w:val="both"/>
      </w:pPr>
      <w:r>
        <w:rPr>
          <w:rFonts w:ascii="Book Antiqua" w:hAnsi="Book Antiqua" w:eastAsia="Book Antiqua" w:cs="Book Antiqua"/>
          <w:b/>
          <w:bCs/>
          <w:color w:val="000000"/>
        </w:rPr>
        <w:t xml:space="preserve">Linda L Wong, </w:t>
      </w:r>
      <w:r>
        <w:rPr>
          <w:rFonts w:ascii="Book Antiqua" w:hAnsi="Book Antiqua" w:eastAsia="Book Antiqua" w:cs="Book Antiqua"/>
          <w:color w:val="000000"/>
        </w:rPr>
        <w:t>Department of Surgery, John A. Burns School of Medicine, University of Hawaii at Manoa, Honolulu, HI 96813, United States</w:t>
      </w:r>
    </w:p>
    <w:p>
      <w:pPr>
        <w:spacing w:line="360" w:lineRule="auto"/>
        <w:jc w:val="both"/>
      </w:pPr>
    </w:p>
    <w:p>
      <w:pPr>
        <w:spacing w:line="360" w:lineRule="auto"/>
        <w:jc w:val="both"/>
      </w:pPr>
      <w:r>
        <w:rPr>
          <w:rFonts w:ascii="Book Antiqua" w:hAnsi="Book Antiqua" w:eastAsia="Book Antiqua" w:cs="Book Antiqua"/>
          <w:b/>
          <w:bCs/>
          <w:color w:val="000000"/>
          <w:szCs w:val="22"/>
        </w:rPr>
        <w:t xml:space="preserve">Author contributions: </w:t>
      </w:r>
      <w:r>
        <w:rPr>
          <w:rFonts w:ascii="Book Antiqua" w:hAnsi="Book Antiqua" w:eastAsia="Book Antiqua" w:cs="Book Antiqua"/>
          <w:color w:val="000000"/>
        </w:rPr>
        <w:t>Sempokuya T contributed to study design, data collection, statistical analysis; Sempokuya T, Forlemu A, Silangcruz K, Azawi M, Khoury N contributed to the literature review, manuscript drafting, and editing; Ma J contributed to study design and statistical analysis; Wong L</w:t>
      </w:r>
      <w:r>
        <w:rPr>
          <w:rFonts w:hint="eastAsia" w:ascii="Book Antiqua" w:hAnsi="Book Antiqua" w:cs="Book Antiqua"/>
          <w:color w:val="000000"/>
          <w:lang w:eastAsia="zh-CN"/>
        </w:rPr>
        <w:t>L</w:t>
      </w:r>
      <w:r>
        <w:rPr>
          <w:rFonts w:ascii="Book Antiqua" w:hAnsi="Book Antiqua" w:eastAsia="Book Antiqua" w:cs="Book Antiqua"/>
          <w:color w:val="000000"/>
        </w:rPr>
        <w:t xml:space="preserve"> contributed to study supervision, manuscript drafting, and editing; all of the authors have approved the final version of the manuscript.</w:t>
      </w:r>
    </w:p>
    <w:p>
      <w:pPr>
        <w:spacing w:line="360" w:lineRule="auto"/>
        <w:jc w:val="both"/>
        <w:rPr>
          <w:lang w:eastAsia="zh-CN"/>
        </w:rPr>
      </w:pPr>
    </w:p>
    <w:p>
      <w:pPr>
        <w:spacing w:line="360" w:lineRule="auto"/>
        <w:jc w:val="both"/>
      </w:pPr>
      <w:r>
        <w:rPr>
          <w:rFonts w:ascii="Book Antiqua" w:hAnsi="Book Antiqua" w:eastAsia="Book Antiqua" w:cs="Book Antiqua"/>
          <w:b/>
          <w:bCs/>
          <w:color w:val="000000"/>
        </w:rPr>
        <w:t xml:space="preserve">Corresponding author: Tomoki Sempokuya, MD, Doctor, </w:t>
      </w:r>
      <w:r>
        <w:rPr>
          <w:rFonts w:ascii="Book Antiqua" w:hAnsi="Book Antiqua" w:eastAsia="Book Antiqua" w:cs="Book Antiqua"/>
          <w:color w:val="000000"/>
        </w:rPr>
        <w:t>Division of Gastroenterology and Hepatology, Department of Internal Medicine, University of Nebraska Medical Center, 982000 Nebraska Medical Center, Omaha, NE 68198, United States. tsempoku@hawaii.edu</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25, 2021</w:t>
      </w:r>
    </w:p>
    <w:p>
      <w:pPr>
        <w:spacing w:line="360" w:lineRule="auto"/>
        <w:jc w:val="both"/>
        <w:rPr>
          <w:lang w:eastAsia="zh-CN"/>
        </w:rPr>
      </w:pPr>
      <w:r>
        <w:rPr>
          <w:rFonts w:ascii="Book Antiqua" w:hAnsi="Book Antiqua" w:eastAsia="Book Antiqua" w:cs="Book Antiqua"/>
          <w:b/>
          <w:bCs/>
          <w:color w:val="000000"/>
        </w:rPr>
        <w:t xml:space="preserve">Revised: </w:t>
      </w:r>
      <w:r>
        <w:rPr>
          <w:rFonts w:hint="eastAsia" w:ascii="Book Antiqua" w:hAnsi="Book Antiqua" w:cs="Book Antiqua"/>
          <w:bCs/>
          <w:color w:val="000000"/>
          <w:lang w:eastAsia="zh-CN"/>
        </w:rPr>
        <w:t>March 29,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April 21, 2022</w:t>
      </w:r>
    </w:p>
    <w:p>
      <w:pPr>
        <w:spacing w:line="360" w:lineRule="auto"/>
        <w:jc w:val="both"/>
      </w:pPr>
      <w:r>
        <w:rPr>
          <w:rFonts w:ascii="Book Antiqua" w:hAnsi="Book Antiqua" w:eastAsia="Book Antiqua" w:cs="Book Antiqua"/>
          <w:b/>
          <w:bCs/>
          <w:color w:val="000000"/>
        </w:rPr>
        <w:t xml:space="preserve">Published online: </w:t>
      </w:r>
      <w:r>
        <w:rPr>
          <w:rFonts w:ascii="Book Antiqua" w:hAnsi="Book Antiqua" w:eastAsia="Book Antiqua" w:cs="Book Antiqua"/>
          <w:color w:val="000000"/>
        </w:rPr>
        <w:t>May 24,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rPr>
          <w:lang w:eastAsia="zh-CN"/>
        </w:rPr>
      </w:pPr>
      <w:r>
        <w:rPr>
          <w:rFonts w:ascii="Book Antiqua" w:hAnsi="Book Antiqua" w:eastAsia="Book Antiqua" w:cs="Book Antiqua"/>
          <w:color w:val="000000"/>
        </w:rPr>
        <w:t>Fibrolamellar hepatocellular carcinoma (FL-HCC) is a rare and distinct type of hepatocellular carcinoma that frequently presents in an advanced stage in younger patients with no underlying liver disease. Currently, there is a limited understanding of factors that impact outcomes in FL-HCC.</w:t>
      </w:r>
    </w:p>
    <w:p>
      <w:pPr>
        <w:spacing w:line="360" w:lineRule="auto"/>
        <w:jc w:val="both"/>
      </w:pPr>
    </w:p>
    <w:p>
      <w:pPr>
        <w:spacing w:line="360" w:lineRule="auto"/>
        <w:jc w:val="both"/>
      </w:pPr>
      <w:r>
        <w:rPr>
          <w:rFonts w:ascii="Book Antiqua" w:hAnsi="Book Antiqua" w:eastAsia="Book Antiqua" w:cs="Book Antiqua"/>
          <w:color w:val="000000"/>
        </w:rPr>
        <w:t>AIM</w:t>
      </w:r>
    </w:p>
    <w:p>
      <w:pPr>
        <w:spacing w:line="360" w:lineRule="auto"/>
        <w:jc w:val="both"/>
        <w:rPr>
          <w:lang w:eastAsia="zh-CN"/>
        </w:rPr>
      </w:pPr>
      <w:r>
        <w:rPr>
          <w:rFonts w:ascii="Book Antiqua" w:hAnsi="Book Antiqua" w:eastAsia="Book Antiqua" w:cs="Book Antiqua"/>
          <w:color w:val="000000"/>
        </w:rPr>
        <w:t>To characterize the survival of FL-HCC by age, race, and surgical intervention.</w:t>
      </w:r>
    </w:p>
    <w:p>
      <w:pPr>
        <w:spacing w:line="360" w:lineRule="auto"/>
        <w:jc w:val="both"/>
      </w:pPr>
    </w:p>
    <w:p>
      <w:pPr>
        <w:spacing w:line="360" w:lineRule="auto"/>
        <w:jc w:val="both"/>
      </w:pPr>
      <w:r>
        <w:rPr>
          <w:rFonts w:ascii="Book Antiqua" w:hAnsi="Book Antiqua" w:eastAsia="Book Antiqua" w:cs="Book Antiqua"/>
          <w:color w:val="000000"/>
        </w:rPr>
        <w:t>METHODS</w:t>
      </w:r>
    </w:p>
    <w:p>
      <w:pPr>
        <w:spacing w:line="360" w:lineRule="auto"/>
        <w:jc w:val="both"/>
      </w:pPr>
      <w:r>
        <w:rPr>
          <w:rFonts w:ascii="Book Antiqua" w:hAnsi="Book Antiqua" w:eastAsia="Book Antiqua" w:cs="Book Antiqua"/>
          <w:color w:val="000000"/>
        </w:rPr>
        <w:t xml:space="preserve">This is a retrospective study of The </w:t>
      </w:r>
      <w:bookmarkStart w:id="7" w:name="OLE_LINK1"/>
      <w:bookmarkStart w:id="8" w:name="OLE_LINK2"/>
      <w:bookmarkStart w:id="9" w:name="OLE_LINK11"/>
      <w:r>
        <w:rPr>
          <w:rFonts w:ascii="Book Antiqua" w:hAnsi="Book Antiqua" w:eastAsia="Book Antiqua" w:cs="Book Antiqua"/>
          <w:color w:val="000000"/>
        </w:rPr>
        <w:t>Surveillance, Epidemiology, and End Results</w:t>
      </w:r>
      <w:bookmarkEnd w:id="7"/>
      <w:bookmarkEnd w:id="8"/>
      <w:bookmarkEnd w:id="9"/>
      <w:r>
        <w:rPr>
          <w:rFonts w:ascii="Book Antiqua" w:hAnsi="Book Antiqua" w:eastAsia="Book Antiqua" w:cs="Book Antiqua"/>
          <w:color w:val="000000"/>
        </w:rPr>
        <w:t xml:space="preserve"> database. We identified patients with FL-HCC between 2000-2018 by using an </w:t>
      </w:r>
      <w:bookmarkStart w:id="10" w:name="OLE_LINK5"/>
      <w:r>
        <w:rPr>
          <w:rFonts w:ascii="Book Antiqua" w:hAnsi="Book Antiqua" w:eastAsia="Book Antiqua" w:cs="Book Antiqua"/>
          <w:color w:val="000000"/>
        </w:rPr>
        <w:t>ICD-O-3</w:t>
      </w:r>
      <w:bookmarkEnd w:id="10"/>
      <w:r>
        <w:rPr>
          <w:rFonts w:ascii="Book Antiqua" w:hAnsi="Book Antiqua" w:eastAsia="Book Antiqua" w:cs="Book Antiqua"/>
          <w:color w:val="000000"/>
        </w:rPr>
        <w:t xml:space="preserve"> site code C22.0 and a histology code 8171/3: Hepatocellular carcinoma, fibrolamellar. In addition, demographics, tumor characteristics, types of surgical procedure, stages, and survival data were obtained. We conducted three separate survival analyses by age groups; ≤</w:t>
      </w:r>
      <w:r>
        <w:rPr>
          <w:rFonts w:hint="eastAsia" w:ascii="Book Antiqua" w:hAnsi="Book Antiqua" w:cs="Book Antiqua"/>
          <w:color w:val="000000"/>
          <w:lang w:eastAsia="zh-CN"/>
        </w:rPr>
        <w:t xml:space="preserve"> </w:t>
      </w:r>
      <w:r>
        <w:rPr>
          <w:rFonts w:ascii="Book Antiqua" w:hAnsi="Book Antiqua" w:eastAsia="Book Antiqua" w:cs="Book Antiqua"/>
          <w:color w:val="000000"/>
        </w:rPr>
        <w:t>19, 20-59, and ≥</w:t>
      </w:r>
      <w:r>
        <w:rPr>
          <w:rFonts w:hint="eastAsia" w:ascii="Book Antiqua" w:hAnsi="Book Antiqua" w:cs="Book Antiqua"/>
          <w:color w:val="000000"/>
          <w:lang w:eastAsia="zh-CN"/>
        </w:rPr>
        <w:t xml:space="preserve"> </w:t>
      </w:r>
      <w:r>
        <w:rPr>
          <w:rFonts w:ascii="Book Antiqua" w:hAnsi="Book Antiqua" w:eastAsia="Book Antiqua" w:cs="Book Antiqua"/>
          <w:color w:val="000000"/>
        </w:rPr>
        <w:t>60-year-old, and race; White, Black, Hispanic</w:t>
      </w:r>
      <w:r>
        <w:rPr>
          <w:rFonts w:hint="eastAsia" w:ascii="Book Antiqua" w:hAnsi="Book Antiqua" w:cs="Book Antiqua"/>
          <w:color w:val="000000"/>
          <w:lang w:eastAsia="zh-CN"/>
        </w:rPr>
        <w:t>,</w:t>
      </w:r>
      <w:r>
        <w:rPr>
          <w:rFonts w:ascii="Book Antiqua" w:hAnsi="Book Antiqua" w:eastAsia="Book Antiqua" w:cs="Book Antiqua"/>
          <w:color w:val="000000"/>
        </w:rPr>
        <w:t xml:space="preserve"> Asian and Pacific </w:t>
      </w:r>
      <w:r>
        <w:rPr>
          <w:rFonts w:hint="eastAsia" w:ascii="Book Antiqua" w:hAnsi="Book Antiqua" w:cs="Book Antiqua"/>
          <w:color w:val="000000"/>
          <w:lang w:eastAsia="zh-CN"/>
        </w:rPr>
        <w:t>i</w:t>
      </w:r>
      <w:r>
        <w:rPr>
          <w:rFonts w:ascii="Book Antiqua" w:hAnsi="Book Antiqua" w:eastAsia="Book Antiqua" w:cs="Book Antiqua"/>
          <w:color w:val="000000"/>
        </w:rPr>
        <w:t>slanders (API), and surgical types; Wedge resection or segmental resection, lobectomy, extended lobectomy (lobectomy + locoregional therapy or resection of the other lobe), and transplant. The Chi-Square test analyzed categorical variables, and continuous variables were examined using the Mann-Whitney U test. The Kaplan-Meier survival curve was used to compare survival. Multivariate analysis was done with Cox regression analysis.</w:t>
      </w:r>
    </w:p>
    <w:p>
      <w:pPr>
        <w:spacing w:line="360" w:lineRule="auto"/>
        <w:jc w:val="both"/>
      </w:pPr>
    </w:p>
    <w:p>
      <w:pPr>
        <w:spacing w:line="360" w:lineRule="auto"/>
        <w:jc w:val="both"/>
      </w:pPr>
      <w:r>
        <w:rPr>
          <w:rFonts w:ascii="Book Antiqua" w:hAnsi="Book Antiqua" w:eastAsia="Book Antiqua" w:cs="Book Antiqua"/>
          <w:color w:val="000000"/>
        </w:rPr>
        <w:t>RESULTS</w:t>
      </w:r>
    </w:p>
    <w:p>
      <w:pPr>
        <w:spacing w:line="360" w:lineRule="auto"/>
        <w:jc w:val="both"/>
        <w:rPr>
          <w:lang w:eastAsia="zh-CN"/>
        </w:rPr>
      </w:pPr>
      <w:r>
        <w:rPr>
          <w:rFonts w:ascii="Book Antiqua" w:hAnsi="Book Antiqua" w:eastAsia="Book Antiqua" w:cs="Book Antiqua"/>
          <w:color w:val="000000"/>
        </w:rPr>
        <w:t xml:space="preserve">We identified 225 FL-HCC patients with a mean age of 36.9. Overall median survival was 34 (95%CI: 27-41) </w:t>
      </w:r>
      <w:r>
        <w:rPr>
          <w:rFonts w:hint="eastAsia" w:ascii="Book Antiqua" w:hAnsi="Book Antiqua" w:cs="Book Antiqua"/>
          <w:color w:val="000000"/>
          <w:lang w:eastAsia="zh-CN"/>
        </w:rPr>
        <w:t>mo</w:t>
      </w:r>
      <w:r>
        <w:rPr>
          <w:rFonts w:ascii="Book Antiqua" w:hAnsi="Book Antiqua" w:eastAsia="Book Antiqua" w:cs="Book Antiqua"/>
          <w:color w:val="000000"/>
        </w:rPr>
        <w:t>. Patients ≤</w:t>
      </w:r>
      <w:r>
        <w:rPr>
          <w:rFonts w:hint="eastAsia" w:ascii="Book Antiqua" w:hAnsi="Book Antiqua" w:cs="Book Antiqua"/>
          <w:color w:val="000000"/>
          <w:lang w:eastAsia="zh-CN"/>
        </w:rPr>
        <w:t xml:space="preserve"> </w:t>
      </w:r>
      <w:r>
        <w:rPr>
          <w:rFonts w:ascii="Book Antiqua" w:hAnsi="Book Antiqua" w:eastAsia="Book Antiqua" w:cs="Book Antiqua"/>
          <w:color w:val="000000"/>
        </w:rPr>
        <w:t>19-years-old had more advanced disease with positive lymph nodes status. However, they received more surgical interventions such as a wedge, segmental resection, lobectomy, extended lobectomy, and transplant. Survival for ≤</w:t>
      </w:r>
      <w:r>
        <w:rPr>
          <w:rFonts w:hint="eastAsia" w:ascii="Book Antiqua" w:hAnsi="Book Antiqua" w:cs="Book Antiqua"/>
          <w:color w:val="000000"/>
          <w:lang w:eastAsia="zh-CN"/>
        </w:rPr>
        <w:t xml:space="preserve"> </w:t>
      </w:r>
      <w:r>
        <w:rPr>
          <w:rFonts w:ascii="Book Antiqua" w:hAnsi="Book Antiqua" w:eastAsia="Book Antiqua" w:cs="Book Antiqua"/>
          <w:color w:val="000000"/>
        </w:rPr>
        <w:t>19 was 85 (</w:t>
      </w:r>
      <w:bookmarkStart w:id="11" w:name="OLE_LINK7"/>
      <w:bookmarkStart w:id="12" w:name="OLE_LINK6"/>
      <w:r>
        <w:rPr>
          <w:rFonts w:hint="eastAsia" w:ascii="Book Antiqua" w:hAnsi="Book Antiqua" w:cs="Book Antiqua"/>
          <w:color w:val="000000"/>
          <w:lang w:eastAsia="zh-CN"/>
        </w:rPr>
        <w:t>95%</w:t>
      </w:r>
      <w:r>
        <w:rPr>
          <w:rFonts w:ascii="Book Antiqua" w:hAnsi="Book Antiqua" w:eastAsia="Book Antiqua" w:cs="Book Antiqua"/>
          <w:color w:val="000000"/>
        </w:rPr>
        <w:t>CI:</w:t>
      </w:r>
      <w:bookmarkEnd w:id="11"/>
      <w:bookmarkEnd w:id="12"/>
      <w:r>
        <w:rPr>
          <w:rFonts w:ascii="Book Antiqua" w:hAnsi="Book Antiqua" w:eastAsia="Book Antiqua" w:cs="Book Antiqua"/>
          <w:color w:val="000000"/>
        </w:rPr>
        <w:t xml:space="preserve"> 37-137) </w:t>
      </w:r>
      <w:r>
        <w:rPr>
          <w:rFonts w:hint="eastAsia" w:ascii="Book Antiqua" w:hAnsi="Book Antiqua" w:cs="Book Antiqua"/>
          <w:color w:val="000000"/>
          <w:lang w:eastAsia="zh-CN"/>
        </w:rPr>
        <w:t>mo</w:t>
      </w:r>
      <w:r>
        <w:rPr>
          <w:rFonts w:ascii="Book Antiqua" w:hAnsi="Book Antiqua" w:eastAsia="Book Antiqua" w:cs="Book Antiqua"/>
          <w:color w:val="000000"/>
        </w:rPr>
        <w:t>, age 20-59 was 29 (</w:t>
      </w:r>
      <w:r>
        <w:rPr>
          <w:rFonts w:hint="eastAsia" w:ascii="Book Antiqua" w:hAnsi="Book Antiqua" w:cs="Book Antiqua"/>
          <w:color w:val="000000"/>
          <w:lang w:eastAsia="zh-CN"/>
        </w:rPr>
        <w:t>95%</w:t>
      </w:r>
      <w:r>
        <w:rPr>
          <w:rFonts w:ascii="Book Antiqua" w:hAnsi="Book Antiqua" w:eastAsia="Book Antiqua" w:cs="Book Antiqua"/>
          <w:color w:val="000000"/>
        </w:rPr>
        <w:t>CI:</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18-41) </w:t>
      </w:r>
      <w:r>
        <w:rPr>
          <w:rFonts w:hint="eastAsia" w:ascii="Book Antiqua" w:hAnsi="Book Antiqua" w:cs="Book Antiqua"/>
          <w:color w:val="000000"/>
          <w:lang w:eastAsia="zh-CN"/>
        </w:rPr>
        <w:t>mo</w:t>
      </w:r>
      <w:r>
        <w:rPr>
          <w:rFonts w:ascii="Book Antiqua" w:hAnsi="Book Antiqua" w:eastAsia="Book Antiqua" w:cs="Book Antiqua"/>
          <w:color w:val="000000"/>
        </w:rPr>
        <w:t>, and age ≥</w:t>
      </w:r>
      <w:r>
        <w:rPr>
          <w:rFonts w:hint="eastAsia" w:ascii="Book Antiqua" w:hAnsi="Book Antiqua" w:cs="Book Antiqua"/>
          <w:color w:val="000000"/>
          <w:lang w:eastAsia="zh-CN"/>
        </w:rPr>
        <w:t xml:space="preserve"> </w:t>
      </w:r>
      <w:r>
        <w:rPr>
          <w:rFonts w:ascii="Book Antiqua" w:hAnsi="Book Antiqua" w:eastAsia="Book Antiqua" w:cs="Book Antiqua"/>
          <w:color w:val="000000"/>
        </w:rPr>
        <w:t>60 years was 12 (</w:t>
      </w:r>
      <w:r>
        <w:rPr>
          <w:rFonts w:hint="eastAsia" w:ascii="Book Antiqua" w:hAnsi="Book Antiqua" w:cs="Book Antiqua"/>
          <w:color w:val="000000"/>
          <w:lang w:eastAsia="zh-CN"/>
        </w:rPr>
        <w:t>95%</w:t>
      </w:r>
      <w:r>
        <w:rPr>
          <w:rFonts w:ascii="Book Antiqua" w:hAnsi="Book Antiqua" w:eastAsia="Book Antiqua" w:cs="Book Antiqua"/>
          <w:color w:val="000000"/>
        </w:rPr>
        <w:t>CI:</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7-31) </w:t>
      </w:r>
      <w:r>
        <w:rPr>
          <w:rFonts w:hint="eastAsia" w:ascii="Book Antiqua" w:hAnsi="Book Antiqua" w:cs="Book Antiqua"/>
          <w:color w:val="000000"/>
          <w:lang w:eastAsia="zh-CN"/>
        </w:rPr>
        <w:t>mo</w:t>
      </w:r>
      <w:r>
        <w:rPr>
          <w:rFonts w:ascii="Book Antiqua" w:hAnsi="Book Antiqua" w:eastAsia="Book Antiqua" w:cs="Book Antiqua"/>
          <w:color w:val="000000"/>
        </w:rPr>
        <w:t xml:space="preserve">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 There were no differences in stage, lymph node status, metastasis status, and surgical treatment among races. The median survival were; Whites had 39 (</w:t>
      </w:r>
      <w:r>
        <w:rPr>
          <w:rFonts w:ascii="Book Antiqua" w:hAnsi="Book Antiqua" w:cs="Book Antiqua"/>
          <w:color w:val="000000"/>
          <w:lang w:eastAsia="zh-CN"/>
        </w:rPr>
        <w:t>95%</w:t>
      </w:r>
      <w:r>
        <w:rPr>
          <w:rFonts w:ascii="Book Antiqua" w:hAnsi="Book Antiqua" w:eastAsia="Book Antiqua" w:cs="Book Antiqua"/>
          <w:color w:val="000000"/>
        </w:rPr>
        <w:t>CI: 29-63), Blacks 26 (</w:t>
      </w:r>
      <w:r>
        <w:rPr>
          <w:rFonts w:ascii="Book Antiqua" w:hAnsi="Book Antiqua" w:cs="Book Antiqua"/>
          <w:color w:val="000000"/>
          <w:lang w:eastAsia="zh-CN"/>
        </w:rPr>
        <w:t>95%</w:t>
      </w:r>
      <w:r>
        <w:rPr>
          <w:rFonts w:ascii="Book Antiqua" w:hAnsi="Book Antiqua" w:eastAsia="Book Antiqua" w:cs="Book Antiqua"/>
          <w:color w:val="000000"/>
        </w:rPr>
        <w:t>CI: 5-92), Hispanics 31 (</w:t>
      </w:r>
      <w:r>
        <w:rPr>
          <w:rFonts w:ascii="Book Antiqua" w:hAnsi="Book Antiqua" w:cs="Book Antiqua"/>
          <w:color w:val="000000"/>
          <w:lang w:eastAsia="zh-CN"/>
        </w:rPr>
        <w:t>95%</w:t>
      </w:r>
      <w:r>
        <w:rPr>
          <w:rFonts w:ascii="Book Antiqua" w:hAnsi="Book Antiqua" w:eastAsia="Book Antiqua" w:cs="Book Antiqua"/>
          <w:color w:val="000000"/>
        </w:rPr>
        <w:t>CI: 11-54), and APIs 28 (</w:t>
      </w:r>
      <w:r>
        <w:rPr>
          <w:rFonts w:ascii="Book Antiqua" w:hAnsi="Book Antiqua" w:cs="Book Antiqua"/>
          <w:color w:val="000000"/>
          <w:lang w:eastAsia="zh-CN"/>
        </w:rPr>
        <w:t>95%</w:t>
      </w:r>
      <w:r>
        <w:rPr>
          <w:rFonts w:ascii="Book Antiqua" w:hAnsi="Book Antiqua" w:eastAsia="Book Antiqua" w:cs="Book Antiqua"/>
          <w:color w:val="000000"/>
        </w:rPr>
        <w:t xml:space="preserve">CI: 5-39) </w:t>
      </w:r>
      <w:r>
        <w:rPr>
          <w:rFonts w:hint="eastAsia" w:ascii="Book Antiqua" w:hAnsi="Book Antiqua" w:cs="Book Antiqua"/>
          <w:color w:val="000000"/>
          <w:lang w:eastAsia="zh-CN"/>
        </w:rPr>
        <w:t>mo</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ascii="Book Antiqua" w:hAnsi="Book Antiqua" w:eastAsia="Book Antiqua" w:cs="Book Antiqua"/>
          <w:color w:val="000000"/>
        </w:rPr>
        <w:t xml:space="preserve"> = 0.28). Of 225 patients, 111 FL-HCC patients had surgical procedures. Median survivals for a wedge or segmental resection was 112 (</w:t>
      </w:r>
      <w:r>
        <w:rPr>
          <w:rFonts w:ascii="Book Antiqua" w:hAnsi="Book Antiqua" w:cs="Book Antiqua"/>
          <w:color w:val="000000"/>
          <w:lang w:eastAsia="zh-CN"/>
        </w:rPr>
        <w:t>95%</w:t>
      </w:r>
      <w:r>
        <w:rPr>
          <w:rFonts w:ascii="Book Antiqua" w:hAnsi="Book Antiqua" w:eastAsia="Book Antiqua" w:cs="Book Antiqua"/>
          <w:color w:val="000000"/>
        </w:rPr>
        <w:t>CI: 78-NA), lobectomy was 92 (</w:t>
      </w:r>
      <w:r>
        <w:rPr>
          <w:rFonts w:ascii="Book Antiqua" w:hAnsi="Book Antiqua" w:cs="Book Antiqua"/>
          <w:color w:val="000000"/>
          <w:lang w:eastAsia="zh-CN"/>
        </w:rPr>
        <w:t>95%</w:t>
      </w:r>
      <w:r>
        <w:rPr>
          <w:rFonts w:ascii="Book Antiqua" w:hAnsi="Book Antiqua" w:eastAsia="Book Antiqua" w:cs="Book Antiqua"/>
          <w:color w:val="000000"/>
        </w:rPr>
        <w:t>CI: 57-NA), extended lobectomy was 54 (</w:t>
      </w:r>
      <w:r>
        <w:rPr>
          <w:rFonts w:ascii="Book Antiqua" w:hAnsi="Book Antiqua" w:cs="Book Antiqua"/>
          <w:color w:val="000000"/>
          <w:lang w:eastAsia="zh-CN"/>
        </w:rPr>
        <w:t>95%</w:t>
      </w:r>
      <w:r>
        <w:rPr>
          <w:rFonts w:ascii="Book Antiqua" w:hAnsi="Book Antiqua" w:eastAsia="Book Antiqua" w:cs="Book Antiqua"/>
          <w:color w:val="000000"/>
        </w:rPr>
        <w:t>CI: 23-NA), and a transplant was 63 (</w:t>
      </w:r>
      <w:r>
        <w:rPr>
          <w:rFonts w:ascii="Book Antiqua" w:hAnsi="Book Antiqua" w:cs="Book Antiqua"/>
          <w:color w:val="000000"/>
          <w:lang w:eastAsia="zh-CN"/>
        </w:rPr>
        <w:t>95%</w:t>
      </w:r>
      <w:r>
        <w:rPr>
          <w:rFonts w:ascii="Book Antiqua" w:hAnsi="Book Antiqua" w:eastAsia="Book Antiqua" w:cs="Book Antiqua"/>
          <w:color w:val="000000"/>
        </w:rPr>
        <w:t xml:space="preserve">CI: 20-NA) </w:t>
      </w:r>
      <w:r>
        <w:rPr>
          <w:rFonts w:hint="eastAsia" w:ascii="Book Antiqua" w:hAnsi="Book Antiqua" w:cs="Book Antiqua"/>
          <w:color w:val="000000"/>
          <w:lang w:eastAsia="zh-CN"/>
        </w:rPr>
        <w:t>mo</w:t>
      </w:r>
      <w:r>
        <w:rPr>
          <w:rFonts w:ascii="Book Antiqua" w:hAnsi="Book Antiqua" w:eastAsia="Book Antiqua" w:cs="Book Antiqua"/>
          <w:color w:val="000000"/>
        </w:rPr>
        <w:t xml:space="preserve">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 The median survival was better in patients who had surgical treatments regardless of lymph nodes or metastasis status (</w:t>
      </w:r>
      <w:r>
        <w:rPr>
          <w:rFonts w:ascii="Book Antiqua" w:hAnsi="Book Antiqua" w:eastAsia="Book Antiqua" w:cs="Book Antiqua"/>
          <w:i/>
          <w:color w:val="000000"/>
        </w:rPr>
        <w:t>P</w:t>
      </w:r>
      <w:r>
        <w:rPr>
          <w:rFonts w:hint="eastAsia" w:ascii="Book Antiqua" w:hAnsi="Book Antiqua" w:cs="Book Antiqua"/>
          <w:i/>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bookmarkStart w:id="13" w:name="OLE_LINK8"/>
      <w:r>
        <w:rPr>
          <w:rFonts w:ascii="Book Antiqua" w:hAnsi="Book Antiqua" w:eastAsia="Book Antiqua" w:cs="Book Antiqua"/>
          <w:color w:val="000000"/>
        </w:rPr>
        <w:t>FL-HCC</w:t>
      </w:r>
      <w:bookmarkEnd w:id="13"/>
      <w:r>
        <w:rPr>
          <w:rFonts w:ascii="Book Antiqua" w:hAnsi="Book Antiqua" w:eastAsia="Book Antiqua" w:cs="Book Antiqua"/>
          <w:color w:val="000000"/>
        </w:rPr>
        <w:t xml:space="preserve"> occurs in a primarily younger population, but survival can be prolonged despite the aggressive disease. There were no racial differences in the survival of FL-HCC; however, Asians with FL-HCC tended to be older than in other races. Surgical treatment provided better survival even in those patients with nodal disease or metastases. Although future studies are needed to explore other therapies for FL-HCC, surgical options should be considered in all cases of FL-HCC unless contraindicated. </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Fibrolamellar hepatocellular carcinoma; </w:t>
      </w:r>
      <w:r>
        <w:rPr>
          <w:rFonts w:hint="eastAsia" w:ascii="Book Antiqua" w:hAnsi="Book Antiqua" w:cs="Book Antiqua"/>
          <w:color w:val="000000"/>
          <w:lang w:eastAsia="zh-CN"/>
        </w:rPr>
        <w:t>T</w:t>
      </w:r>
      <w:r>
        <w:rPr>
          <w:rFonts w:ascii="Book Antiqua" w:hAnsi="Book Antiqua" w:eastAsia="Book Antiqua" w:cs="Book Antiqua"/>
          <w:color w:val="000000"/>
        </w:rPr>
        <w:t xml:space="preserve">ransplant; </w:t>
      </w:r>
      <w:r>
        <w:rPr>
          <w:rFonts w:hint="eastAsia" w:ascii="Book Antiqua" w:hAnsi="Book Antiqua" w:cs="Book Antiqua"/>
          <w:color w:val="000000"/>
          <w:lang w:eastAsia="zh-CN"/>
        </w:rPr>
        <w:t>R</w:t>
      </w:r>
      <w:r>
        <w:rPr>
          <w:rFonts w:ascii="Book Antiqua" w:hAnsi="Book Antiqua" w:eastAsia="Book Antiqua" w:cs="Book Antiqua"/>
          <w:color w:val="000000"/>
        </w:rPr>
        <w:t xml:space="preserve">ace; </w:t>
      </w:r>
      <w:r>
        <w:rPr>
          <w:rFonts w:hint="eastAsia" w:ascii="Book Antiqua" w:hAnsi="Book Antiqua" w:cs="Book Antiqua"/>
          <w:color w:val="000000"/>
          <w:lang w:eastAsia="zh-CN"/>
        </w:rPr>
        <w:t>A</w:t>
      </w:r>
      <w:r>
        <w:rPr>
          <w:rFonts w:ascii="Book Antiqua" w:hAnsi="Book Antiqua" w:eastAsia="Book Antiqua" w:cs="Book Antiqua"/>
          <w:color w:val="000000"/>
        </w:rPr>
        <w:t xml:space="preserve">ge; </w:t>
      </w:r>
      <w:r>
        <w:rPr>
          <w:rFonts w:hint="eastAsia" w:ascii="Book Antiqua" w:hAnsi="Book Antiqua" w:cs="Book Antiqua"/>
          <w:color w:val="000000"/>
          <w:lang w:eastAsia="zh-CN"/>
        </w:rPr>
        <w:t>S</w:t>
      </w:r>
      <w:r>
        <w:rPr>
          <w:rFonts w:ascii="Book Antiqua" w:hAnsi="Book Antiqua" w:eastAsia="Book Antiqua" w:cs="Book Antiqua"/>
          <w:color w:val="000000"/>
        </w:rPr>
        <w:t>urvival</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cs="Book Antiqua"/>
          <w:color w:val="000000"/>
          <w:lang w:eastAsia="zh-CN"/>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Sempokuya T, Forlemu A, Azawi M, Silangcruz K, Khoury N, Ma J, Wong LL. Survival characteristics of fibrolamellar hepatocellular carcinoma: A Surveillance, Epidemiology, and End Results database study. </w:t>
      </w:r>
      <w:r>
        <w:rPr>
          <w:rFonts w:ascii="Book Antiqua" w:hAnsi="Book Antiqua" w:eastAsia="Book Antiqua" w:cs="Book Antiqua"/>
          <w:i/>
          <w:iCs/>
          <w:color w:val="000000"/>
        </w:rPr>
        <w:t>World J Clin Oncol</w:t>
      </w:r>
      <w:r>
        <w:rPr>
          <w:rFonts w:ascii="Book Antiqua" w:hAnsi="Book Antiqua" w:eastAsia="Book Antiqua" w:cs="Book Antiqua"/>
          <w:color w:val="000000"/>
        </w:rPr>
        <w:t xml:space="preserve"> 2022; 13(</w:t>
      </w:r>
      <w:r>
        <w:rPr>
          <w:rFonts w:ascii="Book Antiqua" w:hAnsi="Book Antiqua" w:cs="Book Antiqua"/>
          <w:color w:val="000000"/>
          <w:lang w:eastAsia="zh-CN"/>
        </w:rPr>
        <w:t>5</w:t>
      </w:r>
      <w:r>
        <w:rPr>
          <w:rFonts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352-365</w:t>
      </w:r>
      <w:r>
        <w:rPr>
          <w:rFonts w:hint="eastAsia" w:ascii="Book Antiqua" w:hAnsi="Book Antiqua" w:cs="Book Antiqua"/>
          <w:color w:val="000000"/>
          <w:lang w:eastAsia="zh-CN"/>
        </w:rPr>
        <w:t xml:space="preserve"> </w:t>
      </w:r>
    </w:p>
    <w:p>
      <w:pPr>
        <w:spacing w:line="360" w:lineRule="auto"/>
        <w:jc w:val="both"/>
        <w:rPr>
          <w:rFonts w:hint="eastAsia" w:ascii="Book Antiqua" w:hAnsi="Book Antiqua" w:cs="Book Antiqua"/>
          <w:color w:val="000000"/>
          <w:lang w:eastAsia="zh-CN"/>
        </w:rPr>
      </w:pPr>
      <w:r>
        <w:rPr>
          <w:rFonts w:ascii="Book Antiqua" w:hAnsi="Book Antiqua" w:eastAsia="Book Antiqua" w:cs="Book Antiqua"/>
          <w:b/>
          <w:bCs w:val="0"/>
          <w:color w:val="000000"/>
        </w:rPr>
        <w:t>URL</w:t>
      </w:r>
      <w:r>
        <w:rPr>
          <w:rFonts w:ascii="Book Antiqua" w:hAnsi="Book Antiqua" w:eastAsia="Book Antiqua" w:cs="Book Antiqua"/>
          <w:bCs/>
          <w:color w:val="000000"/>
        </w:rPr>
        <w:t xml:space="preserve">: </w:t>
      </w:r>
      <w:r>
        <w:rPr>
          <w:rFonts w:ascii="Book Antiqua" w:hAnsi="Book Antiqua" w:eastAsia="Book Antiqua" w:cs="Book Antiqua"/>
        </w:rPr>
        <w:t>https://www.wjgnet.com/2218-4333/full/v13/i</w:t>
      </w:r>
      <w:r>
        <w:rPr>
          <w:rFonts w:ascii="Book Antiqua" w:hAnsi="Book Antiqua" w:cs="Book Antiqua"/>
          <w:lang w:eastAsia="zh-CN"/>
        </w:rPr>
        <w:t>5</w:t>
      </w:r>
      <w:r>
        <w:rPr>
          <w:rFonts w:ascii="Book Antiqua" w:hAnsi="Book Antiqua" w:eastAsia="Book Antiqua" w:cs="Book Antiqua"/>
        </w:rPr>
        <w:t>/</w:t>
      </w:r>
      <w:r>
        <w:rPr>
          <w:rFonts w:hint="default" w:ascii="Book Antiqua" w:hAnsi="Book Antiqua" w:eastAsia="Book Antiqua" w:cs="Book Antiqua"/>
          <w:i w:val="0"/>
          <w:iCs w:val="0"/>
          <w:color w:val="000000"/>
          <w:kern w:val="0"/>
          <w:sz w:val="24"/>
          <w:szCs w:val="24"/>
          <w:u w:val="none"/>
          <w:lang w:val="en-US" w:eastAsia="zh-CN" w:bidi="ar"/>
        </w:rPr>
        <w:t>352</w:t>
      </w:r>
      <w:r>
        <w:rPr>
          <w:rFonts w:ascii="Book Antiqua" w:hAnsi="Book Antiqua" w:eastAsia="Book Antiqua" w:cs="Book Antiqua"/>
        </w:rPr>
        <w:t>.htm</w:t>
      </w:r>
      <w:r>
        <w:rPr>
          <w:rFonts w:hint="eastAsia" w:ascii="Book Antiqua" w:hAnsi="Book Antiqua" w:cs="Book Antiqua"/>
          <w:color w:val="000000"/>
          <w:lang w:eastAsia="zh-CN"/>
        </w:rPr>
        <w:t xml:space="preserve"> </w:t>
      </w:r>
    </w:p>
    <w:p>
      <w:pPr>
        <w:spacing w:line="360" w:lineRule="auto"/>
        <w:jc w:val="both"/>
      </w:pPr>
      <w:r>
        <w:rPr>
          <w:rFonts w:ascii="Book Antiqua" w:hAnsi="Book Antiqua" w:eastAsia="Book Antiqua" w:cs="Book Antiqua"/>
          <w:b/>
          <w:bCs w:val="0"/>
          <w:color w:val="000000"/>
        </w:rPr>
        <w:t>DOI</w:t>
      </w:r>
      <w:r>
        <w:rPr>
          <w:rFonts w:ascii="Book Antiqua" w:hAnsi="Book Antiqua" w:eastAsia="Book Antiqua" w:cs="Book Antiqua"/>
          <w:bCs/>
          <w:color w:val="000000"/>
        </w:rPr>
        <w:t>:</w:t>
      </w:r>
      <w:r>
        <w:rPr>
          <w:rFonts w:ascii="Book Antiqua" w:hAnsi="Book Antiqua" w:eastAsia="Book Antiqua" w:cs="Book Antiqua"/>
          <w:b/>
          <w:color w:val="000000"/>
        </w:rPr>
        <w:t xml:space="preserve"> </w:t>
      </w:r>
      <w:r>
        <w:rPr>
          <w:rFonts w:ascii="Book Antiqua" w:hAnsi="Book Antiqua" w:eastAsia="Book Antiqua" w:cs="Book Antiqua"/>
          <w:color w:val="000000"/>
        </w:rPr>
        <w:t>https://dx.doi.org/10.5306/wjco.v13.i</w:t>
      </w:r>
      <w:r>
        <w:rPr>
          <w:rFonts w:ascii="Book Antiqua" w:hAnsi="Book Antiqua" w:cs="Book Antiqua"/>
          <w:color w:val="000000"/>
          <w:lang w:eastAsia="zh-CN"/>
        </w:rPr>
        <w:t>5</w:t>
      </w:r>
      <w:r>
        <w:rPr>
          <w:rFonts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352</w:t>
      </w: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Fibrolamellar hepatocellular carcinoma (FL-HCC) is a rare and distinct type of hepatocellular carcinoma. Currently, there is limited data on survival associated with FL-HCC. This retrospective study based on the Surveillance, Epidemiology, and End Results database suggests a better survival of younger patients with FL-HCC, although they had aggressive diseases. This trend may be because they received more surgical interventions. There were no racial differences in survival for FL-HCC, which is seen in HCC. The patient who had wedge or segmental resection or lobectomy had better survival.</w:t>
      </w:r>
    </w:p>
    <w:p>
      <w:pPr>
        <w:spacing w:line="360" w:lineRule="auto"/>
        <w:jc w:val="both"/>
      </w:pPr>
    </w:p>
    <w:p>
      <w:pPr>
        <w:spacing w:line="360" w:lineRule="auto"/>
        <w:jc w:val="both"/>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Fibrolamellar hepatocellular carcinoma (FL-HCC) is a rare and distinct type of hepatocellular carcinoma (HCC) with an estimated incidence of 0.02 per 100000 in the U.S., and it accounts for &lt; 1% of all primary liver tumors</w:t>
      </w:r>
      <w:r>
        <w:rPr>
          <w:rFonts w:ascii="Book Antiqua" w:hAnsi="Book Antiqua" w:eastAsia="Book Antiqua" w:cs="Book Antiqua"/>
          <w:color w:val="000000"/>
          <w:szCs w:val="30"/>
          <w:vertAlign w:val="superscript"/>
        </w:rPr>
        <w:t>[1-3]</w:t>
      </w:r>
      <w:r>
        <w:rPr>
          <w:rFonts w:ascii="Book Antiqua" w:hAnsi="Book Antiqua" w:eastAsia="Book Antiqua" w:cs="Book Antiqua"/>
          <w:color w:val="000000"/>
        </w:rPr>
        <w:t>. It is often found in the younger patients without known underlying cirrhosis or hepatic dysfunction and may present with advanced stages</w:t>
      </w:r>
      <w:r>
        <w:rPr>
          <w:rFonts w:ascii="Book Antiqua" w:hAnsi="Book Antiqua" w:eastAsia="Book Antiqua" w:cs="Book Antiqua"/>
          <w:color w:val="000000"/>
          <w:szCs w:val="30"/>
          <w:vertAlign w:val="superscript"/>
        </w:rPr>
        <w:t>[4,5]</w:t>
      </w:r>
      <w:r>
        <w:rPr>
          <w:rFonts w:ascii="Book Antiqua" w:hAnsi="Book Antiqua" w:eastAsia="Book Antiqua" w:cs="Book Antiqua"/>
          <w:color w:val="000000"/>
        </w:rPr>
        <w:t>. The pathogenesis of FL-HCC remains unclear, and it has not been associated with alcohol intake or viral hepatitis infections</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HCC was thought to originate from mature hepatocytes</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However, recent studies have suggested that FL-HCC may be derived from neuroendocrine progenitors</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FL-HCC is a vascular tumor with significant fibrosis and a well-differentiated tumor</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 On computed tomography scan, FL-HCC appears as a hypodense mass with arterial enhancement and calcifications</w:t>
      </w:r>
      <w:r>
        <w:rPr>
          <w:rFonts w:ascii="Book Antiqua" w:hAnsi="Book Antiqua" w:eastAsia="Book Antiqua" w:cs="Book Antiqua"/>
          <w:color w:val="000000"/>
          <w:szCs w:val="30"/>
          <w:vertAlign w:val="superscript"/>
        </w:rPr>
        <w:t>[8]</w:t>
      </w:r>
      <w:r>
        <w:rPr>
          <w:rFonts w:ascii="Book Antiqua" w:hAnsi="Book Antiqua" w:eastAsia="Book Antiqua" w:cs="Book Antiqua"/>
          <w:color w:val="000000"/>
        </w:rPr>
        <w:t>. FL-HCC patients may present with non-specific symptoms such as abdominal pain and fullness, weight loss, fatigue, nausea, and vomiting</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 or asymptomatic with tumors found incidentally</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w:t>
      </w:r>
    </w:p>
    <w:p>
      <w:pPr>
        <w:spacing w:line="360" w:lineRule="auto"/>
        <w:ind w:firstLine="240" w:firstLineChars="100"/>
        <w:jc w:val="both"/>
        <w:rPr>
          <w:lang w:eastAsia="zh-CN"/>
        </w:rPr>
      </w:pPr>
      <w:r>
        <w:rPr>
          <w:rFonts w:ascii="Book Antiqua" w:hAnsi="Book Antiqua" w:eastAsia="Book Antiqua" w:cs="Book Antiqua"/>
          <w:color w:val="000000"/>
        </w:rPr>
        <w:t>As FL-HCC is a rare type of cancer, there are no specific guidelines from the National Comprehensive Cancer Network in the United States to direct therapy. The majority of HCC clinical trials have excluded FL-HCC patients due to distinct disease progressions</w:t>
      </w:r>
      <w:r>
        <w:rPr>
          <w:rFonts w:ascii="Book Antiqua" w:hAnsi="Book Antiqua" w:eastAsia="Book Antiqua" w:cs="Book Antiqua"/>
          <w:color w:val="000000"/>
          <w:szCs w:val="30"/>
          <w:vertAlign w:val="superscript"/>
        </w:rPr>
        <w:t>[10]</w:t>
      </w:r>
      <w:r>
        <w:rPr>
          <w:rFonts w:ascii="Book Antiqua" w:hAnsi="Book Antiqua" w:eastAsia="Book Antiqua" w:cs="Book Antiqua"/>
          <w:color w:val="000000"/>
        </w:rPr>
        <w:t>. Therefore, treatment outcome with systemic therapy or immunotherapy has yet to be elucidated. A small study with 5-fluorouracil based chemotherapy demonstrated an incomplete response to treatment</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In general, FL-HCC has better survival than the common type of HCC, likely because these patients are younger and in the absence of underlying liver disease, they are more likely to qualify for curative surgical procedures</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While treatment modalities vary based on the tumor stages and resectability, complete resection with regional lymphadenectomy has the longest survival</w:t>
      </w:r>
      <w:r>
        <w:rPr>
          <w:rFonts w:ascii="Book Antiqua" w:hAnsi="Book Antiqua" w:eastAsia="Book Antiqua" w:cs="Book Antiqua"/>
          <w:color w:val="000000"/>
          <w:szCs w:val="30"/>
          <w:vertAlign w:val="superscript"/>
        </w:rPr>
        <w:t>[13]</w:t>
      </w:r>
      <w:r>
        <w:rPr>
          <w:rFonts w:ascii="Book Antiqua" w:hAnsi="Book Antiqua" w:eastAsia="Book Antiqua" w:cs="Book Antiqua"/>
          <w:color w:val="000000"/>
        </w:rPr>
        <w:t xml:space="preserve">. In a study by Stipa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28 patients with FL-HCC who underwent complete resection had a 5-year overall survival of 76%. However, advanced stage FL-HCC has poor prognosis with a median survival of fewer than 12 mo</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There is a limited understanding of disease characteristics and factors affecting the survival outcomes on FL-HCC due to disease rarity and lack of randomized control trials. Single institution or multicenter studies do not have enough cases to characterize FL-HCC survival. This study aimed to characterize the survival of FL-HCC by age, race, and surgical intervention using a larger population-based database.</w:t>
      </w:r>
    </w:p>
    <w:p>
      <w:pPr>
        <w:spacing w:line="360" w:lineRule="auto"/>
        <w:jc w:val="both"/>
      </w:pPr>
    </w:p>
    <w:p>
      <w:pPr>
        <w:spacing w:line="360" w:lineRule="auto"/>
        <w:jc w:val="both"/>
      </w:pPr>
      <w:r>
        <w:rPr>
          <w:rFonts w:ascii="Book Antiqua" w:hAnsi="Book Antiqua" w:eastAsia="Book Antiqua" w:cs="Book Antiqua"/>
          <w:b/>
          <w:caps/>
          <w:color w:val="000000"/>
          <w:u w:val="single"/>
        </w:rPr>
        <w:t>MATERIALS AND METHODS</w:t>
      </w:r>
    </w:p>
    <w:p>
      <w:pPr>
        <w:spacing w:line="360" w:lineRule="auto"/>
        <w:jc w:val="both"/>
      </w:pPr>
      <w:r>
        <w:rPr>
          <w:rFonts w:ascii="Book Antiqua" w:hAnsi="Book Antiqua" w:eastAsia="Book Antiqua" w:cs="Book Antiqua"/>
          <w:b/>
          <w:bCs/>
          <w:i/>
          <w:iCs/>
          <w:color w:val="000000"/>
        </w:rPr>
        <w:t xml:space="preserve">Study </w:t>
      </w:r>
      <w:r>
        <w:rPr>
          <w:rFonts w:hint="eastAsia" w:ascii="Book Antiqua" w:hAnsi="Book Antiqua" w:cs="Book Antiqua"/>
          <w:b/>
          <w:bCs/>
          <w:i/>
          <w:iCs/>
          <w:color w:val="000000"/>
          <w:lang w:eastAsia="zh-CN"/>
        </w:rPr>
        <w:t>d</w:t>
      </w:r>
      <w:r>
        <w:rPr>
          <w:rFonts w:ascii="Book Antiqua" w:hAnsi="Book Antiqua" w:eastAsia="Book Antiqua" w:cs="Book Antiqua"/>
          <w:b/>
          <w:bCs/>
          <w:i/>
          <w:iCs/>
          <w:color w:val="000000"/>
        </w:rPr>
        <w:t>esign</w:t>
      </w:r>
    </w:p>
    <w:p>
      <w:pPr>
        <w:spacing w:line="360" w:lineRule="auto"/>
        <w:jc w:val="both"/>
      </w:pPr>
      <w:r>
        <w:rPr>
          <w:rFonts w:ascii="Book Antiqua" w:hAnsi="Book Antiqua" w:eastAsia="Book Antiqua" w:cs="Book Antiqua"/>
          <w:color w:val="000000"/>
        </w:rPr>
        <w:t xml:space="preserve">The National Cancer Institute publishes population data on the Surveillance, </w:t>
      </w:r>
      <w:bookmarkStart w:id="14" w:name="OLE_LINK27"/>
      <w:bookmarkStart w:id="15" w:name="OLE_LINK26"/>
      <w:r>
        <w:rPr>
          <w:rFonts w:ascii="Book Antiqua" w:hAnsi="Book Antiqua" w:eastAsia="Book Antiqua" w:cs="Book Antiqua"/>
          <w:color w:val="000000"/>
        </w:rPr>
        <w:t>Epidemiology, and End Results</w:t>
      </w:r>
      <w:bookmarkEnd w:id="14"/>
      <w:bookmarkEnd w:id="15"/>
      <w:r>
        <w:rPr>
          <w:rFonts w:ascii="Book Antiqua" w:hAnsi="Book Antiqua" w:eastAsia="Book Antiqua" w:cs="Book Antiqua"/>
          <w:color w:val="000000"/>
        </w:rPr>
        <w:t xml:space="preserve"> (SEER) database, and research data was obtained through Surveillance Research Program, National Cancer Institute SEER*Stat software (seer.cancer.gov/seerstat/) version 8.3.6</w:t>
      </w:r>
      <w:r>
        <w:rPr>
          <w:rFonts w:ascii="Book Antiqua" w:hAnsi="Book Antiqua" w:eastAsia="Book Antiqua" w:cs="Book Antiqua"/>
          <w:color w:val="000000"/>
          <w:szCs w:val="30"/>
          <w:vertAlign w:val="superscript"/>
        </w:rPr>
        <w:t>[14]</w:t>
      </w:r>
      <w:r>
        <w:rPr>
          <w:rFonts w:ascii="Book Antiqua" w:hAnsi="Book Antiqua" w:eastAsia="Book Antiqua" w:cs="Book Antiqua"/>
          <w:color w:val="000000"/>
        </w:rPr>
        <w:t xml:space="preserve">. SEER Registries contains population-based data on cancer incidence, characteristics, treatment, and mortality in select </w:t>
      </w:r>
      <w:bookmarkStart w:id="16" w:name="OLE_LINK12"/>
      <w:r>
        <w:rPr>
          <w:rFonts w:ascii="Book Antiqua" w:hAnsi="Book Antiqua" w:eastAsia="Book Antiqua" w:cs="Book Antiqua"/>
          <w:color w:val="000000"/>
        </w:rPr>
        <w:t xml:space="preserve">states </w:t>
      </w:r>
      <w:r>
        <w:rPr>
          <w:rFonts w:hint="eastAsia" w:ascii="Book Antiqua" w:hAnsi="Book Antiqua" w:cs="Book Antiqua"/>
          <w:color w:val="000000"/>
          <w:lang w:eastAsia="zh-CN"/>
        </w:rPr>
        <w:t xml:space="preserve">in </w:t>
      </w:r>
      <w:r>
        <w:rPr>
          <w:rFonts w:ascii="Book Antiqua" w:hAnsi="Book Antiqua" w:eastAsia="Book Antiqua" w:cs="Book Antiqua"/>
          <w:color w:val="000000"/>
        </w:rPr>
        <w:t>U</w:t>
      </w:r>
      <w:r>
        <w:rPr>
          <w:rFonts w:hint="eastAsia" w:ascii="Book Antiqua" w:hAnsi="Book Antiqua" w:cs="Book Antiqua"/>
          <w:color w:val="000000"/>
          <w:lang w:eastAsia="zh-CN"/>
        </w:rPr>
        <w:t xml:space="preserve">nited </w:t>
      </w:r>
      <w:r>
        <w:rPr>
          <w:rFonts w:ascii="Book Antiqua" w:hAnsi="Book Antiqua" w:eastAsia="Book Antiqua" w:cs="Book Antiqua"/>
          <w:color w:val="000000"/>
        </w:rPr>
        <w:t>States</w:t>
      </w:r>
      <w:bookmarkEnd w:id="16"/>
      <w:r>
        <w:rPr>
          <w:rFonts w:ascii="Book Antiqua" w:hAnsi="Book Antiqua" w:eastAsia="Book Antiqua" w:cs="Book Antiqua"/>
          <w:color w:val="000000"/>
        </w:rPr>
        <w:t xml:space="preserve"> since 1973. Approximately 34.6% of all cancer cases in the U</w:t>
      </w:r>
      <w:r>
        <w:rPr>
          <w:rFonts w:hint="eastAsia" w:ascii="Book Antiqua" w:hAnsi="Book Antiqua" w:cs="Book Antiqua"/>
          <w:color w:val="000000"/>
          <w:lang w:eastAsia="zh-CN"/>
        </w:rPr>
        <w:t xml:space="preserve">nited </w:t>
      </w:r>
      <w:r>
        <w:rPr>
          <w:rFonts w:ascii="Book Antiqua" w:hAnsi="Book Antiqua" w:eastAsia="Book Antiqua" w:cs="Book Antiqua"/>
          <w:color w:val="000000"/>
        </w:rPr>
        <w:t>S</w:t>
      </w:r>
      <w:r>
        <w:rPr>
          <w:rFonts w:hint="eastAsia" w:ascii="Book Antiqua" w:hAnsi="Book Antiqua" w:cs="Book Antiqua"/>
          <w:color w:val="000000"/>
          <w:lang w:eastAsia="zh-CN"/>
        </w:rPr>
        <w:t>tates</w:t>
      </w:r>
      <w:r>
        <w:rPr>
          <w:rFonts w:ascii="Book Antiqua" w:hAnsi="Book Antiqua" w:eastAsia="Book Antiqua" w:cs="Book Antiqua"/>
          <w:color w:val="000000"/>
        </w:rPr>
        <w:t xml:space="preserve"> population are included</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 xml:space="preserve">. The SEER dataset utilized in this study is based on 18 states </w:t>
      </w:r>
      <w:r>
        <w:rPr>
          <w:rFonts w:hint="eastAsia" w:ascii="Book Antiqua" w:hAnsi="Book Antiqua" w:cs="Book Antiqua"/>
          <w:color w:val="000000"/>
          <w:lang w:eastAsia="zh-CN"/>
        </w:rPr>
        <w:t xml:space="preserve">in </w:t>
      </w:r>
      <w:r>
        <w:rPr>
          <w:rFonts w:ascii="Book Antiqua" w:hAnsi="Book Antiqua" w:eastAsia="Book Antiqua" w:cs="Book Antiqua"/>
          <w:color w:val="000000"/>
        </w:rPr>
        <w:t>U</w:t>
      </w:r>
      <w:r>
        <w:rPr>
          <w:rFonts w:ascii="Book Antiqua" w:hAnsi="Book Antiqua" w:cs="Book Antiqua"/>
          <w:color w:val="000000"/>
          <w:lang w:eastAsia="zh-CN"/>
        </w:rPr>
        <w:t xml:space="preserve">nited </w:t>
      </w:r>
      <w:r>
        <w:rPr>
          <w:rFonts w:ascii="Book Antiqua" w:hAnsi="Book Antiqua" w:eastAsia="Book Antiqua" w:cs="Book Antiqua"/>
          <w:color w:val="000000"/>
        </w:rPr>
        <w:t>States</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regions available to conduct survival analysis: Alaska Native Tumor Registry, California (San Francisco-Oakland, San Jose-Monterey, Los Angeles, Greater California), Connecticut, Georgia (Atlanta, Greater Georgia, Rural Georgia), Hawaii, Iowa, Kentucky, Louisiana, Michigan (Detroit), New Jersey, New Mexico, Utah and Washington (Seattle-Puget Sound) (</w:t>
      </w:r>
      <w:r>
        <w:rPr>
          <w:rFonts w:hint="eastAsia" w:ascii="Book Antiqua" w:hAnsi="Book Antiqua" w:cs="Book Antiqua"/>
          <w:color w:val="000000"/>
          <w:lang w:eastAsia="zh-CN"/>
        </w:rPr>
        <w:t>m</w:t>
      </w:r>
      <w:r>
        <w:rPr>
          <w:rFonts w:ascii="Book Antiqua" w:hAnsi="Book Antiqua" w:eastAsia="Book Antiqua" w:cs="Book Antiqua"/>
          <w:color w:val="000000"/>
        </w:rPr>
        <w:t>ore details are available at https://seer.cancer.gov/registries/terms.html). This study followed the SEER Research Data Use Agreement. As we utilized a publicly available, de-identified database, approval from an Institutional Review Board was not required to conduct this study.</w:t>
      </w:r>
    </w:p>
    <w:p>
      <w:pPr>
        <w:spacing w:line="360" w:lineRule="auto"/>
        <w:jc w:val="both"/>
      </w:pPr>
    </w:p>
    <w:p>
      <w:pPr>
        <w:spacing w:line="360" w:lineRule="auto"/>
        <w:jc w:val="both"/>
      </w:pPr>
      <w:r>
        <w:rPr>
          <w:rFonts w:ascii="Book Antiqua" w:hAnsi="Book Antiqua" w:eastAsia="Book Antiqua" w:cs="Book Antiqua"/>
          <w:b/>
          <w:bCs/>
          <w:i/>
          <w:iCs/>
          <w:color w:val="000000"/>
        </w:rPr>
        <w:t>Patients</w:t>
      </w:r>
    </w:p>
    <w:p>
      <w:pPr>
        <w:spacing w:line="360" w:lineRule="auto"/>
        <w:jc w:val="both"/>
      </w:pPr>
      <w:r>
        <w:rPr>
          <w:rFonts w:ascii="Book Antiqua" w:hAnsi="Book Antiqua" w:eastAsia="Book Antiqua" w:cs="Book Antiqua"/>
          <w:color w:val="000000"/>
        </w:rPr>
        <w:t xml:space="preserve">We initially identified patients with FL-HCC between 2000-2018 by using an ICD-O-3 site code C22.0 and a histology code 8171/3: Hepatocellular carcinoma, fibrolamellar. Subsequently, we excluded patients from 2000-2003 and 2016-2018 due to the high number of missing data on demographic and disease-specific variables. Therefore, the years between 2004 and 2015 were included in this study. Additionally, one patient had duplicate data, so we used the variables with initial disease onset. Variables related to demographics data </w:t>
      </w:r>
      <w:r>
        <w:rPr>
          <w:rFonts w:hint="eastAsia" w:ascii="Book Antiqua" w:hAnsi="Book Antiqua" w:cs="Book Antiqua"/>
          <w:color w:val="000000"/>
          <w:lang w:eastAsia="zh-CN"/>
        </w:rPr>
        <w:t>[</w:t>
      </w:r>
      <w:r>
        <w:rPr>
          <w:rFonts w:ascii="Book Antiqua" w:hAnsi="Book Antiqua" w:eastAsia="Book Antiqua" w:cs="Book Antiqua"/>
          <w:color w:val="000000"/>
        </w:rPr>
        <w:t>age at the time of diagnosis, sex, race (Whites, Blacks, API, and Hispanics), living settings (</w:t>
      </w:r>
      <w:r>
        <w:rPr>
          <w:rFonts w:hint="eastAsia" w:ascii="Book Antiqua" w:hAnsi="Book Antiqua" w:cs="Book Antiqua"/>
          <w:color w:val="000000"/>
          <w:lang w:eastAsia="zh-CN"/>
        </w:rPr>
        <w:t>p</w:t>
      </w:r>
      <w:r>
        <w:rPr>
          <w:rFonts w:ascii="Book Antiqua" w:hAnsi="Book Antiqua" w:eastAsia="Book Antiqua" w:cs="Book Antiqua"/>
          <w:color w:val="000000"/>
        </w:rPr>
        <w:t>opulation &gt;</w:t>
      </w:r>
      <w:r>
        <w:rPr>
          <w:rFonts w:hint="eastAsia" w:ascii="Book Antiqua" w:hAnsi="Book Antiqua" w:cs="Book Antiqua"/>
          <w:color w:val="000000"/>
          <w:lang w:eastAsia="zh-CN"/>
        </w:rPr>
        <w:t xml:space="preserve"> </w:t>
      </w:r>
      <w:r>
        <w:rPr>
          <w:rFonts w:ascii="Book Antiqua" w:hAnsi="Book Antiqua" w:eastAsia="Book Antiqua" w:cs="Book Antiqua"/>
          <w:color w:val="000000"/>
        </w:rPr>
        <w:t>1 million and other), household income</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$55000, $55000-70000, and &gt;</w:t>
      </w:r>
      <w:r>
        <w:rPr>
          <w:rFonts w:hint="eastAsia" w:ascii="Book Antiqua" w:hAnsi="Book Antiqua" w:cs="Book Antiqua"/>
          <w:color w:val="000000"/>
          <w:lang w:eastAsia="zh-CN"/>
        </w:rPr>
        <w:t xml:space="preserve"> </w:t>
      </w:r>
      <w:r>
        <w:rPr>
          <w:rFonts w:ascii="Book Antiqua" w:hAnsi="Book Antiqua" w:eastAsia="Book Antiqua" w:cs="Book Antiqua"/>
          <w:color w:val="000000"/>
        </w:rPr>
        <w:t>$70000)</w:t>
      </w:r>
      <w:r>
        <w:rPr>
          <w:rFonts w:hint="eastAsia" w:ascii="Book Antiqua" w:hAnsi="Book Antiqua" w:cs="Book Antiqua"/>
          <w:color w:val="000000"/>
          <w:lang w:eastAsia="zh-CN"/>
        </w:rPr>
        <w:t>]</w:t>
      </w:r>
      <w:r>
        <w:rPr>
          <w:rFonts w:ascii="Book Antiqua" w:hAnsi="Book Antiqua" w:eastAsia="Book Antiqua" w:cs="Book Antiqua"/>
          <w:color w:val="000000"/>
        </w:rPr>
        <w:t>, staging by American Joint Committee on Cancer Staging Manual, 6</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edition</w:t>
      </w:r>
      <w:r>
        <w:rPr>
          <w:rFonts w:ascii="Book Antiqua" w:hAnsi="Book Antiqua" w:eastAsia="Book Antiqua" w:cs="Book Antiqua"/>
          <w:color w:val="000000"/>
          <w:szCs w:val="30"/>
          <w:vertAlign w:val="superscript"/>
        </w:rPr>
        <w:t>[16]</w:t>
      </w:r>
      <w:r>
        <w:rPr>
          <w:rFonts w:ascii="Book Antiqua" w:hAnsi="Book Antiqua" w:eastAsia="Book Antiqua" w:cs="Book Antiqua"/>
          <w:color w:val="000000"/>
        </w:rPr>
        <w:t xml:space="preserve"> (categorized into stage I, II, III, IV, and unknown), tumor characteristics (size, metastasis status, lymph node status), surgical treatment modality (wedge or segmental resection, lobectomy, extended lobectomy (lobectomy + locoregional therapy or resection of the other lobe), transplant, and None (Including a small number of patients who had locoregional therapy and unspecified surgery), and survival data were obtained. Data on chemotherapy and interventional therapy was not included due to limitations acknowledged by the SEER database to avoid data inaccuracy. </w:t>
      </w:r>
    </w:p>
    <w:p>
      <w:pPr>
        <w:spacing w:line="360" w:lineRule="auto"/>
        <w:jc w:val="both"/>
      </w:pPr>
    </w:p>
    <w:p>
      <w:pPr>
        <w:spacing w:line="360" w:lineRule="auto"/>
        <w:jc w:val="both"/>
      </w:pPr>
      <w:r>
        <w:rPr>
          <w:rFonts w:ascii="Book Antiqua" w:hAnsi="Book Antiqua" w:eastAsia="Book Antiqua" w:cs="Book Antiqua"/>
          <w:b/>
          <w:bCs/>
          <w:i/>
          <w:iCs/>
          <w:color w:val="000000"/>
        </w:rPr>
        <w:t xml:space="preserve">Statistical </w:t>
      </w:r>
      <w:r>
        <w:rPr>
          <w:rFonts w:hint="eastAsia" w:ascii="Book Antiqua" w:hAnsi="Book Antiqua" w:cs="Book Antiqua"/>
          <w:b/>
          <w:bCs/>
          <w:i/>
          <w:iCs/>
          <w:color w:val="000000"/>
          <w:lang w:eastAsia="zh-CN"/>
        </w:rPr>
        <w:t>a</w:t>
      </w:r>
      <w:r>
        <w:rPr>
          <w:rFonts w:ascii="Book Antiqua" w:hAnsi="Book Antiqua" w:eastAsia="Book Antiqua" w:cs="Book Antiqua"/>
          <w:b/>
          <w:bCs/>
          <w:i/>
          <w:iCs/>
          <w:color w:val="000000"/>
        </w:rPr>
        <w:t>nalysis</w:t>
      </w:r>
    </w:p>
    <w:p>
      <w:pPr>
        <w:spacing w:line="360" w:lineRule="auto"/>
        <w:jc w:val="both"/>
        <w:rPr>
          <w:lang w:eastAsia="zh-CN"/>
        </w:rPr>
      </w:pPr>
      <w:r>
        <w:rPr>
          <w:rFonts w:ascii="Book Antiqua" w:hAnsi="Book Antiqua" w:eastAsia="Book Antiqua" w:cs="Book Antiqua"/>
          <w:color w:val="000000"/>
        </w:rPr>
        <w:t>Statistical analysis was performed with SAS version 9.4 (SAS Institute Inc., Cary, NC, United States). The Chi-Square test was used to compare categorical variables. The Mann-Whitney U test compared continuous variables without normal distributions of two groups and Druska-Wallis for more than two groups. Survival analysis was done by using the Kaplan-Meier survival curve. Three separate analyses were done: Analysis by age groups, race, and surgical procedures. For age group analysis, patients were divided into three groups: ≤</w:t>
      </w:r>
      <w:r>
        <w:rPr>
          <w:rFonts w:hint="eastAsia" w:ascii="Book Antiqua" w:hAnsi="Book Antiqua" w:cs="Book Antiqua"/>
          <w:color w:val="000000"/>
          <w:lang w:eastAsia="zh-CN"/>
        </w:rPr>
        <w:t xml:space="preserve"> </w:t>
      </w:r>
      <w:r>
        <w:rPr>
          <w:rFonts w:ascii="Book Antiqua" w:hAnsi="Book Antiqua" w:eastAsia="Book Antiqua" w:cs="Book Antiqua"/>
          <w:color w:val="000000"/>
        </w:rPr>
        <w:t>19, 20-59, and ≥</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60-year-old. For race analysis, we divided into four racial groups: White, Black, API, and Hispanic. For analysis of surgical procedures, we separated into five groups: Wedge resection or segmental resection, lobectomy, extended lobectomy, transplant, and none. For additional survival analysis, we separate the patients based on positive lymph nodes or metastasis status (N1M0, N1M1, N0M1, NxM1: NM+) </w:t>
      </w:r>
      <w:r>
        <w:rPr>
          <w:rFonts w:ascii="Book Antiqua" w:hAnsi="Book Antiqua" w:eastAsia="Book Antiqua" w:cs="Book Antiqua"/>
          <w:i/>
          <w:color w:val="000000"/>
        </w:rPr>
        <w:t>vs</w:t>
      </w:r>
      <w:r>
        <w:rPr>
          <w:rFonts w:ascii="Book Antiqua" w:hAnsi="Book Antiqua" w:eastAsia="Book Antiqua" w:cs="Book Antiqua"/>
          <w:color w:val="000000"/>
        </w:rPr>
        <w:t xml:space="preserve"> negative (N0M0, NxM0, N0Mx, NxMx: NM-). We then stratified by surgical status vs. no surgery or locoregional therapy. We conducted multivariate Cox regression analysis.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0.05 was considered significant. The statistical methods of this study were reviewed by Jihyun Ma from the Department of Biostatistics, College of Public Health, University of Nebraska Medical Center.</w:t>
      </w:r>
    </w:p>
    <w:p>
      <w:pPr>
        <w:spacing w:line="360" w:lineRule="auto"/>
        <w:jc w:val="both"/>
      </w:pPr>
    </w:p>
    <w:p>
      <w:pPr>
        <w:spacing w:line="360" w:lineRule="auto"/>
        <w:jc w:val="both"/>
      </w:pPr>
      <w:r>
        <w:rPr>
          <w:rFonts w:ascii="Book Antiqua" w:hAnsi="Book Antiqua" w:eastAsia="Book Antiqua" w:cs="Book Antiqua"/>
          <w:b/>
          <w:caps/>
          <w:color w:val="000000"/>
          <w:u w:val="single"/>
        </w:rPr>
        <w:t>RESULTS</w:t>
      </w:r>
    </w:p>
    <w:p>
      <w:pPr>
        <w:spacing w:line="360" w:lineRule="auto"/>
        <w:jc w:val="both"/>
      </w:pPr>
      <w:r>
        <w:rPr>
          <w:rFonts w:ascii="Book Antiqua" w:hAnsi="Book Antiqua" w:eastAsia="Book Antiqua" w:cs="Book Antiqua"/>
          <w:b/>
          <w:bCs/>
          <w:i/>
          <w:iCs/>
          <w:color w:val="000000"/>
        </w:rPr>
        <w:t>Overall</w:t>
      </w:r>
    </w:p>
    <w:p>
      <w:pPr>
        <w:spacing w:line="360" w:lineRule="auto"/>
        <w:jc w:val="both"/>
      </w:pPr>
      <w:r>
        <w:rPr>
          <w:rFonts w:ascii="Book Antiqua" w:hAnsi="Book Antiqua" w:eastAsia="Book Antiqua" w:cs="Book Antiqua"/>
          <w:color w:val="000000"/>
        </w:rPr>
        <w:t xml:space="preserve">We initially identified 339 FL-HCC patients between 2000 and 2018. After excluding 114 patients due to missing data, 225 FL-HCC patients were included in our study. Baseline characteristics are shown in </w:t>
      </w:r>
      <w:r>
        <w:rPr>
          <w:rFonts w:hint="eastAsia" w:ascii="Book Antiqua" w:hAnsi="Book Antiqua" w:cs="Book Antiqua"/>
          <w:color w:val="000000"/>
          <w:lang w:eastAsia="zh-CN"/>
        </w:rPr>
        <w:t>T</w:t>
      </w:r>
      <w:r>
        <w:rPr>
          <w:rFonts w:ascii="Book Antiqua" w:hAnsi="Book Antiqua" w:eastAsia="Book Antiqua" w:cs="Book Antiqua"/>
          <w:color w:val="000000"/>
        </w:rPr>
        <w:t xml:space="preserve">able 1. The mean age was 36.9 years, with a median age of 27 years. (Interquartile range: 19-56). One hundred fourteen (62.7%) patients were male. Sixty-five (28.9%) had stage I, 18 (8.0%) had stage II, 61 (27.1%) had stage III, 61 (27.1%) had stage IV, and 20 (89%) had unknown stages. Thirty-nine patients (17.8%) had a wedge or segmental resection, 42 (19.2%) had a lobectomy, 11 (5.0%) had an extended lobectomy, 19 (8.7%) underwent live transplant, 108 (49.3) did not have any surgical intervention. Overall median survival was 34 (95%CI: 27-41) </w:t>
      </w:r>
      <w:r>
        <w:rPr>
          <w:rFonts w:hint="eastAsia" w:ascii="Book Antiqua" w:hAnsi="Book Antiqua" w:cs="Book Antiqua"/>
          <w:color w:val="000000"/>
          <w:lang w:eastAsia="zh-CN"/>
        </w:rPr>
        <w:t>mo</w:t>
      </w:r>
      <w:r>
        <w:rPr>
          <w:rFonts w:ascii="Book Antiqua" w:hAnsi="Book Antiqua" w:eastAsia="Book Antiqua" w:cs="Book Antiqua"/>
          <w:color w:val="000000"/>
        </w:rPr>
        <w:t xml:space="preserve"> (Figure 1). Overall 5-years survival rate was 37.3</w:t>
      </w:r>
      <w:r>
        <w:rPr>
          <w:rFonts w:hint="eastAsia" w:ascii="Book Antiqua" w:hAnsi="Book Antiqua" w:cs="Book Antiqua"/>
          <w:color w:val="000000"/>
          <w:lang w:eastAsia="zh-CN"/>
        </w:rPr>
        <w:t xml:space="preserve"> </w:t>
      </w:r>
      <w:r>
        <w:rPr>
          <w:rFonts w:ascii="Book Antiqua" w:hAnsi="Book Antiqua" w:cs="Book Antiqua"/>
          <w:color w:val="000000"/>
          <w:lang w:eastAsia="zh-CN"/>
        </w:rPr>
        <w:t>±</w:t>
      </w:r>
      <w:r>
        <w:rPr>
          <w:rFonts w:ascii="Book Antiqua" w:hAnsi="Book Antiqua" w:eastAsia="Book Antiqua" w:cs="Book Antiqua"/>
          <w:color w:val="000000"/>
        </w:rPr>
        <w:t xml:space="preserve"> 3.3%.</w:t>
      </w:r>
    </w:p>
    <w:p>
      <w:pPr>
        <w:spacing w:line="360" w:lineRule="auto"/>
        <w:jc w:val="both"/>
      </w:pPr>
    </w:p>
    <w:p>
      <w:pPr>
        <w:spacing w:line="360" w:lineRule="auto"/>
        <w:jc w:val="both"/>
      </w:pPr>
      <w:r>
        <w:rPr>
          <w:rFonts w:ascii="Book Antiqua" w:hAnsi="Book Antiqua" w:eastAsia="Book Antiqua" w:cs="Book Antiqua"/>
          <w:b/>
          <w:bCs/>
          <w:i/>
          <w:iCs/>
          <w:color w:val="000000"/>
        </w:rPr>
        <w:t>Age</w:t>
      </w:r>
    </w:p>
    <w:p>
      <w:pPr>
        <w:spacing w:line="360" w:lineRule="auto"/>
        <w:jc w:val="both"/>
      </w:pPr>
      <w:r>
        <w:rPr>
          <w:rFonts w:ascii="Book Antiqua" w:hAnsi="Book Antiqua" w:eastAsia="Book Antiqua" w:cs="Book Antiqua"/>
          <w:color w:val="000000"/>
        </w:rPr>
        <w:t>Table 1 summarizes the characteristics by age group. Sixty-two (27.5%) patients were age ≤</w:t>
      </w:r>
      <w:r>
        <w:rPr>
          <w:rFonts w:hint="eastAsia" w:ascii="Book Antiqua" w:hAnsi="Book Antiqua" w:cs="Book Antiqua"/>
          <w:color w:val="000000"/>
          <w:lang w:eastAsia="zh-CN"/>
        </w:rPr>
        <w:t xml:space="preserve"> </w:t>
      </w:r>
      <w:r>
        <w:rPr>
          <w:rFonts w:ascii="Book Antiqua" w:hAnsi="Book Antiqua" w:eastAsia="Book Antiqua" w:cs="Book Antiqua"/>
          <w:color w:val="000000"/>
        </w:rPr>
        <w:t>19 years, 114 (50.7%) patients were between 20 to 59 years, and 49 (21.8%) patients were age ≥</w:t>
      </w:r>
      <w:r>
        <w:rPr>
          <w:rFonts w:hint="eastAsia" w:ascii="Book Antiqua" w:hAnsi="Book Antiqua" w:cs="Book Antiqua"/>
          <w:color w:val="000000"/>
          <w:lang w:eastAsia="zh-CN"/>
        </w:rPr>
        <w:t xml:space="preserve"> </w:t>
      </w:r>
      <w:r>
        <w:rPr>
          <w:rFonts w:ascii="Book Antiqua" w:hAnsi="Book Antiqua" w:eastAsia="Book Antiqua" w:cs="Book Antiqua"/>
          <w:color w:val="000000"/>
        </w:rPr>
        <w:t>60 years. Patients ≤</w:t>
      </w:r>
      <w:r>
        <w:rPr>
          <w:rFonts w:hint="eastAsia" w:ascii="Book Antiqua" w:hAnsi="Book Antiqua" w:cs="Book Antiqua"/>
          <w:color w:val="000000"/>
          <w:lang w:eastAsia="zh-CN"/>
        </w:rPr>
        <w:t xml:space="preserve"> </w:t>
      </w:r>
      <w:r>
        <w:rPr>
          <w:rFonts w:ascii="Book Antiqua" w:hAnsi="Book Antiqua" w:eastAsia="Book Antiqua" w:cs="Book Antiqua"/>
          <w:color w:val="000000"/>
        </w:rPr>
        <w:t>19-year-old had more nodal involvement and higher stages. A higher proportion of patients ≤</w:t>
      </w:r>
      <w:r>
        <w:rPr>
          <w:rFonts w:hint="eastAsia" w:ascii="Book Antiqua" w:hAnsi="Book Antiqua" w:cs="Book Antiqua"/>
          <w:color w:val="000000"/>
          <w:lang w:eastAsia="zh-CN"/>
        </w:rPr>
        <w:t xml:space="preserve"> </w:t>
      </w:r>
      <w:r>
        <w:rPr>
          <w:rFonts w:ascii="Book Antiqua" w:hAnsi="Book Antiqua" w:eastAsia="Book Antiqua" w:cs="Book Antiqua"/>
          <w:color w:val="000000"/>
        </w:rPr>
        <w:t>19-year-old received the surgical intervention and none of the patients ≥</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60-year-old received extended lobectomy or transplant. There were no differences in sex, race, living settings, household income, and metastasis status. Detailed characteristics are listed in </w:t>
      </w:r>
      <w:r>
        <w:rPr>
          <w:rFonts w:hint="eastAsia" w:ascii="Book Antiqua" w:hAnsi="Book Antiqua" w:cs="Book Antiqua"/>
          <w:color w:val="000000"/>
          <w:lang w:eastAsia="zh-CN"/>
        </w:rPr>
        <w:t>T</w:t>
      </w:r>
      <w:r>
        <w:rPr>
          <w:rFonts w:ascii="Book Antiqua" w:hAnsi="Book Antiqua" w:eastAsia="Book Antiqua" w:cs="Book Antiqua"/>
          <w:color w:val="000000"/>
        </w:rPr>
        <w:t>able 1. The median survival for ≤</w:t>
      </w:r>
      <w:r>
        <w:rPr>
          <w:rFonts w:hint="eastAsia" w:ascii="Book Antiqua" w:hAnsi="Book Antiqua" w:cs="Book Antiqua"/>
          <w:color w:val="000000"/>
          <w:lang w:eastAsia="zh-CN"/>
        </w:rPr>
        <w:t xml:space="preserve"> </w:t>
      </w:r>
      <w:r>
        <w:rPr>
          <w:rFonts w:ascii="Book Antiqua" w:hAnsi="Book Antiqua" w:eastAsia="Book Antiqua" w:cs="Book Antiqua"/>
          <w:color w:val="000000"/>
        </w:rPr>
        <w:t>19 years was 85 mo (</w:t>
      </w:r>
      <w:bookmarkStart w:id="17" w:name="OLE_LINK14"/>
      <w:bookmarkStart w:id="18" w:name="OLE_LINK13"/>
      <w:r>
        <w:rPr>
          <w:rFonts w:hint="eastAsia" w:ascii="Book Antiqua" w:hAnsi="Book Antiqua" w:cs="Book Antiqua"/>
          <w:color w:val="000000"/>
          <w:lang w:eastAsia="zh-CN"/>
        </w:rPr>
        <w:t>95%</w:t>
      </w:r>
      <w:r>
        <w:rPr>
          <w:rFonts w:ascii="Book Antiqua" w:hAnsi="Book Antiqua" w:eastAsia="Book Antiqua" w:cs="Book Antiqua"/>
          <w:color w:val="000000"/>
        </w:rPr>
        <w:t>CI:</w:t>
      </w:r>
      <w:bookmarkEnd w:id="17"/>
      <w:bookmarkEnd w:id="18"/>
      <w:r>
        <w:rPr>
          <w:rFonts w:hint="eastAsia" w:ascii="Book Antiqua" w:hAnsi="Book Antiqua" w:cs="Book Antiqua"/>
          <w:color w:val="000000"/>
          <w:lang w:eastAsia="zh-CN"/>
        </w:rPr>
        <w:t xml:space="preserve"> </w:t>
      </w:r>
      <w:r>
        <w:rPr>
          <w:rFonts w:ascii="Book Antiqua" w:hAnsi="Book Antiqua" w:eastAsia="Book Antiqua" w:cs="Book Antiqua"/>
          <w:color w:val="000000"/>
        </w:rPr>
        <w:t>37-137), 20-59 years was 29 mo (</w:t>
      </w:r>
      <w:r>
        <w:rPr>
          <w:rFonts w:hint="eastAsia" w:ascii="Book Antiqua" w:hAnsi="Book Antiqua" w:cs="Book Antiqua"/>
          <w:color w:val="000000"/>
          <w:lang w:eastAsia="zh-CN"/>
        </w:rPr>
        <w:t>95%</w:t>
      </w:r>
      <w:r>
        <w:rPr>
          <w:rFonts w:ascii="Book Antiqua" w:hAnsi="Book Antiqua" w:eastAsia="Book Antiqua" w:cs="Book Antiqua"/>
          <w:color w:val="000000"/>
        </w:rPr>
        <w:t>CI:</w:t>
      </w:r>
      <w:r>
        <w:rPr>
          <w:rFonts w:hint="eastAsia" w:ascii="Book Antiqua" w:hAnsi="Book Antiqua" w:cs="Book Antiqua"/>
          <w:color w:val="000000"/>
          <w:lang w:eastAsia="zh-CN"/>
        </w:rPr>
        <w:t xml:space="preserve"> </w:t>
      </w:r>
      <w:r>
        <w:rPr>
          <w:rFonts w:ascii="Book Antiqua" w:hAnsi="Book Antiqua" w:eastAsia="Book Antiqua" w:cs="Book Antiqua"/>
          <w:color w:val="000000"/>
        </w:rPr>
        <w:t>18-41), and ≥</w:t>
      </w:r>
      <w:r>
        <w:rPr>
          <w:rFonts w:hint="eastAsia" w:ascii="Book Antiqua" w:hAnsi="Book Antiqua" w:cs="Book Antiqua"/>
          <w:color w:val="000000"/>
          <w:lang w:eastAsia="zh-CN"/>
        </w:rPr>
        <w:t xml:space="preserve"> </w:t>
      </w:r>
      <w:r>
        <w:rPr>
          <w:rFonts w:ascii="Book Antiqua" w:hAnsi="Book Antiqua" w:eastAsia="Book Antiqua" w:cs="Book Antiqua"/>
          <w:color w:val="000000"/>
        </w:rPr>
        <w:t>60 years was 12 (</w:t>
      </w:r>
      <w:r>
        <w:rPr>
          <w:rFonts w:hint="eastAsia" w:ascii="Book Antiqua" w:hAnsi="Book Antiqua" w:cs="Book Antiqua"/>
          <w:color w:val="000000"/>
          <w:lang w:eastAsia="zh-CN"/>
        </w:rPr>
        <w:t>95%</w:t>
      </w:r>
      <w:r>
        <w:rPr>
          <w:rFonts w:ascii="Book Antiqua" w:hAnsi="Book Antiqua" w:eastAsia="Book Antiqua" w:cs="Book Antiqua"/>
          <w:color w:val="000000"/>
        </w:rPr>
        <w:t>CI:</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7-31) </w:t>
      </w:r>
      <w:r>
        <w:rPr>
          <w:rFonts w:hint="eastAsia" w:ascii="Book Antiqua" w:hAnsi="Book Antiqua" w:cs="Book Antiqua"/>
          <w:color w:val="000000"/>
          <w:lang w:eastAsia="zh-CN"/>
        </w:rPr>
        <w:t>mo</w:t>
      </w:r>
      <w:r>
        <w:rPr>
          <w:rFonts w:ascii="Book Antiqua" w:hAnsi="Book Antiqua" w:eastAsia="Book Antiqua" w:cs="Book Antiqua"/>
          <w:color w:val="000000"/>
        </w:rPr>
        <w:t xml:space="preserve">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 (Figure 2). The five-year survival rate for patients ≤</w:t>
      </w:r>
      <w:r>
        <w:rPr>
          <w:rFonts w:hint="eastAsia" w:ascii="Book Antiqua" w:hAnsi="Book Antiqua" w:cs="Book Antiqua"/>
          <w:color w:val="000000"/>
          <w:lang w:eastAsia="zh-CN"/>
        </w:rPr>
        <w:t xml:space="preserve"> </w:t>
      </w:r>
      <w:r>
        <w:rPr>
          <w:rFonts w:ascii="Book Antiqua" w:hAnsi="Book Antiqua" w:eastAsia="Book Antiqua" w:cs="Book Antiqua"/>
          <w:color w:val="000000"/>
        </w:rPr>
        <w:t>19-year-old was 55.3 (6.5%), 20-59-year-old was 35.8 (4.6%), and ≥</w:t>
      </w:r>
      <w:r>
        <w:rPr>
          <w:rFonts w:hint="eastAsia" w:ascii="Book Antiqua" w:hAnsi="Book Antiqua" w:cs="Book Antiqua"/>
          <w:color w:val="000000"/>
          <w:lang w:eastAsia="zh-CN"/>
        </w:rPr>
        <w:t xml:space="preserve"> </w:t>
      </w:r>
      <w:r>
        <w:rPr>
          <w:rFonts w:ascii="Book Antiqua" w:hAnsi="Book Antiqua" w:eastAsia="Book Antiqua" w:cs="Book Antiqua"/>
          <w:color w:val="000000"/>
        </w:rPr>
        <w:t>60-year-old was 14.6 (5.9%).</w:t>
      </w:r>
    </w:p>
    <w:p>
      <w:pPr>
        <w:spacing w:line="360" w:lineRule="auto"/>
        <w:jc w:val="both"/>
      </w:pPr>
    </w:p>
    <w:p>
      <w:pPr>
        <w:spacing w:line="360" w:lineRule="auto"/>
        <w:jc w:val="both"/>
      </w:pPr>
      <w:r>
        <w:rPr>
          <w:rFonts w:ascii="Book Antiqua" w:hAnsi="Book Antiqua" w:eastAsia="Book Antiqua" w:cs="Book Antiqua"/>
          <w:b/>
          <w:bCs/>
          <w:i/>
          <w:iCs/>
          <w:color w:val="000000"/>
        </w:rPr>
        <w:t>Race</w:t>
      </w:r>
    </w:p>
    <w:p>
      <w:pPr>
        <w:spacing w:line="360" w:lineRule="auto"/>
        <w:jc w:val="both"/>
      </w:pPr>
      <w:r>
        <w:rPr>
          <w:rFonts w:ascii="Book Antiqua" w:hAnsi="Book Antiqua" w:eastAsia="Book Antiqua" w:cs="Book Antiqua"/>
          <w:color w:val="000000"/>
        </w:rPr>
        <w:t xml:space="preserve">There were 124 (55.1%) Whites, 52 (23.1%) Hispanics, 27 (12.0%) Blacks, and 22 (9.8%) APIs. Mean ages were 35.9, 37.2, 33.6, and 49.5 years, respectively. There were no differences in the distribution between the age groups or sex. APIs lived in the area with a higher median household income, and Blacks lived in the area with a lower median household income. A higher proportion of Whites lives in areas with a population &lt; 1 million. There were no differences in stages, lymph node status, metastasis status, and surgical treatment. Detailed characteristics are listed in </w:t>
      </w:r>
      <w:r>
        <w:rPr>
          <w:rFonts w:hint="eastAsia" w:ascii="Book Antiqua" w:hAnsi="Book Antiqua" w:cs="Book Antiqua"/>
          <w:color w:val="000000"/>
          <w:lang w:eastAsia="zh-CN"/>
        </w:rPr>
        <w:t>T</w:t>
      </w:r>
      <w:r>
        <w:rPr>
          <w:rFonts w:ascii="Book Antiqua" w:hAnsi="Book Antiqua" w:eastAsia="Book Antiqua" w:cs="Book Antiqua"/>
          <w:color w:val="000000"/>
        </w:rPr>
        <w:t>able 2. The median survival differences by race were not significant: Whites had 39 (</w:t>
      </w:r>
      <w:bookmarkStart w:id="19" w:name="OLE_LINK16"/>
      <w:bookmarkStart w:id="20" w:name="OLE_LINK15"/>
      <w:r>
        <w:rPr>
          <w:rFonts w:hint="eastAsia" w:ascii="Book Antiqua" w:hAnsi="Book Antiqua" w:cs="Book Antiqua"/>
          <w:color w:val="000000"/>
          <w:lang w:eastAsia="zh-CN"/>
        </w:rPr>
        <w:t>95%</w:t>
      </w:r>
      <w:r>
        <w:rPr>
          <w:rFonts w:ascii="Book Antiqua" w:hAnsi="Book Antiqua" w:eastAsia="Book Antiqua" w:cs="Book Antiqua"/>
          <w:color w:val="000000"/>
        </w:rPr>
        <w:t>CI:</w:t>
      </w:r>
      <w:bookmarkEnd w:id="19"/>
      <w:bookmarkEnd w:id="20"/>
      <w:r>
        <w:rPr>
          <w:rFonts w:ascii="Book Antiqua" w:hAnsi="Book Antiqua" w:eastAsia="Book Antiqua" w:cs="Book Antiqua"/>
          <w:color w:val="000000"/>
        </w:rPr>
        <w:t xml:space="preserve"> 29-63), Blacks 26 (</w:t>
      </w:r>
      <w:r>
        <w:rPr>
          <w:rFonts w:hint="eastAsia" w:ascii="Book Antiqua" w:hAnsi="Book Antiqua" w:cs="Book Antiqua"/>
          <w:color w:val="000000"/>
          <w:lang w:eastAsia="zh-CN"/>
        </w:rPr>
        <w:t>95%</w:t>
      </w:r>
      <w:r>
        <w:rPr>
          <w:rFonts w:ascii="Book Antiqua" w:hAnsi="Book Antiqua" w:eastAsia="Book Antiqua" w:cs="Book Antiqua"/>
          <w:color w:val="000000"/>
        </w:rPr>
        <w:t>CI:</w:t>
      </w:r>
      <w:r>
        <w:rPr>
          <w:rFonts w:hint="eastAsia" w:ascii="Book Antiqua" w:hAnsi="Book Antiqua" w:cs="Book Antiqua"/>
          <w:color w:val="000000"/>
          <w:lang w:eastAsia="zh-CN"/>
        </w:rPr>
        <w:t xml:space="preserve"> </w:t>
      </w:r>
      <w:r>
        <w:rPr>
          <w:rFonts w:ascii="Book Antiqua" w:hAnsi="Book Antiqua" w:eastAsia="Book Antiqua" w:cs="Book Antiqua"/>
          <w:color w:val="000000"/>
        </w:rPr>
        <w:t>5-92), APIs 28 (</w:t>
      </w:r>
      <w:r>
        <w:rPr>
          <w:rFonts w:hint="eastAsia" w:ascii="Book Antiqua" w:hAnsi="Book Antiqua" w:cs="Book Antiqua"/>
          <w:color w:val="000000"/>
          <w:lang w:eastAsia="zh-CN"/>
        </w:rPr>
        <w:t>95%</w:t>
      </w:r>
      <w:r>
        <w:rPr>
          <w:rFonts w:ascii="Book Antiqua" w:hAnsi="Book Antiqua" w:eastAsia="Book Antiqua" w:cs="Book Antiqua"/>
          <w:color w:val="000000"/>
        </w:rPr>
        <w:t>CI:</w:t>
      </w:r>
      <w:r>
        <w:rPr>
          <w:rFonts w:hint="eastAsia" w:ascii="Book Antiqua" w:hAnsi="Book Antiqua" w:cs="Book Antiqua"/>
          <w:color w:val="000000"/>
          <w:lang w:eastAsia="zh-CN"/>
        </w:rPr>
        <w:t xml:space="preserve"> </w:t>
      </w:r>
      <w:r>
        <w:rPr>
          <w:rFonts w:ascii="Book Antiqua" w:hAnsi="Book Antiqua" w:eastAsia="Book Antiqua" w:cs="Book Antiqua"/>
          <w:color w:val="000000"/>
        </w:rPr>
        <w:t>6-39), and Hispanics 31 (</w:t>
      </w:r>
      <w:r>
        <w:rPr>
          <w:rFonts w:hint="eastAsia" w:ascii="Book Antiqua" w:hAnsi="Book Antiqua" w:cs="Book Antiqua"/>
          <w:color w:val="000000"/>
          <w:lang w:eastAsia="zh-CN"/>
        </w:rPr>
        <w:t>95%</w:t>
      </w:r>
      <w:r>
        <w:rPr>
          <w:rFonts w:ascii="Book Antiqua" w:hAnsi="Book Antiqua" w:eastAsia="Book Antiqua" w:cs="Book Antiqua"/>
          <w:color w:val="000000"/>
        </w:rPr>
        <w:t>CI:</w:t>
      </w:r>
      <w:r>
        <w:rPr>
          <w:rFonts w:hint="eastAsia" w:ascii="Book Antiqua" w:hAnsi="Book Antiqua" w:cs="Book Antiqua"/>
          <w:color w:val="000000"/>
          <w:lang w:eastAsia="zh-CN"/>
        </w:rPr>
        <w:t xml:space="preserve"> </w:t>
      </w:r>
      <w:r>
        <w:rPr>
          <w:rFonts w:ascii="Book Antiqua" w:hAnsi="Book Antiqua" w:eastAsia="Book Antiqua" w:cs="Book Antiqua"/>
          <w:color w:val="000000"/>
        </w:rPr>
        <w:t>11-54) mo (</w:t>
      </w:r>
      <w:r>
        <w:rPr>
          <w:rFonts w:ascii="Book Antiqua" w:hAnsi="Book Antiqua" w:eastAsia="Book Antiqua" w:cs="Book Antiqua"/>
          <w:i/>
          <w:iCs/>
          <w:color w:val="000000"/>
        </w:rPr>
        <w:t>P</w:t>
      </w:r>
      <w:r>
        <w:rPr>
          <w:rFonts w:ascii="Book Antiqua" w:hAnsi="Book Antiqua" w:eastAsia="Book Antiqua" w:cs="Book Antiqua"/>
          <w:color w:val="000000"/>
        </w:rPr>
        <w:t xml:space="preserve"> = 0.28) (Figure 3). Furthermore, Whites had similar median survival compared to all other non-White races combined (39 </w:t>
      </w:r>
      <w:r>
        <w:rPr>
          <w:rFonts w:ascii="Book Antiqua" w:hAnsi="Book Antiqua" w:eastAsia="Book Antiqua" w:cs="Book Antiqua"/>
          <w:i/>
          <w:iCs/>
          <w:color w:val="000000"/>
        </w:rPr>
        <w:t>vs</w:t>
      </w:r>
      <w:r>
        <w:rPr>
          <w:rFonts w:ascii="Book Antiqua" w:hAnsi="Book Antiqua" w:eastAsia="Book Antiqua" w:cs="Book Antiqua"/>
          <w:color w:val="000000"/>
        </w:rPr>
        <w:t xml:space="preserve"> 29 mo, </w:t>
      </w:r>
      <w:r>
        <w:rPr>
          <w:rFonts w:ascii="Book Antiqua" w:hAnsi="Book Antiqua" w:eastAsia="Book Antiqua" w:cs="Book Antiqua"/>
          <w:i/>
          <w:iCs/>
          <w:color w:val="000000"/>
        </w:rPr>
        <w:t>P</w:t>
      </w:r>
      <w:r>
        <w:rPr>
          <w:rFonts w:ascii="Book Antiqua" w:hAnsi="Book Antiqua" w:eastAsia="Book Antiqua" w:cs="Book Antiqua"/>
          <w:color w:val="000000"/>
        </w:rPr>
        <w:t xml:space="preserve"> = 0.11) (Figure 4).</w:t>
      </w:r>
    </w:p>
    <w:p>
      <w:pPr>
        <w:spacing w:line="360" w:lineRule="auto"/>
        <w:jc w:val="both"/>
      </w:pPr>
    </w:p>
    <w:p>
      <w:pPr>
        <w:spacing w:line="360" w:lineRule="auto"/>
        <w:jc w:val="both"/>
      </w:pPr>
      <w:r>
        <w:rPr>
          <w:rFonts w:ascii="Book Antiqua" w:hAnsi="Book Antiqua" w:eastAsia="Book Antiqua" w:cs="Book Antiqua"/>
          <w:b/>
          <w:bCs/>
          <w:i/>
          <w:iCs/>
          <w:color w:val="000000"/>
        </w:rPr>
        <w:t>Surgery</w:t>
      </w:r>
    </w:p>
    <w:p>
      <w:pPr>
        <w:spacing w:line="360" w:lineRule="auto"/>
        <w:jc w:val="both"/>
      </w:pPr>
      <w:r>
        <w:rPr>
          <w:rFonts w:ascii="Book Antiqua" w:hAnsi="Book Antiqua" w:eastAsia="Book Antiqua" w:cs="Book Antiqua"/>
          <w:color w:val="000000"/>
        </w:rPr>
        <w:t>After excluding six patients with missing data on surgery status, one hundred eleven FL-HCC patients had surgical intervention. One hundred and eight patients did not have a surgical intervention or received life review therapy, 42 underwent liver transplantation,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19 had wedge or segmental liver resection, 39 had a lobectomy, and 11 had extended lobectomy. Age groups, stages, lymph nodes status, metastasis status, and tumor size had a significant difference among types of surgical intervention. Detailed characteristics are listed in </w:t>
      </w:r>
      <w:r>
        <w:rPr>
          <w:rFonts w:hint="eastAsia" w:ascii="Book Antiqua" w:hAnsi="Book Antiqua" w:cs="Book Antiqua"/>
          <w:color w:val="000000"/>
          <w:lang w:eastAsia="zh-CN"/>
        </w:rPr>
        <w:t>T</w:t>
      </w:r>
      <w:r>
        <w:rPr>
          <w:rFonts w:ascii="Book Antiqua" w:hAnsi="Book Antiqua" w:eastAsia="Book Antiqua" w:cs="Book Antiqua"/>
          <w:color w:val="000000"/>
        </w:rPr>
        <w:t xml:space="preserve">able 3. The median survivals for a wedge or segmental resection were 112 (78-NA), lobectomy was 92 (57-NA), extended lobectomy was 54 (23-NA), the transplant was 63 (20-NA), and none was 10 (6-13) </w:t>
      </w:r>
      <w:r>
        <w:rPr>
          <w:rFonts w:hint="eastAsia" w:ascii="Book Antiqua" w:hAnsi="Book Antiqua" w:cs="Book Antiqua"/>
          <w:color w:val="000000"/>
          <w:lang w:eastAsia="zh-CN"/>
        </w:rPr>
        <w:t>mo</w:t>
      </w:r>
      <w:r>
        <w:rPr>
          <w:rFonts w:ascii="Book Antiqua" w:hAnsi="Book Antiqua" w:eastAsia="Book Antiqua" w:cs="Book Antiqua"/>
          <w:color w:val="000000"/>
        </w:rPr>
        <w:t xml:space="preserve">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0.001) (Figure 5). The median survival for NM+/no surgery was 9 (4-14) </w:t>
      </w:r>
      <w:r>
        <w:rPr>
          <w:rFonts w:hint="eastAsia" w:ascii="Book Antiqua" w:hAnsi="Book Antiqua" w:cs="Book Antiqua"/>
          <w:color w:val="000000"/>
          <w:lang w:eastAsia="zh-CN"/>
        </w:rPr>
        <w:t>mo</w:t>
      </w:r>
      <w:r>
        <w:rPr>
          <w:rFonts w:ascii="Book Antiqua" w:hAnsi="Book Antiqua" w:eastAsia="Book Antiqua" w:cs="Book Antiqua"/>
          <w:color w:val="000000"/>
        </w:rPr>
        <w:t xml:space="preserve">, NM+/surgery was 54 (34-85) </w:t>
      </w:r>
      <w:r>
        <w:rPr>
          <w:rFonts w:hint="eastAsia" w:ascii="Book Antiqua" w:hAnsi="Book Antiqua" w:cs="Book Antiqua"/>
          <w:color w:val="000000"/>
          <w:lang w:eastAsia="zh-CN"/>
        </w:rPr>
        <w:t>mo</w:t>
      </w:r>
      <w:r>
        <w:rPr>
          <w:rFonts w:ascii="Book Antiqua" w:hAnsi="Book Antiqua" w:eastAsia="Book Antiqua" w:cs="Book Antiqua"/>
          <w:color w:val="000000"/>
        </w:rPr>
        <w:t xml:space="preserve">, NM-/no surgery was 11 (6-17) </w:t>
      </w:r>
      <w:r>
        <w:rPr>
          <w:rFonts w:hint="eastAsia" w:ascii="Book Antiqua" w:hAnsi="Book Antiqua" w:cs="Book Antiqua"/>
          <w:color w:val="000000"/>
          <w:lang w:eastAsia="zh-CN"/>
        </w:rPr>
        <w:t>mo</w:t>
      </w:r>
      <w:r>
        <w:rPr>
          <w:rFonts w:ascii="Book Antiqua" w:hAnsi="Book Antiqua" w:eastAsia="Book Antiqua" w:cs="Book Antiqua"/>
          <w:color w:val="000000"/>
        </w:rPr>
        <w:t>, and NM-/</w:t>
      </w:r>
      <w:r>
        <w:rPr>
          <w:rFonts w:hint="eastAsia" w:ascii="Book Antiqua" w:hAnsi="Book Antiqua" w:cs="Book Antiqua"/>
          <w:color w:val="000000"/>
          <w:lang w:eastAsia="zh-CN"/>
        </w:rPr>
        <w:t>s</w:t>
      </w:r>
      <w:r>
        <w:rPr>
          <w:rFonts w:ascii="Book Antiqua" w:hAnsi="Book Antiqua" w:eastAsia="Book Antiqua" w:cs="Book Antiqua"/>
          <w:color w:val="000000"/>
        </w:rPr>
        <w:t xml:space="preserve">urgery was 142 (92-NA) </w:t>
      </w:r>
      <w:r>
        <w:rPr>
          <w:rFonts w:hint="eastAsia" w:ascii="Book Antiqua" w:hAnsi="Book Antiqua" w:cs="Book Antiqua"/>
          <w:color w:val="000000"/>
          <w:lang w:eastAsia="zh-CN"/>
        </w:rPr>
        <w:t>mo</w:t>
      </w:r>
      <w:r>
        <w:rPr>
          <w:rFonts w:ascii="Book Antiqua" w:hAnsi="Book Antiqua" w:eastAsia="Book Antiqua" w:cs="Book Antiqua"/>
          <w:color w:val="000000"/>
        </w:rPr>
        <w:t xml:space="preserve">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 (Figure 6).</w:t>
      </w:r>
    </w:p>
    <w:p>
      <w:pPr>
        <w:spacing w:line="360" w:lineRule="auto"/>
        <w:jc w:val="both"/>
      </w:pPr>
    </w:p>
    <w:p>
      <w:pPr>
        <w:spacing w:line="360" w:lineRule="auto"/>
        <w:jc w:val="both"/>
      </w:pPr>
      <w:r>
        <w:rPr>
          <w:rFonts w:ascii="Book Antiqua" w:hAnsi="Book Antiqua" w:eastAsia="Book Antiqua" w:cs="Book Antiqua"/>
          <w:b/>
          <w:bCs/>
          <w:i/>
          <w:iCs/>
          <w:color w:val="000000"/>
        </w:rPr>
        <w:t>Stages</w:t>
      </w:r>
    </w:p>
    <w:p>
      <w:pPr>
        <w:spacing w:line="360" w:lineRule="auto"/>
        <w:jc w:val="both"/>
      </w:pPr>
      <w:r>
        <w:rPr>
          <w:rFonts w:ascii="Book Antiqua" w:hAnsi="Book Antiqua" w:eastAsia="Book Antiqua" w:cs="Book Antiqua"/>
          <w:color w:val="000000"/>
        </w:rPr>
        <w:t>Median survival months for stage I was 97 (</w:t>
      </w:r>
      <w:r>
        <w:rPr>
          <w:rFonts w:hint="eastAsia" w:ascii="Book Antiqua" w:hAnsi="Book Antiqua" w:cs="Book Antiqua"/>
          <w:color w:val="000000"/>
          <w:lang w:eastAsia="zh-CN"/>
        </w:rPr>
        <w:t>95%</w:t>
      </w:r>
      <w:r>
        <w:rPr>
          <w:rFonts w:ascii="Book Antiqua" w:hAnsi="Book Antiqua" w:eastAsia="Book Antiqua" w:cs="Book Antiqua"/>
          <w:color w:val="000000"/>
        </w:rPr>
        <w:t>CI: 34-NA), stage II was 87 (</w:t>
      </w:r>
      <w:r>
        <w:rPr>
          <w:rFonts w:hint="eastAsia" w:ascii="Book Antiqua" w:hAnsi="Book Antiqua" w:cs="Book Antiqua"/>
          <w:color w:val="000000"/>
          <w:lang w:eastAsia="zh-CN"/>
        </w:rPr>
        <w:t>95%</w:t>
      </w:r>
      <w:r>
        <w:rPr>
          <w:rFonts w:ascii="Book Antiqua" w:hAnsi="Book Antiqua" w:eastAsia="Book Antiqua" w:cs="Book Antiqua"/>
          <w:color w:val="000000"/>
        </w:rPr>
        <w:t>CI: 35-NA), stage III was 45 (</w:t>
      </w:r>
      <w:r>
        <w:rPr>
          <w:rFonts w:hint="eastAsia" w:ascii="Book Antiqua" w:hAnsi="Book Antiqua" w:cs="Book Antiqua"/>
          <w:color w:val="000000"/>
          <w:lang w:eastAsia="zh-CN"/>
        </w:rPr>
        <w:t>95%</w:t>
      </w:r>
      <w:r>
        <w:rPr>
          <w:rFonts w:ascii="Book Antiqua" w:hAnsi="Book Antiqua" w:eastAsia="Book Antiqua" w:cs="Book Antiqua"/>
          <w:color w:val="000000"/>
        </w:rPr>
        <w:t>CI</w:t>
      </w:r>
      <w:r>
        <w:rPr>
          <w:rFonts w:hint="eastAsia" w:ascii="Book Antiqua" w:hAnsi="Book Antiqua" w:cs="Book Antiqua"/>
          <w:color w:val="000000"/>
          <w:lang w:eastAsia="zh-CN"/>
        </w:rPr>
        <w:t>:</w:t>
      </w:r>
      <w:r>
        <w:rPr>
          <w:rFonts w:ascii="Book Antiqua" w:hAnsi="Book Antiqua" w:eastAsia="Book Antiqua" w:cs="Book Antiqua"/>
          <w:color w:val="000000"/>
        </w:rPr>
        <w:t xml:space="preserve"> 29-63), stage IV was 14 (</w:t>
      </w:r>
      <w:r>
        <w:rPr>
          <w:rFonts w:hint="eastAsia" w:ascii="Book Antiqua" w:hAnsi="Book Antiqua" w:cs="Book Antiqua"/>
          <w:color w:val="000000"/>
          <w:lang w:eastAsia="zh-CN"/>
        </w:rPr>
        <w:t>95%</w:t>
      </w:r>
      <w:r>
        <w:rPr>
          <w:rFonts w:ascii="Book Antiqua" w:hAnsi="Book Antiqua" w:eastAsia="Book Antiqua" w:cs="Book Antiqua"/>
          <w:color w:val="000000"/>
        </w:rPr>
        <w:t>CI</w:t>
      </w:r>
      <w:r>
        <w:rPr>
          <w:rFonts w:hint="eastAsia" w:ascii="Book Antiqua" w:hAnsi="Book Antiqua" w:cs="Book Antiqua"/>
          <w:color w:val="000000"/>
          <w:lang w:eastAsia="zh-CN"/>
        </w:rPr>
        <w:t>:</w:t>
      </w:r>
      <w:r>
        <w:rPr>
          <w:rFonts w:ascii="Book Antiqua" w:hAnsi="Book Antiqua" w:eastAsia="Book Antiqua" w:cs="Book Antiqua"/>
          <w:color w:val="000000"/>
        </w:rPr>
        <w:t xml:space="preserve"> 8-21), and the unknown stage was 18 (</w:t>
      </w:r>
      <w:r>
        <w:rPr>
          <w:rFonts w:hint="eastAsia" w:ascii="Book Antiqua" w:hAnsi="Book Antiqua" w:cs="Book Antiqua"/>
          <w:color w:val="000000"/>
          <w:lang w:eastAsia="zh-CN"/>
        </w:rPr>
        <w:t>95%</w:t>
      </w:r>
      <w:r>
        <w:rPr>
          <w:rFonts w:ascii="Book Antiqua" w:hAnsi="Book Antiqua" w:eastAsia="Book Antiqua" w:cs="Book Antiqua"/>
          <w:color w:val="000000"/>
        </w:rPr>
        <w:t>CI</w:t>
      </w:r>
      <w:r>
        <w:rPr>
          <w:rFonts w:hint="eastAsia" w:ascii="Book Antiqua" w:hAnsi="Book Antiqua" w:cs="Book Antiqua"/>
          <w:color w:val="000000"/>
          <w:lang w:eastAsia="zh-CN"/>
        </w:rPr>
        <w:t>:</w:t>
      </w:r>
      <w:r>
        <w:rPr>
          <w:rFonts w:ascii="Book Antiqua" w:hAnsi="Book Antiqua" w:eastAsia="Book Antiqua" w:cs="Book Antiqua"/>
          <w:color w:val="000000"/>
        </w:rPr>
        <w:t xml:space="preserve"> 7-75) </w:t>
      </w:r>
      <w:r>
        <w:rPr>
          <w:rFonts w:hint="eastAsia" w:ascii="Book Antiqua" w:hAnsi="Book Antiqua" w:cs="Book Antiqua"/>
          <w:color w:val="000000"/>
          <w:lang w:eastAsia="zh-CN"/>
        </w:rPr>
        <w:t>mo</w:t>
      </w:r>
      <w:r>
        <w:rPr>
          <w:rFonts w:ascii="Book Antiqua" w:hAnsi="Book Antiqua" w:eastAsia="Book Antiqua" w:cs="Book Antiqua"/>
          <w:color w:val="000000"/>
        </w:rPr>
        <w:t>. The five-year survival rate for stage I was 53.6 ± 6.4%, stage II was 70.1</w:t>
      </w:r>
      <w:r>
        <w:rPr>
          <w:rFonts w:hint="eastAsia" w:ascii="Book Antiqua" w:hAnsi="Book Antiqua" w:cs="Book Antiqua"/>
          <w:color w:val="000000"/>
          <w:lang w:eastAsia="zh-CN"/>
        </w:rPr>
        <w:t xml:space="preserve"> </w:t>
      </w:r>
      <w:r>
        <w:rPr>
          <w:rFonts w:ascii="Book Antiqua" w:hAnsi="Book Antiqua" w:eastAsia="Book Antiqua"/>
          <w:color w:val="000000"/>
        </w:rPr>
        <w:t>±</w:t>
      </w:r>
      <w:r>
        <w:rPr>
          <w:rFonts w:hint="eastAsia" w:ascii="Book Antiqua" w:hAnsi="Book Antiqua"/>
          <w:color w:val="000000"/>
          <w:lang w:eastAsia="zh-CN"/>
        </w:rPr>
        <w:t xml:space="preserve"> </w:t>
      </w:r>
      <w:r>
        <w:rPr>
          <w:rFonts w:ascii="Book Antiqua" w:hAnsi="Book Antiqua" w:eastAsia="Book Antiqua" w:cs="Book Antiqua"/>
          <w:color w:val="000000"/>
        </w:rPr>
        <w:t>11.2%, stage III was 37.6</w:t>
      </w:r>
      <w:r>
        <w:rPr>
          <w:rFonts w:hint="eastAsia" w:ascii="Book Antiqua" w:hAnsi="Book Antiqua" w:cs="Book Antiqua"/>
          <w:color w:val="000000"/>
          <w:lang w:eastAsia="zh-CN"/>
        </w:rPr>
        <w:t xml:space="preserve"> </w:t>
      </w:r>
      <w:r>
        <w:rPr>
          <w:rFonts w:ascii="Book Antiqua" w:hAnsi="Book Antiqua" w:cs="Book Antiqua"/>
          <w:color w:val="000000"/>
          <w:lang w:eastAsia="zh-CN"/>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6.7%, stage IV was 13.1</w:t>
      </w:r>
      <w:r>
        <w:rPr>
          <w:rFonts w:hint="eastAsia" w:ascii="Book Antiqua" w:hAnsi="Book Antiqua" w:cs="Book Antiqua"/>
          <w:color w:val="000000"/>
          <w:lang w:eastAsia="zh-CN"/>
        </w:rPr>
        <w:t xml:space="preserve"> </w:t>
      </w:r>
      <w:r>
        <w:rPr>
          <w:rFonts w:ascii="Book Antiqua" w:hAnsi="Book Antiqua" w:cs="Book Antiqua"/>
          <w:color w:val="000000"/>
          <w:lang w:eastAsia="zh-CN"/>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4.3%, and the unknown stage was 31.3</w:t>
      </w:r>
      <w:r>
        <w:rPr>
          <w:rFonts w:hint="eastAsia" w:ascii="Book Antiqua" w:hAnsi="Book Antiqua" w:cs="Book Antiqua"/>
          <w:color w:val="000000"/>
          <w:lang w:eastAsia="zh-CN"/>
        </w:rPr>
        <w:t xml:space="preserve"> </w:t>
      </w:r>
      <w:r>
        <w:rPr>
          <w:rFonts w:ascii="Book Antiqua" w:hAnsi="Book Antiqua" w:cs="Book Antiqua"/>
          <w:color w:val="000000"/>
          <w:lang w:eastAsia="zh-CN"/>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10.9%. </w:t>
      </w:r>
    </w:p>
    <w:p>
      <w:pPr>
        <w:spacing w:line="360" w:lineRule="auto"/>
        <w:jc w:val="both"/>
      </w:pPr>
    </w:p>
    <w:p>
      <w:pPr>
        <w:spacing w:line="360" w:lineRule="auto"/>
        <w:jc w:val="both"/>
      </w:pPr>
      <w:r>
        <w:rPr>
          <w:rFonts w:ascii="Book Antiqua" w:hAnsi="Book Antiqua" w:eastAsia="Book Antiqua" w:cs="Book Antiqua"/>
          <w:b/>
          <w:bCs/>
          <w:i/>
          <w:iCs/>
          <w:color w:val="000000"/>
        </w:rPr>
        <w:t>Cox regression analysis</w:t>
      </w:r>
    </w:p>
    <w:p>
      <w:pPr>
        <w:spacing w:line="360" w:lineRule="auto"/>
        <w:jc w:val="both"/>
      </w:pPr>
      <w:r>
        <w:rPr>
          <w:rFonts w:ascii="Book Antiqua" w:hAnsi="Book Antiqua" w:eastAsia="Book Antiqua" w:cs="Book Antiqua"/>
          <w:color w:val="000000"/>
        </w:rPr>
        <w:t>Multivariate Cox regression analysis included the following variables: age groups (compared to age ≤</w:t>
      </w:r>
      <w:r>
        <w:rPr>
          <w:rFonts w:hint="eastAsia" w:ascii="Book Antiqua" w:hAnsi="Book Antiqua" w:cs="Book Antiqua"/>
          <w:color w:val="000000"/>
          <w:lang w:eastAsia="zh-CN"/>
        </w:rPr>
        <w:t xml:space="preserve"> </w:t>
      </w:r>
      <w:r>
        <w:rPr>
          <w:rFonts w:ascii="Book Antiqua" w:hAnsi="Book Antiqua" w:eastAsia="Book Antiqua" w:cs="Book Antiqua"/>
          <w:color w:val="000000"/>
        </w:rPr>
        <w:t>19), sex (compared to female), race (compared to White), income (compared to &lt;</w:t>
      </w:r>
      <w:r>
        <w:rPr>
          <w:rFonts w:hint="eastAsia" w:ascii="Book Antiqua" w:hAnsi="Book Antiqua" w:cs="Book Antiqua"/>
          <w:color w:val="000000"/>
          <w:lang w:eastAsia="zh-CN"/>
        </w:rPr>
        <w:t xml:space="preserve"> </w:t>
      </w:r>
      <w:r>
        <w:rPr>
          <w:rFonts w:ascii="Book Antiqua" w:hAnsi="Book Antiqua" w:eastAsia="Book Antiqua" w:cs="Book Antiqua"/>
          <w:color w:val="000000"/>
        </w:rPr>
        <w:t>$55000), surgery (compared to no surgery or locoregional therapy), population (compared to other), tumor size (compared to ≤</w:t>
      </w:r>
      <w:r>
        <w:rPr>
          <w:rFonts w:hint="eastAsia" w:ascii="Book Antiqua" w:hAnsi="Book Antiqua" w:cs="Book Antiqua"/>
          <w:color w:val="000000"/>
          <w:lang w:eastAsia="zh-CN"/>
        </w:rPr>
        <w:t xml:space="preserve"> </w:t>
      </w:r>
      <w:r>
        <w:rPr>
          <w:rFonts w:ascii="Book Antiqua" w:hAnsi="Book Antiqua" w:eastAsia="Book Antiqua" w:cs="Book Antiqua"/>
          <w:color w:val="000000"/>
        </w:rPr>
        <w:t>50 mm), lymph node status (compared to N0), and metastasis status (compared to M0). This model excluded two patients with unknown surgical status. Due to the interaction with tumor size, lymph node status, and metastasis status, the stage was excluded from the model. This model showed that only Nx had a significant hazard ratio of 0.11 ± 1.37. Table 4 summarizes the result.</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rPr>
          <w:lang w:eastAsia="zh-CN"/>
        </w:rPr>
      </w:pPr>
      <w:r>
        <w:rPr>
          <w:rFonts w:ascii="Book Antiqua" w:hAnsi="Book Antiqua" w:eastAsia="Book Antiqua" w:cs="Book Antiqua"/>
          <w:color w:val="000000"/>
        </w:rPr>
        <w:t>FL-HCC is a rare and unique type of HCC, and it commonly affects younger patients without underlying cirrhosis. Due to the rare nature of FL-HCC, disease characteristics and survival of FL-HCC by age, race, and surgical intervention remain scarce. To our knowledge, this is one of the larger population-based studies on FL-HCC obtained from a nationwide cancer registry, including detailed tumor characteristics. The study highlights and provides a better understanding of FL-HCC survival based on age, race, and surgical interventions at the population level. Overall median survival of patients with FL-HCC in this study was 34 mo, similar to that of other studies</w:t>
      </w:r>
      <w:r>
        <w:rPr>
          <w:rFonts w:ascii="Book Antiqua" w:hAnsi="Book Antiqua" w:eastAsia="Book Antiqua" w:cs="Book Antiqua"/>
          <w:color w:val="000000"/>
          <w:szCs w:val="30"/>
          <w:vertAlign w:val="superscript"/>
        </w:rPr>
        <w:t>[2,17]</w:t>
      </w:r>
      <w:r>
        <w:rPr>
          <w:rFonts w:ascii="Book Antiqua" w:hAnsi="Book Antiqua" w:eastAsia="Book Antiqua" w:cs="Book Antiqua"/>
          <w:color w:val="000000"/>
        </w:rPr>
        <w:t>. Our median survival was lower than the 75 mo obtained by Mayo and colleagues in 2014, analyzing SEER data from 1986 to 2008</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xml:space="preserve">. This difference is due to the fact that they only included surgically managed FL-HCC. Besides, their patients were younger (mean age: 25 </w:t>
      </w:r>
      <w:r>
        <w:rPr>
          <w:rFonts w:ascii="Book Antiqua" w:hAnsi="Book Antiqua" w:eastAsia="Book Antiqua" w:cs="Book Antiqua"/>
          <w:i/>
          <w:color w:val="000000"/>
        </w:rPr>
        <w:t>vs</w:t>
      </w:r>
      <w:r>
        <w:rPr>
          <w:rFonts w:ascii="Book Antiqua" w:hAnsi="Book Antiqua" w:eastAsia="Book Antiqua" w:cs="Book Antiqua"/>
          <w:color w:val="000000"/>
        </w:rPr>
        <w:t xml:space="preserve"> 36 years) than ours, and they had a smaller sample size of FL-HCC (90 patients) compared to ours. In effect, younger age at diagnosis has been associated with better survival</w:t>
      </w:r>
      <w:r>
        <w:rPr>
          <w:rFonts w:ascii="Book Antiqua" w:hAnsi="Book Antiqua" w:eastAsia="Book Antiqua" w:cs="Book Antiqua"/>
          <w:color w:val="000000"/>
          <w:szCs w:val="30"/>
          <w:vertAlign w:val="superscript"/>
        </w:rPr>
        <w:t>[18,19]</w:t>
      </w:r>
      <w:r>
        <w:rPr>
          <w:rFonts w:ascii="Book Antiqua" w:hAnsi="Book Antiqua" w:eastAsia="Book Antiqua" w:cs="Book Antiqua"/>
          <w:color w:val="000000"/>
        </w:rPr>
        <w:t>. Also, FL-HCC was only established as a separate diagnosis in 1986, and there may have been a few years of transition before providers consistently coded FL-HCC as a distinct entity</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bCs/>
          <w:i/>
          <w:iCs/>
          <w:color w:val="000000"/>
        </w:rPr>
        <w:t>Age, comparison to the previous study, possible explanations and implications</w:t>
      </w:r>
    </w:p>
    <w:p>
      <w:pPr>
        <w:spacing w:line="360" w:lineRule="auto"/>
        <w:jc w:val="both"/>
        <w:rPr>
          <w:lang w:eastAsia="zh-CN"/>
        </w:rPr>
      </w:pPr>
      <w:r>
        <w:rPr>
          <w:rFonts w:ascii="Book Antiqua" w:hAnsi="Book Antiqua" w:eastAsia="Book Antiqua" w:cs="Book Antiqua"/>
          <w:color w:val="000000"/>
        </w:rPr>
        <w:t>The median age of patients in our study was 36 years, similar to that of other studies</w:t>
      </w:r>
      <w:r>
        <w:rPr>
          <w:rFonts w:ascii="Book Antiqua" w:hAnsi="Book Antiqua" w:eastAsia="Book Antiqua" w:cs="Book Antiqua"/>
          <w:color w:val="000000"/>
          <w:szCs w:val="30"/>
          <w:vertAlign w:val="superscript"/>
        </w:rPr>
        <w:t>[18,20]</w:t>
      </w:r>
      <w:r>
        <w:rPr>
          <w:rFonts w:ascii="Book Antiqua" w:hAnsi="Book Antiqua" w:eastAsia="Book Antiqua" w:cs="Book Antiqua"/>
          <w:color w:val="000000"/>
        </w:rPr>
        <w:t>. FL-HCC is known to have a predilection to develop in young patients</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 hence it was no surprise that the majority of patients with FL-HCC in our study were younger. Also, younger patients (≤ 19 years) in our study with FL-HCC were more likely to have advanced stags with positive lymph nodes status and were more often treated with resection or transplantation as described in previous studies</w:t>
      </w:r>
      <w:r>
        <w:rPr>
          <w:rFonts w:ascii="Book Antiqua" w:hAnsi="Book Antiqua" w:eastAsia="Book Antiqua" w:cs="Book Antiqua"/>
          <w:color w:val="000000"/>
          <w:szCs w:val="30"/>
          <w:vertAlign w:val="superscript"/>
        </w:rPr>
        <w:t>[12,18]</w:t>
      </w:r>
      <w:r>
        <w:rPr>
          <w:rFonts w:ascii="Book Antiqua" w:hAnsi="Book Antiqua" w:eastAsia="Book Antiqua" w:cs="Book Antiqua"/>
          <w:color w:val="000000"/>
        </w:rPr>
        <w:t>. These studies have suggested FL-HCC has a better prognosis because it primarily affects children and teens and because of the many surgical therapies available (wedge, segmental resection, lobectomy, and transplant) for this patient population, unlike with HCC</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Likewise, young patients with FL-HCC are usually otherwise healthy, lack liver cirrhosis, and have high resectability rates with low rates of surgical complications</w:t>
      </w:r>
      <w:r>
        <w:rPr>
          <w:rFonts w:ascii="Book Antiqua" w:hAnsi="Book Antiqua" w:eastAsia="Book Antiqua" w:cs="Book Antiqua"/>
          <w:color w:val="000000"/>
          <w:szCs w:val="30"/>
          <w:vertAlign w:val="superscript"/>
        </w:rPr>
        <w:t>[21,22]</w:t>
      </w:r>
      <w:r>
        <w:rPr>
          <w:rFonts w:ascii="Book Antiqua" w:hAnsi="Book Antiqua" w:eastAsia="Book Antiqua" w:cs="Book Antiqua"/>
          <w:color w:val="000000"/>
        </w:rPr>
        <w:t xml:space="preserve">. Pinna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[22]</w:t>
      </w:r>
      <w:r>
        <w:rPr>
          <w:rFonts w:ascii="Book Antiqua" w:hAnsi="Book Antiqua" w:eastAsia="Book Antiqua" w:cs="Book Antiqua"/>
          <w:color w:val="000000"/>
        </w:rPr>
        <w:t xml:space="preserve"> in 1997 reported survival of 66% at five years despite 90% of FL-HCC patients presenting with stage IV disease.</w:t>
      </w:r>
    </w:p>
    <w:p>
      <w:pPr>
        <w:spacing w:line="360" w:lineRule="auto"/>
        <w:jc w:val="both"/>
      </w:pPr>
    </w:p>
    <w:p>
      <w:pPr>
        <w:spacing w:line="360" w:lineRule="auto"/>
        <w:jc w:val="both"/>
      </w:pPr>
      <w:r>
        <w:rPr>
          <w:rFonts w:ascii="Book Antiqua" w:hAnsi="Book Antiqua" w:eastAsia="Book Antiqua" w:cs="Book Antiqua"/>
          <w:b/>
          <w:bCs/>
          <w:i/>
          <w:iCs/>
          <w:color w:val="000000"/>
        </w:rPr>
        <w:t>Race, comparison to the previous study, possible explanations and implications</w:t>
      </w:r>
    </w:p>
    <w:p>
      <w:pPr>
        <w:spacing w:line="360" w:lineRule="auto"/>
        <w:jc w:val="both"/>
      </w:pPr>
      <w:r>
        <w:rPr>
          <w:rFonts w:ascii="Book Antiqua" w:hAnsi="Book Antiqua" w:eastAsia="Book Antiqua" w:cs="Book Antiqua"/>
          <w:color w:val="000000"/>
          <w:shd w:val="clear" w:color="auto" w:fill="FFFFFF"/>
        </w:rPr>
        <w:t xml:space="preserve">Patients with FL-HCC in our study were overwhelmingly non-Hispanic whites, findings similar to the study by El-Serag </w:t>
      </w:r>
      <w:r>
        <w:rPr>
          <w:rFonts w:hint="eastAsia" w:ascii="Book Antiqua" w:hAnsi="Book Antiqua" w:cs="Book Antiqua"/>
          <w:i/>
          <w:color w:val="000000"/>
          <w:shd w:val="clear" w:color="auto" w:fill="FFFFFF"/>
          <w:lang w:eastAsia="zh-CN"/>
        </w:rPr>
        <w:t>et al</w:t>
      </w:r>
      <w:r>
        <w:rPr>
          <w:rFonts w:ascii="Book Antiqua" w:hAnsi="Book Antiqua" w:eastAsia="Book Antiqua" w:cs="Book Antiqua"/>
          <w:color w:val="000000"/>
          <w:szCs w:val="30"/>
          <w:shd w:val="clear" w:color="auto" w:fill="FFFFFF"/>
          <w:vertAlign w:val="superscript"/>
        </w:rPr>
        <w:t>[18]</w:t>
      </w:r>
      <w:r>
        <w:rPr>
          <w:rFonts w:ascii="Book Antiqua" w:hAnsi="Book Antiqua" w:eastAsia="Book Antiqua" w:cs="Book Antiqua"/>
          <w:color w:val="000000"/>
          <w:shd w:val="clear" w:color="auto" w:fill="FFFFFF"/>
        </w:rPr>
        <w:t xml:space="preserve"> in 2004. The rates of FL-HCC were not significantly different among Whites, Blacks, APIs, and Hispanics in our study, unlike with HCC patients, where incidence rates and prognosis vary with racial backgrounds</w:t>
      </w:r>
      <w:r>
        <w:rPr>
          <w:rFonts w:ascii="Book Antiqua" w:hAnsi="Book Antiqua" w:eastAsia="Book Antiqua" w:cs="Book Antiqua"/>
          <w:color w:val="000000"/>
          <w:szCs w:val="30"/>
          <w:shd w:val="clear" w:color="auto" w:fill="FFFFFF"/>
          <w:vertAlign w:val="superscript"/>
        </w:rPr>
        <w:t>[18,23]</w:t>
      </w:r>
      <w:r>
        <w:rPr>
          <w:rFonts w:ascii="Book Antiqua" w:hAnsi="Book Antiqua" w:eastAsia="Book Antiqua" w:cs="Book Antiqua"/>
          <w:color w:val="000000"/>
          <w:shd w:val="clear" w:color="auto" w:fill="FFFFFF"/>
        </w:rPr>
        <w:t xml:space="preserve">. APIs were older than others races in our study. </w:t>
      </w:r>
      <w:r>
        <w:rPr>
          <w:rFonts w:ascii="Book Antiqua" w:hAnsi="Book Antiqua" w:eastAsia="Book Antiqua" w:cs="Book Antiqua"/>
          <w:color w:val="000000"/>
        </w:rPr>
        <w:t>Notably, there were no differences in tumor characteristics and surgical treatment by race. Also, s</w:t>
      </w:r>
      <w:r>
        <w:rPr>
          <w:rFonts w:ascii="Book Antiqua" w:hAnsi="Book Antiqua" w:eastAsia="Book Antiqua" w:cs="Book Antiqua"/>
          <w:color w:val="000000"/>
          <w:shd w:val="clear" w:color="auto" w:fill="FFFFFF"/>
        </w:rPr>
        <w:t>urvival rates of FL-HCC were similar across racial groups in our study; although there was a non-significant trend for survival in Whites to be higher than in non-Whites, behaving like findings seen with HCC patients, where non-Whites have lower survival rates</w:t>
      </w:r>
      <w:r>
        <w:rPr>
          <w:rFonts w:ascii="Book Antiqua" w:hAnsi="Book Antiqua" w:eastAsia="Book Antiqua" w:cs="Book Antiqua"/>
          <w:color w:val="000000"/>
          <w:szCs w:val="30"/>
          <w:shd w:val="clear" w:color="auto" w:fill="FFFFFF"/>
          <w:vertAlign w:val="superscript"/>
        </w:rPr>
        <w:t>[23]</w:t>
      </w:r>
      <w:r>
        <w:rPr>
          <w:rFonts w:hint="eastAsia" w:ascii="Book Antiqua" w:hAnsi="Book Antiqua" w:cs="Book Antiqua"/>
          <w:color w:val="000000"/>
          <w:szCs w:val="30"/>
          <w:shd w:val="clear" w:color="auto" w:fill="FFFFFF"/>
          <w:lang w:eastAsia="zh-CN"/>
        </w:rPr>
        <w:t>.</w:t>
      </w:r>
      <w:r>
        <w:rPr>
          <w:rFonts w:ascii="Book Antiqua" w:hAnsi="Book Antiqua" w:eastAsia="Book Antiqua" w:cs="Book Antiqua"/>
          <w:color w:val="000000"/>
          <w:shd w:val="clear" w:color="auto" w:fill="FFFFFF"/>
        </w:rPr>
        <w:t xml:space="preserve"> On the other hand, some studies have found the Whites and female gender to be negative prognostic factors after surgery</w:t>
      </w:r>
      <w:r>
        <w:rPr>
          <w:rFonts w:ascii="Book Antiqua" w:hAnsi="Book Antiqua" w:eastAsia="Book Antiqua" w:cs="Book Antiqua"/>
          <w:color w:val="000000"/>
          <w:szCs w:val="30"/>
          <w:shd w:val="clear" w:color="auto" w:fill="FFFFFF"/>
          <w:vertAlign w:val="superscript"/>
        </w:rPr>
        <w:t>[24]</w:t>
      </w:r>
      <w:r>
        <w:rPr>
          <w:rFonts w:hint="eastAsia" w:ascii="Book Antiqua" w:hAnsi="Book Antiqua" w:cs="Book Antiqua"/>
          <w:color w:val="000000"/>
          <w:szCs w:val="30"/>
          <w:shd w:val="clear" w:color="auto" w:fill="FFFFFF"/>
          <w:lang w:eastAsia="zh-CN"/>
        </w:rPr>
        <w:t>.</w:t>
      </w:r>
      <w:r>
        <w:rPr>
          <w:rFonts w:ascii="Book Antiqua" w:hAnsi="Book Antiqua" w:eastAsia="Book Antiqua" w:cs="Book Antiqua"/>
          <w:color w:val="000000"/>
          <w:shd w:val="clear" w:color="auto" w:fill="FFFFFF"/>
        </w:rPr>
        <w:t xml:space="preserve"> However, these findings have remained controversial</w:t>
      </w:r>
      <w:r>
        <w:rPr>
          <w:rFonts w:ascii="Book Antiqua" w:hAnsi="Book Antiqua" w:eastAsia="Book Antiqua" w:cs="Book Antiqua"/>
          <w:color w:val="000000"/>
          <w:szCs w:val="30"/>
          <w:shd w:val="clear" w:color="auto" w:fill="FFFFFF"/>
          <w:vertAlign w:val="superscript"/>
        </w:rPr>
        <w:t>[18,25]</w:t>
      </w:r>
      <w:r>
        <w:rPr>
          <w:rFonts w:hint="eastAsia" w:ascii="Book Antiqua" w:hAnsi="Book Antiqua" w:cs="Book Antiqua"/>
          <w:color w:val="000000"/>
          <w:szCs w:val="30"/>
          <w:shd w:val="clear" w:color="auto" w:fill="FFFFFF"/>
          <w:lang w:eastAsia="zh-CN"/>
        </w:rPr>
        <w:t>.</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Racial disparities observed in HCC patients are thought to be related to etiological and socio-demographic factors</w:t>
      </w:r>
      <w:r>
        <w:rPr>
          <w:rFonts w:ascii="Book Antiqua" w:hAnsi="Book Antiqua" w:eastAsia="Book Antiqua" w:cs="Book Antiqua"/>
          <w:color w:val="000000"/>
          <w:szCs w:val="30"/>
          <w:vertAlign w:val="superscript"/>
        </w:rPr>
        <w:t>[26]</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Our findings suggest that these factors may not play a role in FL-HCC survival as we found no significant racial disparities.</w:t>
      </w:r>
    </w:p>
    <w:p>
      <w:pPr>
        <w:spacing w:line="360" w:lineRule="auto"/>
        <w:jc w:val="both"/>
      </w:pPr>
    </w:p>
    <w:p>
      <w:pPr>
        <w:spacing w:line="360" w:lineRule="auto"/>
        <w:jc w:val="both"/>
      </w:pPr>
      <w:r>
        <w:rPr>
          <w:rFonts w:ascii="Book Antiqua" w:hAnsi="Book Antiqua" w:eastAsia="Book Antiqua" w:cs="Book Antiqua"/>
          <w:b/>
          <w:bCs/>
          <w:i/>
          <w:iCs/>
          <w:color w:val="000000"/>
        </w:rPr>
        <w:t>Surgery, comparison to the previous study, possible explanations and implications</w:t>
      </w:r>
    </w:p>
    <w:p>
      <w:pPr>
        <w:spacing w:line="360" w:lineRule="auto"/>
        <w:jc w:val="both"/>
      </w:pPr>
      <w:r>
        <w:rPr>
          <w:rFonts w:ascii="Book Antiqua" w:hAnsi="Book Antiqua" w:eastAsia="Book Antiqua" w:cs="Book Antiqua"/>
          <w:color w:val="000000"/>
        </w:rPr>
        <w:t>Surgical resection has remained the treatment of choice for FL-HCC given the younger age of these patients, localized disease, and lack of underlying liver cirrhosis</w:t>
      </w:r>
      <w:r>
        <w:rPr>
          <w:rFonts w:ascii="Book Antiqua" w:hAnsi="Book Antiqua" w:eastAsia="Book Antiqua" w:cs="Book Antiqua"/>
          <w:color w:val="000000"/>
          <w:szCs w:val="30"/>
          <w:vertAlign w:val="superscript"/>
        </w:rPr>
        <w:t>[24,27]</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Most of these surgeries were segmental surgeries and lobectomies, with fewer cases of liver transplantation. In our study, the majority of FL-HCC patients who had surgical intervention were young and had earlier stages. Nineteen (17.1%) patients underwent liver transplantation, and 11 (9.9%) had extended lobectomy, with many having an advanced disease. Our findings are similar to those of Eggert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[25]</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2013 and Assi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[20]</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2020. The survival in our study increased with surgery and was highest in FL-HCC patients who had a wedge or segmental hepatic resection with 112 mo. Previous studies have demonstrated age and tumor resectability to be independent predictors of survival in FL-HCC patients</w:t>
      </w:r>
      <w:r>
        <w:rPr>
          <w:rFonts w:ascii="Book Antiqua" w:hAnsi="Book Antiqua" w:eastAsia="Book Antiqua" w:cs="Book Antiqua"/>
          <w:color w:val="000000"/>
          <w:szCs w:val="30"/>
          <w:vertAlign w:val="superscript"/>
        </w:rPr>
        <w:t>[2,19,20]</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In effect, having normal underlying liver parenchyma may allow for more aggressive and complete resections, decreasing the risk for recurrence. Currently, there is a paucity of data on aggressive surgical intervention in the setting of extended disease. Our study also highlights the importance of surgical treatment regardless of lymph nodes or metastasis status. As we do not have randomized clinical trials to see the effectiveness of systemic chemotherapy or immunotherapy to treat FL-HCC, surgical treatment may reduce tumor burden for curative or palliative intent. </w:t>
      </w:r>
    </w:p>
    <w:p>
      <w:pPr>
        <w:spacing w:line="360" w:lineRule="auto"/>
        <w:jc w:val="both"/>
      </w:pPr>
    </w:p>
    <w:p>
      <w:pPr>
        <w:spacing w:line="360" w:lineRule="auto"/>
        <w:jc w:val="both"/>
      </w:pPr>
      <w:r>
        <w:rPr>
          <w:rFonts w:ascii="Book Antiqua" w:hAnsi="Book Antiqua" w:eastAsia="Book Antiqua" w:cs="Book Antiqua"/>
          <w:b/>
          <w:bCs/>
          <w:i/>
          <w:iCs/>
          <w:color w:val="000000"/>
        </w:rPr>
        <w:t>Limitation</w:t>
      </w:r>
    </w:p>
    <w:p>
      <w:pPr>
        <w:spacing w:line="360" w:lineRule="auto"/>
        <w:jc w:val="both"/>
      </w:pPr>
      <w:r>
        <w:rPr>
          <w:rFonts w:ascii="Book Antiqua" w:hAnsi="Book Antiqua" w:eastAsia="Book Antiqua" w:cs="Book Antiqua"/>
          <w:color w:val="000000"/>
        </w:rPr>
        <w:t>Although this study included a large number of FL-HCC patients, there are several limitations to this study. Due to the nature of the SEER database, there is no information about comorbid medical conditions, laboratory data, or underlying liver disease, which may affect survival. One-third of the cases needed to be excluded due to inadequate information. As this is a registry study, we cannot account for errors and variations in reporting from the many coders required to acquire this data. Furthermore, the generalizability of this study may be limited as the SEER database includes select states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and regions </w:t>
      </w:r>
      <w:r>
        <w:rPr>
          <w:rFonts w:hint="eastAsia" w:ascii="Book Antiqua" w:hAnsi="Book Antiqua" w:cs="Book Antiqua"/>
          <w:color w:val="000000"/>
          <w:lang w:eastAsia="zh-CN"/>
        </w:rPr>
        <w:t xml:space="preserve">in </w:t>
      </w:r>
      <w:r>
        <w:rPr>
          <w:rFonts w:ascii="Book Antiqua" w:hAnsi="Book Antiqua" w:eastAsia="Book Antiqua" w:cs="Book Antiqua"/>
          <w:color w:val="000000"/>
        </w:rPr>
        <w:t>U</w:t>
      </w:r>
      <w:r>
        <w:rPr>
          <w:rFonts w:hint="eastAsia" w:ascii="Book Antiqua" w:hAnsi="Book Antiqua" w:cs="Book Antiqua"/>
          <w:color w:val="000000"/>
          <w:lang w:eastAsia="zh-CN"/>
        </w:rPr>
        <w:t xml:space="preserve">nited </w:t>
      </w:r>
      <w:r>
        <w:rPr>
          <w:rFonts w:ascii="Book Antiqua" w:hAnsi="Book Antiqua" w:eastAsia="Book Antiqua" w:cs="Book Antiqua"/>
          <w:color w:val="000000"/>
        </w:rPr>
        <w:t>S</w:t>
      </w:r>
      <w:r>
        <w:rPr>
          <w:rFonts w:hint="eastAsia" w:ascii="Book Antiqua" w:hAnsi="Book Antiqua" w:cs="Book Antiqua"/>
          <w:color w:val="000000"/>
          <w:lang w:eastAsia="zh-CN"/>
        </w:rPr>
        <w:t>tates</w:t>
      </w:r>
      <w:r>
        <w:rPr>
          <w:rFonts w:ascii="Book Antiqua" w:hAnsi="Book Antiqua" w:eastAsia="Book Antiqua" w:cs="Book Antiqua"/>
          <w:color w:val="000000"/>
        </w:rPr>
        <w:t xml:space="preserve">. Finally, as FL-HCC is often diagnosed at an advanced stage in young, otherwise healthy patients, there may be a lead time bias when interpreting survival. </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This study demonstrated a better survival of younger patients with FL-HCC despite the presence of aggressive diseases. There were no racial differences in survival for FL-HCC, which is typically seen in HCC. Surgical treatment provided better survival even in the face of nodal disease or metastases. Until more definitive data on locoregional therapy and systemic therapy can be elucidated, all patients with FL-HCC should be strongly considered for surgical intervention. Future studies will also be necessary to identify genetic markers for the population at risk for FL-HCC to enhance earlier detection.</w:t>
      </w:r>
    </w:p>
    <w:p>
      <w:pPr>
        <w:spacing w:line="360" w:lineRule="auto"/>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pPr>
      <w:r>
        <w:rPr>
          <w:rFonts w:ascii="Book Antiqua" w:hAnsi="Book Antiqua" w:eastAsia="Book Antiqua" w:cs="Book Antiqua"/>
          <w:color w:val="000000"/>
        </w:rPr>
        <w:t xml:space="preserve">Fibrolamellar hepatocellular carcinoma (FL-HCC) is a rare and distinct type of hepatocellular carcinoma. </w:t>
      </w:r>
    </w:p>
    <w:p>
      <w:pPr>
        <w:spacing w:line="360" w:lineRule="auto"/>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pPr>
      <w:r>
        <w:rPr>
          <w:rFonts w:ascii="Book Antiqua" w:hAnsi="Book Antiqua" w:eastAsia="Book Antiqua" w:cs="Book Antiqua"/>
          <w:color w:val="000000"/>
        </w:rPr>
        <w:t>Due to its rare nature, there is a limited understanding of factors affecting the survival outcomes.</w:t>
      </w:r>
    </w:p>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r>
        <w:rPr>
          <w:rFonts w:ascii="Book Antiqua" w:hAnsi="Book Antiqua" w:eastAsia="Book Antiqua" w:cs="Book Antiqua"/>
          <w:color w:val="000000"/>
        </w:rPr>
        <w:t xml:space="preserve">This study aims to characterize the survival of FL-HCC by age, race, and surgical intervention. </w:t>
      </w:r>
    </w:p>
    <w:p>
      <w:pPr>
        <w:spacing w:line="360" w:lineRule="auto"/>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rPr>
          <w:lang w:eastAsia="zh-CN"/>
        </w:rPr>
      </w:pPr>
      <w:r>
        <w:rPr>
          <w:rFonts w:ascii="Book Antiqua" w:hAnsi="Book Antiqua" w:eastAsia="Book Antiqua" w:cs="Book Antiqua"/>
          <w:color w:val="000000"/>
        </w:rPr>
        <w:t>FL-HCC patients were retrospectively identified with The Surveillance, Epidemiology, and End Results database. We conducted three separate survival analyses by age groups; ≤</w:t>
      </w:r>
      <w:r>
        <w:rPr>
          <w:rFonts w:hint="eastAsia" w:ascii="Book Antiqua" w:hAnsi="Book Antiqua" w:cs="Book Antiqua"/>
          <w:color w:val="000000"/>
          <w:lang w:eastAsia="zh-CN"/>
        </w:rPr>
        <w:t xml:space="preserve"> </w:t>
      </w:r>
      <w:r>
        <w:rPr>
          <w:rFonts w:ascii="Book Antiqua" w:hAnsi="Book Antiqua" w:eastAsia="Book Antiqua" w:cs="Book Antiqua"/>
          <w:color w:val="000000"/>
        </w:rPr>
        <w:t>19, 20-59, and ≥</w:t>
      </w:r>
      <w:r>
        <w:rPr>
          <w:rFonts w:hint="eastAsia" w:ascii="Book Antiqua" w:hAnsi="Book Antiqua" w:cs="Book Antiqua"/>
          <w:color w:val="000000"/>
          <w:lang w:eastAsia="zh-CN"/>
        </w:rPr>
        <w:t xml:space="preserve"> </w:t>
      </w:r>
      <w:r>
        <w:rPr>
          <w:rFonts w:ascii="Book Antiqua" w:hAnsi="Book Antiqua" w:eastAsia="Book Antiqua" w:cs="Book Antiqua"/>
          <w:color w:val="000000"/>
        </w:rPr>
        <w:t>60-year-old, and race; White, Black, Asian and Pacific Islanders (API), and Hispanic and surgical types; Wedge resection or segmental resection, lobectomy, extended lobectomy (lobectomy + locoregional therapy or resection of the other lobe), and transplant.</w:t>
      </w:r>
    </w:p>
    <w:p>
      <w:pPr>
        <w:spacing w:line="360" w:lineRule="auto"/>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pPr>
      <w:r>
        <w:rPr>
          <w:rFonts w:ascii="Book Antiqua" w:hAnsi="Book Antiqua" w:eastAsia="Book Antiqua" w:cs="Book Antiqua"/>
          <w:color w:val="000000"/>
        </w:rPr>
        <w:t xml:space="preserve">We identified 225 FL-HCC patients. Overall median survival was 34 (95%CI: 27-41) </w:t>
      </w:r>
      <w:r>
        <w:rPr>
          <w:rFonts w:hint="eastAsia" w:ascii="Book Antiqua" w:hAnsi="Book Antiqua" w:cs="Book Antiqua"/>
          <w:color w:val="000000"/>
          <w:lang w:eastAsia="zh-CN"/>
        </w:rPr>
        <w:t>mo</w:t>
      </w:r>
      <w:r>
        <w:rPr>
          <w:rFonts w:ascii="Book Antiqua" w:hAnsi="Book Antiqua" w:eastAsia="Book Antiqua" w:cs="Book Antiqua"/>
          <w:color w:val="000000"/>
        </w:rPr>
        <w:t>. Patients ≤</w:t>
      </w:r>
      <w:r>
        <w:rPr>
          <w:rFonts w:hint="eastAsia" w:ascii="Book Antiqua" w:hAnsi="Book Antiqua" w:cs="Book Antiqua"/>
          <w:color w:val="000000"/>
          <w:lang w:eastAsia="zh-CN"/>
        </w:rPr>
        <w:t xml:space="preserve"> </w:t>
      </w:r>
      <w:r>
        <w:rPr>
          <w:rFonts w:ascii="Book Antiqua" w:hAnsi="Book Antiqua" w:eastAsia="Book Antiqua" w:cs="Book Antiqua"/>
          <w:color w:val="000000"/>
        </w:rPr>
        <w:t>19-year-old had more advanced disease with positive lymph nodes status. However, they received more surgical interventions. Survival months for ≤</w:t>
      </w:r>
      <w:r>
        <w:rPr>
          <w:rFonts w:hint="eastAsia" w:ascii="Book Antiqua" w:hAnsi="Book Antiqua" w:cs="Book Antiqua"/>
          <w:color w:val="000000"/>
          <w:lang w:eastAsia="zh-CN"/>
        </w:rPr>
        <w:t xml:space="preserve"> </w:t>
      </w:r>
      <w:r>
        <w:rPr>
          <w:rFonts w:ascii="Book Antiqua" w:hAnsi="Book Antiqua" w:eastAsia="Book Antiqua" w:cs="Book Antiqua"/>
          <w:color w:val="000000"/>
        </w:rPr>
        <w:t>19 was 85 (</w:t>
      </w:r>
      <w:bookmarkStart w:id="21" w:name="OLE_LINK21"/>
      <w:bookmarkStart w:id="22" w:name="OLE_LINK20"/>
      <w:r>
        <w:rPr>
          <w:rFonts w:hint="eastAsia" w:ascii="Book Antiqua" w:hAnsi="Book Antiqua" w:cs="Book Antiqua"/>
          <w:color w:val="000000"/>
          <w:lang w:eastAsia="zh-CN"/>
        </w:rPr>
        <w:t>95%</w:t>
      </w:r>
      <w:r>
        <w:rPr>
          <w:rFonts w:ascii="Book Antiqua" w:hAnsi="Book Antiqua" w:eastAsia="Book Antiqua" w:cs="Book Antiqua"/>
          <w:color w:val="000000"/>
        </w:rPr>
        <w:t xml:space="preserve">CI: </w:t>
      </w:r>
      <w:bookmarkEnd w:id="21"/>
      <w:bookmarkEnd w:id="22"/>
      <w:r>
        <w:rPr>
          <w:rFonts w:ascii="Book Antiqua" w:hAnsi="Book Antiqua" w:eastAsia="Book Antiqua" w:cs="Book Antiqua"/>
          <w:color w:val="000000"/>
        </w:rPr>
        <w:t>37-137), 20-59 was 29 (</w:t>
      </w:r>
      <w:r>
        <w:rPr>
          <w:rFonts w:hint="eastAsia" w:ascii="Book Antiqua" w:hAnsi="Book Antiqua" w:cs="Book Antiqua"/>
          <w:color w:val="000000"/>
          <w:lang w:eastAsia="zh-CN"/>
        </w:rPr>
        <w:t>95%</w:t>
      </w:r>
      <w:r>
        <w:rPr>
          <w:rFonts w:ascii="Book Antiqua" w:hAnsi="Book Antiqua" w:eastAsia="Book Antiqua" w:cs="Book Antiqua"/>
          <w:color w:val="000000"/>
        </w:rPr>
        <w:t>CI: 18-41), and ≥</w:t>
      </w:r>
      <w:r>
        <w:rPr>
          <w:rFonts w:hint="eastAsia" w:ascii="Book Antiqua" w:hAnsi="Book Antiqua" w:cs="Book Antiqua"/>
          <w:color w:val="000000"/>
          <w:lang w:eastAsia="zh-CN"/>
        </w:rPr>
        <w:t xml:space="preserve"> </w:t>
      </w:r>
      <w:r>
        <w:rPr>
          <w:rFonts w:ascii="Book Antiqua" w:hAnsi="Book Antiqua" w:eastAsia="Book Antiqua" w:cs="Book Antiqua"/>
          <w:color w:val="000000"/>
        </w:rPr>
        <w:t>60 was 12 (</w:t>
      </w:r>
      <w:r>
        <w:rPr>
          <w:rFonts w:ascii="Book Antiqua" w:hAnsi="Book Antiqua" w:cs="Book Antiqua"/>
          <w:color w:val="000000"/>
          <w:lang w:eastAsia="zh-CN"/>
        </w:rPr>
        <w:t>95%</w:t>
      </w:r>
      <w:r>
        <w:rPr>
          <w:rFonts w:ascii="Book Antiqua" w:hAnsi="Book Antiqua" w:eastAsia="Book Antiqua" w:cs="Book Antiqua"/>
          <w:color w:val="000000"/>
        </w:rPr>
        <w:t xml:space="preserve">CI: 7-31) </w:t>
      </w:r>
      <w:r>
        <w:rPr>
          <w:rFonts w:hint="eastAsia" w:ascii="Book Antiqua" w:hAnsi="Book Antiqua" w:cs="Book Antiqua"/>
          <w:color w:val="000000"/>
          <w:lang w:eastAsia="zh-CN"/>
        </w:rPr>
        <w:t>mo</w:t>
      </w:r>
      <w:r>
        <w:rPr>
          <w:rFonts w:ascii="Book Antiqua" w:hAnsi="Book Antiqua" w:eastAsia="Book Antiqua" w:cs="Book Antiqua"/>
          <w:color w:val="000000"/>
        </w:rPr>
        <w:t xml:space="preserve">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 APIs lived in the area with a higher median household income, and Blacks lived in the area with a lower median household income. There were no differences in stages, lymph node status, metastasis status, and surgical treatment. Whites had 39 (</w:t>
      </w:r>
      <w:r>
        <w:rPr>
          <w:rFonts w:ascii="Book Antiqua" w:hAnsi="Book Antiqua" w:cs="Book Antiqua"/>
          <w:color w:val="000000"/>
          <w:lang w:eastAsia="zh-CN"/>
        </w:rPr>
        <w:t>95%</w:t>
      </w:r>
      <w:r>
        <w:rPr>
          <w:rFonts w:ascii="Book Antiqua" w:hAnsi="Book Antiqua" w:eastAsia="Book Antiqua" w:cs="Book Antiqua"/>
          <w:color w:val="000000"/>
        </w:rPr>
        <w:t>CI: 29-63), Blacks 26 (</w:t>
      </w:r>
      <w:r>
        <w:rPr>
          <w:rFonts w:ascii="Book Antiqua" w:hAnsi="Book Antiqua" w:cs="Book Antiqua"/>
          <w:color w:val="000000"/>
          <w:lang w:eastAsia="zh-CN"/>
        </w:rPr>
        <w:t>95%</w:t>
      </w:r>
      <w:r>
        <w:rPr>
          <w:rFonts w:ascii="Book Antiqua" w:hAnsi="Book Antiqua" w:eastAsia="Book Antiqua" w:cs="Book Antiqua"/>
          <w:color w:val="000000"/>
        </w:rPr>
        <w:t>CI: 5-92), Hispanics 31 (</w:t>
      </w:r>
      <w:r>
        <w:rPr>
          <w:rFonts w:ascii="Book Antiqua" w:hAnsi="Book Antiqua" w:cs="Book Antiqua"/>
          <w:color w:val="000000"/>
          <w:lang w:eastAsia="zh-CN"/>
        </w:rPr>
        <w:t>95%</w:t>
      </w:r>
      <w:r>
        <w:rPr>
          <w:rFonts w:ascii="Book Antiqua" w:hAnsi="Book Antiqua" w:eastAsia="Book Antiqua" w:cs="Book Antiqua"/>
          <w:color w:val="000000"/>
        </w:rPr>
        <w:t>CI: 11-54), and APIs 28 (</w:t>
      </w:r>
      <w:r>
        <w:rPr>
          <w:rFonts w:ascii="Book Antiqua" w:hAnsi="Book Antiqua" w:cs="Book Antiqua"/>
          <w:color w:val="000000"/>
          <w:lang w:eastAsia="zh-CN"/>
        </w:rPr>
        <w:t>95%</w:t>
      </w:r>
      <w:r>
        <w:rPr>
          <w:rFonts w:ascii="Book Antiqua" w:hAnsi="Book Antiqua" w:eastAsia="Book Antiqua" w:cs="Book Antiqua"/>
          <w:color w:val="000000"/>
        </w:rPr>
        <w:t xml:space="preserve">CI: 5-39) </w:t>
      </w:r>
      <w:r>
        <w:rPr>
          <w:rFonts w:hint="eastAsia" w:ascii="Book Antiqua" w:hAnsi="Book Antiqua" w:cs="Book Antiqua"/>
          <w:color w:val="000000"/>
          <w:lang w:eastAsia="zh-CN"/>
        </w:rPr>
        <w:t>mo</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ascii="Book Antiqua" w:hAnsi="Book Antiqua" w:eastAsia="Book Antiqua" w:cs="Book Antiqua"/>
          <w:color w:val="000000"/>
        </w:rPr>
        <w:t xml:space="preserve"> = 0.28). Of 225 patients, 111 FL-HCC patients had surgical procedures. Median survivals for a wedge or segmental resection was 112 (</w:t>
      </w:r>
      <w:r>
        <w:rPr>
          <w:rFonts w:ascii="Book Antiqua" w:hAnsi="Book Antiqua" w:cs="Book Antiqua"/>
          <w:color w:val="000000"/>
          <w:lang w:eastAsia="zh-CN"/>
        </w:rPr>
        <w:t>95%</w:t>
      </w:r>
      <w:r>
        <w:rPr>
          <w:rFonts w:ascii="Book Antiqua" w:hAnsi="Book Antiqua" w:eastAsia="Book Antiqua" w:cs="Book Antiqua"/>
          <w:color w:val="000000"/>
        </w:rPr>
        <w:t>CI: 78-NA), lobectomy was 92 (</w:t>
      </w:r>
      <w:r>
        <w:rPr>
          <w:rFonts w:ascii="Book Antiqua" w:hAnsi="Book Antiqua" w:cs="Book Antiqua"/>
          <w:color w:val="000000"/>
          <w:lang w:eastAsia="zh-CN"/>
        </w:rPr>
        <w:t>95%</w:t>
      </w:r>
      <w:r>
        <w:rPr>
          <w:rFonts w:ascii="Book Antiqua" w:hAnsi="Book Antiqua" w:eastAsia="Book Antiqua" w:cs="Book Antiqua"/>
          <w:color w:val="000000"/>
        </w:rPr>
        <w:t>CI: 57-NA), extended lobectomy was 54 (</w:t>
      </w:r>
      <w:r>
        <w:rPr>
          <w:rFonts w:ascii="Book Antiqua" w:hAnsi="Book Antiqua" w:cs="Book Antiqua"/>
          <w:color w:val="000000"/>
          <w:lang w:eastAsia="zh-CN"/>
        </w:rPr>
        <w:t>95%</w:t>
      </w:r>
      <w:r>
        <w:rPr>
          <w:rFonts w:ascii="Book Antiqua" w:hAnsi="Book Antiqua" w:eastAsia="Book Antiqua" w:cs="Book Antiqua"/>
          <w:color w:val="000000"/>
        </w:rPr>
        <w:t>CI: 23-NA), and a transplant was 63 (</w:t>
      </w:r>
      <w:r>
        <w:rPr>
          <w:rFonts w:ascii="Book Antiqua" w:hAnsi="Book Antiqua" w:cs="Book Antiqua"/>
          <w:color w:val="000000"/>
          <w:lang w:eastAsia="zh-CN"/>
        </w:rPr>
        <w:t>95%</w:t>
      </w:r>
      <w:r>
        <w:rPr>
          <w:rFonts w:ascii="Book Antiqua" w:hAnsi="Book Antiqua" w:eastAsia="Book Antiqua" w:cs="Book Antiqua"/>
          <w:color w:val="000000"/>
        </w:rPr>
        <w:t xml:space="preserve">CI: 20-NA) </w:t>
      </w:r>
      <w:r>
        <w:rPr>
          <w:rFonts w:hint="eastAsia" w:ascii="Book Antiqua" w:hAnsi="Book Antiqua" w:cs="Book Antiqua"/>
          <w:color w:val="000000"/>
          <w:lang w:eastAsia="zh-CN"/>
        </w:rPr>
        <w:t>mo</w:t>
      </w:r>
      <w:r>
        <w:rPr>
          <w:rFonts w:ascii="Book Antiqua" w:hAnsi="Book Antiqua" w:eastAsia="Book Antiqua" w:cs="Book Antiqua"/>
          <w:color w:val="000000"/>
        </w:rPr>
        <w:t xml:space="preserve">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 The median survival was better in patients who had surgical treatments regardless of lymph nodes or metastasis status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w:t>
      </w:r>
    </w:p>
    <w:p>
      <w:pPr>
        <w:spacing w:line="360" w:lineRule="auto"/>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rPr>
          <w:lang w:eastAsia="zh-CN"/>
        </w:rPr>
      </w:pPr>
      <w:r>
        <w:rPr>
          <w:rFonts w:ascii="Book Antiqua" w:hAnsi="Book Antiqua" w:eastAsia="Book Antiqua" w:cs="Book Antiqua"/>
          <w:color w:val="000000"/>
        </w:rPr>
        <w:t>This study demonstrated a better survival of younger patients with FL-HCC, although they had aggressive diseases. There were no racial differences in survival for FL-HCC, which is seen in HCC. Surgical treatment provided better survival regardless of advanced disease.</w:t>
      </w:r>
    </w:p>
    <w:p>
      <w:pPr>
        <w:spacing w:line="360" w:lineRule="auto"/>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pPr>
      <w:r>
        <w:rPr>
          <w:rFonts w:ascii="Book Antiqua" w:hAnsi="Book Antiqua" w:eastAsia="Book Antiqua" w:cs="Book Antiqua"/>
          <w:color w:val="000000"/>
        </w:rPr>
        <w:t>This study can help healthcare professionals to guide FL-HCC patients about the outcome, especially after the surgical intervention. Further prospective studies are needed to elucidate in the era of personalized cancer therapy.</w:t>
      </w:r>
    </w:p>
    <w:p>
      <w:pPr>
        <w:spacing w:line="360" w:lineRule="auto"/>
        <w:jc w:val="both"/>
      </w:pPr>
    </w:p>
    <w:p>
      <w:pPr>
        <w:spacing w:line="360" w:lineRule="auto"/>
        <w:jc w:val="both"/>
      </w:pPr>
      <w:r>
        <w:rPr>
          <w:rFonts w:ascii="Book Antiqua" w:hAnsi="Book Antiqua" w:eastAsia="Book Antiqua" w:cs="Book Antiqua"/>
          <w:b/>
          <w:color w:val="000000"/>
        </w:rPr>
        <w:t>REFERENCES</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Malouf GG</w:t>
      </w:r>
      <w:r>
        <w:rPr>
          <w:rFonts w:ascii="Book Antiqua" w:hAnsi="Book Antiqua"/>
        </w:rPr>
        <w:t xml:space="preserve">, Job S, Paradis V, Fabre M, Brugières L, Saintigny P, Vescovo L, Belghiti J, Branchereau S, Faivre S, de Reyniès A, Raymond E. Transcriptional profiling of pure fibrolamellar hepatocellular carcinoma reveals an endocrine signature. </w:t>
      </w:r>
      <w:r>
        <w:rPr>
          <w:rFonts w:ascii="Book Antiqua" w:hAnsi="Book Antiqua"/>
          <w:i/>
          <w:iCs/>
        </w:rPr>
        <w:t>Hepatology</w:t>
      </w:r>
      <w:r>
        <w:rPr>
          <w:rFonts w:ascii="Book Antiqua" w:hAnsi="Book Antiqua"/>
        </w:rPr>
        <w:t xml:space="preserve"> 2014; </w:t>
      </w:r>
      <w:r>
        <w:rPr>
          <w:rFonts w:ascii="Book Antiqua" w:hAnsi="Book Antiqua"/>
          <w:b/>
          <w:bCs/>
        </w:rPr>
        <w:t>59</w:t>
      </w:r>
      <w:r>
        <w:rPr>
          <w:rFonts w:ascii="Book Antiqua" w:hAnsi="Book Antiqua"/>
        </w:rPr>
        <w:t>: 2228-2237 [PMID: 24443104 DOI: 10.1002/hep.27018]</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Mavros MN</w:t>
      </w:r>
      <w:r>
        <w:rPr>
          <w:rFonts w:ascii="Book Antiqua" w:hAnsi="Book Antiqua"/>
        </w:rPr>
        <w:t xml:space="preserve">, Mayo SC, Hyder O, Pawlik TM. A systematic review: treatment and prognosis of patients with fibrolamellar hepatocellular carcinoma. </w:t>
      </w:r>
      <w:r>
        <w:rPr>
          <w:rFonts w:ascii="Book Antiqua" w:hAnsi="Book Antiqua"/>
          <w:i/>
          <w:iCs/>
        </w:rPr>
        <w:t>J Am Coll Surg</w:t>
      </w:r>
      <w:r>
        <w:rPr>
          <w:rFonts w:ascii="Book Antiqua" w:hAnsi="Book Antiqua"/>
        </w:rPr>
        <w:t xml:space="preserve"> 2012; </w:t>
      </w:r>
      <w:r>
        <w:rPr>
          <w:rFonts w:ascii="Book Antiqua" w:hAnsi="Book Antiqua"/>
          <w:b/>
          <w:bCs/>
        </w:rPr>
        <w:t>215</w:t>
      </w:r>
      <w:r>
        <w:rPr>
          <w:rFonts w:ascii="Book Antiqua" w:hAnsi="Book Antiqua"/>
        </w:rPr>
        <w:t>: 820-830 [PMID: 22981432 DOI: 10.1016/j.jamcollsurg.2012.08.001]</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Paradis V</w:t>
      </w:r>
      <w:r>
        <w:rPr>
          <w:rFonts w:ascii="Book Antiqua" w:hAnsi="Book Antiqua"/>
        </w:rPr>
        <w:t xml:space="preserve">. Histopathology of hepatocellular carcinoma. </w:t>
      </w:r>
      <w:r>
        <w:rPr>
          <w:rFonts w:ascii="Book Antiqua" w:hAnsi="Book Antiqua"/>
          <w:i/>
          <w:iCs/>
        </w:rPr>
        <w:t>Recent Results Cancer Res</w:t>
      </w:r>
      <w:r>
        <w:rPr>
          <w:rFonts w:ascii="Book Antiqua" w:hAnsi="Book Antiqua"/>
        </w:rPr>
        <w:t xml:space="preserve"> 2013; </w:t>
      </w:r>
      <w:r>
        <w:rPr>
          <w:rFonts w:ascii="Book Antiqua" w:hAnsi="Book Antiqua"/>
          <w:b/>
          <w:bCs/>
        </w:rPr>
        <w:t>190</w:t>
      </w:r>
      <w:r>
        <w:rPr>
          <w:rFonts w:ascii="Book Antiqua" w:hAnsi="Book Antiqua"/>
        </w:rPr>
        <w:t>: 21-32 [PMID: 22941011 DOI: 10.1007/978-3-642-16037-0_2]</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Liu S</w:t>
      </w:r>
      <w:r>
        <w:rPr>
          <w:rFonts w:ascii="Book Antiqua" w:hAnsi="Book Antiqua"/>
        </w:rPr>
        <w:t xml:space="preserve">, Chan KW, Wang B, Qiao L. Fibrolamellar hepatocellular carcinoma. </w:t>
      </w:r>
      <w:r>
        <w:rPr>
          <w:rFonts w:ascii="Book Antiqua" w:hAnsi="Book Antiqua"/>
          <w:i/>
          <w:iCs/>
        </w:rPr>
        <w:t>Am J Gastroenterol</w:t>
      </w:r>
      <w:r>
        <w:rPr>
          <w:rFonts w:ascii="Book Antiqua" w:hAnsi="Book Antiqua"/>
        </w:rPr>
        <w:t xml:space="preserve"> 2009; </w:t>
      </w:r>
      <w:r>
        <w:rPr>
          <w:rFonts w:ascii="Book Antiqua" w:hAnsi="Book Antiqua"/>
          <w:b/>
          <w:bCs/>
        </w:rPr>
        <w:t>104</w:t>
      </w:r>
      <w:r>
        <w:rPr>
          <w:rFonts w:ascii="Book Antiqua" w:hAnsi="Book Antiqua"/>
        </w:rPr>
        <w:t>: 2617-24; quiz 2625 [PMID: 19638962 DOI: 10.1038/ajg.2009.440]</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Lafaro KJ</w:t>
      </w:r>
      <w:r>
        <w:rPr>
          <w:rFonts w:ascii="Book Antiqua" w:hAnsi="Book Antiqua"/>
        </w:rPr>
        <w:t xml:space="preserve">, Pawlik TM. Fibrolamellar hepatocellular carcinoma: current clinical perspectives. </w:t>
      </w:r>
      <w:r>
        <w:rPr>
          <w:rFonts w:ascii="Book Antiqua" w:hAnsi="Book Antiqua"/>
          <w:i/>
          <w:iCs/>
        </w:rPr>
        <w:t>J Hepatocell Carcinoma</w:t>
      </w:r>
      <w:r>
        <w:rPr>
          <w:rFonts w:ascii="Book Antiqua" w:hAnsi="Book Antiqua"/>
        </w:rPr>
        <w:t xml:space="preserve"> 2015; </w:t>
      </w:r>
      <w:r>
        <w:rPr>
          <w:rFonts w:ascii="Book Antiqua" w:hAnsi="Book Antiqua"/>
          <w:b/>
          <w:bCs/>
        </w:rPr>
        <w:t>2</w:t>
      </w:r>
      <w:r>
        <w:rPr>
          <w:rFonts w:ascii="Book Antiqua" w:hAnsi="Book Antiqua"/>
        </w:rPr>
        <w:t>: 151-157 [PMID: 27508204 DOI: 10.2147/JHC.S75153]</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Lin CC</w:t>
      </w:r>
      <w:r>
        <w:rPr>
          <w:rFonts w:ascii="Book Antiqua" w:hAnsi="Book Antiqua"/>
        </w:rPr>
        <w:t xml:space="preserve">, Yang HM. Fibrolamellar Carcinoma: A Concise Review. </w:t>
      </w:r>
      <w:r>
        <w:rPr>
          <w:rFonts w:ascii="Book Antiqua" w:hAnsi="Book Antiqua"/>
          <w:i/>
          <w:iCs/>
        </w:rPr>
        <w:t>Arch Pathol Lab Med</w:t>
      </w:r>
      <w:r>
        <w:rPr>
          <w:rFonts w:ascii="Book Antiqua" w:hAnsi="Book Antiqua"/>
        </w:rPr>
        <w:t xml:space="preserve"> 2018; </w:t>
      </w:r>
      <w:r>
        <w:rPr>
          <w:rFonts w:ascii="Book Antiqua" w:hAnsi="Book Antiqua"/>
          <w:b/>
          <w:bCs/>
        </w:rPr>
        <w:t>142</w:t>
      </w:r>
      <w:r>
        <w:rPr>
          <w:rFonts w:ascii="Book Antiqua" w:hAnsi="Book Antiqua"/>
        </w:rPr>
        <w:t>: 1141-1145 [PMID: 30141990 DOI: 10.5858/arpa.2017-0083-RS]</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Llovet JM</w:t>
      </w:r>
      <w:r>
        <w:rPr>
          <w:rFonts w:ascii="Book Antiqua" w:hAnsi="Book Antiqua"/>
        </w:rPr>
        <w:t xml:space="preserve">, Kelley RK, Villanueva A, Singal AG, Pikarsky E, Roayaie S, Lencioni R, Koike K, Zucman-Rossi J, Finn RS. Hepatocellular carcinoma. </w:t>
      </w:r>
      <w:r>
        <w:rPr>
          <w:rFonts w:ascii="Book Antiqua" w:hAnsi="Book Antiqua"/>
          <w:i/>
          <w:iCs/>
        </w:rPr>
        <w:t>Nat Rev Dis Primers</w:t>
      </w:r>
      <w:r>
        <w:rPr>
          <w:rFonts w:ascii="Book Antiqua" w:hAnsi="Book Antiqua"/>
        </w:rPr>
        <w:t xml:space="preserve"> 2021; </w:t>
      </w:r>
      <w:r>
        <w:rPr>
          <w:rFonts w:ascii="Book Antiqua" w:hAnsi="Book Antiqua"/>
          <w:b/>
          <w:bCs/>
        </w:rPr>
        <w:t>7</w:t>
      </w:r>
      <w:r>
        <w:rPr>
          <w:rFonts w:ascii="Book Antiqua" w:hAnsi="Book Antiqua"/>
        </w:rPr>
        <w:t>: 6 [PMID: 33479224 DOI: 10.1038/s41572-020-00240-3]</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Do RK</w:t>
      </w:r>
      <w:r>
        <w:rPr>
          <w:rFonts w:ascii="Book Antiqua" w:hAnsi="Book Antiqua"/>
        </w:rPr>
        <w:t xml:space="preserve">, McErlean A, Ang CS, DeMatteo RP, Abou-Alfa GK. CT and MRI of primary and metastatic fibrolamellar carcinoma: a case series of 37 patients. </w:t>
      </w:r>
      <w:r>
        <w:rPr>
          <w:rFonts w:ascii="Book Antiqua" w:hAnsi="Book Antiqua"/>
          <w:i/>
          <w:iCs/>
        </w:rPr>
        <w:t>Br J Radiol</w:t>
      </w:r>
      <w:r>
        <w:rPr>
          <w:rFonts w:ascii="Book Antiqua" w:hAnsi="Book Antiqua"/>
        </w:rPr>
        <w:t xml:space="preserve"> 2014; </w:t>
      </w:r>
      <w:r>
        <w:rPr>
          <w:rFonts w:ascii="Book Antiqua" w:hAnsi="Book Antiqua"/>
          <w:b/>
          <w:bCs/>
        </w:rPr>
        <w:t>87</w:t>
      </w:r>
      <w:r>
        <w:rPr>
          <w:rFonts w:ascii="Book Antiqua" w:hAnsi="Book Antiqua"/>
        </w:rPr>
        <w:t>: 20140024 [PMID: 24896196 DOI: 10.1259/bjr.20140024]</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Stipa F</w:t>
      </w:r>
      <w:r>
        <w:rPr>
          <w:rFonts w:ascii="Book Antiqua" w:hAnsi="Book Antiqua"/>
        </w:rPr>
        <w:t xml:space="preserve">, Yoon SS, Liau KH, Fong Y, Jarnagin WR, D'Angelica M, Abou-Alfa G, Blumgart LH, DeMatteo RP. Outcome of patients with fibrolamellar hepatocellular carcinoma. </w:t>
      </w:r>
      <w:r>
        <w:rPr>
          <w:rFonts w:ascii="Book Antiqua" w:hAnsi="Book Antiqua"/>
          <w:i/>
          <w:iCs/>
        </w:rPr>
        <w:t>Cancer</w:t>
      </w:r>
      <w:r>
        <w:rPr>
          <w:rFonts w:ascii="Book Antiqua" w:hAnsi="Book Antiqua"/>
        </w:rPr>
        <w:t xml:space="preserve"> 2006; </w:t>
      </w:r>
      <w:r>
        <w:rPr>
          <w:rFonts w:ascii="Book Antiqua" w:hAnsi="Book Antiqua"/>
          <w:b/>
          <w:bCs/>
        </w:rPr>
        <w:t>106</w:t>
      </w:r>
      <w:r>
        <w:rPr>
          <w:rFonts w:ascii="Book Antiqua" w:hAnsi="Book Antiqua"/>
        </w:rPr>
        <w:t>: 1331-1338 [PMID: 16475212 DOI: 10.1002/cncr.21703]</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Rimassa L</w:t>
      </w:r>
      <w:r>
        <w:rPr>
          <w:rFonts w:ascii="Book Antiqua" w:hAnsi="Book Antiqua"/>
        </w:rPr>
        <w:t xml:space="preserve">, Personeni N, Czauderna C, Foerster F, Galle P. Systemic treatment of HCC in special populations. </w:t>
      </w:r>
      <w:r>
        <w:rPr>
          <w:rFonts w:ascii="Book Antiqua" w:hAnsi="Book Antiqua"/>
          <w:i/>
          <w:iCs/>
        </w:rPr>
        <w:t>J Hepatol</w:t>
      </w:r>
      <w:r>
        <w:rPr>
          <w:rFonts w:ascii="Book Antiqua" w:hAnsi="Book Antiqua"/>
        </w:rPr>
        <w:t xml:space="preserve"> 2021; </w:t>
      </w:r>
      <w:r>
        <w:rPr>
          <w:rFonts w:ascii="Book Antiqua" w:hAnsi="Book Antiqua"/>
          <w:b/>
          <w:bCs/>
        </w:rPr>
        <w:t>74</w:t>
      </w:r>
      <w:r>
        <w:rPr>
          <w:rFonts w:ascii="Book Antiqua" w:hAnsi="Book Antiqua"/>
        </w:rPr>
        <w:t>: 931-943 [PMID: 33248171 DOI: 10.1016/j.jhep.2020.11.026]</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Chakrabarti S</w:t>
      </w:r>
      <w:r>
        <w:rPr>
          <w:rFonts w:ascii="Book Antiqua" w:hAnsi="Book Antiqua"/>
        </w:rPr>
        <w:t xml:space="preserve">, Tella SH, Kommalapati A, Huffman BM, Yadav S, Riaz IB, Goyal G, Mody K, Borad M, Cleary S, Smoot RL, Mahipal A. Clinicopathological features and outcomes of fibrolamellar hepatocellular carcinoma. </w:t>
      </w:r>
      <w:r>
        <w:rPr>
          <w:rFonts w:ascii="Book Antiqua" w:hAnsi="Book Antiqua"/>
          <w:i/>
          <w:iCs/>
        </w:rPr>
        <w:t>J Gastrointest Oncol</w:t>
      </w:r>
      <w:r>
        <w:rPr>
          <w:rFonts w:ascii="Book Antiqua" w:hAnsi="Book Antiqua"/>
        </w:rPr>
        <w:t xml:space="preserve"> 2019; </w:t>
      </w:r>
      <w:r>
        <w:rPr>
          <w:rFonts w:ascii="Book Antiqua" w:hAnsi="Book Antiqua"/>
          <w:b/>
          <w:bCs/>
        </w:rPr>
        <w:t>10</w:t>
      </w:r>
      <w:r>
        <w:rPr>
          <w:rFonts w:ascii="Book Antiqua" w:hAnsi="Book Antiqua"/>
        </w:rPr>
        <w:t>: 554-561 [PMID: 31183207 DOI: 10.21037/jgo.2019.01.35]</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Mayo SC</w:t>
      </w:r>
      <w:r>
        <w:rPr>
          <w:rFonts w:ascii="Book Antiqua" w:hAnsi="Book Antiqua"/>
        </w:rPr>
        <w:t xml:space="preserve">, Mavros MN, Nathan H, Cosgrove D, Herman JM, Kamel I, Anders RA, Pawlik TM. Treatment and prognosis of patients with fibrolamellar hepatocellular carcinoma: a national perspective. </w:t>
      </w:r>
      <w:r>
        <w:rPr>
          <w:rFonts w:ascii="Book Antiqua" w:hAnsi="Book Antiqua"/>
          <w:i/>
          <w:iCs/>
        </w:rPr>
        <w:t>J Am Coll Surg</w:t>
      </w:r>
      <w:r>
        <w:rPr>
          <w:rFonts w:ascii="Book Antiqua" w:hAnsi="Book Antiqua"/>
        </w:rPr>
        <w:t xml:space="preserve"> 2014; </w:t>
      </w:r>
      <w:r>
        <w:rPr>
          <w:rFonts w:ascii="Book Antiqua" w:hAnsi="Book Antiqua"/>
          <w:b/>
          <w:bCs/>
        </w:rPr>
        <w:t>218</w:t>
      </w:r>
      <w:r>
        <w:rPr>
          <w:rFonts w:ascii="Book Antiqua" w:hAnsi="Book Antiqua"/>
        </w:rPr>
        <w:t>: 196-205 [PMID: 24315886 DOI: 10.1016/j.jamcollsurg.2013.10.011]</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McAteer JP</w:t>
      </w:r>
      <w:r>
        <w:rPr>
          <w:rFonts w:ascii="Book Antiqua" w:hAnsi="Book Antiqua"/>
        </w:rPr>
        <w:t xml:space="preserve">, Goldin AB, Healey PJ, Gow KW. Hepatocellular carcinoma in children: epidemiology and the impact of regional lymphadenectomy on surgical outcomes. </w:t>
      </w:r>
      <w:r>
        <w:rPr>
          <w:rFonts w:ascii="Book Antiqua" w:hAnsi="Book Antiqua"/>
          <w:i/>
          <w:iCs/>
        </w:rPr>
        <w:t>J Pediatr Surg</w:t>
      </w:r>
      <w:r>
        <w:rPr>
          <w:rFonts w:ascii="Book Antiqua" w:hAnsi="Book Antiqua"/>
        </w:rPr>
        <w:t xml:space="preserve"> 2013; </w:t>
      </w:r>
      <w:r>
        <w:rPr>
          <w:rFonts w:ascii="Book Antiqua" w:hAnsi="Book Antiqua"/>
          <w:b/>
          <w:bCs/>
        </w:rPr>
        <w:t>48</w:t>
      </w:r>
      <w:r>
        <w:rPr>
          <w:rFonts w:ascii="Book Antiqua" w:hAnsi="Book Antiqua"/>
        </w:rPr>
        <w:t>: 2194-2201 [PMID: 24210185 DOI: 10.1016/j.jpedsurg.2013.05.007]</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14 </w:t>
      </w:r>
      <w:bookmarkStart w:id="23" w:name="OLE_LINK29"/>
      <w:bookmarkStart w:id="24" w:name="OLE_LINK28"/>
      <w:r>
        <w:rPr>
          <w:rFonts w:ascii="Book Antiqua" w:hAnsi="Book Antiqua"/>
        </w:rPr>
        <w:t>SEER*Stat Database: Incidence</w:t>
      </w:r>
      <w:r>
        <w:rPr>
          <w:rFonts w:hint="eastAsia" w:ascii="Book Antiqua" w:hAnsi="Book Antiqua"/>
        </w:rPr>
        <w:t>-</w:t>
      </w:r>
      <w:r>
        <w:rPr>
          <w:rFonts w:ascii="Book Antiqua" w:hAnsi="Book Antiqua"/>
        </w:rPr>
        <w:t>SEER Research Data, 18 Registries, Nov 2019 Sub (2000-2017)-Linked To County Attributes-Time Dependent (1990-2017) Income/Rurality, 1969-2018 Counties, National Cancer Institute, DCCPS, Surveillance Research Program, released April 2020, based on the November 2019 submission.</w:t>
      </w:r>
      <w:bookmarkEnd w:id="23"/>
      <w:bookmarkEnd w:id="24"/>
      <w:r>
        <w:rPr>
          <w:rFonts w:hint="eastAsia" w:ascii="Book Antiqua" w:hAnsi="Book Antiqua"/>
        </w:rPr>
        <w:t xml:space="preserve"> </w:t>
      </w:r>
      <w:r>
        <w:rPr>
          <w:rFonts w:ascii="Book Antiqua" w:hAnsi="Book Antiqua" w:eastAsia="Times New Roman" w:cs="Times New Roman"/>
          <w:bCs/>
        </w:rPr>
        <w:t>[cited 20</w:t>
      </w:r>
      <w:r>
        <w:rPr>
          <w:rFonts w:hint="eastAsia" w:ascii="Book Antiqua" w:hAnsi="Book Antiqua" w:cs="Times New Roman" w:eastAsiaTheme="minorEastAsia"/>
          <w:bCs/>
        </w:rPr>
        <w:t>21</w:t>
      </w:r>
      <w:r>
        <w:rPr>
          <w:rFonts w:ascii="Book Antiqua" w:hAnsi="Book Antiqua" w:eastAsia="Times New Roman" w:cs="Times New Roman"/>
          <w:bCs/>
        </w:rPr>
        <w:t xml:space="preserve"> </w:t>
      </w:r>
      <w:r>
        <w:rPr>
          <w:rFonts w:hint="eastAsia" w:ascii="Book Antiqua" w:hAnsi="Book Antiqua" w:cs="Times New Roman" w:eastAsiaTheme="minorEastAsia"/>
          <w:bCs/>
        </w:rPr>
        <w:t>Dec</w:t>
      </w:r>
      <w:r>
        <w:rPr>
          <w:rFonts w:ascii="Book Antiqua" w:hAnsi="Book Antiqua" w:eastAsia="Times New Roman" w:cs="Times New Roman"/>
          <w:bCs/>
        </w:rPr>
        <w:t xml:space="preserve"> </w:t>
      </w:r>
      <w:r>
        <w:rPr>
          <w:rFonts w:hint="eastAsia" w:ascii="Book Antiqua" w:hAnsi="Book Antiqua" w:cs="Times New Roman" w:eastAsiaTheme="minorEastAsia"/>
          <w:bCs/>
        </w:rPr>
        <w:t>25</w:t>
      </w:r>
      <w:r>
        <w:rPr>
          <w:rFonts w:ascii="Book Antiqua" w:hAnsi="Book Antiqua" w:eastAsia="Times New Roman" w:cs="Times New Roman"/>
          <w:bCs/>
        </w:rPr>
        <w:t>]. Database:</w:t>
      </w:r>
      <w:r>
        <w:rPr>
          <w:rFonts w:hint="eastAsia" w:ascii="Book Antiqua" w:hAnsi="Book Antiqua" w:cs="Times New Roman" w:eastAsiaTheme="minorEastAsia"/>
          <w:bCs/>
        </w:rPr>
        <w:t xml:space="preserve"> </w:t>
      </w:r>
      <w:r>
        <w:rPr>
          <w:rFonts w:ascii="Book Antiqua" w:hAnsi="Book Antiqua"/>
          <w:bCs/>
        </w:rPr>
        <w:t>Epidemiology, and End Results</w:t>
      </w:r>
      <w:r>
        <w:rPr>
          <w:rFonts w:ascii="Book Antiqua" w:hAnsi="Book Antiqua"/>
        </w:rPr>
        <w:t xml:space="preserve"> (SEER) Program</w:t>
      </w:r>
      <w:r>
        <w:rPr>
          <w:rFonts w:hint="eastAsia" w:ascii="Book Antiqua" w:hAnsi="Book Antiqua"/>
        </w:rPr>
        <w:t xml:space="preserve">. </w:t>
      </w:r>
      <w:r>
        <w:rPr>
          <w:rFonts w:ascii="Book Antiqua" w:hAnsi="Book Antiqua" w:eastAsia="Times New Roman" w:cs="Times New Roman"/>
          <w:bCs/>
        </w:rPr>
        <w:t>Available from:</w:t>
      </w:r>
      <w:r>
        <w:rPr>
          <w:rFonts w:ascii="Book Antiqua" w:hAnsi="Book Antiqua"/>
        </w:rPr>
        <w:t xml:space="preserve"> www.seer.cancer.gov</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rPr>
        <w:t>Mohanty S</w:t>
      </w:r>
      <w:r>
        <w:rPr>
          <w:rFonts w:ascii="Book Antiqua" w:hAnsi="Book Antiqua"/>
        </w:rPr>
        <w:t>, Bilimoria KY. Comparing national cancer registries: The National Cancer Data Base (NCDB) and the Surveillance, Epidemiology, and End Results (SEER) program.</w:t>
      </w:r>
      <w:r>
        <w:rPr>
          <w:rFonts w:ascii="Book Antiqua" w:hAnsi="Book Antiqua"/>
          <w:i/>
        </w:rPr>
        <w:t xml:space="preserve"> J Surg Oncol</w:t>
      </w:r>
      <w:r>
        <w:rPr>
          <w:rFonts w:ascii="Book Antiqua" w:hAnsi="Book Antiqua"/>
        </w:rPr>
        <w:t xml:space="preserve"> 2014;</w:t>
      </w:r>
      <w:r>
        <w:rPr>
          <w:rFonts w:hint="eastAsia" w:ascii="Book Antiqua" w:hAnsi="Book Antiqua"/>
        </w:rPr>
        <w:t xml:space="preserve"> </w:t>
      </w:r>
      <w:r>
        <w:rPr>
          <w:rFonts w:ascii="Book Antiqua" w:hAnsi="Book Antiqua"/>
          <w:b/>
        </w:rPr>
        <w:t>109</w:t>
      </w:r>
      <w:r>
        <w:rPr>
          <w:rFonts w:ascii="Book Antiqua" w:hAnsi="Book Antiqua"/>
        </w:rPr>
        <w:t>:</w:t>
      </w:r>
      <w:r>
        <w:rPr>
          <w:rFonts w:hint="eastAsia" w:ascii="Book Antiqua" w:hAnsi="Book Antiqua"/>
        </w:rPr>
        <w:t xml:space="preserve"> </w:t>
      </w:r>
      <w:r>
        <w:rPr>
          <w:rFonts w:ascii="Book Antiqua" w:hAnsi="Book Antiqua"/>
        </w:rPr>
        <w:t>629-</w:t>
      </w:r>
      <w:r>
        <w:rPr>
          <w:rFonts w:hint="eastAsia" w:ascii="Book Antiqua" w:hAnsi="Book Antiqua"/>
        </w:rPr>
        <w:t>6</w:t>
      </w:r>
      <w:r>
        <w:rPr>
          <w:rFonts w:ascii="Book Antiqua" w:hAnsi="Book Antiqua"/>
        </w:rPr>
        <w:t xml:space="preserve">30 </w:t>
      </w:r>
      <w:r>
        <w:rPr>
          <w:rFonts w:hint="eastAsia" w:ascii="Book Antiqua" w:hAnsi="Book Antiqua"/>
        </w:rPr>
        <w:t>[</w:t>
      </w:r>
      <w:r>
        <w:rPr>
          <w:rFonts w:ascii="Book Antiqua" w:hAnsi="Book Antiqua"/>
        </w:rPr>
        <w:t>PMID: 24464362</w:t>
      </w:r>
      <w:r>
        <w:rPr>
          <w:rFonts w:hint="eastAsia" w:ascii="Book Antiqua" w:hAnsi="Book Antiqua"/>
        </w:rPr>
        <w:t xml:space="preserve"> DOI</w:t>
      </w:r>
      <w:r>
        <w:rPr>
          <w:rFonts w:ascii="Book Antiqua" w:hAnsi="Book Antiqua"/>
        </w:rPr>
        <w:t>: 10.1002/jso.23568</w:t>
      </w:r>
      <w:r>
        <w:rPr>
          <w:rFonts w:hint="eastAsia" w:ascii="Book Antiqua" w:hAnsi="Book Antiqua"/>
        </w:rPr>
        <w:t>]</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Greene F,</w:t>
      </w:r>
      <w:r>
        <w:rPr>
          <w:rFonts w:ascii="Book Antiqua" w:hAnsi="Book Antiqua"/>
        </w:rPr>
        <w:t xml:space="preserve"> Page D, Fleming I, Fritz A, Balch C, Haller D, Morrow M, American Joint Committee on Cancer. AJCC cancer staging manual. 6th ed. New York: Springer, 2002 </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Lemekhova A</w:t>
      </w:r>
      <w:r>
        <w:rPr>
          <w:rFonts w:ascii="Book Antiqua" w:hAnsi="Book Antiqua"/>
        </w:rPr>
        <w:t xml:space="preserve">, Hornuss D, Polychronidis G, Mayer P, Rupp C, Longerich T, Weiss KH, Büchler M, Mehrabi A, Hoffmann K. Clinical features and surgical outcomes of fibrolamellar hepatocellular carcinoma: retrospective analysis of a single-center experience. </w:t>
      </w:r>
      <w:r>
        <w:rPr>
          <w:rFonts w:ascii="Book Antiqua" w:hAnsi="Book Antiqua"/>
          <w:i/>
          <w:iCs/>
        </w:rPr>
        <w:t>World J Surg Oncol</w:t>
      </w:r>
      <w:r>
        <w:rPr>
          <w:rFonts w:ascii="Book Antiqua" w:hAnsi="Book Antiqua"/>
        </w:rPr>
        <w:t xml:space="preserve"> 2020; </w:t>
      </w:r>
      <w:r>
        <w:rPr>
          <w:rFonts w:ascii="Book Antiqua" w:hAnsi="Book Antiqua"/>
          <w:b/>
          <w:bCs/>
        </w:rPr>
        <w:t>18</w:t>
      </w:r>
      <w:r>
        <w:rPr>
          <w:rFonts w:ascii="Book Antiqua" w:hAnsi="Book Antiqua"/>
        </w:rPr>
        <w:t>: 93 [PMID: 32397993 DOI: 10.1186/s12957-020-01855-2]</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El-Serag HB</w:t>
      </w:r>
      <w:r>
        <w:rPr>
          <w:rFonts w:ascii="Book Antiqua" w:hAnsi="Book Antiqua"/>
        </w:rPr>
        <w:t xml:space="preserve">, Davila JA. Is fibrolamellar carcinoma different from hepatocellular carcinoma? A US population-based study. </w:t>
      </w:r>
      <w:r>
        <w:rPr>
          <w:rFonts w:ascii="Book Antiqua" w:hAnsi="Book Antiqua"/>
          <w:i/>
          <w:iCs/>
        </w:rPr>
        <w:t>Hepatology</w:t>
      </w:r>
      <w:r>
        <w:rPr>
          <w:rFonts w:ascii="Book Antiqua" w:hAnsi="Book Antiqua"/>
        </w:rPr>
        <w:t xml:space="preserve"> 2004; </w:t>
      </w:r>
      <w:r>
        <w:rPr>
          <w:rFonts w:ascii="Book Antiqua" w:hAnsi="Book Antiqua"/>
          <w:b/>
          <w:bCs/>
        </w:rPr>
        <w:t>39</w:t>
      </w:r>
      <w:r>
        <w:rPr>
          <w:rFonts w:ascii="Book Antiqua" w:hAnsi="Book Antiqua"/>
        </w:rPr>
        <w:t>: 798-803 [PMID: 14999699 DOI: 10.1002/hep.20096]</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Moreno-Luna LE</w:t>
      </w:r>
      <w:r>
        <w:rPr>
          <w:rFonts w:ascii="Book Antiqua" w:hAnsi="Book Antiqua"/>
        </w:rPr>
        <w:t xml:space="preserve">, Arrieta O, García-Leiva J, Martínez B, Torre A, Uribe M, León-Rodríguez E. Clinical and pathologic factors associated with survival in young adult patients with fibrolamellar hepatocarcinoma. </w:t>
      </w:r>
      <w:r>
        <w:rPr>
          <w:rFonts w:ascii="Book Antiqua" w:hAnsi="Book Antiqua"/>
          <w:i/>
          <w:iCs/>
        </w:rPr>
        <w:t>BMC Cancer</w:t>
      </w:r>
      <w:r>
        <w:rPr>
          <w:rFonts w:ascii="Book Antiqua" w:hAnsi="Book Antiqua"/>
        </w:rPr>
        <w:t xml:space="preserve"> 2005; </w:t>
      </w:r>
      <w:r>
        <w:rPr>
          <w:rFonts w:ascii="Book Antiqua" w:hAnsi="Book Antiqua"/>
          <w:b/>
          <w:bCs/>
        </w:rPr>
        <w:t>5</w:t>
      </w:r>
      <w:r>
        <w:rPr>
          <w:rFonts w:ascii="Book Antiqua" w:hAnsi="Book Antiqua"/>
        </w:rPr>
        <w:t>: 142 [PMID: 16259635 DOI: 10.1186/1471-2407-5-142]</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20 </w:t>
      </w:r>
      <w:r>
        <w:rPr>
          <w:rFonts w:ascii="Book Antiqua" w:hAnsi="Book Antiqua"/>
          <w:b/>
          <w:bCs/>
        </w:rPr>
        <w:t>Assi HA</w:t>
      </w:r>
      <w:r>
        <w:rPr>
          <w:rFonts w:ascii="Book Antiqua" w:hAnsi="Book Antiqua"/>
        </w:rPr>
        <w:t xml:space="preserve">, Mukherjee S, Machiorlatti M, Vesely S, Pareek V, Hatoum H. Predictors of Outcome in Patients With Fibrolamellar Carcinoma: Analysis of the National Cancer Database. </w:t>
      </w:r>
      <w:r>
        <w:rPr>
          <w:rFonts w:ascii="Book Antiqua" w:hAnsi="Book Antiqua"/>
          <w:i/>
          <w:iCs/>
        </w:rPr>
        <w:t>Anticancer Res</w:t>
      </w:r>
      <w:r>
        <w:rPr>
          <w:rFonts w:ascii="Book Antiqua" w:hAnsi="Book Antiqua"/>
        </w:rPr>
        <w:t xml:space="preserve"> 2020; </w:t>
      </w:r>
      <w:r>
        <w:rPr>
          <w:rFonts w:ascii="Book Antiqua" w:hAnsi="Book Antiqua"/>
          <w:b/>
          <w:bCs/>
        </w:rPr>
        <w:t>40</w:t>
      </w:r>
      <w:r>
        <w:rPr>
          <w:rFonts w:ascii="Book Antiqua" w:hAnsi="Book Antiqua"/>
        </w:rPr>
        <w:t>: 847-855 [PMID: 32014928 DOI: 10.21873/anticanres.14017]</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Llovet JM</w:t>
      </w:r>
      <w:r>
        <w:rPr>
          <w:rFonts w:ascii="Book Antiqua" w:hAnsi="Book Antiqua"/>
        </w:rPr>
        <w:t xml:space="preserve">, Burroughs A, Bruix J. Hepatocellular carcinoma. </w:t>
      </w:r>
      <w:r>
        <w:rPr>
          <w:rFonts w:ascii="Book Antiqua" w:hAnsi="Book Antiqua"/>
          <w:i/>
          <w:iCs/>
        </w:rPr>
        <w:t>Lancet</w:t>
      </w:r>
      <w:r>
        <w:rPr>
          <w:rFonts w:ascii="Book Antiqua" w:hAnsi="Book Antiqua"/>
        </w:rPr>
        <w:t xml:space="preserve"> 2003; </w:t>
      </w:r>
      <w:r>
        <w:rPr>
          <w:rFonts w:ascii="Book Antiqua" w:hAnsi="Book Antiqua"/>
          <w:b/>
          <w:bCs/>
        </w:rPr>
        <w:t>362</w:t>
      </w:r>
      <w:r>
        <w:rPr>
          <w:rFonts w:ascii="Book Antiqua" w:hAnsi="Book Antiqua"/>
        </w:rPr>
        <w:t>: 1907-1917 [PMID: 14667750 DOI: 10.1016/S0140-6736(03)14964-1]</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Pinna AD</w:t>
      </w:r>
      <w:r>
        <w:rPr>
          <w:rFonts w:ascii="Book Antiqua" w:hAnsi="Book Antiqua"/>
        </w:rPr>
        <w:t xml:space="preserve">, Iwatsuki S, Lee RG, Todo S, Madariaga JR, Marsh JW, Casavilla A, Dvorchik I, Fung JJ, Starzl TE. Treatment of fibrolamellar hepatoma with subtotal hepatectomy or transplantation. </w:t>
      </w:r>
      <w:r>
        <w:rPr>
          <w:rFonts w:ascii="Book Antiqua" w:hAnsi="Book Antiqua"/>
          <w:i/>
          <w:iCs/>
        </w:rPr>
        <w:t>Hepatology</w:t>
      </w:r>
      <w:r>
        <w:rPr>
          <w:rFonts w:ascii="Book Antiqua" w:hAnsi="Book Antiqua"/>
        </w:rPr>
        <w:t xml:space="preserve"> 1997; </w:t>
      </w:r>
      <w:r>
        <w:rPr>
          <w:rFonts w:ascii="Book Antiqua" w:hAnsi="Book Antiqua"/>
          <w:b/>
          <w:bCs/>
        </w:rPr>
        <w:t>26</w:t>
      </w:r>
      <w:r>
        <w:rPr>
          <w:rFonts w:ascii="Book Antiqua" w:hAnsi="Book Antiqua"/>
        </w:rPr>
        <w:t>: 877-883 [PMID: 9328308 DOI: 10.1002/hep.510260412]</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23 </w:t>
      </w:r>
      <w:r>
        <w:rPr>
          <w:rFonts w:ascii="Book Antiqua" w:hAnsi="Book Antiqua"/>
          <w:b/>
          <w:bCs/>
        </w:rPr>
        <w:t>Barzi A</w:t>
      </w:r>
      <w:r>
        <w:rPr>
          <w:rFonts w:ascii="Book Antiqua" w:hAnsi="Book Antiqua"/>
        </w:rPr>
        <w:t xml:space="preserve">, Zhou K, Wang S, Dodge JL, El-Khoueiry A, Setiawan VW. Etiology and Outcomes of Hepatocellular Carcinoma in an Ethnically Diverse Population: The Multiethnic Cohort. </w:t>
      </w:r>
      <w:r>
        <w:rPr>
          <w:rFonts w:ascii="Book Antiqua" w:hAnsi="Book Antiqua"/>
          <w:i/>
          <w:iCs/>
        </w:rPr>
        <w:t>Cancers (Basel)</w:t>
      </w:r>
      <w:r>
        <w:rPr>
          <w:rFonts w:ascii="Book Antiqua" w:hAnsi="Book Antiqua"/>
        </w:rPr>
        <w:t xml:space="preserve"> 2021; </w:t>
      </w:r>
      <w:r>
        <w:rPr>
          <w:rFonts w:ascii="Book Antiqua" w:hAnsi="Book Antiqua"/>
          <w:b/>
          <w:bCs/>
        </w:rPr>
        <w:t>13</w:t>
      </w:r>
      <w:r>
        <w:rPr>
          <w:rFonts w:ascii="Book Antiqua" w:hAnsi="Book Antiqua"/>
        </w:rPr>
        <w:t xml:space="preserve"> [PMID: 34298690 DOI: 10.3390/cancers13143476]</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Kassahun WT</w:t>
      </w:r>
      <w:r>
        <w:rPr>
          <w:rFonts w:ascii="Book Antiqua" w:hAnsi="Book Antiqua"/>
        </w:rPr>
        <w:t xml:space="preserve">. Contemporary management of fibrolamellar hepatocellular carcinoma: diagnosis, treatment, outcome, prognostic factors, and recent developments. </w:t>
      </w:r>
      <w:r>
        <w:rPr>
          <w:rFonts w:ascii="Book Antiqua" w:hAnsi="Book Antiqua"/>
          <w:i/>
          <w:iCs/>
        </w:rPr>
        <w:t>World J Surg Oncol</w:t>
      </w:r>
      <w:r>
        <w:rPr>
          <w:rFonts w:ascii="Book Antiqua" w:hAnsi="Book Antiqua"/>
        </w:rPr>
        <w:t xml:space="preserve"> 2016; </w:t>
      </w:r>
      <w:r>
        <w:rPr>
          <w:rFonts w:ascii="Book Antiqua" w:hAnsi="Book Antiqua"/>
          <w:b/>
          <w:bCs/>
        </w:rPr>
        <w:t>14</w:t>
      </w:r>
      <w:r>
        <w:rPr>
          <w:rFonts w:ascii="Book Antiqua" w:hAnsi="Book Antiqua"/>
        </w:rPr>
        <w:t>: 151 [PMID: 27215576 DOI: 10.1186/s12957-016-0903-8]</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25 </w:t>
      </w:r>
      <w:r>
        <w:rPr>
          <w:rFonts w:ascii="Book Antiqua" w:hAnsi="Book Antiqua"/>
          <w:b/>
          <w:bCs/>
        </w:rPr>
        <w:t>Eggert T</w:t>
      </w:r>
      <w:r>
        <w:rPr>
          <w:rFonts w:ascii="Book Antiqua" w:hAnsi="Book Antiqua"/>
        </w:rPr>
        <w:t xml:space="preserve">, McGlynn KA, Duffy A, Manns MP, Greten TF, Altekruse SF. Fibrolamellar hepatocellular carcinoma in the USA, 2000-2010: A detailed report on frequency, treatment and outcome based on the Surveillance, Epidemiology, and End Results database. </w:t>
      </w:r>
      <w:r>
        <w:rPr>
          <w:rFonts w:ascii="Book Antiqua" w:hAnsi="Book Antiqua"/>
          <w:i/>
          <w:iCs/>
        </w:rPr>
        <w:t>United European Gastroenterol J</w:t>
      </w:r>
      <w:r>
        <w:rPr>
          <w:rFonts w:ascii="Book Antiqua" w:hAnsi="Book Antiqua"/>
        </w:rPr>
        <w:t xml:space="preserve"> 2013; </w:t>
      </w:r>
      <w:r>
        <w:rPr>
          <w:rFonts w:ascii="Book Antiqua" w:hAnsi="Book Antiqua"/>
          <w:b/>
          <w:bCs/>
        </w:rPr>
        <w:t>1</w:t>
      </w:r>
      <w:r>
        <w:rPr>
          <w:rFonts w:ascii="Book Antiqua" w:hAnsi="Book Antiqua"/>
        </w:rPr>
        <w:t>: 351-357 [PMID: 24917983 DOI: 10.1177/2050640613501507]</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26 </w:t>
      </w:r>
      <w:r>
        <w:rPr>
          <w:rFonts w:ascii="Book Antiqua" w:hAnsi="Book Antiqua"/>
          <w:b/>
          <w:bCs/>
        </w:rPr>
        <w:t>Xu L</w:t>
      </w:r>
      <w:r>
        <w:rPr>
          <w:rFonts w:ascii="Book Antiqua" w:hAnsi="Book Antiqua"/>
        </w:rPr>
        <w:t xml:space="preserve">, Kim Y, Spolverato G, Gani F, Pawlik TM. Racial disparities in treatment and survival of patients with hepatocellular carcinoma in the United States. </w:t>
      </w:r>
      <w:r>
        <w:rPr>
          <w:rFonts w:ascii="Book Antiqua" w:hAnsi="Book Antiqua"/>
          <w:i/>
          <w:iCs/>
        </w:rPr>
        <w:t>Hepatobiliary Surg Nutr</w:t>
      </w:r>
      <w:r>
        <w:rPr>
          <w:rFonts w:ascii="Book Antiqua" w:hAnsi="Book Antiqua"/>
        </w:rPr>
        <w:t xml:space="preserve"> 2016; </w:t>
      </w:r>
      <w:r>
        <w:rPr>
          <w:rFonts w:ascii="Book Antiqua" w:hAnsi="Book Antiqua"/>
          <w:b/>
          <w:bCs/>
        </w:rPr>
        <w:t>5</w:t>
      </w:r>
      <w:r>
        <w:rPr>
          <w:rFonts w:ascii="Book Antiqua" w:hAnsi="Book Antiqua"/>
        </w:rPr>
        <w:t>: 43-52 [PMID: 26904556 DOI: 10.3978/j.issn.2304-3881.2015.08.05]</w:t>
      </w:r>
    </w:p>
    <w:p>
      <w:pPr>
        <w:pStyle w:val="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27 </w:t>
      </w:r>
      <w:r>
        <w:rPr>
          <w:rFonts w:ascii="Book Antiqua" w:hAnsi="Book Antiqua"/>
          <w:b/>
          <w:bCs/>
        </w:rPr>
        <w:t>Njei B</w:t>
      </w:r>
      <w:r>
        <w:rPr>
          <w:rFonts w:ascii="Book Antiqua" w:hAnsi="Book Antiqua"/>
        </w:rPr>
        <w:t xml:space="preserve">, Konjeti VR, Ditah I. Prognosis of Patients With Fibrolamellar Hepatocellular Carcinoma Versus Conventional Hepatocellular Carcinoma: A Systematic Review and Meta-analysis. </w:t>
      </w:r>
      <w:r>
        <w:rPr>
          <w:rFonts w:ascii="Book Antiqua" w:hAnsi="Book Antiqua"/>
          <w:i/>
          <w:iCs/>
        </w:rPr>
        <w:t>Gastrointest Cancer Res</w:t>
      </w:r>
      <w:r>
        <w:rPr>
          <w:rFonts w:ascii="Book Antiqua" w:hAnsi="Book Antiqua"/>
        </w:rPr>
        <w:t xml:space="preserve"> 2014; </w:t>
      </w:r>
      <w:r>
        <w:rPr>
          <w:rFonts w:ascii="Book Antiqua" w:hAnsi="Book Antiqua"/>
          <w:b/>
          <w:bCs/>
        </w:rPr>
        <w:t>7</w:t>
      </w:r>
      <w:r>
        <w:rPr>
          <w:rFonts w:ascii="Book Antiqua" w:hAnsi="Book Antiqua"/>
        </w:rPr>
        <w:t>: 49-54 [</w:t>
      </w:r>
      <w:bookmarkStart w:id="25" w:name="OLE_LINK43"/>
      <w:bookmarkStart w:id="26" w:name="OLE_LINK44"/>
      <w:bookmarkStart w:id="27" w:name="OLE_LINK45"/>
      <w:r>
        <w:rPr>
          <w:rFonts w:ascii="Book Antiqua" w:hAnsi="Book Antiqua"/>
        </w:rPr>
        <w:t>PMID: 24799971</w:t>
      </w:r>
      <w:bookmarkEnd w:id="25"/>
      <w:bookmarkEnd w:id="26"/>
      <w:bookmarkEnd w:id="27"/>
      <w:r>
        <w:rPr>
          <w:rFonts w:ascii="Book Antiqua" w:hAnsi="Book Antiqua"/>
        </w:rPr>
        <w:t>]</w:t>
      </w:r>
    </w:p>
    <w:p>
      <w:pPr>
        <w:spacing w:line="360" w:lineRule="auto"/>
        <w:jc w:val="both"/>
      </w:pP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Due to the utilization of a publicly available, de-identified database, review by our institutional review board was not required.</w:t>
      </w:r>
    </w:p>
    <w:p>
      <w:pPr>
        <w:spacing w:line="360" w:lineRule="auto"/>
        <w:jc w:val="both"/>
      </w:pPr>
    </w:p>
    <w:p>
      <w:pPr>
        <w:spacing w:line="360" w:lineRule="auto"/>
        <w:jc w:val="both"/>
      </w:pPr>
      <w:r>
        <w:rPr>
          <w:rFonts w:ascii="Book Antiqua" w:hAnsi="Book Antiqua" w:eastAsia="Book Antiqua" w:cs="Book Antiqua"/>
          <w:b/>
          <w:bCs/>
          <w:color w:val="000000"/>
          <w:szCs w:val="22"/>
        </w:rPr>
        <w:t xml:space="preserve">Informed consent statement: </w:t>
      </w:r>
      <w:r>
        <w:rPr>
          <w:rFonts w:ascii="Book Antiqua" w:hAnsi="Book Antiqua" w:eastAsia="Book Antiqua" w:cs="Book Antiqua"/>
          <w:color w:val="000000"/>
        </w:rPr>
        <w:t>Informed consent was not required to conduct this study.</w:t>
      </w:r>
    </w:p>
    <w:p>
      <w:pPr>
        <w:spacing w:line="360" w:lineRule="auto"/>
        <w:jc w:val="both"/>
      </w:pPr>
    </w:p>
    <w:p>
      <w:pPr>
        <w:spacing w:line="360" w:lineRule="auto"/>
        <w:jc w:val="both"/>
      </w:pPr>
      <w:r>
        <w:rPr>
          <w:rFonts w:ascii="Book Antiqua" w:hAnsi="Book Antiqua" w:eastAsia="Book Antiqua" w:cs="Book Antiqua"/>
          <w:b/>
          <w:bCs/>
          <w:color w:val="000000"/>
          <w:szCs w:val="22"/>
        </w:rPr>
        <w:t xml:space="preserve">Conflict-of-interest statement: </w:t>
      </w:r>
      <w:r>
        <w:rPr>
          <w:rFonts w:ascii="Book Antiqua" w:hAnsi="Book Antiqua" w:eastAsia="Book Antiqua" w:cs="Book Antiqua"/>
          <w:color w:val="000000"/>
        </w:rPr>
        <w:t>Wong</w:t>
      </w:r>
      <w:r>
        <w:rPr>
          <w:rFonts w:hint="eastAsia" w:ascii="Book Antiqua" w:hAnsi="Book Antiqua" w:cs="Book Antiqua"/>
          <w:color w:val="000000"/>
          <w:lang w:eastAsia="zh-CN"/>
        </w:rPr>
        <w:t xml:space="preserve"> LL</w:t>
      </w:r>
      <w:r>
        <w:rPr>
          <w:rFonts w:ascii="Book Antiqua" w:hAnsi="Book Antiqua" w:eastAsia="Book Antiqua" w:cs="Book Antiqua"/>
          <w:color w:val="000000"/>
        </w:rPr>
        <w:t xml:space="preserve"> is a speaker bureau for Eisai. All other authors do not have any conflicts of interest.</w:t>
      </w:r>
    </w:p>
    <w:p>
      <w:pPr>
        <w:spacing w:line="360" w:lineRule="auto"/>
        <w:jc w:val="both"/>
      </w:pPr>
    </w:p>
    <w:p>
      <w:pPr>
        <w:spacing w:line="360" w:lineRule="auto"/>
        <w:jc w:val="both"/>
      </w:pPr>
      <w:r>
        <w:rPr>
          <w:rFonts w:ascii="Book Antiqua" w:hAnsi="Book Antiqua" w:eastAsia="Book Antiqua" w:cs="Book Antiqua"/>
          <w:b/>
          <w:bCs/>
          <w:color w:val="000000"/>
          <w:szCs w:val="22"/>
        </w:rPr>
        <w:t xml:space="preserve">Data sharing statement: </w:t>
      </w:r>
      <w:r>
        <w:rPr>
          <w:rFonts w:ascii="Book Antiqua" w:hAnsi="Book Antiqua" w:eastAsia="Book Antiqua" w:cs="Book Antiqua"/>
          <w:color w:val="000000"/>
        </w:rPr>
        <w:t>All of the data used in this analysis is available from the SEER database.</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r>
        <w:rPr>
          <w:rFonts w:ascii="Book Antiqua" w:hAnsi="Book Antiqua" w:eastAsia="Book Antiqua" w:cs="Book Antiqua"/>
          <w:b/>
          <w:color w:val="000000"/>
        </w:rPr>
        <w:t xml:space="preserve">Corresponding Author's Membership in Professional Societies: </w:t>
      </w:r>
      <w:r>
        <w:rPr>
          <w:rFonts w:ascii="Book Antiqua" w:hAnsi="Book Antiqua" w:eastAsia="Book Antiqua" w:cs="Book Antiqua"/>
          <w:color w:val="000000"/>
        </w:rPr>
        <w:t>American Association for the Study of Liver Diseases; American College of Gastroenterology; American Gastroenterological Association; American Society for Gastrointestinal Endoscopy.</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25,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16,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April 21,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Gastroenterology and </w:t>
      </w:r>
      <w:r>
        <w:rPr>
          <w:rFonts w:hint="eastAsia" w:ascii="Book Antiqua" w:hAnsi="Book Antiqua" w:cs="Book Antiqua"/>
          <w:color w:val="000000"/>
          <w:lang w:eastAsia="zh-CN"/>
        </w:rPr>
        <w:t>h</w:t>
      </w:r>
      <w:r>
        <w:rPr>
          <w:rFonts w:ascii="Book Antiqua" w:hAnsi="Book Antiqua" w:eastAsia="Book Antiqua" w:cs="Book Antiqua"/>
          <w:color w:val="000000"/>
        </w:rPr>
        <w:t>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United States</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A</w:t>
      </w:r>
    </w:p>
    <w:p>
      <w:pPr>
        <w:spacing w:line="360" w:lineRule="auto"/>
        <w:jc w:val="both"/>
      </w:pPr>
      <w:r>
        <w:rPr>
          <w:rFonts w:ascii="Book Antiqua" w:hAnsi="Book Antiqua" w:eastAsia="Book Antiqua" w:cs="Book Antiqua"/>
          <w:color w:val="000000"/>
        </w:rPr>
        <w:t>Grade B (Very good): B, B, B</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D</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Casanova Rituerto D, Spain; Elkady N, Egypt; Fakhradiyev I, Kazakhstan; Gursel B, Turkey; Ling Q, China; Xu HT, China</w:t>
      </w:r>
      <w:r>
        <w:rPr>
          <w:rFonts w:ascii="Book Antiqua" w:hAnsi="Book Antiqua" w:eastAsia="Book Antiqua" w:cs="Book Antiqua"/>
          <w:b/>
          <w:color w:val="000000"/>
        </w:rPr>
        <w:t xml:space="preserve"> S-Editor: </w:t>
      </w:r>
      <w:bookmarkStart w:id="28" w:name="OLE_LINK50"/>
      <w:r>
        <w:rPr>
          <w:rFonts w:hint="eastAsia" w:ascii="Book Antiqua" w:hAnsi="Book Antiqua" w:cs="Book Antiqua"/>
          <w:color w:val="000000"/>
          <w:lang w:eastAsia="zh-CN"/>
        </w:rPr>
        <w:t>Zhang H</w:t>
      </w:r>
      <w:bookmarkEnd w:id="28"/>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w:t>
      </w:r>
      <w:r>
        <w:rPr>
          <w:rFonts w:hint="eastAsia" w:ascii="Book Antiqua" w:hAnsi="Book Antiqua" w:cs="Book Antiqua"/>
          <w:color w:val="000000"/>
          <w:lang w:eastAsia="zh-CN"/>
        </w:rPr>
        <w:t xml:space="preserve"> </w:t>
      </w:r>
      <w:r>
        <w:rPr>
          <w:rFonts w:ascii="Book Antiqua" w:hAnsi="Book Antiqua" w:cs="Book Antiqua"/>
          <w:color w:val="000000"/>
          <w:lang w:eastAsia="zh-CN"/>
        </w:rPr>
        <w:t>Yu HG</w:t>
      </w:r>
    </w:p>
    <w:p>
      <w:pPr>
        <w:spacing w:line="360" w:lineRule="auto"/>
        <w:jc w:val="both"/>
        <w:rPr>
          <w:rFonts w:ascii="Book Antiqua" w:hAnsi="Book Antiqua" w:cs="Book Antiqua"/>
          <w:b/>
          <w:color w:val="000000"/>
          <w:lang w:eastAsia="zh-CN"/>
        </w:rPr>
      </w:pPr>
    </w:p>
    <w:p>
      <w:pPr>
        <w:spacing w:line="360" w:lineRule="auto"/>
        <w:jc w:val="both"/>
        <w:rPr>
          <w:lang w:eastAsia="zh-CN"/>
        </w:rPr>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Figure Legends</w:t>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5345430" cy="3823970"/>
            <wp:effectExtent l="0" t="0" r="1270" b="11430"/>
            <wp:docPr id="9" name="图片 9" descr="WJCO-13-35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O-13-352-g001"/>
                    <pic:cNvPicPr>
                      <a:picLocks noChangeAspect="1"/>
                    </pic:cNvPicPr>
                  </pic:nvPicPr>
                  <pic:blipFill>
                    <a:blip r:embed="rId5"/>
                    <a:stretch>
                      <a:fillRect/>
                    </a:stretch>
                  </pic:blipFill>
                  <pic:spPr>
                    <a:xfrm>
                      <a:off x="0" y="0"/>
                      <a:ext cx="5345430" cy="382397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Figure 1</w:t>
      </w:r>
      <w:r>
        <w:rPr>
          <w:rFonts w:ascii="Book Antiqua" w:hAnsi="Book Antiqua" w:eastAsia="Book Antiqua" w:cs="Book Antiqua"/>
          <w:b/>
          <w:color w:val="000000"/>
        </w:rPr>
        <w:t xml:space="preserve"> Overall </w:t>
      </w:r>
      <w:bookmarkStart w:id="29" w:name="OLE_LINK51"/>
      <w:r>
        <w:rPr>
          <w:rFonts w:ascii="Book Antiqua" w:hAnsi="Book Antiqua" w:eastAsia="Book Antiqua" w:cs="Book Antiqua"/>
          <w:b/>
          <w:color w:val="000000"/>
        </w:rPr>
        <w:t>Kaplan-Meier</w:t>
      </w:r>
      <w:bookmarkEnd w:id="29"/>
      <w:r>
        <w:rPr>
          <w:rFonts w:ascii="Book Antiqua" w:hAnsi="Book Antiqua" w:eastAsia="Book Antiqua" w:cs="Book Antiqua"/>
          <w:b/>
          <w:color w:val="000000"/>
        </w:rPr>
        <w:t xml:space="preserve"> survival curve. </w:t>
      </w:r>
      <w:r>
        <w:rPr>
          <w:rFonts w:ascii="Book Antiqua" w:hAnsi="Book Antiqua" w:eastAsia="Book Antiqua" w:cs="Book Antiqua"/>
          <w:color w:val="000000"/>
        </w:rPr>
        <w:t>Median survival for all patients is 34 (95%</w:t>
      </w:r>
      <w:r>
        <w:rPr>
          <w:rFonts w:hint="eastAsia" w:ascii="Book Antiqua" w:hAnsi="Book Antiqua" w:cs="Book Antiqua"/>
          <w:color w:val="000000"/>
          <w:lang w:eastAsia="zh-CN"/>
        </w:rPr>
        <w:t>CI:</w:t>
      </w:r>
      <w:r>
        <w:rPr>
          <w:rFonts w:ascii="Book Antiqua" w:hAnsi="Book Antiqua" w:eastAsia="Book Antiqua" w:cs="Book Antiqua"/>
          <w:color w:val="000000"/>
        </w:rPr>
        <w:t xml:space="preserve"> 27-41) </w:t>
      </w:r>
      <w:r>
        <w:rPr>
          <w:rFonts w:hint="eastAsia" w:ascii="Book Antiqua" w:hAnsi="Book Antiqua" w:cs="Book Antiqua"/>
          <w:color w:val="000000"/>
          <w:lang w:eastAsia="zh-CN"/>
        </w:rPr>
        <w:t>mo</w:t>
      </w:r>
      <w:r>
        <w:rPr>
          <w:rFonts w:ascii="Book Antiqua" w:hAnsi="Book Antiqua" w:eastAsia="Book Antiqua" w:cs="Book Antiqua"/>
          <w:color w:val="000000"/>
        </w:rPr>
        <w:t>.</w:t>
      </w:r>
    </w:p>
    <w:p>
      <w:pPr>
        <w:spacing w:line="360" w:lineRule="auto"/>
        <w:jc w:val="both"/>
        <w:rPr>
          <w:rFonts w:hint="eastAsia" w:ascii="Book Antiqua" w:hAnsi="Book Antiqua" w:eastAsia="宋体" w:cs="Book Antiqua"/>
          <w:b/>
          <w:bCs/>
          <w:color w:val="000000"/>
          <w:lang w:eastAsia="zh-CN"/>
        </w:rPr>
      </w:pPr>
      <w:r>
        <w:rPr>
          <w:rFonts w:ascii="Book Antiqua" w:hAnsi="Book Antiqua" w:eastAsia="Book Antiqua" w:cs="Book Antiqua"/>
          <w:b/>
          <w:bCs/>
          <w:color w:val="000000"/>
        </w:rPr>
        <w:br w:type="page"/>
      </w:r>
      <w:r>
        <w:rPr>
          <w:rFonts w:hint="eastAsia" w:ascii="Book Antiqua" w:hAnsi="Book Antiqua" w:eastAsia="宋体" w:cs="Book Antiqua"/>
          <w:b/>
          <w:bCs/>
          <w:color w:val="000000"/>
          <w:lang w:eastAsia="zh-CN"/>
        </w:rPr>
        <w:drawing>
          <wp:inline distT="0" distB="0" distL="114300" distR="114300">
            <wp:extent cx="5410200" cy="3810000"/>
            <wp:effectExtent l="0" t="0" r="0" b="0"/>
            <wp:docPr id="10" name="图片 10" descr="WJCO-13-35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O-13-352-g002"/>
                    <pic:cNvPicPr>
                      <a:picLocks noChangeAspect="1"/>
                    </pic:cNvPicPr>
                  </pic:nvPicPr>
                  <pic:blipFill>
                    <a:blip r:embed="rId6"/>
                    <a:stretch>
                      <a:fillRect/>
                    </a:stretch>
                  </pic:blipFill>
                  <pic:spPr>
                    <a:xfrm>
                      <a:off x="0" y="0"/>
                      <a:ext cx="5410200" cy="381000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Figure 2</w:t>
      </w:r>
      <w:r>
        <w:rPr>
          <w:rFonts w:ascii="Book Antiqua" w:hAnsi="Book Antiqua" w:eastAsia="Book Antiqua" w:cs="Book Antiqua"/>
          <w:color w:val="000000"/>
        </w:rPr>
        <w:t xml:space="preserve"> </w:t>
      </w:r>
      <w:r>
        <w:rPr>
          <w:rFonts w:ascii="Book Antiqua" w:hAnsi="Book Antiqua" w:eastAsia="Book Antiqua" w:cs="Book Antiqua"/>
          <w:b/>
          <w:color w:val="000000"/>
        </w:rPr>
        <w:t>Kaplan-Meier survival curve by age groups.</w:t>
      </w:r>
      <w:r>
        <w:rPr>
          <w:rFonts w:ascii="Book Antiqua" w:hAnsi="Book Antiqua" w:eastAsia="Book Antiqua" w:cs="Book Antiqua"/>
          <w:color w:val="000000"/>
        </w:rPr>
        <w:t xml:space="preserve"> Median survival for patients ≤ 19-years-old is 85 (</w:t>
      </w:r>
      <w:bookmarkStart w:id="30" w:name="OLE_LINK52"/>
      <w:bookmarkStart w:id="31" w:name="OLE_LINK53"/>
      <w:r>
        <w:rPr>
          <w:rFonts w:ascii="Book Antiqua" w:hAnsi="Book Antiqua" w:eastAsia="Book Antiqua" w:cs="Book Antiqua"/>
          <w:color w:val="000000"/>
        </w:rPr>
        <w:t>95%</w:t>
      </w:r>
      <w:r>
        <w:rPr>
          <w:rFonts w:hint="eastAsia" w:ascii="Book Antiqua" w:hAnsi="Book Antiqua" w:cs="Book Antiqua"/>
          <w:color w:val="000000"/>
          <w:lang w:eastAsia="zh-CN"/>
        </w:rPr>
        <w:t>CI</w:t>
      </w:r>
      <w:r>
        <w:rPr>
          <w:rFonts w:ascii="Book Antiqua" w:hAnsi="Book Antiqua" w:eastAsia="Book Antiqua" w:cs="Book Antiqua"/>
          <w:color w:val="000000"/>
        </w:rPr>
        <w:t xml:space="preserve">: </w:t>
      </w:r>
      <w:bookmarkEnd w:id="30"/>
      <w:bookmarkEnd w:id="31"/>
      <w:r>
        <w:rPr>
          <w:rFonts w:ascii="Book Antiqua" w:hAnsi="Book Antiqua" w:eastAsia="Book Antiqua" w:cs="Book Antiqua"/>
          <w:color w:val="000000"/>
        </w:rPr>
        <w:t xml:space="preserve">37-137) </w:t>
      </w:r>
      <w:r>
        <w:rPr>
          <w:rFonts w:hint="eastAsia" w:ascii="Book Antiqua" w:hAnsi="Book Antiqua" w:cs="Book Antiqua"/>
          <w:color w:val="000000"/>
          <w:lang w:eastAsia="zh-CN"/>
        </w:rPr>
        <w:t>mo</w:t>
      </w:r>
      <w:r>
        <w:rPr>
          <w:rFonts w:ascii="Book Antiqua" w:hAnsi="Book Antiqua" w:eastAsia="Book Antiqua" w:cs="Book Antiqua"/>
          <w:color w:val="000000"/>
        </w:rPr>
        <w:t xml:space="preserve">, patients between 20 and 59-years-old are 29 (18-41) </w:t>
      </w:r>
      <w:r>
        <w:rPr>
          <w:rFonts w:hint="eastAsia" w:ascii="Book Antiqua" w:hAnsi="Book Antiqua" w:cs="Book Antiqua"/>
          <w:color w:val="000000"/>
          <w:lang w:eastAsia="zh-CN"/>
        </w:rPr>
        <w:t>mo</w:t>
      </w:r>
      <w:r>
        <w:rPr>
          <w:rFonts w:ascii="Book Antiqua" w:hAnsi="Book Antiqua" w:eastAsia="Book Antiqua" w:cs="Book Antiqua"/>
          <w:color w:val="000000"/>
        </w:rPr>
        <w:t>, and patients ≥ 60-years-old is 12 (95%</w:t>
      </w:r>
      <w:r>
        <w:rPr>
          <w:rFonts w:hint="eastAsia" w:ascii="Book Antiqua" w:hAnsi="Book Antiqua" w:cs="Book Antiqua"/>
          <w:color w:val="000000"/>
          <w:lang w:eastAsia="zh-CN"/>
        </w:rPr>
        <w:t>CI</w:t>
      </w:r>
      <w:r>
        <w:rPr>
          <w:rFonts w:ascii="Book Antiqua" w:hAnsi="Book Antiqua" w:eastAsia="Book Antiqua" w:cs="Book Antiqua"/>
          <w:color w:val="000000"/>
        </w:rPr>
        <w:t xml:space="preserve">: 7-31) </w:t>
      </w:r>
      <w:r>
        <w:rPr>
          <w:rFonts w:hint="eastAsia" w:ascii="Book Antiqua" w:hAnsi="Book Antiqua" w:cs="Book Antiqua"/>
          <w:color w:val="000000"/>
          <w:lang w:eastAsia="zh-CN"/>
        </w:rPr>
        <w:t>mo</w:t>
      </w:r>
      <w:r>
        <w:rPr>
          <w:rFonts w:ascii="Book Antiqua" w:hAnsi="Book Antiqua" w:eastAsia="Book Antiqua" w:cs="Book Antiqua"/>
          <w:color w:val="000000"/>
        </w:rPr>
        <w:t xml:space="preserve">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w:t>
      </w:r>
    </w:p>
    <w:p>
      <w:pPr>
        <w:spacing w:line="360" w:lineRule="auto"/>
        <w:jc w:val="both"/>
        <w:rPr>
          <w:rFonts w:hint="eastAsia" w:ascii="Book Antiqua" w:hAnsi="Book Antiqua" w:eastAsia="宋体" w:cs="Book Antiqua"/>
          <w:b/>
          <w:bCs/>
          <w:color w:val="000000"/>
          <w:lang w:eastAsia="zh-CN"/>
        </w:rPr>
      </w:pPr>
      <w:r>
        <w:rPr>
          <w:rFonts w:ascii="Book Antiqua" w:hAnsi="Book Antiqua" w:eastAsia="Book Antiqua" w:cs="Book Antiqua"/>
          <w:b/>
          <w:bCs/>
          <w:color w:val="000000"/>
        </w:rPr>
        <w:br w:type="page"/>
      </w:r>
      <w:r>
        <w:rPr>
          <w:rFonts w:hint="eastAsia" w:ascii="Book Antiqua" w:hAnsi="Book Antiqua" w:eastAsia="宋体" w:cs="Book Antiqua"/>
          <w:b/>
          <w:bCs/>
          <w:color w:val="000000"/>
          <w:lang w:eastAsia="zh-CN"/>
        </w:rPr>
        <w:drawing>
          <wp:inline distT="0" distB="0" distL="114300" distR="114300">
            <wp:extent cx="5370830" cy="3797935"/>
            <wp:effectExtent l="0" t="0" r="1270" b="12065"/>
            <wp:docPr id="11" name="图片 11" descr="WJCO-13-35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O-13-352-g003"/>
                    <pic:cNvPicPr>
                      <a:picLocks noChangeAspect="1"/>
                    </pic:cNvPicPr>
                  </pic:nvPicPr>
                  <pic:blipFill>
                    <a:blip r:embed="rId7"/>
                    <a:stretch>
                      <a:fillRect/>
                    </a:stretch>
                  </pic:blipFill>
                  <pic:spPr>
                    <a:xfrm>
                      <a:off x="0" y="0"/>
                      <a:ext cx="5370830" cy="3797935"/>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Figure 3</w:t>
      </w:r>
      <w:r>
        <w:rPr>
          <w:rFonts w:ascii="Book Antiqua" w:hAnsi="Book Antiqua" w:eastAsia="Book Antiqua" w:cs="Book Antiqua"/>
          <w:b/>
          <w:color w:val="000000"/>
        </w:rPr>
        <w:t xml:space="preserve"> Kaplan-Meier survival curve by race (all race).</w:t>
      </w:r>
      <w:r>
        <w:rPr>
          <w:rFonts w:ascii="Book Antiqua" w:hAnsi="Book Antiqua" w:eastAsia="Book Antiqua" w:cs="Book Antiqua"/>
          <w:color w:val="000000"/>
        </w:rPr>
        <w:t xml:space="preserve"> Median survival for White 39 (</w:t>
      </w:r>
      <w:bookmarkStart w:id="32" w:name="OLE_LINK55"/>
      <w:bookmarkStart w:id="33" w:name="OLE_LINK54"/>
      <w:r>
        <w:rPr>
          <w:rFonts w:ascii="Book Antiqua" w:hAnsi="Book Antiqua" w:eastAsia="Book Antiqua" w:cs="Book Antiqua"/>
          <w:color w:val="000000"/>
        </w:rPr>
        <w:t>95%</w:t>
      </w:r>
      <w:r>
        <w:rPr>
          <w:rFonts w:hint="eastAsia" w:ascii="Book Antiqua" w:hAnsi="Book Antiqua" w:cs="Book Antiqua"/>
          <w:color w:val="000000"/>
          <w:lang w:eastAsia="zh-CN"/>
        </w:rPr>
        <w:t>CI</w:t>
      </w:r>
      <w:r>
        <w:rPr>
          <w:rFonts w:ascii="Book Antiqua" w:hAnsi="Book Antiqua" w:eastAsia="Book Antiqua" w:cs="Book Antiqua"/>
          <w:color w:val="000000"/>
        </w:rPr>
        <w:t>:</w:t>
      </w:r>
      <w:bookmarkEnd w:id="32"/>
      <w:bookmarkEnd w:id="33"/>
      <w:r>
        <w:rPr>
          <w:rFonts w:ascii="Book Antiqua" w:hAnsi="Book Antiqua" w:eastAsia="Book Antiqua" w:cs="Book Antiqua"/>
          <w:color w:val="000000"/>
        </w:rPr>
        <w:t xml:space="preserve"> 29-63) </w:t>
      </w:r>
      <w:r>
        <w:rPr>
          <w:rFonts w:hint="eastAsia" w:ascii="Book Antiqua" w:hAnsi="Book Antiqua" w:cs="Book Antiqua"/>
          <w:color w:val="000000"/>
          <w:lang w:eastAsia="zh-CN"/>
        </w:rPr>
        <w:t>mo</w:t>
      </w:r>
      <w:r>
        <w:rPr>
          <w:rFonts w:ascii="Book Antiqua" w:hAnsi="Book Antiqua" w:eastAsia="Book Antiqua" w:cs="Book Antiqua"/>
          <w:color w:val="000000"/>
        </w:rPr>
        <w:t>, Black 26 (95%</w:t>
      </w:r>
      <w:r>
        <w:rPr>
          <w:rFonts w:hint="eastAsia" w:ascii="Book Antiqua" w:hAnsi="Book Antiqua" w:cs="Book Antiqua"/>
          <w:color w:val="000000"/>
          <w:lang w:eastAsia="zh-CN"/>
        </w:rPr>
        <w:t>CI</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5-92) </w:t>
      </w:r>
      <w:r>
        <w:rPr>
          <w:rFonts w:hint="eastAsia" w:ascii="Book Antiqua" w:hAnsi="Book Antiqua" w:cs="Book Antiqua"/>
          <w:color w:val="000000"/>
          <w:lang w:eastAsia="zh-CN"/>
        </w:rPr>
        <w:t>mo</w:t>
      </w:r>
      <w:r>
        <w:rPr>
          <w:rFonts w:ascii="Book Antiqua" w:hAnsi="Book Antiqua" w:eastAsia="Book Antiqua" w:cs="Book Antiqua"/>
          <w:color w:val="000000"/>
        </w:rPr>
        <w:t>, Asian and Pacific Islander is 28 (95%</w:t>
      </w:r>
      <w:r>
        <w:rPr>
          <w:rFonts w:ascii="Book Antiqua" w:hAnsi="Book Antiqua" w:cs="Book Antiqua"/>
          <w:color w:val="000000"/>
          <w:lang w:eastAsia="zh-CN"/>
        </w:rPr>
        <w:t>CI</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6-39) </w:t>
      </w:r>
      <w:r>
        <w:rPr>
          <w:rFonts w:hint="eastAsia" w:ascii="Book Antiqua" w:hAnsi="Book Antiqua" w:cs="Book Antiqua"/>
          <w:color w:val="000000"/>
          <w:lang w:eastAsia="zh-CN"/>
        </w:rPr>
        <w:t>mo</w:t>
      </w:r>
      <w:r>
        <w:rPr>
          <w:rFonts w:ascii="Book Antiqua" w:hAnsi="Book Antiqua" w:eastAsia="Book Antiqua" w:cs="Book Antiqua"/>
          <w:color w:val="000000"/>
        </w:rPr>
        <w:t>, and Hispanic 31 (95%</w:t>
      </w:r>
      <w:r>
        <w:rPr>
          <w:rFonts w:ascii="Book Antiqua" w:hAnsi="Book Antiqua" w:cs="Book Antiqua"/>
          <w:color w:val="000000"/>
          <w:lang w:eastAsia="zh-CN"/>
        </w:rPr>
        <w:t>CI</w:t>
      </w:r>
      <w:r>
        <w:rPr>
          <w:rFonts w:ascii="Book Antiqua" w:hAnsi="Book Antiqua" w:eastAsia="Book Antiqua" w:cs="Book Antiqua"/>
          <w:color w:val="000000"/>
        </w:rPr>
        <w:t xml:space="preserve">: 11-54) </w:t>
      </w:r>
      <w:r>
        <w:rPr>
          <w:rFonts w:hint="eastAsia" w:ascii="Book Antiqua" w:hAnsi="Book Antiqua" w:cs="Book Antiqua"/>
          <w:color w:val="000000"/>
          <w:lang w:eastAsia="zh-CN"/>
        </w:rPr>
        <w:t>mo</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ascii="Book Antiqua" w:hAnsi="Book Antiqua" w:eastAsia="Book Antiqua" w:cs="Book Antiqua"/>
          <w:color w:val="000000"/>
        </w:rPr>
        <w:t xml:space="preserve"> = 0.28).</w:t>
      </w:r>
    </w:p>
    <w:p>
      <w:pPr>
        <w:spacing w:line="360" w:lineRule="auto"/>
        <w:jc w:val="both"/>
        <w:rPr>
          <w:rFonts w:hint="eastAsia" w:ascii="Book Antiqua" w:hAnsi="Book Antiqua" w:eastAsia="宋体" w:cs="Book Antiqua"/>
          <w:b/>
          <w:bCs/>
          <w:color w:val="000000"/>
          <w:lang w:eastAsia="zh-CN"/>
        </w:rPr>
      </w:pPr>
      <w:r>
        <w:rPr>
          <w:rFonts w:ascii="Book Antiqua" w:hAnsi="Book Antiqua" w:eastAsia="Book Antiqua" w:cs="Book Antiqua"/>
          <w:b/>
          <w:bCs/>
          <w:color w:val="000000"/>
        </w:rPr>
        <w:br w:type="page"/>
      </w:r>
      <w:r>
        <w:rPr>
          <w:rFonts w:hint="eastAsia" w:ascii="Book Antiqua" w:hAnsi="Book Antiqua" w:eastAsia="宋体" w:cs="Book Antiqua"/>
          <w:b/>
          <w:bCs/>
          <w:color w:val="000000"/>
          <w:lang w:eastAsia="zh-CN"/>
        </w:rPr>
        <w:drawing>
          <wp:inline distT="0" distB="0" distL="114300" distR="114300">
            <wp:extent cx="5422265" cy="3810000"/>
            <wp:effectExtent l="0" t="0" r="635" b="0"/>
            <wp:docPr id="12" name="图片 12" descr="WJCO-13-35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CO-13-352-g004"/>
                    <pic:cNvPicPr>
                      <a:picLocks noChangeAspect="1"/>
                    </pic:cNvPicPr>
                  </pic:nvPicPr>
                  <pic:blipFill>
                    <a:blip r:embed="rId8"/>
                    <a:stretch>
                      <a:fillRect/>
                    </a:stretch>
                  </pic:blipFill>
                  <pic:spPr>
                    <a:xfrm>
                      <a:off x="0" y="0"/>
                      <a:ext cx="5422265" cy="381000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Figure 4</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Kaplan-Meier survival curve by race (White </w:t>
      </w:r>
      <w:r>
        <w:rPr>
          <w:rFonts w:ascii="Book Antiqua" w:hAnsi="Book Antiqua" w:eastAsia="Book Antiqua" w:cs="Book Antiqua"/>
          <w:b/>
          <w:i/>
          <w:color w:val="000000"/>
        </w:rPr>
        <w:t>vs</w:t>
      </w:r>
      <w:r>
        <w:rPr>
          <w:rFonts w:ascii="Book Antiqua" w:hAnsi="Book Antiqua" w:eastAsia="Book Antiqua" w:cs="Book Antiqua"/>
          <w:b/>
          <w:color w:val="000000"/>
        </w:rPr>
        <w:t xml:space="preserve"> non-White).</w:t>
      </w:r>
      <w:r>
        <w:rPr>
          <w:rFonts w:ascii="Book Antiqua" w:hAnsi="Book Antiqua" w:eastAsia="Book Antiqua" w:cs="Book Antiqua"/>
          <w:color w:val="000000"/>
        </w:rPr>
        <w:t xml:space="preserve"> Median survival for White 39 (</w:t>
      </w:r>
      <w:bookmarkStart w:id="34" w:name="OLE_LINK57"/>
      <w:bookmarkStart w:id="35" w:name="OLE_LINK56"/>
      <w:r>
        <w:rPr>
          <w:rFonts w:ascii="Book Antiqua" w:hAnsi="Book Antiqua" w:eastAsia="Book Antiqua" w:cs="Book Antiqua"/>
          <w:color w:val="000000"/>
        </w:rPr>
        <w:t>95%</w:t>
      </w:r>
      <w:r>
        <w:rPr>
          <w:rFonts w:hint="eastAsia" w:ascii="Book Antiqua" w:hAnsi="Book Antiqua" w:cs="Book Antiqua"/>
          <w:color w:val="000000"/>
          <w:lang w:eastAsia="zh-CN"/>
        </w:rPr>
        <w:t>CI</w:t>
      </w:r>
      <w:r>
        <w:rPr>
          <w:rFonts w:ascii="Book Antiqua" w:hAnsi="Book Antiqua" w:eastAsia="Book Antiqua" w:cs="Book Antiqua"/>
          <w:color w:val="000000"/>
        </w:rPr>
        <w:t xml:space="preserve">: </w:t>
      </w:r>
      <w:bookmarkEnd w:id="34"/>
      <w:bookmarkEnd w:id="35"/>
      <w:r>
        <w:rPr>
          <w:rFonts w:ascii="Book Antiqua" w:hAnsi="Book Antiqua" w:eastAsia="Book Antiqua" w:cs="Book Antiqua"/>
          <w:color w:val="000000"/>
        </w:rPr>
        <w:t xml:space="preserve">29-63) </w:t>
      </w:r>
      <w:r>
        <w:rPr>
          <w:rFonts w:hint="eastAsia" w:ascii="Book Antiqua" w:hAnsi="Book Antiqua" w:cs="Book Antiqua"/>
          <w:color w:val="000000"/>
          <w:lang w:eastAsia="zh-CN"/>
        </w:rPr>
        <w:t>mo</w:t>
      </w:r>
      <w:r>
        <w:rPr>
          <w:rFonts w:ascii="Book Antiqua" w:hAnsi="Book Antiqua" w:eastAsia="Book Antiqua" w:cs="Book Antiqua"/>
          <w:color w:val="000000"/>
        </w:rPr>
        <w:t>, and Non-White is 29 (95%</w:t>
      </w:r>
      <w:r>
        <w:rPr>
          <w:rFonts w:hint="eastAsia" w:ascii="Book Antiqua" w:hAnsi="Book Antiqua" w:cs="Book Antiqua"/>
          <w:color w:val="000000"/>
          <w:lang w:eastAsia="zh-CN"/>
        </w:rPr>
        <w:t>CI</w:t>
      </w:r>
      <w:r>
        <w:rPr>
          <w:rFonts w:ascii="Book Antiqua" w:hAnsi="Book Antiqua" w:eastAsia="Book Antiqua" w:cs="Book Antiqua"/>
          <w:color w:val="000000"/>
        </w:rPr>
        <w:t xml:space="preserve">: 15-38) </w:t>
      </w:r>
      <w:r>
        <w:rPr>
          <w:rFonts w:hint="eastAsia" w:ascii="Book Antiqua" w:hAnsi="Book Antiqua" w:cs="Book Antiqua"/>
          <w:color w:val="000000"/>
          <w:lang w:eastAsia="zh-CN"/>
        </w:rPr>
        <w:t>mo</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ascii="Book Antiqua" w:hAnsi="Book Antiqua" w:eastAsia="Book Antiqua" w:cs="Book Antiqua"/>
          <w:color w:val="000000"/>
        </w:rPr>
        <w:t xml:space="preserve"> = 0.11).</w:t>
      </w:r>
    </w:p>
    <w:p>
      <w:pPr>
        <w:spacing w:line="360" w:lineRule="auto"/>
        <w:jc w:val="both"/>
        <w:rPr>
          <w:rFonts w:hint="eastAsia" w:ascii="Book Antiqua" w:hAnsi="Book Antiqua" w:eastAsia="宋体" w:cs="Book Antiqua"/>
          <w:b/>
          <w:bCs/>
          <w:color w:val="000000"/>
          <w:lang w:eastAsia="zh-CN"/>
        </w:rPr>
      </w:pPr>
      <w:r>
        <w:rPr>
          <w:rFonts w:ascii="Book Antiqua" w:hAnsi="Book Antiqua" w:eastAsia="Book Antiqua" w:cs="Book Antiqua"/>
          <w:b/>
          <w:bCs/>
          <w:color w:val="000000"/>
        </w:rPr>
        <w:br w:type="page"/>
      </w:r>
      <w:r>
        <w:rPr>
          <w:rFonts w:hint="eastAsia" w:ascii="Book Antiqua" w:hAnsi="Book Antiqua" w:eastAsia="宋体" w:cs="Book Antiqua"/>
          <w:b/>
          <w:bCs/>
          <w:color w:val="000000"/>
          <w:lang w:eastAsia="zh-CN"/>
        </w:rPr>
        <w:drawing>
          <wp:inline distT="0" distB="0" distL="114300" distR="114300">
            <wp:extent cx="5346065" cy="3773170"/>
            <wp:effectExtent l="0" t="0" r="635" b="11430"/>
            <wp:docPr id="13" name="图片 13" descr="WJCO-13-352-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JCO-13-352-g005"/>
                    <pic:cNvPicPr>
                      <a:picLocks noChangeAspect="1"/>
                    </pic:cNvPicPr>
                  </pic:nvPicPr>
                  <pic:blipFill>
                    <a:blip r:embed="rId9"/>
                    <a:stretch>
                      <a:fillRect/>
                    </a:stretch>
                  </pic:blipFill>
                  <pic:spPr>
                    <a:xfrm>
                      <a:off x="0" y="0"/>
                      <a:ext cx="5346065" cy="377317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Figure 5</w:t>
      </w:r>
      <w:r>
        <w:rPr>
          <w:rFonts w:ascii="Book Antiqua" w:hAnsi="Book Antiqua" w:eastAsia="Book Antiqua" w:cs="Book Antiqua"/>
          <w:color w:val="000000"/>
        </w:rPr>
        <w:t xml:space="preserve"> </w:t>
      </w:r>
      <w:r>
        <w:rPr>
          <w:rFonts w:ascii="Book Antiqua" w:hAnsi="Book Antiqua" w:eastAsia="Book Antiqua" w:cs="Book Antiqua"/>
          <w:b/>
          <w:color w:val="000000"/>
        </w:rPr>
        <w:t>Kaplan-Meier survival curve by surgery types.</w:t>
      </w:r>
      <w:r>
        <w:rPr>
          <w:rFonts w:ascii="Book Antiqua" w:hAnsi="Book Antiqua" w:eastAsia="Book Antiqua" w:cs="Book Antiqua"/>
          <w:color w:val="000000"/>
        </w:rPr>
        <w:t xml:space="preserve"> Median survival for a wedge or segmental resection was 112 (</w:t>
      </w:r>
      <w:bookmarkStart w:id="36" w:name="OLE_LINK58"/>
      <w:bookmarkStart w:id="37" w:name="OLE_LINK59"/>
      <w:r>
        <w:rPr>
          <w:rFonts w:ascii="Book Antiqua" w:hAnsi="Book Antiqua" w:eastAsia="Book Antiqua" w:cs="Book Antiqua"/>
          <w:color w:val="000000"/>
        </w:rPr>
        <w:t>95%</w:t>
      </w:r>
      <w:r>
        <w:rPr>
          <w:rFonts w:hint="eastAsia" w:ascii="Book Antiqua" w:hAnsi="Book Antiqua" w:cs="Book Antiqua"/>
          <w:color w:val="000000"/>
          <w:lang w:eastAsia="zh-CN"/>
        </w:rPr>
        <w:t>CI</w:t>
      </w:r>
      <w:r>
        <w:rPr>
          <w:rFonts w:ascii="Book Antiqua" w:hAnsi="Book Antiqua" w:eastAsia="Book Antiqua" w:cs="Book Antiqua"/>
          <w:color w:val="000000"/>
        </w:rPr>
        <w:t xml:space="preserve">: </w:t>
      </w:r>
      <w:bookmarkEnd w:id="36"/>
      <w:bookmarkEnd w:id="37"/>
      <w:r>
        <w:rPr>
          <w:rFonts w:ascii="Book Antiqua" w:hAnsi="Book Antiqua" w:eastAsia="Book Antiqua" w:cs="Book Antiqua"/>
          <w:color w:val="000000"/>
        </w:rPr>
        <w:t xml:space="preserve">78-NA) </w:t>
      </w:r>
      <w:r>
        <w:rPr>
          <w:rFonts w:hint="eastAsia" w:ascii="Book Antiqua" w:hAnsi="Book Antiqua" w:cs="Book Antiqua"/>
          <w:color w:val="000000"/>
          <w:lang w:eastAsia="zh-CN"/>
        </w:rPr>
        <w:t>mo</w:t>
      </w:r>
      <w:r>
        <w:rPr>
          <w:rFonts w:ascii="Book Antiqua" w:hAnsi="Book Antiqua" w:eastAsia="Book Antiqua" w:cs="Book Antiqua"/>
          <w:color w:val="000000"/>
        </w:rPr>
        <w:t>, lobectomy was 92 (95%</w:t>
      </w:r>
      <w:r>
        <w:rPr>
          <w:rFonts w:hint="eastAsia" w:ascii="Book Antiqua" w:hAnsi="Book Antiqua" w:cs="Book Antiqua"/>
          <w:color w:val="000000"/>
          <w:lang w:eastAsia="zh-CN"/>
        </w:rPr>
        <w:t>CI</w:t>
      </w:r>
      <w:r>
        <w:rPr>
          <w:rFonts w:ascii="Book Antiqua" w:hAnsi="Book Antiqua" w:eastAsia="Book Antiqua" w:cs="Book Antiqua"/>
          <w:color w:val="000000"/>
        </w:rPr>
        <w:t xml:space="preserve">: 57-NA) </w:t>
      </w:r>
      <w:r>
        <w:rPr>
          <w:rFonts w:hint="eastAsia" w:ascii="Book Antiqua" w:hAnsi="Book Antiqua" w:cs="Book Antiqua"/>
          <w:color w:val="000000"/>
          <w:lang w:eastAsia="zh-CN"/>
        </w:rPr>
        <w:t>mo</w:t>
      </w:r>
      <w:r>
        <w:rPr>
          <w:rFonts w:ascii="Book Antiqua" w:hAnsi="Book Antiqua" w:eastAsia="Book Antiqua" w:cs="Book Antiqua"/>
          <w:color w:val="000000"/>
        </w:rPr>
        <w:t>, extended lobectomy was 54 (95%</w:t>
      </w:r>
      <w:r>
        <w:rPr>
          <w:rFonts w:ascii="Book Antiqua" w:hAnsi="Book Antiqua" w:cs="Book Antiqua"/>
          <w:color w:val="000000"/>
          <w:lang w:eastAsia="zh-CN"/>
        </w:rPr>
        <w:t>CI</w:t>
      </w:r>
      <w:r>
        <w:rPr>
          <w:rFonts w:ascii="Book Antiqua" w:hAnsi="Book Antiqua" w:eastAsia="Book Antiqua" w:cs="Book Antiqua"/>
          <w:color w:val="000000"/>
        </w:rPr>
        <w:t xml:space="preserve">: 23-NA) </w:t>
      </w:r>
      <w:r>
        <w:rPr>
          <w:rFonts w:hint="eastAsia" w:ascii="Book Antiqua" w:hAnsi="Book Antiqua" w:cs="Book Antiqua"/>
          <w:color w:val="000000"/>
          <w:lang w:eastAsia="zh-CN"/>
        </w:rPr>
        <w:t>mo</w:t>
      </w:r>
      <w:r>
        <w:rPr>
          <w:rFonts w:ascii="Book Antiqua" w:hAnsi="Book Antiqua" w:eastAsia="Book Antiqua" w:cs="Book Antiqua"/>
          <w:color w:val="000000"/>
        </w:rPr>
        <w:t>, none had 10 (95%</w:t>
      </w:r>
      <w:r>
        <w:rPr>
          <w:rFonts w:ascii="Book Antiqua" w:hAnsi="Book Antiqua" w:cs="Book Antiqua"/>
          <w:color w:val="000000"/>
          <w:lang w:eastAsia="zh-CN"/>
        </w:rPr>
        <w:t>CI</w:t>
      </w:r>
      <w:r>
        <w:rPr>
          <w:rFonts w:ascii="Book Antiqua" w:hAnsi="Book Antiqua" w:eastAsia="Book Antiqua" w:cs="Book Antiqua"/>
          <w:color w:val="000000"/>
        </w:rPr>
        <w:t xml:space="preserve">: 6-13) </w:t>
      </w:r>
      <w:r>
        <w:rPr>
          <w:rFonts w:hint="eastAsia" w:ascii="Book Antiqua" w:hAnsi="Book Antiqua" w:cs="Book Antiqua"/>
          <w:color w:val="000000"/>
          <w:lang w:eastAsia="zh-CN"/>
        </w:rPr>
        <w:t>mo</w:t>
      </w:r>
      <w:r>
        <w:rPr>
          <w:rFonts w:ascii="Book Antiqua" w:hAnsi="Book Antiqua" w:eastAsia="Book Antiqua" w:cs="Book Antiqua"/>
          <w:color w:val="000000"/>
        </w:rPr>
        <w:t>, and the transplant was 63 (95%</w:t>
      </w:r>
      <w:r>
        <w:rPr>
          <w:rFonts w:ascii="Book Antiqua" w:hAnsi="Book Antiqua" w:cs="Book Antiqua"/>
          <w:color w:val="000000"/>
          <w:lang w:eastAsia="zh-CN"/>
        </w:rPr>
        <w:t>CI</w:t>
      </w:r>
      <w:r>
        <w:rPr>
          <w:rFonts w:ascii="Book Antiqua" w:hAnsi="Book Antiqua" w:eastAsia="Book Antiqua" w:cs="Book Antiqua"/>
          <w:color w:val="000000"/>
        </w:rPr>
        <w:t xml:space="preserve">: 20-NA) </w:t>
      </w:r>
      <w:r>
        <w:rPr>
          <w:rFonts w:hint="eastAsia" w:ascii="Book Antiqua" w:hAnsi="Book Antiqua" w:cs="Book Antiqua"/>
          <w:color w:val="000000"/>
          <w:lang w:eastAsia="zh-CN"/>
        </w:rPr>
        <w:t>mo</w:t>
      </w:r>
      <w:r>
        <w:rPr>
          <w:rFonts w:ascii="Book Antiqua" w:hAnsi="Book Antiqua" w:eastAsia="Book Antiqua" w:cs="Book Antiqua"/>
          <w:color w:val="000000"/>
        </w:rPr>
        <w:t xml:space="preserve">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w:t>
      </w:r>
    </w:p>
    <w:p>
      <w:pPr>
        <w:spacing w:line="360" w:lineRule="auto"/>
        <w:jc w:val="both"/>
        <w:rPr>
          <w:rFonts w:hint="eastAsia" w:ascii="Book Antiqua" w:hAnsi="Book Antiqua" w:eastAsia="宋体" w:cs="Book Antiqua"/>
          <w:b/>
          <w:bCs/>
          <w:color w:val="000000"/>
          <w:lang w:eastAsia="zh-CN"/>
        </w:rPr>
      </w:pPr>
      <w:r>
        <w:rPr>
          <w:rFonts w:ascii="Book Antiqua" w:hAnsi="Book Antiqua" w:eastAsia="Book Antiqua" w:cs="Book Antiqua"/>
          <w:b/>
          <w:bCs/>
          <w:color w:val="000000"/>
        </w:rPr>
        <w:br w:type="page"/>
      </w:r>
      <w:r>
        <w:rPr>
          <w:rFonts w:hint="eastAsia" w:ascii="Book Antiqua" w:hAnsi="Book Antiqua" w:eastAsia="宋体" w:cs="Book Antiqua"/>
          <w:b/>
          <w:bCs/>
          <w:color w:val="000000"/>
          <w:lang w:eastAsia="zh-CN"/>
        </w:rPr>
        <w:drawing>
          <wp:inline distT="0" distB="0" distL="114300" distR="114300">
            <wp:extent cx="5205730" cy="3517265"/>
            <wp:effectExtent l="0" t="0" r="1270" b="635"/>
            <wp:docPr id="14" name="图片 14" descr="WJCO-13-352-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JCO-13-352-g006"/>
                    <pic:cNvPicPr>
                      <a:picLocks noChangeAspect="1"/>
                    </pic:cNvPicPr>
                  </pic:nvPicPr>
                  <pic:blipFill>
                    <a:blip r:embed="rId10"/>
                    <a:stretch>
                      <a:fillRect/>
                    </a:stretch>
                  </pic:blipFill>
                  <pic:spPr>
                    <a:xfrm>
                      <a:off x="0" y="0"/>
                      <a:ext cx="5205730" cy="3517265"/>
                    </a:xfrm>
                    <a:prstGeom prst="rect">
                      <a:avLst/>
                    </a:prstGeom>
                  </pic:spPr>
                </pic:pic>
              </a:graphicData>
            </a:graphic>
          </wp:inline>
        </w:drawing>
      </w:r>
      <w:bookmarkStart w:id="38" w:name="_GoBack"/>
      <w:bookmarkEnd w:id="38"/>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6 </w:t>
      </w:r>
      <w:r>
        <w:rPr>
          <w:rFonts w:ascii="Book Antiqua" w:hAnsi="Book Antiqua" w:eastAsia="Book Antiqua" w:cs="Book Antiqua"/>
          <w:b/>
          <w:color w:val="000000"/>
        </w:rPr>
        <w:t>Kaplan-Meier survival curve by surgical status and metastasis status.</w:t>
      </w:r>
      <w:r>
        <w:rPr>
          <w:rFonts w:ascii="Book Antiqua" w:hAnsi="Book Antiqua" w:eastAsia="Book Antiqua" w:cs="Book Antiqua"/>
          <w:color w:val="000000"/>
        </w:rPr>
        <w:t xml:space="preserve"> Median survival for NM+/no surgery was 9 (95%</w:t>
      </w:r>
      <w:r>
        <w:rPr>
          <w:rFonts w:hint="eastAsia" w:ascii="Book Antiqua" w:hAnsi="Book Antiqua" w:cs="Book Antiqua"/>
          <w:color w:val="000000"/>
          <w:lang w:eastAsia="zh-CN"/>
        </w:rPr>
        <w:t>CI</w:t>
      </w:r>
      <w:r>
        <w:rPr>
          <w:rFonts w:ascii="Book Antiqua" w:hAnsi="Book Antiqua" w:eastAsia="Book Antiqua" w:cs="Book Antiqua"/>
          <w:color w:val="000000"/>
        </w:rPr>
        <w:t xml:space="preserve">: 4-14) </w:t>
      </w:r>
      <w:r>
        <w:rPr>
          <w:rFonts w:hint="eastAsia" w:ascii="Book Antiqua" w:hAnsi="Book Antiqua" w:cs="Book Antiqua"/>
          <w:color w:val="000000"/>
          <w:lang w:eastAsia="zh-CN"/>
        </w:rPr>
        <w:t>mo</w:t>
      </w:r>
      <w:r>
        <w:rPr>
          <w:rFonts w:ascii="Book Antiqua" w:hAnsi="Book Antiqua" w:eastAsia="Book Antiqua" w:cs="Book Antiqua"/>
          <w:color w:val="000000"/>
        </w:rPr>
        <w:t>, NM+/</w:t>
      </w:r>
      <w:r>
        <w:rPr>
          <w:rFonts w:hint="eastAsia" w:ascii="Book Antiqua" w:hAnsi="Book Antiqua" w:cs="Book Antiqua"/>
          <w:color w:val="000000"/>
          <w:lang w:eastAsia="zh-CN"/>
        </w:rPr>
        <w:t>s</w:t>
      </w:r>
      <w:r>
        <w:rPr>
          <w:rFonts w:ascii="Book Antiqua" w:hAnsi="Book Antiqua" w:eastAsia="Book Antiqua" w:cs="Book Antiqua"/>
          <w:color w:val="000000"/>
        </w:rPr>
        <w:t>urgery was 54 (95%</w:t>
      </w:r>
      <w:r>
        <w:rPr>
          <w:rFonts w:ascii="Book Antiqua" w:hAnsi="Book Antiqua" w:cs="Book Antiqua"/>
          <w:color w:val="000000"/>
          <w:lang w:eastAsia="zh-CN"/>
        </w:rPr>
        <w:t>CI</w:t>
      </w:r>
      <w:r>
        <w:rPr>
          <w:rFonts w:ascii="Book Antiqua" w:hAnsi="Book Antiqua" w:eastAsia="Book Antiqua" w:cs="Book Antiqua"/>
          <w:color w:val="000000"/>
        </w:rPr>
        <w:t xml:space="preserve">: 34-85) </w:t>
      </w:r>
      <w:r>
        <w:rPr>
          <w:rFonts w:hint="eastAsia" w:ascii="Book Antiqua" w:hAnsi="Book Antiqua" w:cs="Book Antiqua"/>
          <w:color w:val="000000"/>
          <w:lang w:eastAsia="zh-CN"/>
        </w:rPr>
        <w:t>mo</w:t>
      </w:r>
      <w:r>
        <w:rPr>
          <w:rFonts w:ascii="Book Antiqua" w:hAnsi="Book Antiqua" w:eastAsia="Book Antiqua" w:cs="Book Antiqua"/>
          <w:color w:val="000000"/>
        </w:rPr>
        <w:t>, NM-/no surgery was 11 (95%</w:t>
      </w:r>
      <w:r>
        <w:rPr>
          <w:rFonts w:ascii="Book Antiqua" w:hAnsi="Book Antiqua" w:cs="Book Antiqua"/>
          <w:color w:val="000000"/>
          <w:lang w:eastAsia="zh-CN"/>
        </w:rPr>
        <w:t>CI</w:t>
      </w:r>
      <w:r>
        <w:rPr>
          <w:rFonts w:ascii="Book Antiqua" w:hAnsi="Book Antiqua" w:eastAsia="Book Antiqua" w:cs="Book Antiqua"/>
          <w:color w:val="000000"/>
        </w:rPr>
        <w:t xml:space="preserve">: 6-17) </w:t>
      </w:r>
      <w:r>
        <w:rPr>
          <w:rFonts w:hint="eastAsia" w:ascii="Book Antiqua" w:hAnsi="Book Antiqua" w:cs="Book Antiqua"/>
          <w:color w:val="000000"/>
          <w:lang w:eastAsia="zh-CN"/>
        </w:rPr>
        <w:t>mo</w:t>
      </w:r>
      <w:r>
        <w:rPr>
          <w:rFonts w:ascii="Book Antiqua" w:hAnsi="Book Antiqua" w:eastAsia="Book Antiqua" w:cs="Book Antiqua"/>
          <w:color w:val="000000"/>
        </w:rPr>
        <w:t>, and NM-/</w:t>
      </w:r>
      <w:r>
        <w:rPr>
          <w:rFonts w:hint="eastAsia" w:ascii="Book Antiqua" w:hAnsi="Book Antiqua" w:cs="Book Antiqua"/>
          <w:color w:val="000000"/>
          <w:lang w:eastAsia="zh-CN"/>
        </w:rPr>
        <w:t>s</w:t>
      </w:r>
      <w:r>
        <w:rPr>
          <w:rFonts w:ascii="Book Antiqua" w:hAnsi="Book Antiqua" w:eastAsia="Book Antiqua" w:cs="Book Antiqua"/>
          <w:color w:val="000000"/>
        </w:rPr>
        <w:t>urgery was 142 (95%</w:t>
      </w:r>
      <w:r>
        <w:rPr>
          <w:rFonts w:ascii="Book Antiqua" w:hAnsi="Book Antiqua" w:cs="Book Antiqua"/>
          <w:color w:val="000000"/>
          <w:lang w:eastAsia="zh-CN"/>
        </w:rPr>
        <w:t>CI</w:t>
      </w:r>
      <w:r>
        <w:rPr>
          <w:rFonts w:ascii="Book Antiqua" w:hAnsi="Book Antiqua" w:eastAsia="Book Antiqua" w:cs="Book Antiqua"/>
          <w:color w:val="000000"/>
        </w:rPr>
        <w:t xml:space="preserve">: 92-NA) </w:t>
      </w:r>
      <w:r>
        <w:rPr>
          <w:rFonts w:hint="eastAsia" w:ascii="Book Antiqua" w:hAnsi="Book Antiqua" w:cs="Book Antiqua"/>
          <w:color w:val="000000"/>
          <w:lang w:eastAsia="zh-CN"/>
        </w:rPr>
        <w:t>mo</w:t>
      </w:r>
      <w:r>
        <w:rPr>
          <w:rFonts w:ascii="Book Antiqua" w:hAnsi="Book Antiqua" w:eastAsia="Book Antiqua" w:cs="Book Antiqua"/>
          <w:color w:val="000000"/>
        </w:rPr>
        <w:t xml:space="preserve">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w:t>
      </w:r>
    </w:p>
    <w:p>
      <w:pPr>
        <w:tabs>
          <w:tab w:val="left" w:pos="9360"/>
        </w:tabs>
        <w:adjustRightInd w:val="0"/>
        <w:snapToGrid w:val="0"/>
        <w:spacing w:line="360" w:lineRule="auto"/>
        <w:jc w:val="both"/>
        <w:rPr>
          <w:rFonts w:ascii="Book Antiqua" w:hAnsi="Book Antiqua" w:cs="Book Antiqua"/>
          <w:color w:val="000000"/>
          <w:lang w:eastAsia="zh-CN"/>
        </w:rPr>
        <w:sectPr>
          <w:pgSz w:w="12240" w:h="15840"/>
          <w:pgMar w:top="1440" w:right="1440" w:bottom="1440" w:left="1440" w:header="720" w:footer="720" w:gutter="0"/>
          <w:cols w:space="720" w:num="1"/>
          <w:docGrid w:linePitch="360" w:charSpace="0"/>
        </w:sectPr>
      </w:pPr>
    </w:p>
    <w:p>
      <w:pPr>
        <w:tabs>
          <w:tab w:val="left" w:pos="9360"/>
        </w:tabs>
        <w:adjustRightInd w:val="0"/>
        <w:snapToGrid w:val="0"/>
        <w:spacing w:line="360" w:lineRule="auto"/>
        <w:jc w:val="both"/>
        <w:rPr>
          <w:rFonts w:ascii="Book Antiqua" w:hAnsi="Book Antiqua" w:eastAsiaTheme="minorHAnsi"/>
          <w:b/>
          <w:bCs/>
        </w:rPr>
      </w:pPr>
      <w:r>
        <w:rPr>
          <w:rFonts w:ascii="Book Antiqua" w:hAnsi="Book Antiqua" w:eastAsiaTheme="minorHAnsi"/>
          <w:b/>
          <w:bCs/>
        </w:rPr>
        <w:t>Table 1 Baseline characteristics and age groups (</w:t>
      </w:r>
      <w:r>
        <w:rPr>
          <w:rFonts w:hint="eastAsia" w:ascii="Book Antiqua" w:hAnsi="Book Antiqua"/>
          <w:b/>
          <w:bCs/>
          <w:lang w:eastAsia="zh-CN"/>
        </w:rPr>
        <w:t>t</w:t>
      </w:r>
      <w:r>
        <w:rPr>
          <w:rFonts w:ascii="Book Antiqua" w:hAnsi="Book Antiqua" w:eastAsiaTheme="minorHAnsi"/>
          <w:b/>
          <w:bCs/>
        </w:rPr>
        <w:t>otal 225 patients)</w:t>
      </w:r>
    </w:p>
    <w:tbl>
      <w:tblPr>
        <w:tblStyle w:val="10"/>
        <w:tblW w:w="13041" w:type="dxa"/>
        <w:tblInd w:w="108"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5"/>
        <w:gridCol w:w="1559"/>
        <w:gridCol w:w="1276"/>
        <w:gridCol w:w="1276"/>
        <w:gridCol w:w="1275"/>
        <w:gridCol w:w="1560"/>
        <w:gridCol w:w="1559"/>
        <w:gridCol w:w="1417"/>
        <w:gridCol w:w="113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tcBorders>
              <w:top w:val="single" w:color="auto" w:sz="4" w:space="0"/>
              <w:bottom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b/>
              </w:rPr>
            </w:pPr>
            <w:r>
              <w:rPr>
                <w:rFonts w:ascii="Book Antiqua" w:hAnsi="Book Antiqua" w:cs="Times New Roman" w:eastAsiaTheme="minorHAnsi"/>
                <w:b/>
              </w:rPr>
              <w:t>Factor</w:t>
            </w:r>
          </w:p>
        </w:tc>
        <w:tc>
          <w:tcPr>
            <w:tcW w:w="1559" w:type="dxa"/>
            <w:tcBorders>
              <w:top w:val="single" w:color="auto" w:sz="4" w:space="0"/>
              <w:bottom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b/>
              </w:rPr>
            </w:pPr>
            <w:r>
              <w:rPr>
                <w:rFonts w:ascii="Book Antiqua" w:hAnsi="Book Antiqua" w:cs="Times New Roman" w:eastAsiaTheme="minorHAnsi"/>
                <w:b/>
              </w:rPr>
              <w:t>Group</w:t>
            </w:r>
          </w:p>
        </w:tc>
        <w:tc>
          <w:tcPr>
            <w:tcW w:w="1276" w:type="dxa"/>
            <w:tcBorders>
              <w:top w:val="single" w:color="auto" w:sz="4" w:space="0"/>
              <w:bottom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b/>
              </w:rPr>
            </w:pPr>
          </w:p>
        </w:tc>
        <w:tc>
          <w:tcPr>
            <w:tcW w:w="1276" w:type="dxa"/>
            <w:tcBorders>
              <w:top w:val="single" w:color="auto" w:sz="4" w:space="0"/>
              <w:bottom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b/>
              </w:rPr>
            </w:pPr>
            <w:r>
              <w:rPr>
                <w:rFonts w:ascii="Book Antiqua" w:hAnsi="Book Antiqua" w:cs="Times New Roman" w:eastAsiaTheme="minorHAnsi"/>
                <w:b/>
              </w:rPr>
              <w:t>Alive (%)</w:t>
            </w:r>
          </w:p>
        </w:tc>
        <w:tc>
          <w:tcPr>
            <w:tcW w:w="1275" w:type="dxa"/>
            <w:tcBorders>
              <w:top w:val="single" w:color="auto" w:sz="4" w:space="0"/>
              <w:bottom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b/>
              </w:rPr>
            </w:pPr>
            <w:r>
              <w:rPr>
                <w:rFonts w:ascii="Book Antiqua" w:hAnsi="Book Antiqua" w:cs="Times New Roman" w:eastAsiaTheme="minorHAnsi"/>
                <w:b/>
                <w:i/>
              </w:rPr>
              <w:t>P</w:t>
            </w:r>
            <w:r>
              <w:rPr>
                <w:rFonts w:ascii="Book Antiqua" w:hAnsi="Book Antiqua" w:cs="Times New Roman" w:eastAsiaTheme="minorHAnsi"/>
                <w:b/>
              </w:rPr>
              <w:t xml:space="preserve"> value</w:t>
            </w:r>
          </w:p>
        </w:tc>
        <w:tc>
          <w:tcPr>
            <w:tcW w:w="1560" w:type="dxa"/>
            <w:tcBorders>
              <w:top w:val="single" w:color="auto" w:sz="4" w:space="0"/>
              <w:bottom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b/>
              </w:rPr>
            </w:pPr>
            <w:r>
              <w:rPr>
                <w:rFonts w:ascii="Book Antiqua" w:hAnsi="Book Antiqua" w:cs="Times New Roman" w:eastAsiaTheme="minorHAnsi"/>
                <w:b/>
              </w:rPr>
              <w:t>&lt;</w:t>
            </w:r>
            <w:r>
              <w:rPr>
                <w:rFonts w:hint="eastAsia" w:ascii="Book Antiqua" w:hAnsi="Book Antiqua" w:cs="Times New Roman" w:eastAsiaTheme="minorEastAsia"/>
                <w:b/>
                <w:lang w:eastAsia="zh-CN"/>
              </w:rPr>
              <w:t xml:space="preserve"> </w:t>
            </w:r>
            <w:r>
              <w:rPr>
                <w:rFonts w:ascii="Book Antiqua" w:hAnsi="Book Antiqua" w:cs="Times New Roman" w:eastAsiaTheme="minorHAnsi"/>
                <w:b/>
              </w:rPr>
              <w:t>20</w:t>
            </w:r>
          </w:p>
        </w:tc>
        <w:tc>
          <w:tcPr>
            <w:tcW w:w="1559" w:type="dxa"/>
            <w:tcBorders>
              <w:top w:val="single" w:color="auto" w:sz="4" w:space="0"/>
              <w:bottom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b/>
              </w:rPr>
            </w:pPr>
            <w:r>
              <w:rPr>
                <w:rFonts w:ascii="Book Antiqua" w:hAnsi="Book Antiqua" w:cs="Times New Roman" w:eastAsiaTheme="minorHAnsi"/>
                <w:b/>
              </w:rPr>
              <w:t>20-59</w:t>
            </w:r>
          </w:p>
        </w:tc>
        <w:tc>
          <w:tcPr>
            <w:tcW w:w="1417" w:type="dxa"/>
            <w:tcBorders>
              <w:top w:val="single" w:color="auto" w:sz="4" w:space="0"/>
              <w:bottom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b/>
              </w:rPr>
            </w:pPr>
            <w:r>
              <w:rPr>
                <w:rFonts w:ascii="Book Antiqua" w:hAnsi="Book Antiqua" w:cs="Times New Roman" w:eastAsiaTheme="minorHAnsi"/>
                <w:b/>
              </w:rPr>
              <w:t>60+</w:t>
            </w:r>
          </w:p>
        </w:tc>
        <w:tc>
          <w:tcPr>
            <w:tcW w:w="1134" w:type="dxa"/>
            <w:tcBorders>
              <w:top w:val="single" w:color="auto" w:sz="4" w:space="0"/>
              <w:bottom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b/>
              </w:rPr>
            </w:pPr>
            <w:r>
              <w:rPr>
                <w:rFonts w:ascii="Book Antiqua" w:hAnsi="Book Antiqua" w:cs="Times New Roman" w:eastAsiaTheme="minorHAnsi"/>
                <w:b/>
                <w:i/>
              </w:rPr>
              <w:t>P</w:t>
            </w:r>
            <w:r>
              <w:rPr>
                <w:rFonts w:ascii="Book Antiqua" w:hAnsi="Book Antiqua" w:cs="Times New Roman" w:eastAsiaTheme="minorHAnsi"/>
                <w:b/>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tcBorders>
              <w:top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i/>
              </w:rPr>
              <w:t>n</w:t>
            </w:r>
            <w:r>
              <w:rPr>
                <w:rFonts w:ascii="Book Antiqua" w:hAnsi="Book Antiqua" w:cs="Times New Roman" w:eastAsiaTheme="minorHAnsi"/>
              </w:rPr>
              <w:t xml:space="preserve"> (%)</w:t>
            </w:r>
          </w:p>
        </w:tc>
        <w:tc>
          <w:tcPr>
            <w:tcW w:w="1559" w:type="dxa"/>
            <w:tcBorders>
              <w:top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rPr>
            </w:pPr>
          </w:p>
        </w:tc>
        <w:tc>
          <w:tcPr>
            <w:tcW w:w="1276" w:type="dxa"/>
            <w:tcBorders>
              <w:top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225</w:t>
            </w:r>
          </w:p>
        </w:tc>
        <w:tc>
          <w:tcPr>
            <w:tcW w:w="1276" w:type="dxa"/>
            <w:tcBorders>
              <w:top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67 (29.8)</w:t>
            </w:r>
          </w:p>
        </w:tc>
        <w:tc>
          <w:tcPr>
            <w:tcW w:w="1275" w:type="dxa"/>
            <w:tcBorders>
              <w:top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rPr>
            </w:pPr>
          </w:p>
        </w:tc>
        <w:tc>
          <w:tcPr>
            <w:tcW w:w="1560" w:type="dxa"/>
            <w:tcBorders>
              <w:top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62 (27.5)</w:t>
            </w:r>
          </w:p>
        </w:tc>
        <w:tc>
          <w:tcPr>
            <w:tcW w:w="1559" w:type="dxa"/>
            <w:tcBorders>
              <w:top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114 (50.7)</w:t>
            </w:r>
          </w:p>
        </w:tc>
        <w:tc>
          <w:tcPr>
            <w:tcW w:w="1417" w:type="dxa"/>
            <w:tcBorders>
              <w:top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49 (21.8)</w:t>
            </w:r>
          </w:p>
        </w:tc>
        <w:tc>
          <w:tcPr>
            <w:tcW w:w="1134" w:type="dxa"/>
            <w:tcBorders>
              <w:top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EastAsia"/>
                <w:lang w:eastAsia="zh-CN"/>
              </w:rPr>
            </w:pPr>
            <w:r>
              <w:rPr>
                <w:rFonts w:ascii="Book Antiqua" w:hAnsi="Book Antiqua" w:cs="Times New Roman" w:eastAsiaTheme="minorHAnsi"/>
              </w:rPr>
              <w:t xml:space="preserve">Median age </w:t>
            </w:r>
            <w:r>
              <w:rPr>
                <w:rFonts w:hint="eastAsia" w:ascii="Book Antiqua" w:hAnsi="Book Antiqua" w:cs="Times New Roman" w:eastAsiaTheme="minorEastAsia"/>
                <w:lang w:eastAsia="zh-CN"/>
              </w:rPr>
              <w:t>(</w:t>
            </w:r>
            <w:r>
              <w:rPr>
                <w:rFonts w:ascii="Book Antiqua" w:hAnsi="Book Antiqua" w:cs="Times New Roman" w:eastAsiaTheme="minorHAnsi"/>
              </w:rPr>
              <w:t>IQR</w:t>
            </w:r>
            <w:r>
              <w:rPr>
                <w:rFonts w:hint="eastAsia" w:ascii="Book Antiqua" w:hAnsi="Book Antiqua" w:cs="Times New Roman" w:eastAsiaTheme="minorEastAsia"/>
                <w:lang w:eastAsia="zh-CN"/>
              </w:rPr>
              <w:t>)</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276" w:type="dxa"/>
            <w:noWrap/>
          </w:tcPr>
          <w:p>
            <w:pPr>
              <w:tabs>
                <w:tab w:val="left" w:pos="9360"/>
              </w:tabs>
              <w:adjustRightInd w:val="0"/>
              <w:snapToGrid w:val="0"/>
              <w:spacing w:line="360" w:lineRule="auto"/>
              <w:jc w:val="both"/>
              <w:rPr>
                <w:rFonts w:ascii="Book Antiqua" w:hAnsi="Book Antiqua" w:cs="Times New Roman" w:eastAsiaTheme="minorEastAsia"/>
                <w:lang w:eastAsia="zh-CN"/>
              </w:rPr>
            </w:pPr>
            <w:r>
              <w:rPr>
                <w:rFonts w:ascii="Book Antiqua" w:hAnsi="Book Antiqua" w:cs="Times New Roman" w:eastAsiaTheme="minorHAnsi"/>
              </w:rPr>
              <w:t xml:space="preserve">27 </w:t>
            </w:r>
            <w:r>
              <w:rPr>
                <w:rFonts w:hint="eastAsia" w:ascii="Book Antiqua" w:hAnsi="Book Antiqua" w:cs="Times New Roman" w:eastAsiaTheme="minorEastAsia"/>
                <w:lang w:eastAsia="zh-CN"/>
              </w:rPr>
              <w:t>(</w:t>
            </w:r>
            <w:r>
              <w:rPr>
                <w:rFonts w:ascii="Book Antiqua" w:hAnsi="Book Antiqua" w:cs="Times New Roman" w:eastAsiaTheme="minorHAnsi"/>
              </w:rPr>
              <w:t>19-56</w:t>
            </w:r>
            <w:r>
              <w:rPr>
                <w:rFonts w:hint="eastAsia" w:ascii="Book Antiqua" w:hAnsi="Book Antiqua" w:cs="Times New Roman" w:eastAsiaTheme="minorEastAsia"/>
                <w:lang w:eastAsia="zh-CN"/>
              </w:rPr>
              <w:t>)</w:t>
            </w:r>
          </w:p>
        </w:tc>
        <w:tc>
          <w:tcPr>
            <w:tcW w:w="1276" w:type="dxa"/>
            <w:noWrap/>
          </w:tcPr>
          <w:p>
            <w:pPr>
              <w:tabs>
                <w:tab w:val="left" w:pos="9360"/>
              </w:tabs>
              <w:adjustRightInd w:val="0"/>
              <w:snapToGrid w:val="0"/>
              <w:spacing w:line="360" w:lineRule="auto"/>
              <w:jc w:val="both"/>
              <w:rPr>
                <w:rFonts w:ascii="Book Antiqua" w:hAnsi="Book Antiqua" w:cs="Times New Roman" w:eastAsiaTheme="minorEastAsia"/>
                <w:lang w:eastAsia="zh-CN"/>
              </w:rPr>
            </w:pP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60" w:type="dxa"/>
            <w:noWrap/>
          </w:tcPr>
          <w:p>
            <w:pPr>
              <w:tabs>
                <w:tab w:val="left" w:pos="9360"/>
              </w:tabs>
              <w:adjustRightInd w:val="0"/>
              <w:snapToGrid w:val="0"/>
              <w:spacing w:line="360" w:lineRule="auto"/>
              <w:jc w:val="both"/>
              <w:rPr>
                <w:rFonts w:ascii="Book Antiqua" w:hAnsi="Book Antiqua" w:cs="Times New Roman" w:eastAsiaTheme="minorEastAsia"/>
                <w:lang w:eastAsia="zh-CN"/>
              </w:rPr>
            </w:pPr>
            <w:r>
              <w:rPr>
                <w:rFonts w:ascii="Book Antiqua" w:hAnsi="Book Antiqua" w:cs="Times New Roman" w:eastAsiaTheme="minorHAnsi"/>
              </w:rPr>
              <w:t xml:space="preserve">15.5 </w:t>
            </w:r>
            <w:r>
              <w:rPr>
                <w:rFonts w:hint="eastAsia" w:ascii="Book Antiqua" w:hAnsi="Book Antiqua" w:cs="Times New Roman" w:eastAsiaTheme="minorEastAsia"/>
                <w:lang w:eastAsia="zh-CN"/>
              </w:rPr>
              <w:t>(</w:t>
            </w:r>
            <w:r>
              <w:rPr>
                <w:rFonts w:ascii="Book Antiqua" w:hAnsi="Book Antiqua" w:cs="Times New Roman" w:eastAsiaTheme="minorHAnsi"/>
              </w:rPr>
              <w:t>13-17</w:t>
            </w:r>
            <w:r>
              <w:rPr>
                <w:rFonts w:hint="eastAsia" w:ascii="Book Antiqua" w:hAnsi="Book Antiqua" w:cs="Times New Roman" w:eastAsiaTheme="minorEastAsia"/>
                <w:lang w:eastAsia="zh-CN"/>
              </w:rPr>
              <w:t>)</w:t>
            </w:r>
          </w:p>
        </w:tc>
        <w:tc>
          <w:tcPr>
            <w:tcW w:w="1559" w:type="dxa"/>
            <w:noWrap/>
          </w:tcPr>
          <w:p>
            <w:pPr>
              <w:tabs>
                <w:tab w:val="left" w:pos="9360"/>
              </w:tabs>
              <w:adjustRightInd w:val="0"/>
              <w:snapToGrid w:val="0"/>
              <w:spacing w:line="360" w:lineRule="auto"/>
              <w:jc w:val="both"/>
              <w:rPr>
                <w:rFonts w:ascii="Book Antiqua" w:hAnsi="Book Antiqua" w:cs="Times New Roman" w:eastAsiaTheme="minorEastAsia"/>
                <w:lang w:eastAsia="zh-CN"/>
              </w:rPr>
            </w:pPr>
            <w:r>
              <w:rPr>
                <w:rFonts w:ascii="Book Antiqua" w:hAnsi="Book Antiqua" w:cs="Times New Roman" w:eastAsiaTheme="minorHAnsi"/>
              </w:rPr>
              <w:t xml:space="preserve">28.5 </w:t>
            </w:r>
            <w:r>
              <w:rPr>
                <w:rFonts w:hint="eastAsia" w:ascii="Book Antiqua" w:hAnsi="Book Antiqua" w:cs="Times New Roman" w:eastAsiaTheme="minorEastAsia"/>
                <w:lang w:eastAsia="zh-CN"/>
              </w:rPr>
              <w:t>(</w:t>
            </w:r>
            <w:r>
              <w:rPr>
                <w:rFonts w:ascii="Book Antiqua" w:hAnsi="Book Antiqua" w:cs="Times New Roman" w:eastAsiaTheme="minorHAnsi"/>
              </w:rPr>
              <w:t>23-44</w:t>
            </w:r>
            <w:r>
              <w:rPr>
                <w:rFonts w:hint="eastAsia" w:ascii="Book Antiqua" w:hAnsi="Book Antiqua" w:cs="Times New Roman" w:eastAsiaTheme="minorEastAsia"/>
                <w:lang w:eastAsia="zh-CN"/>
              </w:rPr>
              <w:t>)</w:t>
            </w:r>
          </w:p>
        </w:tc>
        <w:tc>
          <w:tcPr>
            <w:tcW w:w="1417" w:type="dxa"/>
            <w:noWrap/>
          </w:tcPr>
          <w:p>
            <w:pPr>
              <w:tabs>
                <w:tab w:val="left" w:pos="9360"/>
              </w:tabs>
              <w:adjustRightInd w:val="0"/>
              <w:snapToGrid w:val="0"/>
              <w:spacing w:line="360" w:lineRule="auto"/>
              <w:jc w:val="both"/>
              <w:rPr>
                <w:rFonts w:ascii="Book Antiqua" w:hAnsi="Book Antiqua" w:cs="Times New Roman" w:eastAsiaTheme="minorEastAsia"/>
                <w:lang w:eastAsia="zh-CN"/>
              </w:rPr>
            </w:pPr>
            <w:r>
              <w:rPr>
                <w:rFonts w:ascii="Book Antiqua" w:hAnsi="Book Antiqua" w:cs="Times New Roman" w:eastAsiaTheme="minorHAnsi"/>
              </w:rPr>
              <w:t xml:space="preserve">69.0 </w:t>
            </w:r>
            <w:r>
              <w:rPr>
                <w:rFonts w:hint="eastAsia" w:ascii="Book Antiqua" w:hAnsi="Book Antiqua" w:cs="Times New Roman" w:eastAsiaTheme="minorEastAsia"/>
                <w:lang w:eastAsia="zh-CN"/>
              </w:rPr>
              <w:t>(</w:t>
            </w:r>
            <w:r>
              <w:rPr>
                <w:rFonts w:ascii="Book Antiqua" w:hAnsi="Book Antiqua" w:cs="Times New Roman" w:eastAsiaTheme="minorHAnsi"/>
              </w:rPr>
              <w:t>65-76</w:t>
            </w:r>
            <w:r>
              <w:rPr>
                <w:rFonts w:hint="eastAsia" w:ascii="Book Antiqua" w:hAnsi="Book Antiqua" w:cs="Times New Roman" w:eastAsiaTheme="minorEastAsia"/>
                <w:lang w:eastAsia="zh-CN"/>
              </w:rPr>
              <w:t>)</w:t>
            </w:r>
          </w:p>
        </w:tc>
        <w:tc>
          <w:tcPr>
            <w:tcW w:w="1134" w:type="dxa"/>
            <w:noWrap/>
          </w:tcPr>
          <w:p>
            <w:pPr>
              <w:tabs>
                <w:tab w:val="left" w:pos="9360"/>
              </w:tabs>
              <w:adjustRightInd w:val="0"/>
              <w:snapToGrid w:val="0"/>
              <w:spacing w:line="360" w:lineRule="auto"/>
              <w:jc w:val="both"/>
              <w:rPr>
                <w:rFonts w:ascii="Book Antiqua" w:hAnsi="Book Antiqua" w:cs="Times New Roman" w:eastAsiaTheme="minorEastAsi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Male (%)</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141 (62.7)</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42 (29.8)</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0.99</w:t>
            </w: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33 (23.4)</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74 (52.5)</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34 (24.1)</w:t>
            </w:r>
          </w:p>
        </w:tc>
        <w:tc>
          <w:tcPr>
            <w:tcW w:w="1134"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0.17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Race (%)</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White</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124 (55.1)</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39 (31.5)</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0.66</w:t>
            </w: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34 (27.4)</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67 (54.3)</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23 (18.6)</w:t>
            </w:r>
          </w:p>
        </w:tc>
        <w:tc>
          <w:tcPr>
            <w:tcW w:w="1134"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0.07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 xml:space="preserve">Black </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27 (12.0)</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8 (29.6)</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 (22.2)</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16 (59.3)</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5 (18.5)</w:t>
            </w:r>
          </w:p>
        </w:tc>
        <w:tc>
          <w:tcPr>
            <w:tcW w:w="1134" w:type="dxa"/>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API</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22 (9.8)</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4 (18.2)</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 (13.6)</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9 (40.9)</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10 (45.5)</w:t>
            </w:r>
          </w:p>
        </w:tc>
        <w:tc>
          <w:tcPr>
            <w:tcW w:w="1134" w:type="dxa"/>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Hispanic</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52 (23.1)</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16 (30.8)</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19 (36.5)</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22 (42.3)</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11 (21.2)</w:t>
            </w:r>
          </w:p>
        </w:tc>
        <w:tc>
          <w:tcPr>
            <w:tcW w:w="1134" w:type="dxa"/>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Household income (%)</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&lt;</w:t>
            </w:r>
            <w:r>
              <w:rPr>
                <w:rFonts w:hint="eastAsia" w:ascii="Book Antiqua" w:hAnsi="Book Antiqua" w:cs="Times New Roman" w:eastAsiaTheme="minorEastAsia"/>
                <w:lang w:eastAsia="zh-CN"/>
              </w:rPr>
              <w:t xml:space="preserve"> </w:t>
            </w:r>
            <w:r>
              <w:rPr>
                <w:rFonts w:ascii="Book Antiqua" w:hAnsi="Book Antiqua" w:cs="Times New Roman" w:eastAsiaTheme="minorHAnsi"/>
              </w:rPr>
              <w:t>$55000</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55 (24.4)</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20 (36.4)</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0.47</w:t>
            </w: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16 (29.1)</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32 (58.2)</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7 (12.7)</w:t>
            </w:r>
          </w:p>
        </w:tc>
        <w:tc>
          <w:tcPr>
            <w:tcW w:w="1134"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0.37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$55000-70000</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88 (39.1)</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24 (27.8)</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26 (29.6)</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40 (45.5)</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22 (25.0)</w:t>
            </w:r>
          </w:p>
        </w:tc>
        <w:tc>
          <w:tcPr>
            <w:tcW w:w="1134" w:type="dxa"/>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&gt;</w:t>
            </w:r>
            <w:r>
              <w:rPr>
                <w:rFonts w:hint="eastAsia" w:ascii="Book Antiqua" w:hAnsi="Book Antiqua" w:eastAsia="宋体" w:cs="Times New Roman"/>
                <w:lang w:val="en-US" w:eastAsia="zh-CN"/>
              </w:rPr>
              <w:t xml:space="preserve"> </w:t>
            </w:r>
            <w:r>
              <w:rPr>
                <w:rFonts w:ascii="Book Antiqua" w:hAnsi="Book Antiqua" w:cs="Times New Roman" w:eastAsiaTheme="minorHAnsi"/>
              </w:rPr>
              <w:t>$70,000</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82 (36.4)</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23 (28.0)</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20 (24.4)</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42 (51.2)</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20 (24.4)</w:t>
            </w:r>
          </w:p>
        </w:tc>
        <w:tc>
          <w:tcPr>
            <w:tcW w:w="1134" w:type="dxa"/>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Living settings (%)</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Population &gt; 1 million</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144 (61.0)</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36 (25.0)</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0.04</w:t>
            </w: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38 (26.4)</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71 (49.3)</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35 (24.3)</w:t>
            </w:r>
          </w:p>
        </w:tc>
        <w:tc>
          <w:tcPr>
            <w:tcW w:w="1134"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0.47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Other</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81 (36.0)</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31 (38.3)</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24 (29.6)</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43 (53.1)</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14 (17.3)</w:t>
            </w:r>
          </w:p>
        </w:tc>
        <w:tc>
          <w:tcPr>
            <w:tcW w:w="1134" w:type="dxa"/>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Stages (%)</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I</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65 (28.9)</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32 (49.2)</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&lt;</w:t>
            </w:r>
            <w:r>
              <w:rPr>
                <w:rFonts w:hint="eastAsia" w:ascii="Book Antiqua" w:hAnsi="Book Antiqua" w:cs="Times New Roman" w:eastAsiaTheme="minorEastAsia"/>
                <w:lang w:eastAsia="zh-CN"/>
              </w:rPr>
              <w:t xml:space="preserve"> </w:t>
            </w:r>
            <w:r>
              <w:rPr>
                <w:rFonts w:ascii="Book Antiqua" w:hAnsi="Book Antiqua" w:cs="Times New Roman" w:eastAsiaTheme="minorHAnsi"/>
              </w:rPr>
              <w:t>0.001</w:t>
            </w: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13 (20)</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29 (44.6)</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23 (35.4)</w:t>
            </w:r>
          </w:p>
        </w:tc>
        <w:tc>
          <w:tcPr>
            <w:tcW w:w="1134"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0.02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II</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18 (8.0)</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8 (44.4)</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7 (38.9)</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7 (38.9)</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4 (22.2)</w:t>
            </w:r>
          </w:p>
        </w:tc>
        <w:tc>
          <w:tcPr>
            <w:tcW w:w="1134" w:type="dxa"/>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III</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61 (27.1)</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19 (31.1)</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20 (32.8)</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32 (25.5)</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9 (14.8)</w:t>
            </w:r>
          </w:p>
        </w:tc>
        <w:tc>
          <w:tcPr>
            <w:tcW w:w="1134" w:type="dxa"/>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IV</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61 (27.1)</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 (3.3)</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20 (32.8)</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34 (55.7)</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7 (11.5)</w:t>
            </w:r>
          </w:p>
        </w:tc>
        <w:tc>
          <w:tcPr>
            <w:tcW w:w="1134" w:type="dxa"/>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Unknown</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20 (8.9)</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 (30.0)</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 (10.0)</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12 (60.0)</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 (30.0)</w:t>
            </w:r>
          </w:p>
        </w:tc>
        <w:tc>
          <w:tcPr>
            <w:tcW w:w="1134" w:type="dxa"/>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Lymph Node status (%)</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N0</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143 (63.6)</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52 (36.4)</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0.009</w:t>
            </w: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35 (24.5)</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68 (47.6)</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40 (28.0)</w:t>
            </w:r>
          </w:p>
        </w:tc>
        <w:tc>
          <w:tcPr>
            <w:tcW w:w="1134"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0.004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N1</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60 (26.7)</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13 (21.7)</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24 (40.0)</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32 (53.3)</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4 (6.7)</w:t>
            </w:r>
          </w:p>
        </w:tc>
        <w:tc>
          <w:tcPr>
            <w:tcW w:w="1134" w:type="dxa"/>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Nx</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22 (9.78)</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 (9.1)</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 (13.6)</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14 (63.6)</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5 (22.7)</w:t>
            </w:r>
          </w:p>
        </w:tc>
        <w:tc>
          <w:tcPr>
            <w:tcW w:w="1134" w:type="dxa"/>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Metastasis status (%)</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M0</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154 (68.4)</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64 (41.6)</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&lt;</w:t>
            </w:r>
            <w:r>
              <w:rPr>
                <w:rFonts w:hint="eastAsia" w:ascii="Book Antiqua" w:hAnsi="Book Antiqua" w:cs="Times New Roman" w:eastAsiaTheme="minorEastAsia"/>
                <w:lang w:eastAsia="zh-CN"/>
              </w:rPr>
              <w:t xml:space="preserve"> </w:t>
            </w:r>
            <w:r>
              <w:rPr>
                <w:rFonts w:ascii="Book Antiqua" w:hAnsi="Book Antiqua" w:cs="Times New Roman" w:eastAsiaTheme="minorHAnsi"/>
              </w:rPr>
              <w:t>0.001</w:t>
            </w: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41 (26.6)</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74 (48.05)</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39 (25.3)</w:t>
            </w:r>
          </w:p>
        </w:tc>
        <w:tc>
          <w:tcPr>
            <w:tcW w:w="1134"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0.16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M1</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61 (27.1)</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 (3.3)</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20 (32.8)</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34 (55.7)</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7 (11.5)</w:t>
            </w:r>
          </w:p>
        </w:tc>
        <w:tc>
          <w:tcPr>
            <w:tcW w:w="1134" w:type="dxa"/>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Mx</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10 (4.4)</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 (10.0)</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 (10.0)</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 (60.0)</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 (30.0)</w:t>
            </w:r>
          </w:p>
        </w:tc>
        <w:tc>
          <w:tcPr>
            <w:tcW w:w="1134" w:type="dxa"/>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Surgery (%)</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Wedge/segmental resection</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39 (17.8)</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23 (59.0)</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&lt;</w:t>
            </w:r>
            <w:r>
              <w:rPr>
                <w:rFonts w:hint="eastAsia" w:ascii="Book Antiqua" w:hAnsi="Book Antiqua" w:cs="Times New Roman" w:eastAsiaTheme="minorEastAsia"/>
                <w:lang w:eastAsia="zh-CN"/>
              </w:rPr>
              <w:t xml:space="preserve"> </w:t>
            </w:r>
            <w:r>
              <w:rPr>
                <w:rFonts w:ascii="Book Antiqua" w:hAnsi="Book Antiqua" w:cs="Times New Roman" w:eastAsiaTheme="minorHAnsi"/>
              </w:rPr>
              <w:t>0.001</w:t>
            </w: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15 (38.5)</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17 (43.6)</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7 (18.0)</w:t>
            </w:r>
          </w:p>
        </w:tc>
        <w:tc>
          <w:tcPr>
            <w:tcW w:w="1134"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&lt;</w:t>
            </w:r>
            <w:r>
              <w:rPr>
                <w:rFonts w:hint="eastAsia" w:ascii="Book Antiqua" w:hAnsi="Book Antiqua" w:cs="Times New Roman" w:eastAsiaTheme="minorEastAsia"/>
                <w:lang w:eastAsia="zh-CN"/>
              </w:rPr>
              <w:t xml:space="preserve"> </w:t>
            </w:r>
            <w:r>
              <w:rPr>
                <w:rFonts w:ascii="Book Antiqua" w:hAnsi="Book Antiqua" w:cs="Times New Roman" w:eastAsiaTheme="minorHAnsi"/>
              </w:rPr>
              <w: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Lobectomy</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42 (19.2)</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21 (50.0)</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23 (43.4)</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23 (54.8)</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 (7.1)</w:t>
            </w:r>
          </w:p>
        </w:tc>
        <w:tc>
          <w:tcPr>
            <w:tcW w:w="1134" w:type="dxa"/>
            <w:noWrap/>
          </w:tcPr>
          <w:p>
            <w:pPr>
              <w:tabs>
                <w:tab w:val="left" w:pos="9360"/>
              </w:tabs>
              <w:adjustRightInd w:val="0"/>
              <w:snapToGrid w:val="0"/>
              <w:spacing w:line="360" w:lineRule="auto"/>
              <w:jc w:val="both"/>
              <w:rPr>
                <w:rFonts w:ascii="Book Antiqua" w:hAnsi="Book Antiqua" w:cs="Times New Roman" w:eastAsiaTheme="minorEastAsi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Extended lobectomy</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11 (5.0)</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 (54.5)</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7 (63.6)</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4 (36.4)</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0 (0)</w:t>
            </w:r>
          </w:p>
        </w:tc>
        <w:tc>
          <w:tcPr>
            <w:tcW w:w="1134" w:type="dxa"/>
            <w:noWrap/>
          </w:tcPr>
          <w:p>
            <w:pPr>
              <w:tabs>
                <w:tab w:val="left" w:pos="9360"/>
              </w:tabs>
              <w:adjustRightInd w:val="0"/>
              <w:snapToGrid w:val="0"/>
              <w:spacing w:line="360" w:lineRule="auto"/>
              <w:jc w:val="both"/>
              <w:rPr>
                <w:rFonts w:ascii="Book Antiqua" w:hAnsi="Book Antiqua" w:cs="Times New Roman" w:eastAsiaTheme="minorEastAsi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 xml:space="preserve">Transplant </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19 (8.7)</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7 (36.8)</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 (31.6)</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13 (68.4)</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0 (0)</w:t>
            </w:r>
          </w:p>
        </w:tc>
        <w:tc>
          <w:tcPr>
            <w:tcW w:w="1134" w:type="dxa"/>
            <w:noWrap/>
          </w:tcPr>
          <w:p>
            <w:pPr>
              <w:tabs>
                <w:tab w:val="left" w:pos="9360"/>
              </w:tabs>
              <w:adjustRightInd w:val="0"/>
              <w:snapToGrid w:val="0"/>
              <w:spacing w:line="360" w:lineRule="auto"/>
              <w:jc w:val="both"/>
              <w:rPr>
                <w:rFonts w:ascii="Book Antiqua" w:hAnsi="Book Antiqua" w:cs="Times New Roman" w:eastAsiaTheme="minorEastAsi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98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None</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108 (49.3)</w:t>
            </w:r>
          </w:p>
        </w:tc>
        <w:tc>
          <w:tcPr>
            <w:tcW w:w="1276"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10 (9.3)</w:t>
            </w:r>
          </w:p>
        </w:tc>
        <w:tc>
          <w:tcPr>
            <w:tcW w:w="1275" w:type="dxa"/>
            <w:noWrap/>
          </w:tcPr>
          <w:p>
            <w:pPr>
              <w:tabs>
                <w:tab w:val="left" w:pos="9360"/>
              </w:tabs>
              <w:adjustRightInd w:val="0"/>
              <w:snapToGrid w:val="0"/>
              <w:spacing w:line="360" w:lineRule="auto"/>
              <w:jc w:val="both"/>
              <w:rPr>
                <w:rFonts w:ascii="Book Antiqua" w:hAnsi="Book Antiqua" w:cs="Times New Roman" w:eastAsiaTheme="minorHAnsi"/>
              </w:rPr>
            </w:pPr>
          </w:p>
        </w:tc>
        <w:tc>
          <w:tcPr>
            <w:tcW w:w="1560"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18 (16.7)</w:t>
            </w:r>
          </w:p>
        </w:tc>
        <w:tc>
          <w:tcPr>
            <w:tcW w:w="1559"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54 (50.0)</w:t>
            </w:r>
          </w:p>
        </w:tc>
        <w:tc>
          <w:tcPr>
            <w:tcW w:w="1417" w:type="dxa"/>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36 (33.3)</w:t>
            </w:r>
          </w:p>
        </w:tc>
        <w:tc>
          <w:tcPr>
            <w:tcW w:w="1134" w:type="dxa"/>
            <w:noWrap/>
          </w:tcPr>
          <w:p>
            <w:pPr>
              <w:tabs>
                <w:tab w:val="left" w:pos="9360"/>
              </w:tabs>
              <w:adjustRightInd w:val="0"/>
              <w:snapToGrid w:val="0"/>
              <w:spacing w:line="360" w:lineRule="auto"/>
              <w:jc w:val="both"/>
              <w:rPr>
                <w:rFonts w:ascii="Book Antiqua" w:hAnsi="Book Antiqua" w:cs="Times New Roman" w:eastAsiaTheme="minorEastAsia"/>
                <w:lang w:eastAsia="zh-CN"/>
              </w:rPr>
            </w:pPr>
          </w:p>
          <w:p>
            <w:pPr>
              <w:tabs>
                <w:tab w:val="left" w:pos="9360"/>
              </w:tabs>
              <w:adjustRightInd w:val="0"/>
              <w:snapToGrid w:val="0"/>
              <w:spacing w:line="360" w:lineRule="auto"/>
              <w:jc w:val="both"/>
              <w:rPr>
                <w:rFonts w:ascii="Book Antiqua" w:hAnsi="Book Antiqua" w:cs="Times New Roman" w:eastAsiaTheme="minorEastAsia"/>
                <w:lang w:eastAsia="zh-CN"/>
              </w:rPr>
            </w:pPr>
          </w:p>
        </w:tc>
      </w:tr>
    </w:tbl>
    <w:p>
      <w:pPr>
        <w:tabs>
          <w:tab w:val="left" w:pos="9360"/>
        </w:tabs>
        <w:adjustRightInd w:val="0"/>
        <w:snapToGrid w:val="0"/>
        <w:spacing w:line="360" w:lineRule="auto"/>
        <w:jc w:val="both"/>
        <w:rPr>
          <w:rFonts w:ascii="Book Antiqua" w:hAnsi="Book Antiqua" w:eastAsiaTheme="minorHAnsi"/>
          <w:b/>
          <w:bCs/>
        </w:rPr>
      </w:pPr>
    </w:p>
    <w:p>
      <w:pPr>
        <w:adjustRightInd w:val="0"/>
        <w:snapToGrid w:val="0"/>
        <w:spacing w:line="360" w:lineRule="auto"/>
        <w:jc w:val="both"/>
        <w:rPr>
          <w:rFonts w:ascii="Book Antiqua" w:hAnsi="Book Antiqua" w:eastAsiaTheme="minorHAnsi"/>
          <w:b/>
          <w:bCs/>
        </w:rPr>
        <w:sectPr>
          <w:pgSz w:w="15840" w:h="12240" w:orient="landscape"/>
          <w:pgMar w:top="1440" w:right="1440" w:bottom="1440" w:left="1440" w:header="720" w:footer="720" w:gutter="0"/>
          <w:cols w:space="720" w:num="1"/>
          <w:docGrid w:linePitch="360" w:charSpace="0"/>
        </w:sectPr>
      </w:pPr>
    </w:p>
    <w:p>
      <w:pPr>
        <w:tabs>
          <w:tab w:val="left" w:pos="9360"/>
        </w:tabs>
        <w:adjustRightInd w:val="0"/>
        <w:snapToGrid w:val="0"/>
        <w:spacing w:line="360" w:lineRule="auto"/>
        <w:jc w:val="both"/>
        <w:rPr>
          <w:rFonts w:ascii="Book Antiqua" w:hAnsi="Book Antiqua" w:eastAsiaTheme="minorHAnsi"/>
          <w:b/>
          <w:bCs/>
        </w:rPr>
      </w:pPr>
      <w:r>
        <w:rPr>
          <w:rFonts w:ascii="Book Antiqua" w:hAnsi="Book Antiqua" w:eastAsiaTheme="minorHAnsi"/>
          <w:b/>
          <w:bCs/>
        </w:rPr>
        <w:t>Table 2. Summary of Characteristics by Race (Total 225 patients)</w:t>
      </w:r>
    </w:p>
    <w:tbl>
      <w:tblPr>
        <w:tblStyle w:val="10"/>
        <w:tblW w:w="4936"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93"/>
        <w:gridCol w:w="1841"/>
        <w:gridCol w:w="1275"/>
        <w:gridCol w:w="1699"/>
        <w:gridCol w:w="1418"/>
        <w:gridCol w:w="1418"/>
        <w:gridCol w:w="1704"/>
        <w:gridCol w:w="155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tcBorders>
              <w:top w:val="single" w:color="auto" w:sz="4" w:space="0"/>
              <w:bottom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b/>
              </w:rPr>
            </w:pPr>
            <w:r>
              <w:rPr>
                <w:rFonts w:ascii="Book Antiqua" w:hAnsi="Book Antiqua" w:cs="Times New Roman" w:eastAsiaTheme="minorHAnsi"/>
                <w:b/>
              </w:rPr>
              <w:t>Factor</w:t>
            </w:r>
          </w:p>
        </w:tc>
        <w:tc>
          <w:tcPr>
            <w:tcW w:w="708" w:type="pct"/>
            <w:tcBorders>
              <w:top w:val="single" w:color="auto" w:sz="4" w:space="0"/>
              <w:bottom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b/>
              </w:rPr>
            </w:pPr>
            <w:r>
              <w:rPr>
                <w:rFonts w:ascii="Book Antiqua" w:hAnsi="Book Antiqua" w:cs="Times New Roman" w:eastAsiaTheme="minorHAnsi"/>
                <w:b/>
              </w:rPr>
              <w:t>Group</w:t>
            </w:r>
          </w:p>
        </w:tc>
        <w:tc>
          <w:tcPr>
            <w:tcW w:w="490" w:type="pct"/>
            <w:tcBorders>
              <w:top w:val="single" w:color="auto" w:sz="4" w:space="0"/>
              <w:bottom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b/>
              </w:rPr>
            </w:pPr>
            <w:r>
              <w:rPr>
                <w:rFonts w:ascii="Book Antiqua" w:hAnsi="Book Antiqua" w:cs="Times New Roman" w:eastAsiaTheme="minorHAnsi"/>
                <w:b/>
              </w:rPr>
              <w:t>Total</w:t>
            </w:r>
          </w:p>
        </w:tc>
        <w:tc>
          <w:tcPr>
            <w:tcW w:w="653" w:type="pct"/>
            <w:tcBorders>
              <w:top w:val="single" w:color="auto" w:sz="4" w:space="0"/>
              <w:bottom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b/>
              </w:rPr>
            </w:pPr>
            <w:r>
              <w:rPr>
                <w:rFonts w:ascii="Book Antiqua" w:hAnsi="Book Antiqua" w:cs="Times New Roman" w:eastAsiaTheme="minorHAnsi"/>
                <w:b/>
              </w:rPr>
              <w:t>White</w:t>
            </w:r>
          </w:p>
        </w:tc>
        <w:tc>
          <w:tcPr>
            <w:tcW w:w="545" w:type="pct"/>
            <w:tcBorders>
              <w:top w:val="single" w:color="auto" w:sz="4" w:space="0"/>
              <w:bottom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b/>
              </w:rPr>
            </w:pPr>
            <w:r>
              <w:rPr>
                <w:rFonts w:ascii="Book Antiqua" w:hAnsi="Book Antiqua" w:cs="Times New Roman" w:eastAsiaTheme="minorHAnsi"/>
                <w:b/>
              </w:rPr>
              <w:t xml:space="preserve">Black </w:t>
            </w:r>
          </w:p>
        </w:tc>
        <w:tc>
          <w:tcPr>
            <w:tcW w:w="545" w:type="pct"/>
            <w:tcBorders>
              <w:top w:val="single" w:color="auto" w:sz="4" w:space="0"/>
              <w:bottom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b/>
              </w:rPr>
            </w:pPr>
            <w:r>
              <w:rPr>
                <w:rFonts w:ascii="Book Antiqua" w:hAnsi="Book Antiqua" w:cs="Times New Roman" w:eastAsiaTheme="minorHAnsi"/>
                <w:b/>
              </w:rPr>
              <w:t>API</w:t>
            </w:r>
          </w:p>
        </w:tc>
        <w:tc>
          <w:tcPr>
            <w:tcW w:w="655" w:type="pct"/>
            <w:tcBorders>
              <w:top w:val="single" w:color="auto" w:sz="4" w:space="0"/>
              <w:bottom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b/>
              </w:rPr>
            </w:pPr>
            <w:r>
              <w:rPr>
                <w:rFonts w:ascii="Book Antiqua" w:hAnsi="Book Antiqua" w:cs="Times New Roman" w:eastAsiaTheme="minorHAnsi"/>
                <w:b/>
              </w:rPr>
              <w:t>Hispanic</w:t>
            </w:r>
          </w:p>
        </w:tc>
        <w:tc>
          <w:tcPr>
            <w:tcW w:w="600" w:type="pct"/>
            <w:tcBorders>
              <w:top w:val="single" w:color="auto" w:sz="4" w:space="0"/>
              <w:bottom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b/>
              </w:rPr>
            </w:pPr>
            <w:r>
              <w:rPr>
                <w:rFonts w:ascii="Book Antiqua" w:hAnsi="Book Antiqua" w:cs="Times New Roman" w:eastAsiaTheme="minorHAnsi"/>
                <w:b/>
                <w:i/>
              </w:rPr>
              <w:t>P</w:t>
            </w:r>
            <w:r>
              <w:rPr>
                <w:rFonts w:ascii="Book Antiqua" w:hAnsi="Book Antiqua" w:cs="Times New Roman" w:eastAsiaTheme="minorHAnsi"/>
                <w:b/>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tcBorders>
              <w:top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i/>
              </w:rPr>
              <w:t>n</w:t>
            </w:r>
            <w:r>
              <w:rPr>
                <w:rFonts w:ascii="Book Antiqua" w:hAnsi="Book Antiqua" w:cs="Times New Roman" w:eastAsiaTheme="minorHAnsi"/>
              </w:rPr>
              <w:t xml:space="preserve"> (%)</w:t>
            </w:r>
          </w:p>
        </w:tc>
        <w:tc>
          <w:tcPr>
            <w:tcW w:w="708" w:type="pct"/>
            <w:tcBorders>
              <w:top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rPr>
            </w:pPr>
          </w:p>
        </w:tc>
        <w:tc>
          <w:tcPr>
            <w:tcW w:w="490" w:type="pct"/>
            <w:tcBorders>
              <w:top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225</w:t>
            </w:r>
          </w:p>
        </w:tc>
        <w:tc>
          <w:tcPr>
            <w:tcW w:w="653" w:type="pct"/>
            <w:tcBorders>
              <w:top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124 (55.1)</w:t>
            </w:r>
          </w:p>
        </w:tc>
        <w:tc>
          <w:tcPr>
            <w:tcW w:w="545" w:type="pct"/>
            <w:tcBorders>
              <w:top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27 (12.0)</w:t>
            </w:r>
          </w:p>
        </w:tc>
        <w:tc>
          <w:tcPr>
            <w:tcW w:w="545" w:type="pct"/>
            <w:tcBorders>
              <w:top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22 (9.8)</w:t>
            </w:r>
          </w:p>
        </w:tc>
        <w:tc>
          <w:tcPr>
            <w:tcW w:w="655" w:type="pct"/>
            <w:tcBorders>
              <w:top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52 (23.1)</w:t>
            </w:r>
          </w:p>
        </w:tc>
        <w:tc>
          <w:tcPr>
            <w:tcW w:w="600" w:type="pct"/>
            <w:tcBorders>
              <w:top w:val="single" w:color="auto" w:sz="4" w:space="0"/>
            </w:tcBorders>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EastAsia"/>
                <w:lang w:eastAsia="zh-CN"/>
              </w:rPr>
            </w:pPr>
            <w:r>
              <w:rPr>
                <w:rFonts w:ascii="Book Antiqua" w:hAnsi="Book Antiqua" w:cs="Times New Roman" w:eastAsiaTheme="minorHAnsi"/>
              </w:rPr>
              <w:t xml:space="preserve">Median age </w:t>
            </w:r>
            <w:r>
              <w:rPr>
                <w:rFonts w:hint="eastAsia" w:ascii="Book Antiqua" w:hAnsi="Book Antiqua" w:cs="Times New Roman" w:eastAsiaTheme="minorEastAsia"/>
                <w:lang w:eastAsia="zh-CN"/>
              </w:rPr>
              <w:t>(</w:t>
            </w:r>
            <w:r>
              <w:rPr>
                <w:rFonts w:ascii="Book Antiqua" w:hAnsi="Book Antiqua" w:cs="Times New Roman" w:eastAsiaTheme="minorHAnsi"/>
              </w:rPr>
              <w:t>IQR</w:t>
            </w:r>
            <w:r>
              <w:rPr>
                <w:rFonts w:hint="eastAsia" w:ascii="Book Antiqua" w:hAnsi="Book Antiqua" w:cs="Times New Roman" w:eastAsiaTheme="minorEastAsia"/>
                <w:lang w:eastAsia="zh-CN"/>
              </w:rPr>
              <w:t>)</w:t>
            </w: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p>
        </w:tc>
        <w:tc>
          <w:tcPr>
            <w:tcW w:w="490" w:type="pct"/>
            <w:noWrap/>
          </w:tcPr>
          <w:p>
            <w:pPr>
              <w:tabs>
                <w:tab w:val="left" w:pos="9360"/>
              </w:tabs>
              <w:adjustRightInd w:val="0"/>
              <w:snapToGrid w:val="0"/>
              <w:spacing w:line="360" w:lineRule="auto"/>
              <w:jc w:val="both"/>
              <w:rPr>
                <w:rFonts w:ascii="Book Antiqua" w:hAnsi="Book Antiqua" w:cs="Times New Roman" w:eastAsiaTheme="minorEastAsia"/>
                <w:lang w:eastAsia="zh-CN"/>
              </w:rPr>
            </w:pPr>
            <w:r>
              <w:rPr>
                <w:rFonts w:ascii="Book Antiqua" w:hAnsi="Book Antiqua" w:cs="Times New Roman" w:eastAsiaTheme="minorHAnsi"/>
              </w:rPr>
              <w:t xml:space="preserve">27 </w:t>
            </w:r>
            <w:r>
              <w:rPr>
                <w:rFonts w:hint="eastAsia" w:ascii="Book Antiqua" w:hAnsi="Book Antiqua" w:cs="Times New Roman" w:eastAsiaTheme="minorEastAsia"/>
                <w:lang w:eastAsia="zh-CN"/>
              </w:rPr>
              <w:t>(</w:t>
            </w:r>
            <w:r>
              <w:rPr>
                <w:rFonts w:ascii="Book Antiqua" w:hAnsi="Book Antiqua" w:cs="Times New Roman" w:eastAsiaTheme="minorHAnsi"/>
              </w:rPr>
              <w:t>19-56</w:t>
            </w:r>
            <w:r>
              <w:rPr>
                <w:rFonts w:hint="eastAsia" w:ascii="Book Antiqua" w:hAnsi="Book Antiqua" w:cs="Times New Roman" w:eastAsiaTheme="minorEastAsia"/>
                <w:lang w:eastAsia="zh-CN"/>
              </w:rPr>
              <w:t>)</w:t>
            </w:r>
          </w:p>
        </w:tc>
        <w:tc>
          <w:tcPr>
            <w:tcW w:w="653" w:type="pct"/>
            <w:noWrap/>
          </w:tcPr>
          <w:p>
            <w:pPr>
              <w:tabs>
                <w:tab w:val="left" w:pos="9360"/>
              </w:tabs>
              <w:adjustRightInd w:val="0"/>
              <w:snapToGrid w:val="0"/>
              <w:spacing w:line="360" w:lineRule="auto"/>
              <w:jc w:val="both"/>
              <w:rPr>
                <w:rFonts w:ascii="Book Antiqua" w:hAnsi="Book Antiqua" w:cs="Times New Roman" w:eastAsiaTheme="minorEastAsia"/>
                <w:lang w:eastAsia="zh-CN"/>
              </w:rPr>
            </w:pPr>
            <w:r>
              <w:rPr>
                <w:rFonts w:ascii="Book Antiqua" w:hAnsi="Book Antiqua" w:cs="Times New Roman" w:eastAsiaTheme="minorHAnsi"/>
              </w:rPr>
              <w:t xml:space="preserve">27.0 </w:t>
            </w:r>
            <w:r>
              <w:rPr>
                <w:rFonts w:hint="eastAsia" w:ascii="Book Antiqua" w:hAnsi="Book Antiqua" w:cs="Times New Roman" w:eastAsiaTheme="minorEastAsia"/>
                <w:lang w:eastAsia="zh-CN"/>
              </w:rPr>
              <w:t>(</w:t>
            </w:r>
            <w:r>
              <w:rPr>
                <w:rFonts w:ascii="Book Antiqua" w:hAnsi="Book Antiqua" w:cs="Times New Roman" w:eastAsiaTheme="minorHAnsi"/>
              </w:rPr>
              <w:t>19-54.5</w:t>
            </w:r>
            <w:r>
              <w:rPr>
                <w:rFonts w:hint="eastAsia" w:ascii="Book Antiqua" w:hAnsi="Book Antiqua" w:cs="Times New Roman" w:eastAsiaTheme="minorEastAsia"/>
                <w:lang w:eastAsia="zh-CN"/>
              </w:rPr>
              <w:t>)</w:t>
            </w:r>
          </w:p>
        </w:tc>
        <w:tc>
          <w:tcPr>
            <w:tcW w:w="545" w:type="pct"/>
            <w:noWrap/>
          </w:tcPr>
          <w:p>
            <w:pPr>
              <w:tabs>
                <w:tab w:val="left" w:pos="9360"/>
              </w:tabs>
              <w:adjustRightInd w:val="0"/>
              <w:snapToGrid w:val="0"/>
              <w:spacing w:line="360" w:lineRule="auto"/>
              <w:jc w:val="both"/>
              <w:rPr>
                <w:rFonts w:ascii="Book Antiqua" w:hAnsi="Book Antiqua" w:cs="Times New Roman" w:eastAsiaTheme="minorEastAsia"/>
                <w:lang w:eastAsia="zh-CN"/>
              </w:rPr>
            </w:pPr>
            <w:r>
              <w:rPr>
                <w:rFonts w:ascii="Book Antiqua" w:hAnsi="Book Antiqua" w:cs="Times New Roman" w:eastAsiaTheme="minorHAnsi"/>
              </w:rPr>
              <w:t xml:space="preserve">32.0 </w:t>
            </w:r>
            <w:r>
              <w:rPr>
                <w:rFonts w:hint="eastAsia" w:ascii="Book Antiqua" w:hAnsi="Book Antiqua" w:cs="Times New Roman" w:eastAsiaTheme="minorEastAsia"/>
                <w:lang w:eastAsia="zh-CN"/>
              </w:rPr>
              <w:t>(</w:t>
            </w:r>
            <w:r>
              <w:rPr>
                <w:rFonts w:ascii="Book Antiqua" w:hAnsi="Book Antiqua" w:cs="Times New Roman" w:eastAsiaTheme="minorHAnsi"/>
              </w:rPr>
              <w:t>21-55</w:t>
            </w:r>
            <w:r>
              <w:rPr>
                <w:rFonts w:hint="eastAsia" w:ascii="Book Antiqua" w:hAnsi="Book Antiqua" w:cs="Times New Roman" w:eastAsiaTheme="minorEastAsia"/>
                <w:lang w:eastAsia="zh-CN"/>
              </w:rPr>
              <w:t>)</w:t>
            </w:r>
          </w:p>
        </w:tc>
        <w:tc>
          <w:tcPr>
            <w:tcW w:w="545" w:type="pct"/>
            <w:noWrap/>
          </w:tcPr>
          <w:p>
            <w:pPr>
              <w:tabs>
                <w:tab w:val="left" w:pos="9360"/>
              </w:tabs>
              <w:adjustRightInd w:val="0"/>
              <w:snapToGrid w:val="0"/>
              <w:spacing w:line="360" w:lineRule="auto"/>
              <w:jc w:val="both"/>
              <w:rPr>
                <w:rFonts w:ascii="Book Antiqua" w:hAnsi="Book Antiqua" w:cs="Times New Roman" w:eastAsiaTheme="minorEastAsia"/>
                <w:lang w:eastAsia="zh-CN"/>
              </w:rPr>
            </w:pPr>
            <w:r>
              <w:rPr>
                <w:rFonts w:ascii="Book Antiqua" w:hAnsi="Book Antiqua" w:cs="Times New Roman" w:eastAsiaTheme="minorHAnsi"/>
              </w:rPr>
              <w:t>52.0</w:t>
            </w:r>
            <w:r>
              <w:rPr>
                <w:rFonts w:hint="eastAsia" w:ascii="Book Antiqua" w:hAnsi="Book Antiqua" w:cs="Times New Roman" w:eastAsiaTheme="minorEastAsia"/>
                <w:lang w:eastAsia="zh-CN"/>
              </w:rPr>
              <w:t xml:space="preserve"> (</w:t>
            </w:r>
            <w:r>
              <w:rPr>
                <w:rFonts w:ascii="Book Antiqua" w:hAnsi="Book Antiqua" w:cs="Times New Roman" w:eastAsiaTheme="minorHAnsi"/>
              </w:rPr>
              <w:t>27-70</w:t>
            </w:r>
            <w:r>
              <w:rPr>
                <w:rFonts w:hint="eastAsia" w:ascii="Book Antiqua" w:hAnsi="Book Antiqua" w:cs="Times New Roman" w:eastAsiaTheme="minorEastAsia"/>
                <w:lang w:eastAsia="zh-CN"/>
              </w:rPr>
              <w:t>)</w:t>
            </w:r>
          </w:p>
        </w:tc>
        <w:tc>
          <w:tcPr>
            <w:tcW w:w="655" w:type="pct"/>
            <w:noWrap/>
          </w:tcPr>
          <w:p>
            <w:pPr>
              <w:tabs>
                <w:tab w:val="left" w:pos="9360"/>
              </w:tabs>
              <w:adjustRightInd w:val="0"/>
              <w:snapToGrid w:val="0"/>
              <w:spacing w:line="360" w:lineRule="auto"/>
              <w:jc w:val="both"/>
              <w:rPr>
                <w:rFonts w:ascii="Book Antiqua" w:hAnsi="Book Antiqua" w:cs="Times New Roman" w:eastAsiaTheme="minorEastAsia"/>
                <w:lang w:eastAsia="zh-CN"/>
              </w:rPr>
            </w:pPr>
            <w:r>
              <w:rPr>
                <w:rFonts w:ascii="Book Antiqua" w:hAnsi="Book Antiqua" w:cs="Times New Roman" w:eastAsiaTheme="minorHAnsi"/>
              </w:rPr>
              <w:t>23.0</w:t>
            </w:r>
            <w:r>
              <w:rPr>
                <w:rFonts w:hint="eastAsia" w:ascii="Book Antiqua" w:hAnsi="Book Antiqua" w:cs="Times New Roman" w:eastAsiaTheme="minorEastAsia"/>
                <w:lang w:eastAsia="zh-CN"/>
              </w:rPr>
              <w:t xml:space="preserve"> (</w:t>
            </w:r>
            <w:r>
              <w:rPr>
                <w:rFonts w:ascii="Book Antiqua" w:hAnsi="Book Antiqua" w:cs="Times New Roman" w:eastAsiaTheme="minorHAnsi"/>
              </w:rPr>
              <w:t>17-53.5</w:t>
            </w:r>
            <w:r>
              <w:rPr>
                <w:rFonts w:hint="eastAsia" w:ascii="Book Antiqua" w:hAnsi="Book Antiqua" w:cs="Times New Roman" w:eastAsiaTheme="minorEastAsia"/>
                <w:lang w:eastAsia="zh-CN"/>
              </w:rPr>
              <w:t>)</w:t>
            </w:r>
          </w:p>
        </w:tc>
        <w:tc>
          <w:tcPr>
            <w:tcW w:w="60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0.04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Age groups (%)</w:t>
            </w: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w:t>
            </w:r>
            <w:r>
              <w:rPr>
                <w:rFonts w:hint="eastAsia" w:ascii="Book Antiqua" w:hAnsi="Book Antiqua" w:cs="Times New Roman" w:eastAsiaTheme="minorEastAsia"/>
                <w:lang w:eastAsia="zh-CN"/>
              </w:rPr>
              <w:t xml:space="preserve"> </w:t>
            </w:r>
            <w:r>
              <w:rPr>
                <w:rFonts w:ascii="Book Antiqua" w:hAnsi="Book Antiqua" w:cs="Times New Roman" w:eastAsiaTheme="minorHAnsi"/>
              </w:rPr>
              <w:t>19</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62 (27.5)</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34 (54.8)</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 (9.7)</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 (4.8)</w:t>
            </w:r>
          </w:p>
        </w:tc>
        <w:tc>
          <w:tcPr>
            <w:tcW w:w="65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19 (30.7)</w:t>
            </w:r>
          </w:p>
        </w:tc>
        <w:tc>
          <w:tcPr>
            <w:tcW w:w="60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0.07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20-59</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114 (50.7)</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67 (58.8)</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16 (14.0)</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9 (7.9)</w:t>
            </w:r>
          </w:p>
        </w:tc>
        <w:tc>
          <w:tcPr>
            <w:tcW w:w="65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22 (19.3)</w:t>
            </w:r>
          </w:p>
        </w:tc>
        <w:tc>
          <w:tcPr>
            <w:tcW w:w="600" w:type="pct"/>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w:t>
            </w:r>
            <w:r>
              <w:rPr>
                <w:rFonts w:hint="eastAsia" w:ascii="Book Antiqua" w:hAnsi="Book Antiqua" w:cs="Times New Roman" w:eastAsiaTheme="minorEastAsia"/>
                <w:lang w:eastAsia="zh-CN"/>
              </w:rPr>
              <w:t xml:space="preserve"> </w:t>
            </w:r>
            <w:r>
              <w:rPr>
                <w:rFonts w:ascii="Book Antiqua" w:hAnsi="Book Antiqua" w:cs="Times New Roman" w:eastAsiaTheme="minorHAnsi"/>
              </w:rPr>
              <w:t>60</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49 (21.8)</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23 (46.9)</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5 (10.2)</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10 (20.4)</w:t>
            </w:r>
          </w:p>
        </w:tc>
        <w:tc>
          <w:tcPr>
            <w:tcW w:w="65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11 (22.5)</w:t>
            </w:r>
          </w:p>
        </w:tc>
        <w:tc>
          <w:tcPr>
            <w:tcW w:w="600" w:type="pct"/>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Male (%)</w:t>
            </w: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141 (62.7)</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75 (53.2)</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18 (12.8)</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14 (9.9)</w:t>
            </w:r>
          </w:p>
        </w:tc>
        <w:tc>
          <w:tcPr>
            <w:tcW w:w="65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34 (24.1)</w:t>
            </w:r>
          </w:p>
        </w:tc>
        <w:tc>
          <w:tcPr>
            <w:tcW w:w="60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0.89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Household income (%)</w:t>
            </w: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&lt;</w:t>
            </w:r>
            <w:r>
              <w:rPr>
                <w:rFonts w:hint="eastAsia" w:ascii="Book Antiqua" w:hAnsi="Book Antiqua" w:cs="Times New Roman" w:eastAsiaTheme="minorEastAsia"/>
                <w:lang w:eastAsia="zh-CN"/>
              </w:rPr>
              <w:t xml:space="preserve"> </w:t>
            </w:r>
            <w:r>
              <w:rPr>
                <w:rFonts w:ascii="Book Antiqua" w:hAnsi="Book Antiqua" w:cs="Times New Roman" w:eastAsiaTheme="minorHAnsi"/>
              </w:rPr>
              <w:t>$55000</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55 (24.4)</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34 (61.8)</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10 (18.2)</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 (1.8)</w:t>
            </w:r>
          </w:p>
        </w:tc>
        <w:tc>
          <w:tcPr>
            <w:tcW w:w="65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10 (18.2)</w:t>
            </w:r>
          </w:p>
        </w:tc>
        <w:tc>
          <w:tcPr>
            <w:tcW w:w="60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0.02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$55000-70000</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88 (39.1)</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42 (47.7)</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 (6.8)</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12 (13.6)</w:t>
            </w:r>
          </w:p>
        </w:tc>
        <w:tc>
          <w:tcPr>
            <w:tcW w:w="65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28 (31.8)</w:t>
            </w:r>
          </w:p>
        </w:tc>
        <w:tc>
          <w:tcPr>
            <w:tcW w:w="600" w:type="pct"/>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&gt;</w:t>
            </w:r>
            <w:r>
              <w:rPr>
                <w:rFonts w:hint="eastAsia" w:ascii="Book Antiqua" w:hAnsi="Book Antiqua" w:cs="Times New Roman" w:eastAsiaTheme="minorEastAsia"/>
                <w:lang w:eastAsia="zh-CN"/>
              </w:rPr>
              <w:t xml:space="preserve"> </w:t>
            </w:r>
            <w:r>
              <w:rPr>
                <w:rFonts w:ascii="Book Antiqua" w:hAnsi="Book Antiqua" w:cs="Times New Roman" w:eastAsiaTheme="minorHAnsi"/>
              </w:rPr>
              <w:t>$70000</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82 (36.4)</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48 (58.5)</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11 (13.4)</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9 (11.0)</w:t>
            </w:r>
          </w:p>
        </w:tc>
        <w:tc>
          <w:tcPr>
            <w:tcW w:w="65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14 (17.1)</w:t>
            </w:r>
          </w:p>
        </w:tc>
        <w:tc>
          <w:tcPr>
            <w:tcW w:w="600" w:type="pct"/>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Living settings (%)</w:t>
            </w: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Population &gt; 1 million</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144 (61.0)</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68 (47.2)</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21 (14.6)</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18 (12.5)</w:t>
            </w:r>
          </w:p>
        </w:tc>
        <w:tc>
          <w:tcPr>
            <w:tcW w:w="65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37 (25.7)</w:t>
            </w:r>
          </w:p>
        </w:tc>
        <w:tc>
          <w:tcPr>
            <w:tcW w:w="60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Other</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81 (36.0)</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56 (69.1)</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 (7.4)</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4 (4.9)</w:t>
            </w:r>
          </w:p>
        </w:tc>
        <w:tc>
          <w:tcPr>
            <w:tcW w:w="65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15 (18.5)</w:t>
            </w:r>
          </w:p>
        </w:tc>
        <w:tc>
          <w:tcPr>
            <w:tcW w:w="600" w:type="pct"/>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Stages (%)</w:t>
            </w: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I</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65 (28.9)</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38 (58.5)</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7 (10.8)</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7 (10.8)</w:t>
            </w:r>
          </w:p>
        </w:tc>
        <w:tc>
          <w:tcPr>
            <w:tcW w:w="65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13 (20.0)</w:t>
            </w:r>
          </w:p>
        </w:tc>
        <w:tc>
          <w:tcPr>
            <w:tcW w:w="60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0.71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II</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18 (8.0)</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11 (61.1)</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 (11.1)</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 (11.1)</w:t>
            </w:r>
          </w:p>
        </w:tc>
        <w:tc>
          <w:tcPr>
            <w:tcW w:w="65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 (16.7)</w:t>
            </w:r>
          </w:p>
        </w:tc>
        <w:tc>
          <w:tcPr>
            <w:tcW w:w="600" w:type="pct"/>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III</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61 (27.1)</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30 (49.2)</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7 (11.5)</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 (4.9)</w:t>
            </w:r>
          </w:p>
        </w:tc>
        <w:tc>
          <w:tcPr>
            <w:tcW w:w="65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21 (34.4)</w:t>
            </w:r>
          </w:p>
        </w:tc>
        <w:tc>
          <w:tcPr>
            <w:tcW w:w="600" w:type="pct"/>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IV</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61 (27.1)</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34 (55.7)</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7 (11.5)</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8 (13.1)</w:t>
            </w:r>
          </w:p>
        </w:tc>
        <w:tc>
          <w:tcPr>
            <w:tcW w:w="65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12 (19.7)</w:t>
            </w:r>
          </w:p>
        </w:tc>
        <w:tc>
          <w:tcPr>
            <w:tcW w:w="600" w:type="pct"/>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Unknown</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20 (8.9)</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11 (55.0)</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4 (20.0)</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 (10.0)</w:t>
            </w:r>
          </w:p>
        </w:tc>
        <w:tc>
          <w:tcPr>
            <w:tcW w:w="65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 (15.0)</w:t>
            </w:r>
          </w:p>
        </w:tc>
        <w:tc>
          <w:tcPr>
            <w:tcW w:w="600" w:type="pct"/>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Lymph Node status (%)</w:t>
            </w: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N0</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143 (63.6)</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74 (51.8)</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16 (11.2)</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17 (11.9)</w:t>
            </w:r>
          </w:p>
        </w:tc>
        <w:tc>
          <w:tcPr>
            <w:tcW w:w="65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36 (25.2)</w:t>
            </w:r>
          </w:p>
        </w:tc>
        <w:tc>
          <w:tcPr>
            <w:tcW w:w="60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0.11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N1</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60 (26.7)</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38 (63.3)</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5 (8.3)</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 (5.0)</w:t>
            </w:r>
          </w:p>
        </w:tc>
        <w:tc>
          <w:tcPr>
            <w:tcW w:w="65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14 (23.3)</w:t>
            </w:r>
          </w:p>
        </w:tc>
        <w:tc>
          <w:tcPr>
            <w:tcW w:w="600" w:type="pct"/>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Nx</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22 (9.78)</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12 (54.6)</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 (27.3)</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 (9.1)</w:t>
            </w:r>
          </w:p>
        </w:tc>
        <w:tc>
          <w:tcPr>
            <w:tcW w:w="65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 (9.1)</w:t>
            </w:r>
          </w:p>
        </w:tc>
        <w:tc>
          <w:tcPr>
            <w:tcW w:w="600" w:type="pct"/>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Metastasis status (%)</w:t>
            </w: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M0</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154 (68.4)</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85 (55.2)</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18 (11.7)</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12 (7.8)</w:t>
            </w:r>
          </w:p>
        </w:tc>
        <w:tc>
          <w:tcPr>
            <w:tcW w:w="65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39 (25.3)</w:t>
            </w:r>
          </w:p>
        </w:tc>
        <w:tc>
          <w:tcPr>
            <w:tcW w:w="60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0.63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M1</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61 (27.1)</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34 (55.7)</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7 (11.5)</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8 (13.1)</w:t>
            </w:r>
          </w:p>
        </w:tc>
        <w:tc>
          <w:tcPr>
            <w:tcW w:w="65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12 (19.7)</w:t>
            </w:r>
          </w:p>
        </w:tc>
        <w:tc>
          <w:tcPr>
            <w:tcW w:w="600" w:type="pct"/>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Mx</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10 (4.4)</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5 (50.0)</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 (20.0)</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 (20.0)</w:t>
            </w:r>
          </w:p>
        </w:tc>
        <w:tc>
          <w:tcPr>
            <w:tcW w:w="65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 (10.0)</w:t>
            </w:r>
          </w:p>
        </w:tc>
        <w:tc>
          <w:tcPr>
            <w:tcW w:w="600" w:type="pct"/>
            <w:noWrap/>
          </w:tcPr>
          <w:p>
            <w:pPr>
              <w:tabs>
                <w:tab w:val="left" w:pos="9360"/>
              </w:tabs>
              <w:adjustRightInd w:val="0"/>
              <w:snapToGrid w:val="0"/>
              <w:spacing w:line="360" w:lineRule="auto"/>
              <w:jc w:val="both"/>
              <w:rPr>
                <w:rFonts w:ascii="Book Antiqua" w:hAnsi="Book Antiqua" w:cs="Times New Roman" w:eastAsiaTheme="minorHAns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Surgery (%)</w:t>
            </w: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Wedge/</w:t>
            </w:r>
            <w:r>
              <w:rPr>
                <w:rFonts w:hint="eastAsia" w:ascii="Book Antiqua" w:hAnsi="Book Antiqua" w:cs="Times New Roman" w:eastAsiaTheme="minorEastAsia"/>
                <w:lang w:eastAsia="zh-CN"/>
              </w:rPr>
              <w:t>s</w:t>
            </w:r>
            <w:r>
              <w:rPr>
                <w:rFonts w:ascii="Book Antiqua" w:hAnsi="Book Antiqua" w:cs="Times New Roman" w:eastAsiaTheme="minorHAnsi"/>
              </w:rPr>
              <w:t>egmental resection</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39 (17.8)</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28 (71.8)</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 (5.1) </w:t>
            </w:r>
          </w:p>
        </w:tc>
        <w:tc>
          <w:tcPr>
            <w:tcW w:w="545" w:type="pct"/>
            <w:noWrap/>
          </w:tcPr>
          <w:p>
            <w:pPr>
              <w:tabs>
                <w:tab w:val="left" w:pos="9360"/>
              </w:tabs>
              <w:adjustRightInd w:val="0"/>
              <w:snapToGrid w:val="0"/>
              <w:spacing w:line="360" w:lineRule="auto"/>
              <w:jc w:val="both"/>
              <w:rPr>
                <w:rFonts w:ascii="Book Antiqua" w:hAnsi="Book Antiqua" w:cs="Times New Roman" w:eastAsiaTheme="minorEastAsia"/>
                <w:lang w:eastAsia="zh-CN"/>
              </w:rPr>
            </w:pPr>
            <w:r>
              <w:rPr>
                <w:rFonts w:ascii="Book Antiqua" w:hAnsi="Book Antiqua" w:cs="Times New Roman" w:eastAsiaTheme="minorHAnsi"/>
              </w:rPr>
              <w:t>3 (7.7)</w:t>
            </w:r>
          </w:p>
        </w:tc>
        <w:tc>
          <w:tcPr>
            <w:tcW w:w="655" w:type="pct"/>
            <w:noWrap/>
          </w:tcPr>
          <w:p>
            <w:pPr>
              <w:tabs>
                <w:tab w:val="left" w:pos="9360"/>
              </w:tabs>
              <w:adjustRightInd w:val="0"/>
              <w:snapToGrid w:val="0"/>
              <w:spacing w:line="360" w:lineRule="auto"/>
              <w:jc w:val="both"/>
              <w:rPr>
                <w:rFonts w:ascii="Book Antiqua" w:hAnsi="Book Antiqua" w:cs="Times New Roman" w:eastAsiaTheme="minorEastAsia"/>
                <w:lang w:eastAsia="zh-CN"/>
              </w:rPr>
            </w:pPr>
            <w:r>
              <w:rPr>
                <w:rFonts w:ascii="Book Antiqua" w:hAnsi="Book Antiqua" w:cs="Times New Roman" w:eastAsiaTheme="minorHAnsi"/>
              </w:rPr>
              <w:t>6 (15.4)</w:t>
            </w:r>
          </w:p>
        </w:tc>
        <w:tc>
          <w:tcPr>
            <w:tcW w:w="60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0.28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Lobectomy</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42 (19.2)</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25 (59.5)</w:t>
            </w:r>
          </w:p>
        </w:tc>
        <w:tc>
          <w:tcPr>
            <w:tcW w:w="545" w:type="pct"/>
            <w:noWrap/>
          </w:tcPr>
          <w:p>
            <w:pPr>
              <w:tabs>
                <w:tab w:val="left" w:pos="9360"/>
              </w:tabs>
              <w:adjustRightInd w:val="0"/>
              <w:snapToGrid w:val="0"/>
              <w:spacing w:line="360" w:lineRule="auto"/>
              <w:jc w:val="both"/>
              <w:rPr>
                <w:rFonts w:ascii="Book Antiqua" w:hAnsi="Book Antiqua" w:cs="Times New Roman" w:eastAsiaTheme="minorEastAsia"/>
                <w:lang w:eastAsia="zh-CN"/>
              </w:rPr>
            </w:pPr>
            <w:r>
              <w:rPr>
                <w:rFonts w:ascii="Book Antiqua" w:hAnsi="Book Antiqua" w:cs="Times New Roman" w:eastAsiaTheme="minorHAnsi"/>
              </w:rPr>
              <w:t>6 (14.3)</w:t>
            </w:r>
          </w:p>
        </w:tc>
        <w:tc>
          <w:tcPr>
            <w:tcW w:w="545" w:type="pct"/>
            <w:noWrap/>
          </w:tcPr>
          <w:p>
            <w:pPr>
              <w:tabs>
                <w:tab w:val="left" w:pos="9360"/>
              </w:tabs>
              <w:adjustRightInd w:val="0"/>
              <w:snapToGrid w:val="0"/>
              <w:spacing w:line="360" w:lineRule="auto"/>
              <w:jc w:val="both"/>
              <w:rPr>
                <w:rFonts w:ascii="Book Antiqua" w:hAnsi="Book Antiqua" w:cs="Times New Roman" w:eastAsiaTheme="minorEastAsia"/>
                <w:lang w:eastAsia="zh-CN"/>
              </w:rPr>
            </w:pPr>
            <w:r>
              <w:rPr>
                <w:rFonts w:ascii="Book Antiqua" w:hAnsi="Book Antiqua" w:cs="Times New Roman" w:eastAsiaTheme="minorHAnsi"/>
              </w:rPr>
              <w:t>3 (7.1)</w:t>
            </w:r>
          </w:p>
        </w:tc>
        <w:tc>
          <w:tcPr>
            <w:tcW w:w="655" w:type="pct"/>
            <w:noWrap/>
          </w:tcPr>
          <w:p>
            <w:pPr>
              <w:tabs>
                <w:tab w:val="left" w:pos="9360"/>
              </w:tabs>
              <w:adjustRightInd w:val="0"/>
              <w:snapToGrid w:val="0"/>
              <w:spacing w:line="360" w:lineRule="auto"/>
              <w:jc w:val="both"/>
              <w:rPr>
                <w:rFonts w:ascii="Book Antiqua" w:hAnsi="Book Antiqua" w:cs="Times New Roman" w:eastAsiaTheme="minorEastAsia"/>
                <w:lang w:eastAsia="zh-CN"/>
              </w:rPr>
            </w:pPr>
            <w:r>
              <w:rPr>
                <w:rFonts w:ascii="Book Antiqua" w:hAnsi="Book Antiqua" w:cs="Times New Roman" w:eastAsiaTheme="minorHAnsi"/>
              </w:rPr>
              <w:t>8 (19.1)</w:t>
            </w:r>
          </w:p>
        </w:tc>
        <w:tc>
          <w:tcPr>
            <w:tcW w:w="600" w:type="pct"/>
            <w:noWrap/>
          </w:tcPr>
          <w:p>
            <w:pPr>
              <w:tabs>
                <w:tab w:val="left" w:pos="9360"/>
              </w:tabs>
              <w:adjustRightInd w:val="0"/>
              <w:snapToGrid w:val="0"/>
              <w:spacing w:line="360" w:lineRule="auto"/>
              <w:jc w:val="both"/>
              <w:rPr>
                <w:rFonts w:ascii="Book Antiqua" w:hAnsi="Book Antiqua" w:cs="Times New Roman" w:eastAsiaTheme="minorEastAsi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Extended lobectomy</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11 (5.0)</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5 (45.5)</w:t>
            </w:r>
          </w:p>
        </w:tc>
        <w:tc>
          <w:tcPr>
            <w:tcW w:w="545" w:type="pct"/>
            <w:noWrap/>
          </w:tcPr>
          <w:p>
            <w:pPr>
              <w:tabs>
                <w:tab w:val="left" w:pos="9360"/>
              </w:tabs>
              <w:adjustRightInd w:val="0"/>
              <w:snapToGrid w:val="0"/>
              <w:spacing w:line="360" w:lineRule="auto"/>
              <w:jc w:val="both"/>
              <w:rPr>
                <w:rFonts w:ascii="Book Antiqua" w:hAnsi="Book Antiqua" w:cs="Times New Roman" w:eastAsiaTheme="minorEastAsia"/>
                <w:lang w:eastAsia="zh-CN"/>
              </w:rPr>
            </w:pPr>
            <w:r>
              <w:rPr>
                <w:rFonts w:ascii="Book Antiqua" w:hAnsi="Book Antiqua" w:cs="Times New Roman" w:eastAsiaTheme="minorHAnsi"/>
              </w:rPr>
              <w:t>0 (0)</w:t>
            </w:r>
          </w:p>
        </w:tc>
        <w:tc>
          <w:tcPr>
            <w:tcW w:w="54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 (9.1)</w:t>
            </w:r>
          </w:p>
        </w:tc>
        <w:tc>
          <w:tcPr>
            <w:tcW w:w="65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5 (45.5)</w:t>
            </w:r>
          </w:p>
        </w:tc>
        <w:tc>
          <w:tcPr>
            <w:tcW w:w="600" w:type="pct"/>
            <w:noWrap/>
          </w:tcPr>
          <w:p>
            <w:pPr>
              <w:tabs>
                <w:tab w:val="left" w:pos="9360"/>
              </w:tabs>
              <w:adjustRightInd w:val="0"/>
              <w:snapToGrid w:val="0"/>
              <w:spacing w:line="360" w:lineRule="auto"/>
              <w:jc w:val="both"/>
              <w:rPr>
                <w:rFonts w:ascii="Book Antiqua" w:hAnsi="Book Antiqua" w:cs="Times New Roman" w:eastAsiaTheme="minorEastAsi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 xml:space="preserve">Transplant </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19 (8.7)</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12 (63.2)</w:t>
            </w:r>
          </w:p>
        </w:tc>
        <w:tc>
          <w:tcPr>
            <w:tcW w:w="545" w:type="pct"/>
            <w:noWrap/>
          </w:tcPr>
          <w:p>
            <w:pPr>
              <w:tabs>
                <w:tab w:val="left" w:pos="9360"/>
              </w:tabs>
              <w:adjustRightInd w:val="0"/>
              <w:snapToGrid w:val="0"/>
              <w:spacing w:line="360" w:lineRule="auto"/>
              <w:jc w:val="both"/>
              <w:rPr>
                <w:rFonts w:ascii="Book Antiqua" w:hAnsi="Book Antiqua" w:cs="Times New Roman" w:eastAsiaTheme="minorEastAsia"/>
                <w:lang w:eastAsia="zh-CN"/>
              </w:rPr>
            </w:pPr>
            <w:r>
              <w:rPr>
                <w:rFonts w:ascii="Book Antiqua" w:hAnsi="Book Antiqua" w:cs="Times New Roman" w:eastAsiaTheme="minorHAnsi"/>
              </w:rPr>
              <w:t>2 (10.5)</w:t>
            </w:r>
          </w:p>
        </w:tc>
        <w:tc>
          <w:tcPr>
            <w:tcW w:w="545" w:type="pct"/>
            <w:noWrap/>
          </w:tcPr>
          <w:p>
            <w:pPr>
              <w:tabs>
                <w:tab w:val="left" w:pos="9360"/>
              </w:tabs>
              <w:adjustRightInd w:val="0"/>
              <w:snapToGrid w:val="0"/>
              <w:spacing w:line="360" w:lineRule="auto"/>
              <w:jc w:val="both"/>
              <w:rPr>
                <w:rFonts w:ascii="Book Antiqua" w:hAnsi="Book Antiqua" w:cs="Times New Roman" w:eastAsiaTheme="minorEastAsia"/>
                <w:lang w:eastAsia="zh-CN"/>
              </w:rPr>
            </w:pPr>
            <w:r>
              <w:rPr>
                <w:rFonts w:ascii="Book Antiqua" w:hAnsi="Book Antiqua" w:cs="Times New Roman" w:eastAsiaTheme="minorHAnsi"/>
              </w:rPr>
              <w:t>1 (5.3)</w:t>
            </w:r>
          </w:p>
        </w:tc>
        <w:tc>
          <w:tcPr>
            <w:tcW w:w="655" w:type="pct"/>
            <w:noWrap/>
          </w:tcPr>
          <w:p>
            <w:pPr>
              <w:tabs>
                <w:tab w:val="left" w:pos="9360"/>
              </w:tabs>
              <w:adjustRightInd w:val="0"/>
              <w:snapToGrid w:val="0"/>
              <w:spacing w:line="360" w:lineRule="auto"/>
              <w:jc w:val="both"/>
              <w:rPr>
                <w:rFonts w:ascii="Book Antiqua" w:hAnsi="Book Antiqua" w:cs="Times New Roman" w:eastAsiaTheme="minorEastAsia"/>
                <w:lang w:eastAsia="zh-CN"/>
              </w:rPr>
            </w:pPr>
            <w:r>
              <w:rPr>
                <w:rFonts w:ascii="Book Antiqua" w:hAnsi="Book Antiqua" w:cs="Times New Roman" w:eastAsiaTheme="minorHAnsi"/>
              </w:rPr>
              <w:t>4 (21.1)</w:t>
            </w:r>
          </w:p>
        </w:tc>
        <w:tc>
          <w:tcPr>
            <w:tcW w:w="600" w:type="pct"/>
            <w:noWrap/>
          </w:tcPr>
          <w:p>
            <w:pPr>
              <w:tabs>
                <w:tab w:val="left" w:pos="9360"/>
              </w:tabs>
              <w:adjustRightInd w:val="0"/>
              <w:snapToGrid w:val="0"/>
              <w:spacing w:line="360" w:lineRule="auto"/>
              <w:jc w:val="both"/>
              <w:rPr>
                <w:rFonts w:ascii="Book Antiqua" w:hAnsi="Book Antiqua" w:cs="Times New Roman" w:eastAsiaTheme="minorEastAsi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5" w:type="pct"/>
            <w:noWrap/>
          </w:tcPr>
          <w:p>
            <w:pPr>
              <w:tabs>
                <w:tab w:val="left" w:pos="9360"/>
              </w:tabs>
              <w:adjustRightInd w:val="0"/>
              <w:snapToGrid w:val="0"/>
              <w:spacing w:line="360" w:lineRule="auto"/>
              <w:jc w:val="both"/>
              <w:rPr>
                <w:rFonts w:ascii="Book Antiqua" w:hAnsi="Book Antiqua" w:cs="Times New Roman" w:eastAsiaTheme="minorHAnsi"/>
              </w:rPr>
            </w:pPr>
          </w:p>
        </w:tc>
        <w:tc>
          <w:tcPr>
            <w:tcW w:w="708"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None</w:t>
            </w:r>
          </w:p>
        </w:tc>
        <w:tc>
          <w:tcPr>
            <w:tcW w:w="490"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108 (49.3)</w:t>
            </w:r>
          </w:p>
        </w:tc>
        <w:tc>
          <w:tcPr>
            <w:tcW w:w="653"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49 (45.4)</w:t>
            </w:r>
          </w:p>
        </w:tc>
        <w:tc>
          <w:tcPr>
            <w:tcW w:w="545" w:type="pct"/>
            <w:noWrap/>
          </w:tcPr>
          <w:p>
            <w:pPr>
              <w:tabs>
                <w:tab w:val="left" w:pos="9360"/>
              </w:tabs>
              <w:adjustRightInd w:val="0"/>
              <w:snapToGrid w:val="0"/>
              <w:spacing w:line="360" w:lineRule="auto"/>
              <w:jc w:val="both"/>
              <w:rPr>
                <w:rFonts w:ascii="Book Antiqua" w:hAnsi="Book Antiqua" w:cs="Times New Roman" w:eastAsiaTheme="minorEastAsia"/>
                <w:lang w:eastAsia="zh-CN"/>
              </w:rPr>
            </w:pPr>
            <w:r>
              <w:rPr>
                <w:rFonts w:ascii="Book Antiqua" w:hAnsi="Book Antiqua" w:cs="Times New Roman" w:eastAsiaTheme="minorHAnsi"/>
              </w:rPr>
              <w:t>17 (15.7)</w:t>
            </w:r>
          </w:p>
        </w:tc>
        <w:tc>
          <w:tcPr>
            <w:tcW w:w="545" w:type="pct"/>
            <w:noWrap/>
          </w:tcPr>
          <w:p>
            <w:pPr>
              <w:tabs>
                <w:tab w:val="left" w:pos="9360"/>
              </w:tabs>
              <w:adjustRightInd w:val="0"/>
              <w:snapToGrid w:val="0"/>
              <w:spacing w:line="360" w:lineRule="auto"/>
              <w:jc w:val="both"/>
              <w:rPr>
                <w:rFonts w:ascii="Book Antiqua" w:hAnsi="Book Antiqua" w:cs="Times New Roman" w:eastAsiaTheme="minorEastAsia"/>
                <w:lang w:eastAsia="zh-CN"/>
              </w:rPr>
            </w:pPr>
            <w:r>
              <w:rPr>
                <w:rFonts w:ascii="Book Antiqua" w:hAnsi="Book Antiqua" w:cs="Times New Roman" w:eastAsiaTheme="minorHAnsi"/>
              </w:rPr>
              <w:t>13 (12.0)</w:t>
            </w:r>
          </w:p>
        </w:tc>
        <w:tc>
          <w:tcPr>
            <w:tcW w:w="655" w:type="pct"/>
            <w:noWrap/>
          </w:tcPr>
          <w:p>
            <w:pPr>
              <w:tabs>
                <w:tab w:val="left" w:pos="9360"/>
              </w:tabs>
              <w:adjustRightInd w:val="0"/>
              <w:snapToGrid w:val="0"/>
              <w:spacing w:line="360" w:lineRule="auto"/>
              <w:jc w:val="both"/>
              <w:rPr>
                <w:rFonts w:ascii="Book Antiqua" w:hAnsi="Book Antiqua" w:cs="Times New Roman" w:eastAsiaTheme="minorHAnsi"/>
              </w:rPr>
            </w:pPr>
            <w:r>
              <w:rPr>
                <w:rFonts w:ascii="Book Antiqua" w:hAnsi="Book Antiqua" w:cs="Times New Roman" w:eastAsiaTheme="minorHAnsi"/>
              </w:rPr>
              <w:t>29 (26.9)</w:t>
            </w:r>
          </w:p>
        </w:tc>
        <w:tc>
          <w:tcPr>
            <w:tcW w:w="600" w:type="pct"/>
            <w:noWrap/>
          </w:tcPr>
          <w:p>
            <w:pPr>
              <w:tabs>
                <w:tab w:val="left" w:pos="9360"/>
              </w:tabs>
              <w:adjustRightInd w:val="0"/>
              <w:snapToGrid w:val="0"/>
              <w:spacing w:line="360" w:lineRule="auto"/>
              <w:jc w:val="both"/>
              <w:rPr>
                <w:rFonts w:ascii="Book Antiqua" w:hAnsi="Book Antiqua" w:cs="Times New Roman" w:eastAsiaTheme="minorEastAsia"/>
                <w:lang w:eastAsia="zh-CN"/>
              </w:rPr>
            </w:pPr>
          </w:p>
        </w:tc>
      </w:tr>
    </w:tbl>
    <w:p>
      <w:pPr>
        <w:adjustRightInd w:val="0"/>
        <w:snapToGrid w:val="0"/>
        <w:spacing w:line="360" w:lineRule="auto"/>
        <w:jc w:val="both"/>
        <w:rPr>
          <w:rFonts w:ascii="Book Antiqua" w:hAnsi="Book Antiqua" w:eastAsiaTheme="minorHAnsi"/>
          <w:b/>
          <w:bCs/>
        </w:rPr>
      </w:pPr>
      <w:r>
        <w:rPr>
          <w:rFonts w:ascii="Book Antiqua" w:hAnsi="Book Antiqua" w:eastAsiaTheme="minorHAnsi"/>
          <w:b/>
          <w:bCs/>
        </w:rPr>
        <w:br w:type="page"/>
      </w:r>
      <w:r>
        <w:rPr>
          <w:rFonts w:ascii="Book Antiqua" w:hAnsi="Book Antiqua" w:eastAsiaTheme="minorHAnsi"/>
          <w:b/>
          <w:bCs/>
        </w:rPr>
        <w:t>Table 3 Summary characteristics of by surgery types (</w:t>
      </w:r>
      <w:r>
        <w:rPr>
          <w:rFonts w:hint="eastAsia" w:ascii="Book Antiqua" w:hAnsi="Book Antiqua"/>
          <w:b/>
          <w:bCs/>
          <w:lang w:eastAsia="zh-CN"/>
        </w:rPr>
        <w:t>t</w:t>
      </w:r>
      <w:r>
        <w:rPr>
          <w:rFonts w:ascii="Book Antiqua" w:hAnsi="Book Antiqua" w:eastAsiaTheme="minorHAnsi"/>
          <w:b/>
          <w:bCs/>
        </w:rPr>
        <w:t>otal 219 patients)</w:t>
      </w:r>
    </w:p>
    <w:tbl>
      <w:tblPr>
        <w:tblStyle w:val="9"/>
        <w:tblW w:w="4949" w:type="pct"/>
        <w:tblInd w:w="-34"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79"/>
        <w:gridCol w:w="1740"/>
        <w:gridCol w:w="1096"/>
        <w:gridCol w:w="1373"/>
        <w:gridCol w:w="2481"/>
        <w:gridCol w:w="1419"/>
        <w:gridCol w:w="1419"/>
        <w:gridCol w:w="183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44" w:type="pct"/>
            <w:tcBorders>
              <w:top w:val="single" w:color="auto" w:sz="4" w:space="0"/>
              <w:bottom w:val="single" w:color="auto" w:sz="4" w:space="0"/>
            </w:tcBorders>
            <w:shd w:val="clear" w:color="auto" w:fill="auto"/>
            <w:noWrap/>
            <w:vAlign w:val="center"/>
          </w:tcPr>
          <w:p>
            <w:pPr>
              <w:adjustRightInd w:val="0"/>
              <w:snapToGrid w:val="0"/>
              <w:spacing w:line="360" w:lineRule="auto"/>
              <w:jc w:val="both"/>
              <w:rPr>
                <w:rFonts w:ascii="Book Antiqua" w:hAnsi="Book Antiqua" w:eastAsia="Times New Roman" w:cs="Calibri"/>
                <w:b/>
                <w:color w:val="000000"/>
              </w:rPr>
            </w:pPr>
            <w:r>
              <w:rPr>
                <w:rFonts w:ascii="Book Antiqua" w:hAnsi="Book Antiqua" w:eastAsia="Times New Roman" w:cs="Calibri"/>
                <w:b/>
                <w:color w:val="000000"/>
              </w:rPr>
              <w:t>Factor</w:t>
            </w:r>
          </w:p>
        </w:tc>
        <w:tc>
          <w:tcPr>
            <w:tcW w:w="667" w:type="pct"/>
            <w:tcBorders>
              <w:top w:val="single" w:color="auto" w:sz="4" w:space="0"/>
              <w:bottom w:val="single" w:color="auto" w:sz="4" w:space="0"/>
            </w:tcBorders>
            <w:shd w:val="clear" w:color="auto" w:fill="auto"/>
            <w:noWrap/>
            <w:vAlign w:val="center"/>
          </w:tcPr>
          <w:p>
            <w:pPr>
              <w:adjustRightInd w:val="0"/>
              <w:snapToGrid w:val="0"/>
              <w:spacing w:line="360" w:lineRule="auto"/>
              <w:jc w:val="both"/>
              <w:rPr>
                <w:rFonts w:ascii="Book Antiqua" w:hAnsi="Book Antiqua" w:eastAsia="Times New Roman" w:cs="Calibri"/>
                <w:b/>
                <w:color w:val="000000"/>
              </w:rPr>
            </w:pPr>
            <w:r>
              <w:rPr>
                <w:rFonts w:ascii="Book Antiqua" w:hAnsi="Book Antiqua" w:eastAsia="Times New Roman" w:cs="Calibri"/>
                <w:b/>
                <w:color w:val="000000"/>
              </w:rPr>
              <w:t>Group</w:t>
            </w:r>
          </w:p>
        </w:tc>
        <w:tc>
          <w:tcPr>
            <w:tcW w:w="420" w:type="pct"/>
            <w:tcBorders>
              <w:top w:val="single" w:color="auto" w:sz="4" w:space="0"/>
              <w:bottom w:val="single" w:color="auto" w:sz="4" w:space="0"/>
            </w:tcBorders>
            <w:shd w:val="clear" w:color="auto" w:fill="auto"/>
            <w:noWrap/>
            <w:vAlign w:val="center"/>
          </w:tcPr>
          <w:p>
            <w:pPr>
              <w:adjustRightInd w:val="0"/>
              <w:snapToGrid w:val="0"/>
              <w:spacing w:line="360" w:lineRule="auto"/>
              <w:jc w:val="both"/>
              <w:rPr>
                <w:rFonts w:ascii="Book Antiqua" w:hAnsi="Book Antiqua" w:eastAsia="Times New Roman" w:cs="Calibri"/>
                <w:b/>
                <w:color w:val="000000"/>
              </w:rPr>
            </w:pPr>
            <w:r>
              <w:rPr>
                <w:rFonts w:ascii="Book Antiqua" w:hAnsi="Book Antiqua" w:eastAsia="Times New Roman" w:cs="Calibri"/>
                <w:b/>
                <w:color w:val="000000"/>
              </w:rPr>
              <w:t>None</w:t>
            </w:r>
          </w:p>
        </w:tc>
        <w:tc>
          <w:tcPr>
            <w:tcW w:w="526" w:type="pct"/>
            <w:tcBorders>
              <w:top w:val="single" w:color="auto" w:sz="4" w:space="0"/>
              <w:bottom w:val="single" w:color="auto" w:sz="4" w:space="0"/>
            </w:tcBorders>
            <w:shd w:val="clear" w:color="auto" w:fill="auto"/>
            <w:noWrap/>
            <w:vAlign w:val="center"/>
          </w:tcPr>
          <w:p>
            <w:pPr>
              <w:adjustRightInd w:val="0"/>
              <w:snapToGrid w:val="0"/>
              <w:spacing w:line="360" w:lineRule="auto"/>
              <w:jc w:val="both"/>
              <w:rPr>
                <w:rFonts w:ascii="Book Antiqua" w:hAnsi="Book Antiqua" w:eastAsia="Times New Roman" w:cs="Calibri"/>
                <w:b/>
                <w:color w:val="000000"/>
              </w:rPr>
            </w:pPr>
            <w:r>
              <w:rPr>
                <w:rFonts w:ascii="Book Antiqua" w:hAnsi="Book Antiqua" w:eastAsia="Times New Roman" w:cs="Calibri"/>
                <w:b/>
                <w:color w:val="000000"/>
              </w:rPr>
              <w:t>Transplant</w:t>
            </w:r>
          </w:p>
        </w:tc>
        <w:tc>
          <w:tcPr>
            <w:tcW w:w="951" w:type="pct"/>
            <w:tcBorders>
              <w:top w:val="single" w:color="auto" w:sz="4" w:space="0"/>
              <w:bottom w:val="single" w:color="auto" w:sz="4" w:space="0"/>
            </w:tcBorders>
            <w:shd w:val="clear" w:color="auto" w:fill="auto"/>
            <w:noWrap/>
            <w:vAlign w:val="center"/>
          </w:tcPr>
          <w:p>
            <w:pPr>
              <w:adjustRightInd w:val="0"/>
              <w:snapToGrid w:val="0"/>
              <w:spacing w:line="360" w:lineRule="auto"/>
              <w:jc w:val="both"/>
              <w:rPr>
                <w:rFonts w:ascii="Book Antiqua" w:hAnsi="Book Antiqua" w:eastAsia="Times New Roman" w:cs="Calibri"/>
                <w:b/>
                <w:color w:val="000000"/>
              </w:rPr>
            </w:pPr>
            <w:r>
              <w:rPr>
                <w:rFonts w:ascii="Book Antiqua" w:hAnsi="Book Antiqua" w:eastAsia="Times New Roman" w:cs="Calibri"/>
                <w:b/>
                <w:color w:val="000000"/>
              </w:rPr>
              <w:t>Wedge or segmental resection</w:t>
            </w:r>
          </w:p>
        </w:tc>
        <w:tc>
          <w:tcPr>
            <w:tcW w:w="544" w:type="pct"/>
            <w:tcBorders>
              <w:top w:val="single" w:color="auto" w:sz="4" w:space="0"/>
              <w:bottom w:val="single" w:color="auto" w:sz="4" w:space="0"/>
            </w:tcBorders>
            <w:shd w:val="clear" w:color="auto" w:fill="auto"/>
            <w:noWrap/>
            <w:vAlign w:val="center"/>
          </w:tcPr>
          <w:p>
            <w:pPr>
              <w:adjustRightInd w:val="0"/>
              <w:snapToGrid w:val="0"/>
              <w:spacing w:line="360" w:lineRule="auto"/>
              <w:jc w:val="both"/>
              <w:rPr>
                <w:rFonts w:ascii="Book Antiqua" w:hAnsi="Book Antiqua" w:eastAsia="Times New Roman" w:cs="Calibri"/>
                <w:b/>
                <w:color w:val="000000"/>
              </w:rPr>
            </w:pPr>
            <w:r>
              <w:rPr>
                <w:rFonts w:ascii="Book Antiqua" w:hAnsi="Book Antiqua" w:eastAsia="Times New Roman" w:cs="Calibri"/>
                <w:b/>
                <w:color w:val="000000"/>
              </w:rPr>
              <w:t>Lobectomy</w:t>
            </w:r>
          </w:p>
        </w:tc>
        <w:tc>
          <w:tcPr>
            <w:tcW w:w="544" w:type="pct"/>
            <w:tcBorders>
              <w:top w:val="single" w:color="auto" w:sz="4" w:space="0"/>
              <w:bottom w:val="single" w:color="auto" w:sz="4" w:space="0"/>
            </w:tcBorders>
            <w:shd w:val="clear" w:color="auto" w:fill="auto"/>
            <w:noWrap/>
            <w:vAlign w:val="center"/>
          </w:tcPr>
          <w:p>
            <w:pPr>
              <w:adjustRightInd w:val="0"/>
              <w:snapToGrid w:val="0"/>
              <w:spacing w:line="360" w:lineRule="auto"/>
              <w:jc w:val="both"/>
              <w:rPr>
                <w:rFonts w:ascii="Book Antiqua" w:hAnsi="Book Antiqua" w:eastAsia="Times New Roman" w:cs="Calibri"/>
                <w:b/>
                <w:color w:val="000000"/>
              </w:rPr>
            </w:pPr>
            <w:r>
              <w:rPr>
                <w:rFonts w:ascii="Book Antiqua" w:hAnsi="Book Antiqua" w:eastAsia="Times New Roman" w:cs="Calibri"/>
                <w:b/>
                <w:color w:val="000000"/>
              </w:rPr>
              <w:t>Extended lobectomy</w:t>
            </w:r>
          </w:p>
        </w:tc>
        <w:tc>
          <w:tcPr>
            <w:tcW w:w="704" w:type="pct"/>
            <w:tcBorders>
              <w:top w:val="single" w:color="auto" w:sz="4" w:space="0"/>
              <w:bottom w:val="single" w:color="auto" w:sz="4" w:space="0"/>
            </w:tcBorders>
            <w:shd w:val="clear" w:color="auto" w:fill="auto"/>
            <w:noWrap/>
            <w:vAlign w:val="center"/>
          </w:tcPr>
          <w:p>
            <w:pPr>
              <w:adjustRightInd w:val="0"/>
              <w:snapToGrid w:val="0"/>
              <w:spacing w:line="360" w:lineRule="auto"/>
              <w:jc w:val="both"/>
              <w:rPr>
                <w:rFonts w:ascii="Book Antiqua" w:hAnsi="Book Antiqua" w:eastAsia="Times New Roman" w:cs="Calibri"/>
                <w:b/>
                <w:color w:val="000000"/>
              </w:rPr>
            </w:pPr>
            <w:r>
              <w:rPr>
                <w:rFonts w:hint="eastAsia" w:ascii="Book Antiqua" w:hAnsi="Book Antiqua" w:cs="Calibri"/>
                <w:b/>
                <w:i/>
                <w:color w:val="000000"/>
                <w:lang w:eastAsia="zh-CN"/>
              </w:rPr>
              <w:t>P</w:t>
            </w:r>
            <w:r>
              <w:rPr>
                <w:rFonts w:hint="eastAsia" w:ascii="Book Antiqua" w:hAnsi="Book Antiqua" w:cs="Calibri"/>
                <w:b/>
                <w:color w:val="000000"/>
                <w:lang w:eastAsia="zh-CN"/>
              </w:rPr>
              <w:t xml:space="preserve"> </w:t>
            </w:r>
            <w:r>
              <w:rPr>
                <w:rFonts w:ascii="Book Antiqua" w:hAnsi="Book Antiqua" w:eastAsia="Times New Roman" w:cs="Calibri"/>
                <w:b/>
                <w:color w:val="000000"/>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tcBorders>
              <w:top w:val="single" w:color="auto" w:sz="4" w:space="0"/>
            </w:tcBorders>
            <w:shd w:val="clear" w:color="auto" w:fill="auto"/>
            <w:noWrap/>
            <w:vAlign w:val="center"/>
          </w:tcPr>
          <w:p>
            <w:pPr>
              <w:adjustRightInd w:val="0"/>
              <w:snapToGrid w:val="0"/>
              <w:spacing w:line="360" w:lineRule="auto"/>
              <w:jc w:val="both"/>
              <w:rPr>
                <w:rFonts w:ascii="Book Antiqua" w:hAnsi="Book Antiqua" w:eastAsia="Times New Roman" w:cs="Calibri"/>
                <w:i/>
                <w:color w:val="000000"/>
              </w:rPr>
            </w:pPr>
            <w:r>
              <w:rPr>
                <w:rFonts w:ascii="Book Antiqua" w:hAnsi="Book Antiqua" w:eastAsia="Times New Roman" w:cs="Calibri"/>
                <w:i/>
                <w:color w:val="000000"/>
              </w:rPr>
              <w:t>n</w:t>
            </w:r>
          </w:p>
        </w:tc>
        <w:tc>
          <w:tcPr>
            <w:tcW w:w="667" w:type="pct"/>
            <w:tcBorders>
              <w:top w:val="single" w:color="auto" w:sz="4" w:space="0"/>
            </w:tcBorders>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Total 219</w:t>
            </w:r>
          </w:p>
        </w:tc>
        <w:tc>
          <w:tcPr>
            <w:tcW w:w="420" w:type="pct"/>
            <w:tcBorders>
              <w:top w:val="single" w:color="auto" w:sz="4" w:space="0"/>
            </w:tcBorders>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108</w:t>
            </w:r>
          </w:p>
        </w:tc>
        <w:tc>
          <w:tcPr>
            <w:tcW w:w="526" w:type="pct"/>
            <w:tcBorders>
              <w:top w:val="single" w:color="auto" w:sz="4" w:space="0"/>
            </w:tcBorders>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19</w:t>
            </w:r>
          </w:p>
        </w:tc>
        <w:tc>
          <w:tcPr>
            <w:tcW w:w="951" w:type="pct"/>
            <w:tcBorders>
              <w:top w:val="single" w:color="auto" w:sz="4" w:space="0"/>
            </w:tcBorders>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39</w:t>
            </w:r>
          </w:p>
        </w:tc>
        <w:tc>
          <w:tcPr>
            <w:tcW w:w="544" w:type="pct"/>
            <w:tcBorders>
              <w:top w:val="single" w:color="auto" w:sz="4" w:space="0"/>
            </w:tcBorders>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42</w:t>
            </w:r>
          </w:p>
        </w:tc>
        <w:tc>
          <w:tcPr>
            <w:tcW w:w="544" w:type="pct"/>
            <w:tcBorders>
              <w:top w:val="single" w:color="auto" w:sz="4" w:space="0"/>
            </w:tcBorders>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11</w:t>
            </w:r>
          </w:p>
        </w:tc>
        <w:tc>
          <w:tcPr>
            <w:tcW w:w="704" w:type="pct"/>
            <w:tcBorders>
              <w:top w:val="single" w:color="auto" w:sz="4" w:space="0"/>
            </w:tcBorders>
            <w:shd w:val="clear" w:color="auto" w:fill="auto"/>
            <w:noWrap/>
          </w:tcPr>
          <w:p>
            <w:pPr>
              <w:adjustRightInd w:val="0"/>
              <w:snapToGrid w:val="0"/>
              <w:spacing w:line="360" w:lineRule="auto"/>
              <w:jc w:val="both"/>
              <w:rPr>
                <w:rFonts w:ascii="Book Antiqua" w:hAnsi="Book Antiqua" w:cs="Calibri"/>
                <w:color w:val="000000"/>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Alive</w:t>
            </w: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Total 67</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10 (9.3)</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7 (36.8)</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23 (59.0)</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21 (50.0)</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6 (54.6)</w:t>
            </w:r>
          </w:p>
        </w:tc>
        <w:tc>
          <w:tcPr>
            <w:tcW w:w="70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&lt;</w:t>
            </w:r>
            <w:r>
              <w:rPr>
                <w:rFonts w:hint="eastAsia" w:ascii="Book Antiqua" w:hAnsi="Book Antiqua" w:cs="Calibri"/>
                <w:color w:val="000000"/>
                <w:lang w:eastAsia="zh-CN"/>
              </w:rPr>
              <w:t xml:space="preserve"> </w:t>
            </w:r>
            <w:r>
              <w:rPr>
                <w:rFonts w:ascii="Book Antiqua" w:hAnsi="Book Antiqua" w:eastAsia="Times New Roman" w:cs="Calibri"/>
                <w:color w:val="000000"/>
              </w:rPr>
              <w: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Age group (%)</w:t>
            </w: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w:t>
            </w:r>
            <w:r>
              <w:rPr>
                <w:rFonts w:hint="eastAsia" w:ascii="Book Antiqua" w:hAnsi="Book Antiqua" w:cs="Calibri"/>
                <w:color w:val="000000"/>
                <w:lang w:eastAsia="zh-CN"/>
              </w:rPr>
              <w:t xml:space="preserve"> </w:t>
            </w:r>
            <w:r>
              <w:rPr>
                <w:rFonts w:ascii="Book Antiqua" w:hAnsi="Book Antiqua" w:eastAsia="Times New Roman" w:cs="Calibri"/>
                <w:color w:val="000000"/>
              </w:rPr>
              <w:t>19</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18 (16.7)</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6 (31.6)</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15 (38.5)</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16 (38.1)</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7 (63.6)</w:t>
            </w:r>
          </w:p>
        </w:tc>
        <w:tc>
          <w:tcPr>
            <w:tcW w:w="70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&lt;</w:t>
            </w:r>
            <w:r>
              <w:rPr>
                <w:rFonts w:hint="eastAsia" w:ascii="Book Antiqua" w:hAnsi="Book Antiqua" w:cs="Calibri"/>
                <w:color w:val="000000"/>
                <w:lang w:eastAsia="zh-CN"/>
              </w:rPr>
              <w:t xml:space="preserve"> </w:t>
            </w:r>
            <w:r>
              <w:rPr>
                <w:rFonts w:ascii="Book Antiqua" w:hAnsi="Book Antiqua" w:eastAsia="Times New Roman" w:cs="Calibri"/>
                <w:color w:val="000000"/>
              </w:rPr>
              <w: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tcPr>
          <w:p>
            <w:pPr>
              <w:adjustRightInd w:val="0"/>
              <w:snapToGrid w:val="0"/>
              <w:spacing w:line="360" w:lineRule="auto"/>
              <w:jc w:val="both"/>
              <w:rPr>
                <w:rFonts w:ascii="Book Antiqua" w:hAnsi="Book Antiqua" w:cs="Calibri"/>
                <w:color w:val="000000"/>
                <w:lang w:eastAsia="zh-CN"/>
              </w:rPr>
            </w:pP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20-59</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54 (50.0)</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13 (68.4)</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17 (43.6)</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23 (54.8)</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4 (36.4)</w:t>
            </w:r>
          </w:p>
        </w:tc>
        <w:tc>
          <w:tcPr>
            <w:tcW w:w="704" w:type="pct"/>
            <w:shd w:val="clear" w:color="auto" w:fill="auto"/>
            <w:noWrap/>
          </w:tcPr>
          <w:p>
            <w:pPr>
              <w:adjustRightInd w:val="0"/>
              <w:snapToGrid w:val="0"/>
              <w:spacing w:line="360" w:lineRule="auto"/>
              <w:jc w:val="both"/>
              <w:rPr>
                <w:rFonts w:ascii="Book Antiqua" w:hAnsi="Book Antiqua" w:cs="Calibri"/>
                <w:color w:val="000000"/>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tcPr>
          <w:p>
            <w:pPr>
              <w:adjustRightInd w:val="0"/>
              <w:snapToGrid w:val="0"/>
              <w:spacing w:line="360" w:lineRule="auto"/>
              <w:jc w:val="both"/>
              <w:rPr>
                <w:rFonts w:ascii="Book Antiqua" w:hAnsi="Book Antiqua" w:cs="Calibri"/>
                <w:color w:val="000000"/>
                <w:lang w:eastAsia="zh-CN"/>
              </w:rPr>
            </w:pP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w:t>
            </w:r>
            <w:r>
              <w:rPr>
                <w:rFonts w:hint="eastAsia" w:ascii="Book Antiqua" w:hAnsi="Book Antiqua" w:cs="Calibri"/>
                <w:color w:val="000000"/>
                <w:lang w:eastAsia="zh-CN"/>
              </w:rPr>
              <w:t xml:space="preserve"> </w:t>
            </w:r>
            <w:r>
              <w:rPr>
                <w:rFonts w:ascii="Book Antiqua" w:hAnsi="Book Antiqua" w:eastAsia="Times New Roman" w:cs="Calibri"/>
                <w:color w:val="000000"/>
              </w:rPr>
              <w:t>60</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36 (33.3)</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0 (0)</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7 (18.0)</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3 (7.1)</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0 (0)</w:t>
            </w:r>
          </w:p>
        </w:tc>
        <w:tc>
          <w:tcPr>
            <w:tcW w:w="704" w:type="pct"/>
            <w:shd w:val="clear" w:color="auto" w:fill="auto"/>
            <w:noWrap/>
          </w:tcPr>
          <w:p>
            <w:pPr>
              <w:adjustRightInd w:val="0"/>
              <w:snapToGrid w:val="0"/>
              <w:spacing w:line="360" w:lineRule="auto"/>
              <w:jc w:val="both"/>
              <w:rPr>
                <w:rFonts w:ascii="Book Antiqua" w:hAnsi="Book Antiqua" w:cs="Calibri"/>
                <w:color w:val="000000"/>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Sex (%)</w:t>
            </w: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Male</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70 (64.8)</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12 (63.2)</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27 (69.2)</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21 (50.0)</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7 (63.6)</w:t>
            </w:r>
          </w:p>
        </w:tc>
        <w:tc>
          <w:tcPr>
            <w:tcW w:w="70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0.43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Stages (%)</w:t>
            </w: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I</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22 (20.4)</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4 (21.1)</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19 (48.7)</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15 (35.7 )</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 (18.2)</w:t>
            </w:r>
          </w:p>
        </w:tc>
        <w:tc>
          <w:tcPr>
            <w:tcW w:w="70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&lt;</w:t>
            </w:r>
            <w:r>
              <w:rPr>
                <w:rFonts w:hint="eastAsia" w:ascii="Book Antiqua" w:hAnsi="Book Antiqua" w:cs="Calibri"/>
                <w:color w:val="000000"/>
                <w:lang w:eastAsia="zh-CN"/>
              </w:rPr>
              <w:t xml:space="preserve"> </w:t>
            </w:r>
            <w:r>
              <w:rPr>
                <w:rFonts w:ascii="Book Antiqua" w:hAnsi="Book Antiqua" w:eastAsia="Times New Roman" w:cs="Calibri"/>
                <w:color w:val="000000"/>
              </w:rPr>
              <w: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tcPr>
          <w:p>
            <w:pPr>
              <w:adjustRightInd w:val="0"/>
              <w:snapToGrid w:val="0"/>
              <w:spacing w:line="360" w:lineRule="auto"/>
              <w:jc w:val="both"/>
              <w:rPr>
                <w:rFonts w:ascii="Book Antiqua" w:hAnsi="Book Antiqua" w:cs="Calibri"/>
                <w:color w:val="000000"/>
                <w:lang w:eastAsia="zh-CN"/>
              </w:rPr>
            </w:pP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II</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3 (2.8)</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0 (0)</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8 (20.5)</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5 (11.9)</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 (18.2)</w:t>
            </w:r>
          </w:p>
        </w:tc>
        <w:tc>
          <w:tcPr>
            <w:tcW w:w="704" w:type="pct"/>
            <w:shd w:val="clear" w:color="auto" w:fill="auto"/>
            <w:noWrap/>
          </w:tcPr>
          <w:p>
            <w:pPr>
              <w:adjustRightInd w:val="0"/>
              <w:snapToGrid w:val="0"/>
              <w:spacing w:line="360" w:lineRule="auto"/>
              <w:jc w:val="both"/>
              <w:rPr>
                <w:rFonts w:ascii="Book Antiqua" w:hAnsi="Book Antiqua" w:cs="Calibri"/>
                <w:color w:val="000000"/>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tcPr>
          <w:p>
            <w:pPr>
              <w:adjustRightInd w:val="0"/>
              <w:snapToGrid w:val="0"/>
              <w:spacing w:line="360" w:lineRule="auto"/>
              <w:jc w:val="both"/>
              <w:rPr>
                <w:rFonts w:ascii="Book Antiqua" w:hAnsi="Book Antiqua" w:cs="Calibri"/>
                <w:color w:val="000000"/>
                <w:lang w:eastAsia="zh-CN"/>
              </w:rPr>
            </w:pP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III</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24 (22.2)</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10 (52.6)</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9 (23.1)</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13 (31.0)</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4 (36.4)</w:t>
            </w:r>
          </w:p>
        </w:tc>
        <w:tc>
          <w:tcPr>
            <w:tcW w:w="704" w:type="pct"/>
            <w:shd w:val="clear" w:color="auto" w:fill="auto"/>
            <w:noWrap/>
          </w:tcPr>
          <w:p>
            <w:pPr>
              <w:adjustRightInd w:val="0"/>
              <w:snapToGrid w:val="0"/>
              <w:spacing w:line="360" w:lineRule="auto"/>
              <w:jc w:val="both"/>
              <w:rPr>
                <w:rFonts w:ascii="Book Antiqua" w:hAnsi="Book Antiqua" w:cs="Calibri"/>
                <w:color w:val="000000"/>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tcPr>
          <w:p>
            <w:pPr>
              <w:adjustRightInd w:val="0"/>
              <w:snapToGrid w:val="0"/>
              <w:spacing w:line="360" w:lineRule="auto"/>
              <w:jc w:val="both"/>
              <w:rPr>
                <w:rFonts w:ascii="Book Antiqua" w:hAnsi="Book Antiqua" w:cs="Calibri"/>
                <w:color w:val="000000"/>
                <w:lang w:eastAsia="zh-CN"/>
              </w:rPr>
            </w:pP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IV</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43 (39.8)</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4 (21.1)</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3 (7.7)</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8 (19.1)</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 (18.2)</w:t>
            </w:r>
          </w:p>
        </w:tc>
        <w:tc>
          <w:tcPr>
            <w:tcW w:w="704" w:type="pct"/>
            <w:shd w:val="clear" w:color="auto" w:fill="auto"/>
            <w:noWrap/>
          </w:tcPr>
          <w:p>
            <w:pPr>
              <w:adjustRightInd w:val="0"/>
              <w:snapToGrid w:val="0"/>
              <w:spacing w:line="360" w:lineRule="auto"/>
              <w:jc w:val="both"/>
              <w:rPr>
                <w:rFonts w:ascii="Book Antiqua" w:hAnsi="Book Antiqua" w:cs="Calibri"/>
                <w:color w:val="000000"/>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tcPr>
          <w:p>
            <w:pPr>
              <w:adjustRightInd w:val="0"/>
              <w:snapToGrid w:val="0"/>
              <w:spacing w:line="360" w:lineRule="auto"/>
              <w:jc w:val="both"/>
              <w:rPr>
                <w:rFonts w:ascii="Book Antiqua" w:hAnsi="Book Antiqua" w:cs="Calibri"/>
                <w:color w:val="000000"/>
                <w:lang w:eastAsia="zh-CN"/>
              </w:rPr>
            </w:pP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Unknown</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16 (14.8)</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 (5.3)</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0 (0)</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 (2.4)</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 (9.1)</w:t>
            </w:r>
          </w:p>
        </w:tc>
        <w:tc>
          <w:tcPr>
            <w:tcW w:w="704" w:type="pct"/>
            <w:shd w:val="clear" w:color="auto" w:fill="auto"/>
            <w:noWrap/>
          </w:tcPr>
          <w:p>
            <w:pPr>
              <w:adjustRightInd w:val="0"/>
              <w:snapToGrid w:val="0"/>
              <w:spacing w:line="360" w:lineRule="auto"/>
              <w:jc w:val="both"/>
              <w:rPr>
                <w:rFonts w:ascii="Book Antiqua" w:hAnsi="Book Antiqua" w:cs="Calibri"/>
                <w:color w:val="000000"/>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Race (%)</w:t>
            </w: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API</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13 (12.0)</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 (5.3)</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3 (7.7)</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3 (7.1)</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 (9.1)</w:t>
            </w:r>
          </w:p>
        </w:tc>
        <w:tc>
          <w:tcPr>
            <w:tcW w:w="70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0.28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tcPr>
          <w:p>
            <w:pPr>
              <w:adjustRightInd w:val="0"/>
              <w:snapToGrid w:val="0"/>
              <w:spacing w:line="360" w:lineRule="auto"/>
              <w:jc w:val="both"/>
              <w:rPr>
                <w:rFonts w:ascii="Book Antiqua" w:hAnsi="Book Antiqua" w:cs="Calibri"/>
                <w:color w:val="000000"/>
                <w:lang w:eastAsia="zh-CN"/>
              </w:rPr>
            </w:pP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Black</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17 (15.7)</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 (10.5)</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 (5.1)</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6 (14.3)</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0 (0)</w:t>
            </w:r>
          </w:p>
        </w:tc>
        <w:tc>
          <w:tcPr>
            <w:tcW w:w="704" w:type="pct"/>
            <w:shd w:val="clear" w:color="auto" w:fill="auto"/>
            <w:noWrap/>
          </w:tcPr>
          <w:p>
            <w:pPr>
              <w:adjustRightInd w:val="0"/>
              <w:snapToGrid w:val="0"/>
              <w:spacing w:line="360" w:lineRule="auto"/>
              <w:jc w:val="both"/>
              <w:rPr>
                <w:rFonts w:ascii="Book Antiqua" w:hAnsi="Book Antiqua" w:cs="Calibri"/>
                <w:color w:val="000000"/>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tcPr>
          <w:p>
            <w:pPr>
              <w:adjustRightInd w:val="0"/>
              <w:snapToGrid w:val="0"/>
              <w:spacing w:line="360" w:lineRule="auto"/>
              <w:jc w:val="both"/>
              <w:rPr>
                <w:rFonts w:ascii="Book Antiqua" w:hAnsi="Book Antiqua" w:cs="Calibri"/>
                <w:color w:val="000000"/>
                <w:lang w:eastAsia="zh-CN"/>
              </w:rPr>
            </w:pP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Hispanic</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29 (26.9)</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4 (21.1)</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6 (15.4)</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8 (19.1)</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5 (45.5)</w:t>
            </w:r>
          </w:p>
        </w:tc>
        <w:tc>
          <w:tcPr>
            <w:tcW w:w="704" w:type="pct"/>
            <w:shd w:val="clear" w:color="auto" w:fill="auto"/>
            <w:noWrap/>
          </w:tcPr>
          <w:p>
            <w:pPr>
              <w:adjustRightInd w:val="0"/>
              <w:snapToGrid w:val="0"/>
              <w:spacing w:line="360" w:lineRule="auto"/>
              <w:jc w:val="both"/>
              <w:rPr>
                <w:rFonts w:ascii="Book Antiqua" w:hAnsi="Book Antiqua" w:cs="Calibri"/>
                <w:color w:val="000000"/>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tcPr>
          <w:p>
            <w:pPr>
              <w:adjustRightInd w:val="0"/>
              <w:snapToGrid w:val="0"/>
              <w:spacing w:line="360" w:lineRule="auto"/>
              <w:jc w:val="both"/>
              <w:rPr>
                <w:rFonts w:ascii="Book Antiqua" w:hAnsi="Book Antiqua" w:cs="Calibri"/>
                <w:color w:val="000000"/>
                <w:lang w:eastAsia="zh-CN"/>
              </w:rPr>
            </w:pP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White</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49 (45.4)</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12 (63.2)</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28 (71.8)</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25 (59.5)</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5 (45.5)</w:t>
            </w:r>
          </w:p>
        </w:tc>
        <w:tc>
          <w:tcPr>
            <w:tcW w:w="704" w:type="pct"/>
            <w:shd w:val="clear" w:color="auto" w:fill="auto"/>
            <w:noWrap/>
          </w:tcPr>
          <w:p>
            <w:pPr>
              <w:adjustRightInd w:val="0"/>
              <w:snapToGrid w:val="0"/>
              <w:spacing w:line="360" w:lineRule="auto"/>
              <w:jc w:val="both"/>
              <w:rPr>
                <w:rFonts w:ascii="Book Antiqua" w:hAnsi="Book Antiqua" w:cs="Calibri"/>
                <w:color w:val="000000"/>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Income (%)</w:t>
            </w: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&lt;</w:t>
            </w:r>
            <w:r>
              <w:rPr>
                <w:rFonts w:hint="eastAsia" w:ascii="Book Antiqua" w:hAnsi="Book Antiqua" w:cs="Calibri"/>
                <w:color w:val="000000"/>
                <w:lang w:eastAsia="zh-CN"/>
              </w:rPr>
              <w:t xml:space="preserve"> </w:t>
            </w:r>
            <w:r>
              <w:rPr>
                <w:rFonts w:ascii="Book Antiqua" w:hAnsi="Book Antiqua" w:eastAsia="Times New Roman" w:cs="Calibri"/>
                <w:color w:val="000000"/>
              </w:rPr>
              <w:t>$55000</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29 (26.9)</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3 (15.8)</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12 (30.8)</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8 (19.1)</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 (9.1)</w:t>
            </w:r>
          </w:p>
        </w:tc>
        <w:tc>
          <w:tcPr>
            <w:tcW w:w="70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0.22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tcPr>
          <w:p>
            <w:pPr>
              <w:adjustRightInd w:val="0"/>
              <w:snapToGrid w:val="0"/>
              <w:spacing w:line="360" w:lineRule="auto"/>
              <w:jc w:val="both"/>
              <w:rPr>
                <w:rFonts w:ascii="Book Antiqua" w:hAnsi="Book Antiqua" w:cs="Calibri"/>
                <w:color w:val="000000"/>
                <w:lang w:eastAsia="zh-CN"/>
              </w:rPr>
            </w:pP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$55000-70000</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41 (38.0)</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8 (42.1)</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15 (38.5)</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13 (31.0)</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8 (72.7)</w:t>
            </w:r>
          </w:p>
        </w:tc>
        <w:tc>
          <w:tcPr>
            <w:tcW w:w="704" w:type="pct"/>
            <w:shd w:val="clear" w:color="auto" w:fill="auto"/>
            <w:noWrap/>
          </w:tcPr>
          <w:p>
            <w:pPr>
              <w:adjustRightInd w:val="0"/>
              <w:snapToGrid w:val="0"/>
              <w:spacing w:line="360" w:lineRule="auto"/>
              <w:jc w:val="both"/>
              <w:rPr>
                <w:rFonts w:ascii="Book Antiqua" w:hAnsi="Book Antiqua" w:cs="Calibri"/>
                <w:color w:val="000000"/>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tcPr>
          <w:p>
            <w:pPr>
              <w:adjustRightInd w:val="0"/>
              <w:snapToGrid w:val="0"/>
              <w:spacing w:line="360" w:lineRule="auto"/>
              <w:jc w:val="both"/>
              <w:rPr>
                <w:rFonts w:ascii="Book Antiqua" w:hAnsi="Book Antiqua" w:cs="Calibri"/>
                <w:color w:val="000000"/>
                <w:lang w:eastAsia="zh-CN"/>
              </w:rPr>
            </w:pP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&gt;</w:t>
            </w:r>
            <w:r>
              <w:rPr>
                <w:rFonts w:hint="eastAsia" w:ascii="Book Antiqua" w:hAnsi="Book Antiqua" w:cs="Calibri"/>
                <w:color w:val="000000"/>
                <w:lang w:eastAsia="zh-CN"/>
              </w:rPr>
              <w:t xml:space="preserve"> </w:t>
            </w:r>
            <w:r>
              <w:rPr>
                <w:rFonts w:ascii="Book Antiqua" w:hAnsi="Book Antiqua" w:eastAsia="Times New Roman" w:cs="Calibri"/>
                <w:color w:val="000000"/>
              </w:rPr>
              <w:t>$70000</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38 (35.2)</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8 (42.1)</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12 (30.8)</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21 (50.0)</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 (18.2)</w:t>
            </w:r>
          </w:p>
        </w:tc>
        <w:tc>
          <w:tcPr>
            <w:tcW w:w="704" w:type="pct"/>
            <w:shd w:val="clear" w:color="auto" w:fill="auto"/>
            <w:noWrap/>
          </w:tcPr>
          <w:p>
            <w:pPr>
              <w:adjustRightInd w:val="0"/>
              <w:snapToGrid w:val="0"/>
              <w:spacing w:line="360" w:lineRule="auto"/>
              <w:jc w:val="both"/>
              <w:rPr>
                <w:rFonts w:ascii="Book Antiqua" w:hAnsi="Book Antiqua" w:cs="Calibri"/>
                <w:color w:val="000000"/>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Lymph nodes status (%)</w:t>
            </w: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N0</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64 (59.3)</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12 (63.2)</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32 (82.1)</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24 (57.1)</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6 (54.6)</w:t>
            </w:r>
          </w:p>
        </w:tc>
        <w:tc>
          <w:tcPr>
            <w:tcW w:w="70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0.007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vAlign w:val="center"/>
          </w:tcPr>
          <w:p>
            <w:pPr>
              <w:adjustRightInd w:val="0"/>
              <w:snapToGrid w:val="0"/>
              <w:spacing w:line="360" w:lineRule="auto"/>
              <w:jc w:val="both"/>
              <w:rPr>
                <w:rFonts w:ascii="Book Antiqua" w:hAnsi="Book Antiqua" w:cs="Calibri"/>
                <w:color w:val="000000"/>
                <w:lang w:eastAsia="zh-CN"/>
              </w:rPr>
            </w:pP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N1</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25 (23.2)</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6 (31.6)</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7 (18.0)</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17 (40.5)</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4 (36.4)</w:t>
            </w:r>
          </w:p>
        </w:tc>
        <w:tc>
          <w:tcPr>
            <w:tcW w:w="704" w:type="pct"/>
            <w:shd w:val="clear" w:color="auto" w:fill="auto"/>
            <w:noWrap/>
            <w:vAlign w:val="center"/>
          </w:tcPr>
          <w:p>
            <w:pPr>
              <w:adjustRightInd w:val="0"/>
              <w:snapToGrid w:val="0"/>
              <w:spacing w:line="360" w:lineRule="auto"/>
              <w:jc w:val="both"/>
              <w:rPr>
                <w:rFonts w:ascii="Book Antiqua" w:hAnsi="Book Antiqua" w:cs="Calibri"/>
                <w:color w:val="000000"/>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tcPr>
          <w:p>
            <w:pPr>
              <w:adjustRightInd w:val="0"/>
              <w:snapToGrid w:val="0"/>
              <w:spacing w:line="360" w:lineRule="auto"/>
              <w:jc w:val="both"/>
              <w:rPr>
                <w:rFonts w:ascii="Book Antiqua" w:hAnsi="Book Antiqua" w:cs="Calibri"/>
                <w:color w:val="000000"/>
                <w:lang w:eastAsia="zh-CN"/>
              </w:rPr>
            </w:pP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Nx</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19 (17.6)</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 (5.3)</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0(0)</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 (2.4)</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 (9.1)</w:t>
            </w:r>
          </w:p>
        </w:tc>
        <w:tc>
          <w:tcPr>
            <w:tcW w:w="704" w:type="pct"/>
            <w:shd w:val="clear" w:color="auto" w:fill="auto"/>
            <w:noWrap/>
            <w:vAlign w:val="center"/>
          </w:tcPr>
          <w:p>
            <w:pPr>
              <w:adjustRightInd w:val="0"/>
              <w:snapToGrid w:val="0"/>
              <w:spacing w:line="360" w:lineRule="auto"/>
              <w:jc w:val="both"/>
              <w:rPr>
                <w:rFonts w:ascii="Book Antiqua" w:hAnsi="Book Antiqua" w:cs="Calibri"/>
                <w:color w:val="000000"/>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Metastasis status (%)</w:t>
            </w: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M0</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56 (52.9)</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15 (79.0)</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36 (92.3)</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34 (81.0)</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8 (72.7)</w:t>
            </w:r>
          </w:p>
        </w:tc>
        <w:tc>
          <w:tcPr>
            <w:tcW w:w="70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&lt;</w:t>
            </w:r>
            <w:r>
              <w:rPr>
                <w:rFonts w:hint="eastAsia" w:ascii="Book Antiqua" w:hAnsi="Book Antiqua" w:cs="Calibri"/>
                <w:color w:val="000000"/>
                <w:lang w:eastAsia="zh-CN"/>
              </w:rPr>
              <w:t xml:space="preserve"> </w:t>
            </w:r>
            <w:r>
              <w:rPr>
                <w:rFonts w:ascii="Book Antiqua" w:hAnsi="Book Antiqua" w:eastAsia="Times New Roman" w:cs="Calibri"/>
                <w:color w:val="000000"/>
              </w:rPr>
              <w: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tcPr>
          <w:p>
            <w:pPr>
              <w:adjustRightInd w:val="0"/>
              <w:snapToGrid w:val="0"/>
              <w:spacing w:line="360" w:lineRule="auto"/>
              <w:jc w:val="both"/>
              <w:rPr>
                <w:rFonts w:ascii="Book Antiqua" w:hAnsi="Book Antiqua" w:cs="Calibri"/>
                <w:color w:val="000000"/>
                <w:lang w:eastAsia="zh-CN"/>
              </w:rPr>
            </w:pP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M1</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43 (39.8)</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4 (21.1)</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3 (7.7)</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8 (19.1)</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 (18.2)</w:t>
            </w:r>
          </w:p>
        </w:tc>
        <w:tc>
          <w:tcPr>
            <w:tcW w:w="704" w:type="pct"/>
            <w:shd w:val="clear" w:color="auto" w:fill="auto"/>
            <w:noWrap/>
            <w:vAlign w:val="center"/>
          </w:tcPr>
          <w:p>
            <w:pPr>
              <w:adjustRightInd w:val="0"/>
              <w:snapToGrid w:val="0"/>
              <w:spacing w:line="360" w:lineRule="auto"/>
              <w:jc w:val="both"/>
              <w:rPr>
                <w:rFonts w:ascii="Book Antiqua" w:hAnsi="Book Antiqua" w:cs="Calibri"/>
                <w:color w:val="000000"/>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tcPr>
          <w:p>
            <w:pPr>
              <w:adjustRightInd w:val="0"/>
              <w:snapToGrid w:val="0"/>
              <w:spacing w:line="360" w:lineRule="auto"/>
              <w:jc w:val="both"/>
              <w:rPr>
                <w:rFonts w:ascii="Book Antiqua" w:hAnsi="Book Antiqua" w:cs="Calibri"/>
                <w:color w:val="000000"/>
                <w:lang w:eastAsia="zh-CN"/>
              </w:rPr>
            </w:pP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Mx</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9 (8.3)</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0 (0)</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0 (0)</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0 (0)</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 (9.1)</w:t>
            </w:r>
          </w:p>
        </w:tc>
        <w:tc>
          <w:tcPr>
            <w:tcW w:w="704" w:type="pct"/>
            <w:shd w:val="clear" w:color="auto" w:fill="auto"/>
            <w:noWrap/>
            <w:vAlign w:val="center"/>
          </w:tcPr>
          <w:p>
            <w:pPr>
              <w:adjustRightInd w:val="0"/>
              <w:snapToGrid w:val="0"/>
              <w:spacing w:line="360" w:lineRule="auto"/>
              <w:jc w:val="both"/>
              <w:rPr>
                <w:rFonts w:ascii="Book Antiqua" w:hAnsi="Book Antiqua" w:cs="Calibri"/>
                <w:color w:val="000000"/>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Population (%)</w:t>
            </w: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w:t>
            </w:r>
            <w:r>
              <w:rPr>
                <w:rFonts w:hint="eastAsia" w:ascii="Book Antiqua" w:hAnsi="Book Antiqua" w:cs="Calibri"/>
                <w:color w:val="000000"/>
                <w:lang w:eastAsia="zh-CN"/>
              </w:rPr>
              <w:t xml:space="preserve"> 1</w:t>
            </w:r>
            <w:r>
              <w:rPr>
                <w:rFonts w:ascii="Book Antiqua" w:hAnsi="Book Antiqua" w:eastAsia="Times New Roman" w:cs="Calibri"/>
                <w:color w:val="000000"/>
              </w:rPr>
              <w:t xml:space="preserve"> million</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76 (70.4)</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13 (68.4)</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21 (53.9)</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24 (57.1)</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7 (63.6)</w:t>
            </w:r>
          </w:p>
        </w:tc>
        <w:tc>
          <w:tcPr>
            <w:tcW w:w="70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0.32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tcPr>
          <w:p>
            <w:pPr>
              <w:adjustRightInd w:val="0"/>
              <w:snapToGrid w:val="0"/>
              <w:spacing w:line="360" w:lineRule="auto"/>
              <w:jc w:val="both"/>
              <w:rPr>
                <w:rFonts w:ascii="Book Antiqua" w:hAnsi="Book Antiqua" w:cs="Calibri"/>
                <w:color w:val="000000"/>
                <w:lang w:eastAsia="zh-CN"/>
              </w:rPr>
            </w:pP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Others</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32 (29.7)</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6 (31.6)</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18 (46.2)</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18 (42.9)</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4 (36.4)</w:t>
            </w:r>
          </w:p>
        </w:tc>
        <w:tc>
          <w:tcPr>
            <w:tcW w:w="704" w:type="pct"/>
            <w:shd w:val="clear" w:color="auto" w:fill="auto"/>
            <w:noWrap/>
          </w:tcPr>
          <w:p>
            <w:pPr>
              <w:adjustRightInd w:val="0"/>
              <w:snapToGrid w:val="0"/>
              <w:spacing w:line="360" w:lineRule="auto"/>
              <w:jc w:val="both"/>
              <w:rPr>
                <w:rFonts w:ascii="Book Antiqua" w:hAnsi="Book Antiqua" w:cs="Calibri"/>
                <w:color w:val="000000"/>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Size (%)</w:t>
            </w: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w:t>
            </w:r>
            <w:r>
              <w:rPr>
                <w:rFonts w:hint="eastAsia" w:ascii="Book Antiqua" w:hAnsi="Book Antiqua" w:cs="Calibri"/>
                <w:color w:val="000000"/>
                <w:lang w:eastAsia="zh-CN"/>
              </w:rPr>
              <w:t xml:space="preserve"> </w:t>
            </w:r>
            <w:r>
              <w:rPr>
                <w:rFonts w:ascii="Book Antiqua" w:hAnsi="Book Antiqua" w:eastAsia="Times New Roman" w:cs="Calibri"/>
                <w:color w:val="000000"/>
              </w:rPr>
              <w:t>50 mm</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18 (16.7)</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 (5.3)</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12 (30.8)</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6 (14.3)</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 (9.1)</w:t>
            </w:r>
          </w:p>
        </w:tc>
        <w:tc>
          <w:tcPr>
            <w:tcW w:w="70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&lt;</w:t>
            </w:r>
            <w:r>
              <w:rPr>
                <w:rFonts w:hint="eastAsia" w:ascii="Book Antiqua" w:hAnsi="Book Antiqua" w:cs="Calibri"/>
                <w:color w:val="000000"/>
                <w:lang w:eastAsia="zh-CN"/>
              </w:rPr>
              <w:t xml:space="preserve"> </w:t>
            </w:r>
            <w:r>
              <w:rPr>
                <w:rFonts w:ascii="Book Antiqua" w:hAnsi="Book Antiqua" w:eastAsia="Times New Roman" w:cs="Calibri"/>
                <w:color w:val="000000"/>
              </w:rPr>
              <w: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tcPr>
          <w:p>
            <w:pPr>
              <w:adjustRightInd w:val="0"/>
              <w:snapToGrid w:val="0"/>
              <w:spacing w:line="360" w:lineRule="auto"/>
              <w:jc w:val="both"/>
              <w:rPr>
                <w:rFonts w:ascii="Book Antiqua" w:hAnsi="Book Antiqua" w:cs="Calibri"/>
                <w:color w:val="000000"/>
                <w:lang w:eastAsia="zh-CN"/>
              </w:rPr>
            </w:pP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51-100 mm</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25 (23.2)</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5 (26.3)</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15 (38.5)</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14 (33.3)</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3 (27.3)</w:t>
            </w:r>
          </w:p>
        </w:tc>
        <w:tc>
          <w:tcPr>
            <w:tcW w:w="704" w:type="pct"/>
            <w:shd w:val="clear" w:color="auto" w:fill="auto"/>
            <w:noWrap/>
          </w:tcPr>
          <w:p>
            <w:pPr>
              <w:adjustRightInd w:val="0"/>
              <w:snapToGrid w:val="0"/>
              <w:spacing w:line="360" w:lineRule="auto"/>
              <w:jc w:val="both"/>
              <w:rPr>
                <w:rFonts w:ascii="Book Antiqua" w:hAnsi="Book Antiqua" w:cs="Calibri"/>
                <w:color w:val="000000"/>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tcPr>
          <w:p>
            <w:pPr>
              <w:adjustRightInd w:val="0"/>
              <w:snapToGrid w:val="0"/>
              <w:spacing w:line="360" w:lineRule="auto"/>
              <w:jc w:val="both"/>
              <w:rPr>
                <w:rFonts w:ascii="Book Antiqua" w:hAnsi="Book Antiqua" w:cs="Calibri"/>
                <w:color w:val="000000"/>
                <w:lang w:eastAsia="zh-CN"/>
              </w:rPr>
            </w:pP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w:t>
            </w:r>
            <w:r>
              <w:rPr>
                <w:rFonts w:hint="eastAsia" w:ascii="Book Antiqua" w:hAnsi="Book Antiqua" w:cs="Calibri"/>
                <w:color w:val="000000"/>
                <w:lang w:eastAsia="zh-CN"/>
              </w:rPr>
              <w:t xml:space="preserve"> </w:t>
            </w:r>
            <w:r>
              <w:rPr>
                <w:rFonts w:ascii="Book Antiqua" w:hAnsi="Book Antiqua" w:eastAsia="Times New Roman" w:cs="Calibri"/>
                <w:color w:val="000000"/>
              </w:rPr>
              <w:t>100 mm</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37 (34.3)</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11 (57.9)</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10 (25.6)</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21 (50.0)</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7 (63.6)</w:t>
            </w:r>
          </w:p>
        </w:tc>
        <w:tc>
          <w:tcPr>
            <w:tcW w:w="704" w:type="pct"/>
            <w:shd w:val="clear" w:color="auto" w:fill="auto"/>
            <w:noWrap/>
          </w:tcPr>
          <w:p>
            <w:pPr>
              <w:adjustRightInd w:val="0"/>
              <w:snapToGrid w:val="0"/>
              <w:spacing w:line="360" w:lineRule="auto"/>
              <w:jc w:val="both"/>
              <w:rPr>
                <w:rFonts w:ascii="Book Antiqua" w:hAnsi="Book Antiqua" w:cs="Calibri"/>
                <w:color w:val="000000"/>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4" w:type="pct"/>
            <w:shd w:val="clear" w:color="auto" w:fill="auto"/>
            <w:noWrap/>
          </w:tcPr>
          <w:p>
            <w:pPr>
              <w:adjustRightInd w:val="0"/>
              <w:snapToGrid w:val="0"/>
              <w:spacing w:line="360" w:lineRule="auto"/>
              <w:jc w:val="both"/>
              <w:rPr>
                <w:rFonts w:ascii="Book Antiqua" w:hAnsi="Book Antiqua" w:cs="Calibri"/>
                <w:color w:val="000000"/>
                <w:lang w:eastAsia="zh-CN"/>
              </w:rPr>
            </w:pPr>
          </w:p>
        </w:tc>
        <w:tc>
          <w:tcPr>
            <w:tcW w:w="667"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Unknown</w:t>
            </w:r>
          </w:p>
        </w:tc>
        <w:tc>
          <w:tcPr>
            <w:tcW w:w="420"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28 (25.9)</w:t>
            </w:r>
          </w:p>
        </w:tc>
        <w:tc>
          <w:tcPr>
            <w:tcW w:w="526"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 (10.5)</w:t>
            </w:r>
          </w:p>
        </w:tc>
        <w:tc>
          <w:tcPr>
            <w:tcW w:w="951"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 (5.1)</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 (2.4)</w:t>
            </w:r>
          </w:p>
        </w:tc>
        <w:tc>
          <w:tcPr>
            <w:tcW w:w="544" w:type="pct"/>
            <w:shd w:val="clear" w:color="auto" w:fill="auto"/>
            <w:noWrap/>
            <w:vAlign w:val="center"/>
          </w:tcPr>
          <w:p>
            <w:pPr>
              <w:adjustRightInd w:val="0"/>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0 (0)</w:t>
            </w:r>
          </w:p>
        </w:tc>
        <w:tc>
          <w:tcPr>
            <w:tcW w:w="704" w:type="pct"/>
            <w:shd w:val="clear" w:color="auto" w:fill="auto"/>
            <w:noWrap/>
          </w:tcPr>
          <w:p>
            <w:pPr>
              <w:adjustRightInd w:val="0"/>
              <w:snapToGrid w:val="0"/>
              <w:spacing w:line="360" w:lineRule="auto"/>
              <w:jc w:val="both"/>
              <w:rPr>
                <w:rFonts w:ascii="Book Antiqua" w:hAnsi="Book Antiqua" w:cs="Calibri"/>
                <w:color w:val="000000"/>
                <w:lang w:eastAsia="zh-CN"/>
              </w:rPr>
            </w:pPr>
          </w:p>
        </w:tc>
      </w:tr>
    </w:tbl>
    <w:p>
      <w:pPr>
        <w:tabs>
          <w:tab w:val="left" w:pos="9360"/>
        </w:tabs>
        <w:adjustRightInd w:val="0"/>
        <w:snapToGrid w:val="0"/>
        <w:spacing w:line="360" w:lineRule="auto"/>
        <w:jc w:val="both"/>
        <w:rPr>
          <w:rFonts w:ascii="Book Antiqua" w:hAnsi="Book Antiqua" w:eastAsiaTheme="minorHAnsi"/>
          <w:b/>
          <w:bCs/>
        </w:rPr>
      </w:pPr>
    </w:p>
    <w:p>
      <w:pPr>
        <w:tabs>
          <w:tab w:val="left" w:pos="9360"/>
        </w:tabs>
        <w:adjustRightInd w:val="0"/>
        <w:snapToGrid w:val="0"/>
        <w:spacing w:line="360" w:lineRule="auto"/>
        <w:jc w:val="both"/>
        <w:rPr>
          <w:rFonts w:ascii="Book Antiqua" w:hAnsi="Book Antiqua" w:eastAsiaTheme="minorHAnsi"/>
          <w:b/>
          <w:bCs/>
        </w:rPr>
        <w:sectPr>
          <w:pgSz w:w="15840" w:h="12240" w:orient="landscape"/>
          <w:pgMar w:top="1440" w:right="1440" w:bottom="1440" w:left="1440" w:header="720" w:footer="720" w:gutter="0"/>
          <w:cols w:space="720" w:num="1"/>
          <w:docGrid w:linePitch="360" w:charSpace="0"/>
        </w:sectPr>
      </w:pPr>
    </w:p>
    <w:p>
      <w:pPr>
        <w:tabs>
          <w:tab w:val="left" w:pos="9360"/>
        </w:tabs>
        <w:adjustRightInd w:val="0"/>
        <w:snapToGrid w:val="0"/>
        <w:spacing w:line="360" w:lineRule="auto"/>
        <w:jc w:val="both"/>
        <w:rPr>
          <w:rFonts w:ascii="Book Antiqua" w:hAnsi="Book Antiqua" w:eastAsiaTheme="minorHAnsi"/>
          <w:b/>
          <w:bCs/>
        </w:rPr>
      </w:pPr>
      <w:r>
        <w:rPr>
          <w:rFonts w:ascii="Book Antiqua" w:hAnsi="Book Antiqua" w:eastAsiaTheme="minorHAnsi"/>
          <w:b/>
          <w:bCs/>
        </w:rPr>
        <w:t>Table 4 Multivariate Cox regression analysis</w:t>
      </w:r>
    </w:p>
    <w:tbl>
      <w:tblPr>
        <w:tblStyle w:val="9"/>
        <w:tblW w:w="9114"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20"/>
        <w:gridCol w:w="1882"/>
        <w:gridCol w:w="1717"/>
        <w:gridCol w:w="1924"/>
        <w:gridCol w:w="117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2420" w:type="dxa"/>
            <w:tcBorders>
              <w:top w:val="single" w:color="auto" w:sz="4" w:space="0"/>
              <w:bottom w:val="single" w:color="auto" w:sz="4" w:space="0"/>
            </w:tcBorders>
            <w:shd w:val="clear" w:color="auto" w:fill="auto"/>
            <w:noWrap/>
            <w:vAlign w:val="bottom"/>
          </w:tcPr>
          <w:p>
            <w:pPr>
              <w:adjustRightInd w:val="0"/>
              <w:snapToGrid w:val="0"/>
              <w:spacing w:line="360" w:lineRule="auto"/>
              <w:jc w:val="both"/>
              <w:rPr>
                <w:rFonts w:ascii="Book Antiqua" w:hAnsi="Book Antiqua" w:cs="Calibri"/>
                <w:b/>
                <w:lang w:eastAsia="zh-CN"/>
              </w:rPr>
            </w:pPr>
          </w:p>
        </w:tc>
        <w:tc>
          <w:tcPr>
            <w:tcW w:w="1882" w:type="dxa"/>
            <w:tcBorders>
              <w:top w:val="single" w:color="auto" w:sz="4" w:space="0"/>
              <w:bottom w:val="single" w:color="auto" w:sz="4" w:space="0"/>
            </w:tcBorders>
            <w:shd w:val="clear" w:color="auto" w:fill="auto"/>
            <w:noWrap/>
            <w:vAlign w:val="bottom"/>
          </w:tcPr>
          <w:p>
            <w:pPr>
              <w:adjustRightInd w:val="0"/>
              <w:snapToGrid w:val="0"/>
              <w:spacing w:line="360" w:lineRule="auto"/>
              <w:jc w:val="both"/>
              <w:rPr>
                <w:rFonts w:ascii="Book Antiqua" w:hAnsi="Book Antiqua" w:cs="Calibri"/>
                <w:b/>
                <w:lang w:eastAsia="zh-CN"/>
              </w:rPr>
            </w:pPr>
          </w:p>
        </w:tc>
        <w:tc>
          <w:tcPr>
            <w:tcW w:w="1717" w:type="dxa"/>
            <w:tcBorders>
              <w:top w:val="single" w:color="auto" w:sz="4" w:space="0"/>
              <w:bottom w:val="single" w:color="auto" w:sz="4" w:space="0"/>
            </w:tcBorders>
            <w:shd w:val="clear" w:color="auto" w:fill="auto"/>
            <w:vAlign w:val="center"/>
          </w:tcPr>
          <w:p>
            <w:pPr>
              <w:adjustRightInd w:val="0"/>
              <w:snapToGrid w:val="0"/>
              <w:spacing w:line="360" w:lineRule="auto"/>
              <w:jc w:val="both"/>
              <w:rPr>
                <w:rFonts w:ascii="Book Antiqua" w:hAnsi="Book Antiqua" w:eastAsia="Times New Roman" w:cs="Calibri"/>
                <w:b/>
              </w:rPr>
            </w:pPr>
            <w:r>
              <w:rPr>
                <w:rFonts w:ascii="Book Antiqua" w:hAnsi="Book Antiqua" w:eastAsia="Times New Roman" w:cs="Calibri"/>
                <w:b/>
              </w:rPr>
              <w:t>Hazard ratio</w:t>
            </w:r>
          </w:p>
        </w:tc>
        <w:tc>
          <w:tcPr>
            <w:tcW w:w="1924" w:type="dxa"/>
            <w:tcBorders>
              <w:top w:val="single" w:color="auto" w:sz="4" w:space="0"/>
              <w:bottom w:val="single" w:color="auto" w:sz="4" w:space="0"/>
            </w:tcBorders>
            <w:shd w:val="clear" w:color="auto" w:fill="auto"/>
            <w:vAlign w:val="center"/>
          </w:tcPr>
          <w:p>
            <w:pPr>
              <w:adjustRightInd w:val="0"/>
              <w:snapToGrid w:val="0"/>
              <w:spacing w:line="360" w:lineRule="auto"/>
              <w:jc w:val="both"/>
              <w:rPr>
                <w:rFonts w:ascii="Book Antiqua" w:hAnsi="Book Antiqua" w:eastAsia="Times New Roman" w:cs="Calibri"/>
                <w:b/>
              </w:rPr>
            </w:pPr>
            <w:r>
              <w:rPr>
                <w:rFonts w:ascii="Book Antiqua" w:hAnsi="Book Antiqua" w:eastAsia="Times New Roman" w:cs="Calibri"/>
                <w:b/>
              </w:rPr>
              <w:t>Standard error</w:t>
            </w:r>
          </w:p>
        </w:tc>
        <w:tc>
          <w:tcPr>
            <w:tcW w:w="1171" w:type="dxa"/>
            <w:tcBorders>
              <w:top w:val="single" w:color="auto" w:sz="4" w:space="0"/>
              <w:bottom w:val="single" w:color="auto" w:sz="4" w:space="0"/>
            </w:tcBorders>
            <w:shd w:val="clear" w:color="auto" w:fill="auto"/>
            <w:vAlign w:val="center"/>
          </w:tcPr>
          <w:p>
            <w:pPr>
              <w:adjustRightInd w:val="0"/>
              <w:snapToGrid w:val="0"/>
              <w:spacing w:line="360" w:lineRule="auto"/>
              <w:jc w:val="both"/>
              <w:rPr>
                <w:rFonts w:ascii="Book Antiqua" w:hAnsi="Book Antiqua" w:eastAsia="Times New Roman" w:cs="Calibri"/>
                <w:b/>
              </w:rPr>
            </w:pPr>
            <w:r>
              <w:rPr>
                <w:rFonts w:hint="eastAsia" w:ascii="Book Antiqua" w:hAnsi="Book Antiqua" w:cs="Calibri"/>
                <w:b/>
                <w:i/>
                <w:lang w:eastAsia="zh-CN"/>
              </w:rPr>
              <w:t>P</w:t>
            </w:r>
            <w:r>
              <w:rPr>
                <w:rFonts w:hint="eastAsia" w:ascii="Book Antiqua" w:hAnsi="Book Antiqua" w:cs="Calibri"/>
                <w:b/>
                <w:lang w:eastAsia="zh-CN"/>
              </w:rPr>
              <w:t xml:space="preserve"> </w:t>
            </w:r>
            <w:r>
              <w:rPr>
                <w:rFonts w:ascii="Book Antiqua" w:hAnsi="Book Antiqua" w:eastAsia="Times New Roman" w:cs="Calibri"/>
                <w:b/>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420" w:type="dxa"/>
            <w:tcBorders>
              <w:top w:val="single" w:color="auto" w:sz="4" w:space="0"/>
            </w:tcBorders>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Age group (%)</w:t>
            </w:r>
          </w:p>
        </w:tc>
        <w:tc>
          <w:tcPr>
            <w:tcW w:w="1882" w:type="dxa"/>
            <w:tcBorders>
              <w:top w:val="single" w:color="auto" w:sz="4" w:space="0"/>
            </w:tcBorders>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20-59</w:t>
            </w:r>
          </w:p>
        </w:tc>
        <w:tc>
          <w:tcPr>
            <w:tcW w:w="1717" w:type="dxa"/>
            <w:tcBorders>
              <w:top w:val="single" w:color="auto" w:sz="4" w:space="0"/>
            </w:tcBorders>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0.931</w:t>
            </w:r>
          </w:p>
        </w:tc>
        <w:tc>
          <w:tcPr>
            <w:tcW w:w="1924" w:type="dxa"/>
            <w:tcBorders>
              <w:top w:val="single" w:color="auto" w:sz="4" w:space="0"/>
            </w:tcBorders>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0.327</w:t>
            </w:r>
          </w:p>
        </w:tc>
        <w:tc>
          <w:tcPr>
            <w:tcW w:w="1171" w:type="dxa"/>
            <w:tcBorders>
              <w:top w:val="single" w:color="auto" w:sz="4" w:space="0"/>
            </w:tcBorders>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420" w:type="dxa"/>
            <w:shd w:val="clear" w:color="auto" w:fill="auto"/>
            <w:noWrap/>
          </w:tcPr>
          <w:p>
            <w:pPr>
              <w:adjustRightInd w:val="0"/>
              <w:snapToGrid w:val="0"/>
              <w:spacing w:line="360" w:lineRule="auto"/>
              <w:jc w:val="both"/>
              <w:rPr>
                <w:rFonts w:ascii="Book Antiqua" w:hAnsi="Book Antiqua" w:cs="Calibri"/>
                <w:lang w:eastAsia="zh-CN"/>
              </w:rPr>
            </w:pPr>
          </w:p>
        </w:tc>
        <w:tc>
          <w:tcPr>
            <w:tcW w:w="1882" w:type="dxa"/>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w:t>
            </w:r>
            <w:r>
              <w:rPr>
                <w:rFonts w:hint="eastAsia" w:ascii="Book Antiqua" w:hAnsi="Book Antiqua" w:cs="Calibri"/>
                <w:lang w:eastAsia="zh-CN"/>
              </w:rPr>
              <w:t xml:space="preserve"> </w:t>
            </w:r>
            <w:r>
              <w:rPr>
                <w:rFonts w:ascii="Book Antiqua" w:hAnsi="Book Antiqua" w:eastAsia="Times New Roman" w:cs="Calibri"/>
              </w:rPr>
              <w:t>60</w:t>
            </w:r>
          </w:p>
        </w:tc>
        <w:tc>
          <w:tcPr>
            <w:tcW w:w="1717"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2.554</w:t>
            </w:r>
          </w:p>
        </w:tc>
        <w:tc>
          <w:tcPr>
            <w:tcW w:w="1924"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0.557</w:t>
            </w:r>
          </w:p>
        </w:tc>
        <w:tc>
          <w:tcPr>
            <w:tcW w:w="1171"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0.09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420" w:type="dxa"/>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Sex (%)</w:t>
            </w:r>
          </w:p>
        </w:tc>
        <w:tc>
          <w:tcPr>
            <w:tcW w:w="1882" w:type="dxa"/>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Male</w:t>
            </w:r>
          </w:p>
        </w:tc>
        <w:tc>
          <w:tcPr>
            <w:tcW w:w="1717"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1.169</w:t>
            </w:r>
          </w:p>
        </w:tc>
        <w:tc>
          <w:tcPr>
            <w:tcW w:w="1924"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0.288</w:t>
            </w:r>
          </w:p>
        </w:tc>
        <w:tc>
          <w:tcPr>
            <w:tcW w:w="1171"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0.59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420" w:type="dxa"/>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Race (%)</w:t>
            </w:r>
          </w:p>
        </w:tc>
        <w:tc>
          <w:tcPr>
            <w:tcW w:w="1882" w:type="dxa"/>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API</w:t>
            </w:r>
          </w:p>
        </w:tc>
        <w:tc>
          <w:tcPr>
            <w:tcW w:w="1717"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0.624</w:t>
            </w:r>
          </w:p>
        </w:tc>
        <w:tc>
          <w:tcPr>
            <w:tcW w:w="1924"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0.581</w:t>
            </w:r>
          </w:p>
        </w:tc>
        <w:tc>
          <w:tcPr>
            <w:tcW w:w="1171"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420" w:type="dxa"/>
            <w:shd w:val="clear" w:color="auto" w:fill="auto"/>
            <w:noWrap/>
          </w:tcPr>
          <w:p>
            <w:pPr>
              <w:adjustRightInd w:val="0"/>
              <w:snapToGrid w:val="0"/>
              <w:spacing w:line="360" w:lineRule="auto"/>
              <w:jc w:val="both"/>
              <w:rPr>
                <w:rFonts w:ascii="Book Antiqua" w:hAnsi="Book Antiqua" w:cs="Calibri"/>
                <w:lang w:eastAsia="zh-CN"/>
              </w:rPr>
            </w:pPr>
          </w:p>
        </w:tc>
        <w:tc>
          <w:tcPr>
            <w:tcW w:w="1882" w:type="dxa"/>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Black</w:t>
            </w:r>
          </w:p>
        </w:tc>
        <w:tc>
          <w:tcPr>
            <w:tcW w:w="1717"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2.296</w:t>
            </w:r>
          </w:p>
        </w:tc>
        <w:tc>
          <w:tcPr>
            <w:tcW w:w="1924"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0.461</w:t>
            </w:r>
          </w:p>
        </w:tc>
        <w:tc>
          <w:tcPr>
            <w:tcW w:w="1171"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420" w:type="dxa"/>
            <w:shd w:val="clear" w:color="auto" w:fill="auto"/>
            <w:noWrap/>
          </w:tcPr>
          <w:p>
            <w:pPr>
              <w:adjustRightInd w:val="0"/>
              <w:snapToGrid w:val="0"/>
              <w:spacing w:line="360" w:lineRule="auto"/>
              <w:jc w:val="both"/>
              <w:rPr>
                <w:rFonts w:ascii="Book Antiqua" w:hAnsi="Book Antiqua" w:cs="Calibri"/>
                <w:lang w:eastAsia="zh-CN"/>
              </w:rPr>
            </w:pPr>
          </w:p>
        </w:tc>
        <w:tc>
          <w:tcPr>
            <w:tcW w:w="1882" w:type="dxa"/>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Hispanic</w:t>
            </w:r>
          </w:p>
        </w:tc>
        <w:tc>
          <w:tcPr>
            <w:tcW w:w="1717"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0.9</w:t>
            </w:r>
          </w:p>
        </w:tc>
        <w:tc>
          <w:tcPr>
            <w:tcW w:w="1924"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0.368</w:t>
            </w:r>
          </w:p>
        </w:tc>
        <w:tc>
          <w:tcPr>
            <w:tcW w:w="1171"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0.78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420" w:type="dxa"/>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Income (%)</w:t>
            </w:r>
          </w:p>
        </w:tc>
        <w:tc>
          <w:tcPr>
            <w:tcW w:w="1882" w:type="dxa"/>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$55000-70000</w:t>
            </w:r>
          </w:p>
        </w:tc>
        <w:tc>
          <w:tcPr>
            <w:tcW w:w="1717"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1.044</w:t>
            </w:r>
          </w:p>
        </w:tc>
        <w:tc>
          <w:tcPr>
            <w:tcW w:w="1924"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0.368</w:t>
            </w:r>
          </w:p>
        </w:tc>
        <w:tc>
          <w:tcPr>
            <w:tcW w:w="1171"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420" w:type="dxa"/>
            <w:shd w:val="clear" w:color="auto" w:fill="auto"/>
            <w:noWrap/>
          </w:tcPr>
          <w:p>
            <w:pPr>
              <w:adjustRightInd w:val="0"/>
              <w:snapToGrid w:val="0"/>
              <w:spacing w:line="360" w:lineRule="auto"/>
              <w:jc w:val="both"/>
              <w:rPr>
                <w:rFonts w:ascii="Book Antiqua" w:hAnsi="Book Antiqua" w:cs="Calibri"/>
                <w:lang w:eastAsia="zh-CN"/>
              </w:rPr>
            </w:pPr>
          </w:p>
        </w:tc>
        <w:tc>
          <w:tcPr>
            <w:tcW w:w="1882" w:type="dxa"/>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&gt;</w:t>
            </w:r>
            <w:r>
              <w:rPr>
                <w:rFonts w:hint="eastAsia" w:ascii="Book Antiqua" w:hAnsi="Book Antiqua" w:cs="Calibri"/>
                <w:lang w:eastAsia="zh-CN"/>
              </w:rPr>
              <w:t xml:space="preserve"> </w:t>
            </w:r>
            <w:r>
              <w:rPr>
                <w:rFonts w:ascii="Book Antiqua" w:hAnsi="Book Antiqua" w:eastAsia="Times New Roman" w:cs="Calibri"/>
              </w:rPr>
              <w:t>$70000</w:t>
            </w:r>
          </w:p>
        </w:tc>
        <w:tc>
          <w:tcPr>
            <w:tcW w:w="1717"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0.644</w:t>
            </w:r>
          </w:p>
        </w:tc>
        <w:tc>
          <w:tcPr>
            <w:tcW w:w="1924"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0.345</w:t>
            </w:r>
          </w:p>
        </w:tc>
        <w:tc>
          <w:tcPr>
            <w:tcW w:w="1171"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420" w:type="dxa"/>
            <w:shd w:val="clear" w:color="auto" w:fill="auto"/>
            <w:noWrap/>
            <w:vAlign w:val="bottom"/>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Sugery</w:t>
            </w:r>
          </w:p>
        </w:tc>
        <w:tc>
          <w:tcPr>
            <w:tcW w:w="1882" w:type="dxa"/>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Surgery</w:t>
            </w:r>
          </w:p>
        </w:tc>
        <w:tc>
          <w:tcPr>
            <w:tcW w:w="1717"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1.465</w:t>
            </w:r>
          </w:p>
        </w:tc>
        <w:tc>
          <w:tcPr>
            <w:tcW w:w="1924"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0.472</w:t>
            </w:r>
          </w:p>
        </w:tc>
        <w:tc>
          <w:tcPr>
            <w:tcW w:w="1171"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420" w:type="dxa"/>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Population (%)</w:t>
            </w:r>
          </w:p>
        </w:tc>
        <w:tc>
          <w:tcPr>
            <w:tcW w:w="1882" w:type="dxa"/>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w:t>
            </w:r>
            <w:r>
              <w:rPr>
                <w:rFonts w:hint="eastAsia" w:ascii="Book Antiqua" w:hAnsi="Book Antiqua" w:cs="Calibri"/>
                <w:lang w:eastAsia="zh-CN"/>
              </w:rPr>
              <w:t xml:space="preserve"> 1</w:t>
            </w:r>
            <w:r>
              <w:rPr>
                <w:rFonts w:ascii="Book Antiqua" w:hAnsi="Book Antiqua" w:eastAsia="Times New Roman" w:cs="Calibri"/>
              </w:rPr>
              <w:t xml:space="preserve"> million</w:t>
            </w:r>
          </w:p>
        </w:tc>
        <w:tc>
          <w:tcPr>
            <w:tcW w:w="1717"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1.209</w:t>
            </w:r>
          </w:p>
        </w:tc>
        <w:tc>
          <w:tcPr>
            <w:tcW w:w="1924"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0.287</w:t>
            </w:r>
          </w:p>
        </w:tc>
        <w:tc>
          <w:tcPr>
            <w:tcW w:w="1171"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420" w:type="dxa"/>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Size (%)</w:t>
            </w:r>
          </w:p>
        </w:tc>
        <w:tc>
          <w:tcPr>
            <w:tcW w:w="1882" w:type="dxa"/>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w:t>
            </w:r>
            <w:r>
              <w:rPr>
                <w:rFonts w:hint="eastAsia" w:ascii="Book Antiqua" w:hAnsi="Book Antiqua" w:cs="Calibri"/>
                <w:lang w:eastAsia="zh-CN"/>
              </w:rPr>
              <w:t xml:space="preserve"> </w:t>
            </w:r>
            <w:r>
              <w:rPr>
                <w:rFonts w:ascii="Book Antiqua" w:hAnsi="Book Antiqua" w:eastAsia="Times New Roman" w:cs="Calibri"/>
              </w:rPr>
              <w:t>100 mm</w:t>
            </w:r>
          </w:p>
        </w:tc>
        <w:tc>
          <w:tcPr>
            <w:tcW w:w="1717"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1.104</w:t>
            </w:r>
          </w:p>
        </w:tc>
        <w:tc>
          <w:tcPr>
            <w:tcW w:w="1924"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0.440</w:t>
            </w:r>
          </w:p>
        </w:tc>
        <w:tc>
          <w:tcPr>
            <w:tcW w:w="1171"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0.82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420" w:type="dxa"/>
            <w:shd w:val="clear" w:color="auto" w:fill="auto"/>
            <w:noWrap/>
          </w:tcPr>
          <w:p>
            <w:pPr>
              <w:adjustRightInd w:val="0"/>
              <w:snapToGrid w:val="0"/>
              <w:spacing w:line="360" w:lineRule="auto"/>
              <w:jc w:val="both"/>
              <w:rPr>
                <w:rFonts w:ascii="Book Antiqua" w:hAnsi="Book Antiqua" w:cs="Calibri"/>
                <w:lang w:eastAsia="zh-CN"/>
              </w:rPr>
            </w:pPr>
          </w:p>
        </w:tc>
        <w:tc>
          <w:tcPr>
            <w:tcW w:w="1882" w:type="dxa"/>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51-100 mm</w:t>
            </w:r>
          </w:p>
        </w:tc>
        <w:tc>
          <w:tcPr>
            <w:tcW w:w="1717"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1.233</w:t>
            </w:r>
          </w:p>
        </w:tc>
        <w:tc>
          <w:tcPr>
            <w:tcW w:w="1924"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0.426</w:t>
            </w:r>
          </w:p>
        </w:tc>
        <w:tc>
          <w:tcPr>
            <w:tcW w:w="1171"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0.62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420" w:type="dxa"/>
            <w:shd w:val="clear" w:color="auto" w:fill="auto"/>
            <w:noWrap/>
          </w:tcPr>
          <w:p>
            <w:pPr>
              <w:adjustRightInd w:val="0"/>
              <w:snapToGrid w:val="0"/>
              <w:spacing w:line="360" w:lineRule="auto"/>
              <w:jc w:val="both"/>
              <w:rPr>
                <w:rFonts w:ascii="Book Antiqua" w:hAnsi="Book Antiqua" w:cs="Calibri"/>
                <w:lang w:eastAsia="zh-CN"/>
              </w:rPr>
            </w:pPr>
          </w:p>
        </w:tc>
        <w:tc>
          <w:tcPr>
            <w:tcW w:w="1882" w:type="dxa"/>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Unknown</w:t>
            </w:r>
          </w:p>
        </w:tc>
        <w:tc>
          <w:tcPr>
            <w:tcW w:w="1717"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3.196</w:t>
            </w:r>
          </w:p>
        </w:tc>
        <w:tc>
          <w:tcPr>
            <w:tcW w:w="1924"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0.646</w:t>
            </w:r>
          </w:p>
        </w:tc>
        <w:tc>
          <w:tcPr>
            <w:tcW w:w="1171"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420" w:type="dxa"/>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Lymph nodes (%)</w:t>
            </w:r>
          </w:p>
        </w:tc>
        <w:tc>
          <w:tcPr>
            <w:tcW w:w="1882" w:type="dxa"/>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N1</w:t>
            </w:r>
          </w:p>
        </w:tc>
        <w:tc>
          <w:tcPr>
            <w:tcW w:w="1717"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1.503</w:t>
            </w:r>
          </w:p>
        </w:tc>
        <w:tc>
          <w:tcPr>
            <w:tcW w:w="1924"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0.390</w:t>
            </w:r>
          </w:p>
        </w:tc>
        <w:tc>
          <w:tcPr>
            <w:tcW w:w="1171"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420" w:type="dxa"/>
            <w:shd w:val="clear" w:color="auto" w:fill="auto"/>
            <w:noWrap/>
            <w:vAlign w:val="center"/>
          </w:tcPr>
          <w:p>
            <w:pPr>
              <w:adjustRightInd w:val="0"/>
              <w:snapToGrid w:val="0"/>
              <w:spacing w:line="360" w:lineRule="auto"/>
              <w:jc w:val="both"/>
              <w:rPr>
                <w:rFonts w:ascii="Book Antiqua" w:hAnsi="Book Antiqua" w:cs="Calibri"/>
                <w:lang w:eastAsia="zh-CN"/>
              </w:rPr>
            </w:pPr>
          </w:p>
        </w:tc>
        <w:tc>
          <w:tcPr>
            <w:tcW w:w="1882" w:type="dxa"/>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Nx</w:t>
            </w:r>
          </w:p>
        </w:tc>
        <w:tc>
          <w:tcPr>
            <w:tcW w:w="1717"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0.107</w:t>
            </w:r>
          </w:p>
        </w:tc>
        <w:tc>
          <w:tcPr>
            <w:tcW w:w="1924"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0.993</w:t>
            </w:r>
          </w:p>
        </w:tc>
        <w:tc>
          <w:tcPr>
            <w:tcW w:w="1171" w:type="dxa"/>
            <w:shd w:val="clear" w:color="auto" w:fill="auto"/>
            <w:vAlign w:val="center"/>
          </w:tcPr>
          <w:p>
            <w:pPr>
              <w:adjustRightInd w:val="0"/>
              <w:snapToGrid w:val="0"/>
              <w:spacing w:line="360" w:lineRule="auto"/>
              <w:jc w:val="both"/>
              <w:rPr>
                <w:rFonts w:ascii="Book Antiqua" w:hAnsi="Book Antiqua" w:eastAsia="Times New Roman" w:cs="Calibri"/>
                <w:bCs/>
              </w:rPr>
            </w:pPr>
            <w:r>
              <w:rPr>
                <w:rFonts w:ascii="Book Antiqua" w:hAnsi="Book Antiqua" w:eastAsia="Times New Roman" w:cs="Calibri"/>
                <w:bCs/>
              </w:rPr>
              <w:t>0.02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2420" w:type="dxa"/>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Metastasis status (%)</w:t>
            </w:r>
          </w:p>
        </w:tc>
        <w:tc>
          <w:tcPr>
            <w:tcW w:w="1882" w:type="dxa"/>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M1</w:t>
            </w:r>
          </w:p>
        </w:tc>
        <w:tc>
          <w:tcPr>
            <w:tcW w:w="1717"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0.301</w:t>
            </w:r>
          </w:p>
        </w:tc>
        <w:tc>
          <w:tcPr>
            <w:tcW w:w="1924"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0.782</w:t>
            </w:r>
          </w:p>
        </w:tc>
        <w:tc>
          <w:tcPr>
            <w:tcW w:w="1171"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420" w:type="dxa"/>
            <w:shd w:val="clear" w:color="auto" w:fill="auto"/>
            <w:noWrap/>
          </w:tcPr>
          <w:p>
            <w:pPr>
              <w:adjustRightInd w:val="0"/>
              <w:snapToGrid w:val="0"/>
              <w:spacing w:line="360" w:lineRule="auto"/>
              <w:jc w:val="both"/>
              <w:rPr>
                <w:rFonts w:ascii="Book Antiqua" w:hAnsi="Book Antiqua" w:cs="Calibri"/>
                <w:lang w:eastAsia="zh-CN"/>
              </w:rPr>
            </w:pPr>
          </w:p>
        </w:tc>
        <w:tc>
          <w:tcPr>
            <w:tcW w:w="1882" w:type="dxa"/>
            <w:shd w:val="clear" w:color="auto" w:fill="auto"/>
            <w:noWrap/>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Mx</w:t>
            </w:r>
          </w:p>
        </w:tc>
        <w:tc>
          <w:tcPr>
            <w:tcW w:w="1717"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7.503</w:t>
            </w:r>
          </w:p>
        </w:tc>
        <w:tc>
          <w:tcPr>
            <w:tcW w:w="1924"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1.366</w:t>
            </w:r>
          </w:p>
        </w:tc>
        <w:tc>
          <w:tcPr>
            <w:tcW w:w="1171" w:type="dxa"/>
            <w:shd w:val="clear" w:color="auto" w:fill="auto"/>
            <w:vAlign w:val="center"/>
          </w:tcPr>
          <w:p>
            <w:pPr>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0.14</w:t>
            </w:r>
          </w:p>
        </w:tc>
      </w:tr>
    </w:tbl>
    <w:p>
      <w:pPr>
        <w:spacing w:line="360" w:lineRule="auto"/>
        <w:jc w:val="both"/>
        <w:rPr>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254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Yu Mincho">
    <w:altName w:val="Yu Gothic"/>
    <w:panose1 w:val="00000000000000000000"/>
    <w:charset w:val="80"/>
    <w:family w:val="roman"/>
    <w:pitch w:val="default"/>
    <w:sig w:usb0="00000000" w:usb1="00000000" w:usb2="00000012" w:usb3="00000000" w:csb0="0002009F" w:csb1="00000000"/>
  </w:font>
  <w:font w:name="Yu Gothic">
    <w:panose1 w:val="020B0400000000000000"/>
    <w:charset w:val="80"/>
    <w:family w:val="auto"/>
    <w:pitch w:val="default"/>
    <w:sig w:usb0="E00002FF" w:usb1="2AC7FDFF" w:usb2="00000016" w:usb3="00000000" w:csb0="2002009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00650021"/>
      <w:docPartObj>
        <w:docPartGallery w:val="autotext"/>
      </w:docPartObj>
    </w:sdtPr>
    <w:sdtContent>
      <w:sdt>
        <w:sdtPr>
          <w:id w:val="860082579"/>
          <w:docPartObj>
            <w:docPartGallery w:val="autotext"/>
          </w:docPartObj>
        </w:sdtPr>
        <w:sdtContent>
          <w:p>
            <w:pPr>
              <w:pStyle w:val="5"/>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34</w:t>
            </w:r>
            <w:r>
              <w:rPr>
                <w:b/>
                <w:bCs/>
                <w:sz w:val="24"/>
                <w:szCs w:val="24"/>
              </w:rPr>
              <w:fldChar w:fldCharType="end"/>
            </w:r>
          </w:p>
        </w:sdtContent>
      </w:sdt>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ZlZTc0NGUyNWIwZjE2NjIyNTdhZTc1NTM4ZTUwOTUifQ=="/>
  </w:docVars>
  <w:rsids>
    <w:rsidRoot w:val="00A77B3E"/>
    <w:rsid w:val="0001595C"/>
    <w:rsid w:val="00015BA1"/>
    <w:rsid w:val="00031764"/>
    <w:rsid w:val="0006363D"/>
    <w:rsid w:val="00075B5F"/>
    <w:rsid w:val="000B140A"/>
    <w:rsid w:val="000B7842"/>
    <w:rsid w:val="000C25BA"/>
    <w:rsid w:val="000D4CB6"/>
    <w:rsid w:val="000E57E6"/>
    <w:rsid w:val="000F5763"/>
    <w:rsid w:val="00120237"/>
    <w:rsid w:val="00123A10"/>
    <w:rsid w:val="00126BE0"/>
    <w:rsid w:val="00134B4B"/>
    <w:rsid w:val="001364DC"/>
    <w:rsid w:val="001658CF"/>
    <w:rsid w:val="001905B5"/>
    <w:rsid w:val="00194862"/>
    <w:rsid w:val="001B387F"/>
    <w:rsid w:val="001F3103"/>
    <w:rsid w:val="001F3669"/>
    <w:rsid w:val="00242770"/>
    <w:rsid w:val="002514F9"/>
    <w:rsid w:val="002638CB"/>
    <w:rsid w:val="002665AD"/>
    <w:rsid w:val="00290859"/>
    <w:rsid w:val="002A33FC"/>
    <w:rsid w:val="002C6B4A"/>
    <w:rsid w:val="002D779D"/>
    <w:rsid w:val="002E367C"/>
    <w:rsid w:val="002F6572"/>
    <w:rsid w:val="00335D0F"/>
    <w:rsid w:val="0036350D"/>
    <w:rsid w:val="003744FD"/>
    <w:rsid w:val="00397F01"/>
    <w:rsid w:val="003D0B4A"/>
    <w:rsid w:val="003D5131"/>
    <w:rsid w:val="003E0AA2"/>
    <w:rsid w:val="003F0185"/>
    <w:rsid w:val="00473EDE"/>
    <w:rsid w:val="004772F5"/>
    <w:rsid w:val="00503750"/>
    <w:rsid w:val="005056E3"/>
    <w:rsid w:val="00521029"/>
    <w:rsid w:val="00567B29"/>
    <w:rsid w:val="00575B2A"/>
    <w:rsid w:val="00581A66"/>
    <w:rsid w:val="00591FC6"/>
    <w:rsid w:val="005F59D7"/>
    <w:rsid w:val="005F5ACC"/>
    <w:rsid w:val="006124AE"/>
    <w:rsid w:val="00625F23"/>
    <w:rsid w:val="00665C8E"/>
    <w:rsid w:val="00671657"/>
    <w:rsid w:val="0068726E"/>
    <w:rsid w:val="00687C26"/>
    <w:rsid w:val="006901CF"/>
    <w:rsid w:val="006957C9"/>
    <w:rsid w:val="006B045B"/>
    <w:rsid w:val="00707965"/>
    <w:rsid w:val="00782369"/>
    <w:rsid w:val="00784F49"/>
    <w:rsid w:val="007A1694"/>
    <w:rsid w:val="007F2D2E"/>
    <w:rsid w:val="007F7181"/>
    <w:rsid w:val="00824533"/>
    <w:rsid w:val="00830348"/>
    <w:rsid w:val="00850DFF"/>
    <w:rsid w:val="00853ECC"/>
    <w:rsid w:val="008E03E9"/>
    <w:rsid w:val="008F2D2F"/>
    <w:rsid w:val="008F7E1C"/>
    <w:rsid w:val="00900C39"/>
    <w:rsid w:val="00907D69"/>
    <w:rsid w:val="0093063A"/>
    <w:rsid w:val="00934695"/>
    <w:rsid w:val="009404BF"/>
    <w:rsid w:val="00953CA9"/>
    <w:rsid w:val="00984CA6"/>
    <w:rsid w:val="00992257"/>
    <w:rsid w:val="009948A6"/>
    <w:rsid w:val="009B61DB"/>
    <w:rsid w:val="009D3A0D"/>
    <w:rsid w:val="009D7C02"/>
    <w:rsid w:val="009E7033"/>
    <w:rsid w:val="00A404F0"/>
    <w:rsid w:val="00A77B3E"/>
    <w:rsid w:val="00AB000D"/>
    <w:rsid w:val="00AB3D97"/>
    <w:rsid w:val="00AB7B9D"/>
    <w:rsid w:val="00AD1AE2"/>
    <w:rsid w:val="00AD38B4"/>
    <w:rsid w:val="00AE01B6"/>
    <w:rsid w:val="00AE7BA3"/>
    <w:rsid w:val="00AF5E23"/>
    <w:rsid w:val="00B171C8"/>
    <w:rsid w:val="00B43408"/>
    <w:rsid w:val="00B62E14"/>
    <w:rsid w:val="00B75D83"/>
    <w:rsid w:val="00B94205"/>
    <w:rsid w:val="00BC22C6"/>
    <w:rsid w:val="00BF5992"/>
    <w:rsid w:val="00BF7B48"/>
    <w:rsid w:val="00C125B9"/>
    <w:rsid w:val="00C44D36"/>
    <w:rsid w:val="00C4784D"/>
    <w:rsid w:val="00C66700"/>
    <w:rsid w:val="00CA2A55"/>
    <w:rsid w:val="00CB0E6C"/>
    <w:rsid w:val="00D00C82"/>
    <w:rsid w:val="00D24AC3"/>
    <w:rsid w:val="00D40E94"/>
    <w:rsid w:val="00D5504B"/>
    <w:rsid w:val="00D5552A"/>
    <w:rsid w:val="00D57D1B"/>
    <w:rsid w:val="00D870A7"/>
    <w:rsid w:val="00DA38BE"/>
    <w:rsid w:val="00DE15DC"/>
    <w:rsid w:val="00DE333E"/>
    <w:rsid w:val="00DE40AD"/>
    <w:rsid w:val="00E123CD"/>
    <w:rsid w:val="00E34553"/>
    <w:rsid w:val="00E502F6"/>
    <w:rsid w:val="00E559D8"/>
    <w:rsid w:val="00E94B4C"/>
    <w:rsid w:val="00E94F28"/>
    <w:rsid w:val="00EB7044"/>
    <w:rsid w:val="00ED2A21"/>
    <w:rsid w:val="00F170D7"/>
    <w:rsid w:val="00F2114B"/>
    <w:rsid w:val="00F7074F"/>
    <w:rsid w:val="00F7701C"/>
    <w:rsid w:val="00FB0989"/>
    <w:rsid w:val="00FC640F"/>
    <w:rsid w:val="00FC6DA3"/>
    <w:rsid w:val="00FF1FEC"/>
    <w:rsid w:val="00FF3FE5"/>
    <w:rsid w:val="442C3D88"/>
    <w:rsid w:val="4F6C6481"/>
    <w:rsid w:val="749943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paragraph" w:styleId="2">
    <w:name w:val="heading 1"/>
    <w:basedOn w:val="1"/>
    <w:next w:val="1"/>
    <w:link w:val="19"/>
    <w:qFormat/>
    <w:uiPriority w:val="9"/>
    <w:pPr>
      <w:keepNext/>
      <w:keepLines/>
      <w:spacing w:before="240" w:line="259" w:lineRule="auto"/>
      <w:outlineLvl w:val="0"/>
    </w:pPr>
    <w:rPr>
      <w:rFonts w:asciiTheme="majorHAnsi" w:hAnsiTheme="majorHAnsi" w:eastAsiaTheme="majorEastAsia" w:cstheme="majorBidi"/>
      <w:color w:val="376092" w:themeColor="accent1" w:themeShade="BF"/>
      <w:sz w:val="32"/>
      <w:szCs w:val="32"/>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22"/>
    <w:unhideWhenUsed/>
    <w:qFormat/>
    <w:uiPriority w:val="99"/>
    <w:pPr>
      <w:spacing w:after="160"/>
    </w:pPr>
    <w:rPr>
      <w:rFonts w:ascii="Calibri" w:hAnsi="Calibri" w:eastAsia="Yu Mincho"/>
      <w:sz w:val="20"/>
      <w:szCs w:val="20"/>
      <w:lang w:eastAsia="ja-JP"/>
    </w:rPr>
  </w:style>
  <w:style w:type="paragraph" w:styleId="4">
    <w:name w:val="Balloon Text"/>
    <w:basedOn w:val="1"/>
    <w:link w:val="18"/>
    <w:qFormat/>
    <w:uiPriority w:val="99"/>
    <w:rPr>
      <w:sz w:val="18"/>
      <w:szCs w:val="18"/>
    </w:rPr>
  </w:style>
  <w:style w:type="paragraph" w:styleId="5">
    <w:name w:val="footer"/>
    <w:basedOn w:val="1"/>
    <w:link w:val="17"/>
    <w:qFormat/>
    <w:uiPriority w:val="99"/>
    <w:pPr>
      <w:tabs>
        <w:tab w:val="center" w:pos="4153"/>
        <w:tab w:val="right" w:pos="8306"/>
      </w:tabs>
      <w:snapToGrid w:val="0"/>
    </w:pPr>
    <w:rPr>
      <w:sz w:val="18"/>
      <w:szCs w:val="18"/>
    </w:rPr>
  </w:style>
  <w:style w:type="paragraph" w:styleId="6">
    <w:name w:val="header"/>
    <w:basedOn w:val="1"/>
    <w:link w:val="16"/>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8">
    <w:name w:val="annotation subject"/>
    <w:basedOn w:val="3"/>
    <w:next w:val="3"/>
    <w:link w:val="27"/>
    <w:unhideWhenUsed/>
    <w:qFormat/>
    <w:uiPriority w:val="99"/>
    <w:rPr>
      <w:rFonts w:asciiTheme="minorHAnsi" w:hAnsiTheme="minorHAnsi" w:eastAsiaTheme="minorHAnsi" w:cstheme="minorBidi"/>
      <w:b/>
      <w:bCs/>
      <w:lang w:eastAsia="en-US"/>
    </w:rPr>
  </w:style>
  <w:style w:type="table" w:styleId="10">
    <w:name w:val="Table Grid"/>
    <w:basedOn w:val="9"/>
    <w:qFormat/>
    <w:uiPriority w:val="39"/>
    <w:rPr>
      <w:rFonts w:asciiTheme="minorHAnsi" w:hAnsiTheme="minorHAnsi"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bCs/>
    </w:rPr>
  </w:style>
  <w:style w:type="character" w:styleId="13">
    <w:name w:val="FollowedHyperlink"/>
    <w:basedOn w:val="11"/>
    <w:unhideWhenUsed/>
    <w:qFormat/>
    <w:uiPriority w:val="99"/>
    <w:rPr>
      <w:color w:val="800080" w:themeColor="followedHyperlink"/>
      <w:u w:val="single"/>
      <w14:textFill>
        <w14:solidFill>
          <w14:schemeClr w14:val="folHlink"/>
        </w14:solidFill>
      </w14:textFill>
    </w:rPr>
  </w:style>
  <w:style w:type="character" w:styleId="14">
    <w:name w:val="Hyperlink"/>
    <w:basedOn w:val="11"/>
    <w:unhideWhenUsed/>
    <w:uiPriority w:val="99"/>
    <w:rPr>
      <w:color w:val="0000FF" w:themeColor="hyperlink"/>
      <w:u w:val="single"/>
      <w14:textFill>
        <w14:solidFill>
          <w14:schemeClr w14:val="hlink"/>
        </w14:solidFill>
      </w14:textFill>
    </w:rPr>
  </w:style>
  <w:style w:type="character" w:styleId="15">
    <w:name w:val="annotation reference"/>
    <w:unhideWhenUsed/>
    <w:qFormat/>
    <w:uiPriority w:val="99"/>
    <w:rPr>
      <w:sz w:val="16"/>
      <w:szCs w:val="16"/>
    </w:rPr>
  </w:style>
  <w:style w:type="character" w:customStyle="1" w:styleId="16">
    <w:name w:val="页眉 字符"/>
    <w:basedOn w:val="11"/>
    <w:link w:val="6"/>
    <w:uiPriority w:val="99"/>
    <w:rPr>
      <w:sz w:val="18"/>
      <w:szCs w:val="18"/>
    </w:rPr>
  </w:style>
  <w:style w:type="character" w:customStyle="1" w:styleId="17">
    <w:name w:val="页脚 字符"/>
    <w:basedOn w:val="11"/>
    <w:link w:val="5"/>
    <w:qFormat/>
    <w:uiPriority w:val="99"/>
    <w:rPr>
      <w:sz w:val="18"/>
      <w:szCs w:val="18"/>
    </w:rPr>
  </w:style>
  <w:style w:type="character" w:customStyle="1" w:styleId="18">
    <w:name w:val="批注框文本 字符"/>
    <w:basedOn w:val="11"/>
    <w:link w:val="4"/>
    <w:uiPriority w:val="99"/>
    <w:rPr>
      <w:sz w:val="18"/>
      <w:szCs w:val="18"/>
    </w:rPr>
  </w:style>
  <w:style w:type="character" w:customStyle="1" w:styleId="19">
    <w:name w:val="标题 1 字符"/>
    <w:basedOn w:val="11"/>
    <w:link w:val="2"/>
    <w:qFormat/>
    <w:uiPriority w:val="9"/>
    <w:rPr>
      <w:rFonts w:asciiTheme="majorHAnsi" w:hAnsiTheme="majorHAnsi" w:eastAsiaTheme="majorEastAsia" w:cstheme="majorBidi"/>
      <w:color w:val="376092" w:themeColor="accent1" w:themeShade="BF"/>
      <w:sz w:val="32"/>
      <w:szCs w:val="32"/>
    </w:rPr>
  </w:style>
  <w:style w:type="character" w:customStyle="1" w:styleId="20">
    <w:name w:val="Unresolved Mention1"/>
    <w:basedOn w:val="11"/>
    <w:semiHidden/>
    <w:unhideWhenUsed/>
    <w:qFormat/>
    <w:uiPriority w:val="99"/>
    <w:rPr>
      <w:color w:val="605E5C"/>
      <w:shd w:val="clear" w:color="auto" w:fill="E1DFDD"/>
    </w:rPr>
  </w:style>
  <w:style w:type="paragraph" w:styleId="21">
    <w:name w:val="List Paragraph"/>
    <w:basedOn w:val="1"/>
    <w:qFormat/>
    <w:uiPriority w:val="34"/>
    <w:pPr>
      <w:spacing w:after="160" w:line="256" w:lineRule="auto"/>
      <w:ind w:left="720"/>
      <w:contextualSpacing/>
    </w:pPr>
    <w:rPr>
      <w:rFonts w:asciiTheme="minorHAnsi" w:hAnsiTheme="minorHAnsi" w:eastAsiaTheme="minorHAnsi" w:cstheme="minorBidi"/>
      <w:sz w:val="22"/>
      <w:szCs w:val="22"/>
    </w:rPr>
  </w:style>
  <w:style w:type="character" w:customStyle="1" w:styleId="22">
    <w:name w:val="批注文字 字符"/>
    <w:basedOn w:val="11"/>
    <w:link w:val="3"/>
    <w:qFormat/>
    <w:uiPriority w:val="99"/>
    <w:rPr>
      <w:rFonts w:ascii="Calibri" w:hAnsi="Calibri" w:eastAsia="Yu Mincho"/>
      <w:lang w:eastAsia="ja-JP"/>
    </w:rPr>
  </w:style>
  <w:style w:type="character" w:customStyle="1" w:styleId="23">
    <w:name w:val="ref-title"/>
    <w:basedOn w:val="11"/>
    <w:qFormat/>
    <w:uiPriority w:val="0"/>
  </w:style>
  <w:style w:type="character" w:customStyle="1" w:styleId="24">
    <w:name w:val="ref-journal"/>
    <w:basedOn w:val="11"/>
    <w:qFormat/>
    <w:uiPriority w:val="0"/>
  </w:style>
  <w:style w:type="character" w:customStyle="1" w:styleId="25">
    <w:name w:val="ref-vol"/>
    <w:basedOn w:val="11"/>
    <w:qFormat/>
    <w:uiPriority w:val="0"/>
  </w:style>
  <w:style w:type="character" w:customStyle="1" w:styleId="26">
    <w:name w:val="Unresolved Mention2"/>
    <w:basedOn w:val="11"/>
    <w:semiHidden/>
    <w:unhideWhenUsed/>
    <w:qFormat/>
    <w:uiPriority w:val="99"/>
    <w:rPr>
      <w:color w:val="605E5C"/>
      <w:shd w:val="clear" w:color="auto" w:fill="E1DFDD"/>
    </w:rPr>
  </w:style>
  <w:style w:type="character" w:customStyle="1" w:styleId="27">
    <w:name w:val="批注主题 字符"/>
    <w:basedOn w:val="22"/>
    <w:link w:val="8"/>
    <w:qFormat/>
    <w:uiPriority w:val="99"/>
    <w:rPr>
      <w:rFonts w:asciiTheme="minorHAnsi" w:hAnsiTheme="minorHAnsi" w:eastAsiaTheme="minorHAnsi" w:cstheme="minorBidi"/>
      <w:b/>
      <w:bCs/>
      <w:lang w:eastAsia="ja-JP"/>
    </w:rPr>
  </w:style>
  <w:style w:type="character" w:customStyle="1" w:styleId="28">
    <w:name w:val="Unresolved Mention3"/>
    <w:basedOn w:val="11"/>
    <w:semiHidden/>
    <w:unhideWhenUsed/>
    <w:qFormat/>
    <w:uiPriority w:val="99"/>
    <w:rPr>
      <w:color w:val="605E5C"/>
      <w:shd w:val="clear" w:color="auto" w:fill="E1DFDD"/>
    </w:rPr>
  </w:style>
  <w:style w:type="character" w:customStyle="1" w:styleId="29">
    <w:name w:val="identifier"/>
    <w:basedOn w:val="11"/>
    <w:qFormat/>
    <w:uiPriority w:val="0"/>
  </w:style>
  <w:style w:type="character" w:customStyle="1" w:styleId="30">
    <w:name w:val="id-label"/>
    <w:basedOn w:val="11"/>
    <w:qFormat/>
    <w:uiPriority w:val="0"/>
  </w:style>
  <w:style w:type="paragraph" w:customStyle="1" w:styleId="31">
    <w:name w:val="Revision"/>
    <w:hidden/>
    <w:semiHidden/>
    <w:qFormat/>
    <w:uiPriority w:val="99"/>
    <w:rPr>
      <w:rFonts w:asciiTheme="minorHAnsi" w:hAnsiTheme="minorHAnsi" w:eastAsiaTheme="minorHAnsi" w:cstheme="minorBidi"/>
      <w:sz w:val="22"/>
      <w:szCs w:val="22"/>
      <w:lang w:val="en-US" w:eastAsia="en-US" w:bidi="ar-SA"/>
    </w:rPr>
  </w:style>
  <w:style w:type="paragraph" w:customStyle="1" w:styleId="32">
    <w:name w:val="p"/>
    <w:basedOn w:val="1"/>
    <w:qFormat/>
    <w:uiPriority w:val="0"/>
    <w:pPr>
      <w:spacing w:before="100" w:beforeAutospacing="1" w:after="100" w:afterAutospacing="1"/>
    </w:pPr>
    <w:rPr>
      <w:rFonts w:eastAsia="Times New Roman"/>
    </w:rPr>
  </w:style>
  <w:style w:type="character" w:customStyle="1" w:styleId="33">
    <w:name w:val="normaltextrun"/>
    <w:basedOn w:val="11"/>
    <w:uiPriority w:val="0"/>
  </w:style>
  <w:style w:type="character" w:customStyle="1" w:styleId="34">
    <w:name w:val="eop"/>
    <w:basedOn w:val="11"/>
    <w:qFormat/>
    <w:uiPriority w:val="0"/>
  </w:style>
  <w:style w:type="character" w:customStyle="1" w:styleId="35">
    <w:name w:val="period"/>
    <w:basedOn w:val="11"/>
    <w:qFormat/>
    <w:uiPriority w:val="0"/>
  </w:style>
  <w:style w:type="character" w:customStyle="1" w:styleId="36">
    <w:name w:val="cit"/>
    <w:basedOn w:val="11"/>
    <w:qFormat/>
    <w:uiPriority w:val="0"/>
  </w:style>
  <w:style w:type="character" w:customStyle="1" w:styleId="37">
    <w:name w:val="citation-doi"/>
    <w:basedOn w:val="11"/>
    <w:uiPriority w:val="0"/>
  </w:style>
  <w:style w:type="paragraph" w:customStyle="1" w:styleId="38">
    <w:name w:val="EndNote Bibliography Title"/>
    <w:basedOn w:val="1"/>
    <w:link w:val="39"/>
    <w:qFormat/>
    <w:uiPriority w:val="0"/>
    <w:pPr>
      <w:spacing w:line="259" w:lineRule="auto"/>
      <w:jc w:val="center"/>
    </w:pPr>
    <w:rPr>
      <w:rFonts w:ascii="Book Antiqua" w:hAnsi="Book Antiqua" w:cs="Calibri" w:eastAsiaTheme="minorHAnsi"/>
      <w:szCs w:val="22"/>
    </w:rPr>
  </w:style>
  <w:style w:type="character" w:customStyle="1" w:styleId="39">
    <w:name w:val="EndNote Bibliography Title Char"/>
    <w:basedOn w:val="11"/>
    <w:link w:val="38"/>
    <w:qFormat/>
    <w:uiPriority w:val="0"/>
    <w:rPr>
      <w:rFonts w:ascii="Book Antiqua" w:hAnsi="Book Antiqua" w:cs="Calibri" w:eastAsiaTheme="minorHAnsi"/>
      <w:sz w:val="24"/>
      <w:szCs w:val="22"/>
    </w:rPr>
  </w:style>
  <w:style w:type="paragraph" w:customStyle="1" w:styleId="40">
    <w:name w:val="EndNote Bibliography"/>
    <w:basedOn w:val="1"/>
    <w:link w:val="41"/>
    <w:uiPriority w:val="0"/>
    <w:pPr>
      <w:spacing w:after="160" w:line="480" w:lineRule="auto"/>
      <w:jc w:val="both"/>
    </w:pPr>
    <w:rPr>
      <w:rFonts w:ascii="Book Antiqua" w:hAnsi="Book Antiqua" w:cs="Calibri" w:eastAsiaTheme="minorHAnsi"/>
      <w:szCs w:val="22"/>
    </w:rPr>
  </w:style>
  <w:style w:type="character" w:customStyle="1" w:styleId="41">
    <w:name w:val="EndNote Bibliography Char"/>
    <w:basedOn w:val="11"/>
    <w:link w:val="40"/>
    <w:qFormat/>
    <w:uiPriority w:val="0"/>
    <w:rPr>
      <w:rFonts w:ascii="Book Antiqua" w:hAnsi="Book Antiqua" w:cs="Calibri" w:eastAsiaTheme="minorHAnsi"/>
      <w:sz w:val="24"/>
      <w:szCs w:val="22"/>
    </w:rPr>
  </w:style>
  <w:style w:type="character" w:customStyle="1" w:styleId="42">
    <w:name w:val="Unresolved Mention4"/>
    <w:basedOn w:val="11"/>
    <w:semiHidden/>
    <w:unhideWhenUsed/>
    <w:uiPriority w:val="99"/>
    <w:rPr>
      <w:color w:val="605E5C"/>
      <w:shd w:val="clear" w:color="auto" w:fill="E1DFDD"/>
    </w:rPr>
  </w:style>
  <w:style w:type="paragraph" w:customStyle="1" w:styleId="43">
    <w:name w:val="reftext"/>
    <w:basedOn w:val="1"/>
    <w:qFormat/>
    <w:uiPriority w:val="0"/>
    <w:pPr>
      <w:spacing w:before="100" w:beforeAutospacing="1" w:after="100" w:afterAutospacing="1"/>
    </w:pPr>
    <w:rPr>
      <w:rFonts w:eastAsia="Times New Roman"/>
    </w:rPr>
  </w:style>
  <w:style w:type="character" w:customStyle="1" w:styleId="44">
    <w:name w:val="apple-converted-space"/>
    <w:basedOn w:val="11"/>
    <w:qFormat/>
    <w:uiPriority w:val="0"/>
  </w:style>
  <w:style w:type="character" w:customStyle="1" w:styleId="45">
    <w:name w:val="未处理的提及1"/>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35</Pages>
  <Words>6612</Words>
  <Characters>36165</Characters>
  <Lines>302</Lines>
  <Paragraphs>85</Paragraphs>
  <TotalTime>98</TotalTime>
  <ScaleCrop>false</ScaleCrop>
  <LinksUpToDate>false</LinksUpToDate>
  <CharactersWithSpaces>41966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2022-04-21T07:17:00Z</dcterms:created>
  <dc:creator>Lian-Sheng Ma</dc:creator>
  <cp:lastModifiedBy>千</cp:lastModifiedBy>
  <dcterms:modified xsi:type="dcterms:W3CDTF">2022-05-24T01:44:38Z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EA77FE49393D48B98522B4F8A5C8FB73</vt:lpwstr>
  </property>
</Properties>
</file>