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99" w:rsidRPr="001F6603" w:rsidRDefault="00F55A99" w:rsidP="004A4CEB">
      <w:pPr>
        <w:widowControl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="宋体"/>
          <w:b/>
          <w:i/>
          <w:kern w:val="2"/>
        </w:rPr>
      </w:pPr>
      <w:bookmarkStart w:id="0" w:name="_Hlk33636598"/>
      <w:r w:rsidRPr="001F6603">
        <w:rPr>
          <w:rFonts w:ascii="Book Antiqua" w:eastAsia="Times New Roman" w:hAnsi="Book Antiqua" w:cs="宋体"/>
          <w:b/>
          <w:kern w:val="2"/>
        </w:rPr>
        <w:t>Name</w:t>
      </w:r>
      <w:r w:rsidR="0043237C" w:rsidRPr="001F6603">
        <w:rPr>
          <w:rFonts w:ascii="Book Antiqua" w:eastAsia="Times New Roman" w:hAnsi="Book Antiqua" w:cs="宋体"/>
          <w:b/>
          <w:kern w:val="2"/>
        </w:rPr>
        <w:t xml:space="preserve"> </w:t>
      </w:r>
      <w:r w:rsidRPr="001F6603">
        <w:rPr>
          <w:rFonts w:ascii="Book Antiqua" w:eastAsia="Times New Roman" w:hAnsi="Book Antiqua" w:cs="宋体"/>
          <w:b/>
          <w:kern w:val="2"/>
        </w:rPr>
        <w:t>of</w:t>
      </w:r>
      <w:r w:rsidR="0043237C" w:rsidRPr="001F6603">
        <w:rPr>
          <w:rFonts w:ascii="Book Antiqua" w:eastAsia="Times New Roman" w:hAnsi="Book Antiqua" w:cs="宋体"/>
          <w:b/>
          <w:kern w:val="2"/>
        </w:rPr>
        <w:t xml:space="preserve"> </w:t>
      </w:r>
      <w:r w:rsidRPr="001F6603">
        <w:rPr>
          <w:rFonts w:ascii="Book Antiqua" w:eastAsia="Times New Roman" w:hAnsi="Book Antiqua" w:cs="宋体"/>
          <w:b/>
          <w:kern w:val="2"/>
        </w:rPr>
        <w:t>Journal:</w:t>
      </w:r>
      <w:r w:rsidR="0043237C" w:rsidRPr="001F6603">
        <w:rPr>
          <w:rFonts w:ascii="Book Antiqua" w:eastAsia="Times New Roman" w:hAnsi="Book Antiqua" w:cs="宋体"/>
          <w:b/>
          <w:kern w:val="2"/>
        </w:rPr>
        <w:t xml:space="preserve"> </w:t>
      </w:r>
      <w:r w:rsidRPr="001F6603">
        <w:rPr>
          <w:rFonts w:ascii="Book Antiqua" w:eastAsia="Times New Roman" w:hAnsi="Book Antiqua" w:cs="宋体"/>
          <w:i/>
          <w:kern w:val="2"/>
        </w:rPr>
        <w:t>World</w:t>
      </w:r>
      <w:r w:rsidR="0043237C" w:rsidRPr="001F6603">
        <w:rPr>
          <w:rFonts w:ascii="Book Antiqua" w:eastAsia="Times New Roman" w:hAnsi="Book Antiqua" w:cs="宋体"/>
          <w:i/>
          <w:kern w:val="2"/>
        </w:rPr>
        <w:t xml:space="preserve"> </w:t>
      </w:r>
      <w:r w:rsidRPr="001F6603">
        <w:rPr>
          <w:rFonts w:ascii="Book Antiqua" w:eastAsia="Times New Roman" w:hAnsi="Book Antiqua" w:cs="宋体"/>
          <w:i/>
          <w:kern w:val="2"/>
        </w:rPr>
        <w:t>Journal</w:t>
      </w:r>
      <w:r w:rsidR="0043237C" w:rsidRPr="001F6603">
        <w:rPr>
          <w:rFonts w:ascii="Book Antiqua" w:eastAsia="Times New Roman" w:hAnsi="Book Antiqua" w:cs="宋体"/>
          <w:i/>
          <w:kern w:val="2"/>
        </w:rPr>
        <w:t xml:space="preserve"> </w:t>
      </w:r>
      <w:r w:rsidRPr="001F6603">
        <w:rPr>
          <w:rFonts w:ascii="Book Antiqua" w:eastAsia="Times New Roman" w:hAnsi="Book Antiqua" w:cs="宋体"/>
          <w:i/>
          <w:kern w:val="2"/>
        </w:rPr>
        <w:t>of</w:t>
      </w:r>
      <w:r w:rsidR="0043237C" w:rsidRPr="001F6603">
        <w:rPr>
          <w:rFonts w:ascii="Book Antiqua" w:eastAsia="Times New Roman" w:hAnsi="Book Antiqua" w:cs="宋体"/>
          <w:i/>
          <w:kern w:val="2"/>
        </w:rPr>
        <w:t xml:space="preserve"> </w:t>
      </w:r>
      <w:r w:rsidRPr="001F6603">
        <w:rPr>
          <w:rFonts w:ascii="Book Antiqua" w:eastAsia="Times New Roman" w:hAnsi="Book Antiqua" w:cs="宋体"/>
          <w:i/>
          <w:kern w:val="2"/>
        </w:rPr>
        <w:t>Orthopedics</w:t>
      </w:r>
    </w:p>
    <w:p w:rsidR="00F55A99" w:rsidRPr="001F6603" w:rsidRDefault="00F55A99" w:rsidP="004A4CEB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bCs/>
          <w:kern w:val="2"/>
          <w:lang w:val="en-GB"/>
        </w:rPr>
      </w:pPr>
      <w:r w:rsidRPr="001F6603">
        <w:rPr>
          <w:rFonts w:ascii="Book Antiqua" w:eastAsia="Times New Roman" w:hAnsi="Book Antiqua" w:cs="Times New Roman"/>
          <w:b/>
          <w:bCs/>
          <w:kern w:val="2"/>
        </w:rPr>
        <w:t>Manuscript</w:t>
      </w:r>
      <w:r w:rsidR="0043237C" w:rsidRPr="001F6603">
        <w:rPr>
          <w:rFonts w:ascii="Book Antiqua" w:eastAsia="Times New Roman" w:hAnsi="Book Antiqua" w:cs="Times New Roman"/>
          <w:b/>
          <w:bCs/>
          <w:kern w:val="2"/>
        </w:rPr>
        <w:t xml:space="preserve"> </w:t>
      </w:r>
      <w:r w:rsidRPr="001F6603">
        <w:rPr>
          <w:rFonts w:ascii="Book Antiqua" w:eastAsia="Times New Roman" w:hAnsi="Book Antiqua" w:cs="Times New Roman"/>
          <w:b/>
          <w:bCs/>
          <w:kern w:val="2"/>
        </w:rPr>
        <w:t>NO</w:t>
      </w:r>
      <w:r w:rsidRPr="001F6603">
        <w:rPr>
          <w:rFonts w:ascii="Book Antiqua" w:eastAsia="宋体" w:hAnsi="Book Antiqua" w:cs="Arial"/>
          <w:b/>
          <w:kern w:val="2"/>
        </w:rPr>
        <w:t>:</w:t>
      </w:r>
      <w:r w:rsidR="0043237C" w:rsidRPr="001F6603">
        <w:rPr>
          <w:rFonts w:ascii="Book Antiqua" w:eastAsia="宋体" w:hAnsi="Book Antiqua" w:cs="Arial"/>
          <w:b/>
          <w:kern w:val="2"/>
        </w:rPr>
        <w:t xml:space="preserve"> </w:t>
      </w:r>
      <w:r w:rsidRPr="001F6603">
        <w:rPr>
          <w:rFonts w:ascii="Book Antiqua" w:eastAsia="宋体" w:hAnsi="Book Antiqua" w:cs="Arial"/>
          <w:bCs/>
          <w:kern w:val="2"/>
        </w:rPr>
        <w:t>53330</w:t>
      </w:r>
    </w:p>
    <w:p w:rsidR="00F55A99" w:rsidRPr="001F6603" w:rsidRDefault="00F55A99" w:rsidP="004A4CEB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kern w:val="2"/>
        </w:rPr>
      </w:pPr>
      <w:bookmarkStart w:id="1" w:name="OLE_LINK4"/>
      <w:bookmarkStart w:id="2" w:name="OLE_LINK3"/>
      <w:r w:rsidRPr="001F6603">
        <w:rPr>
          <w:rFonts w:ascii="Book Antiqua" w:eastAsia="宋体" w:hAnsi="Book Antiqua" w:cs="Times New Roman"/>
          <w:b/>
          <w:kern w:val="2"/>
        </w:rPr>
        <w:t>Manuscript</w:t>
      </w:r>
      <w:r w:rsidR="0043237C" w:rsidRPr="001F6603">
        <w:rPr>
          <w:rFonts w:ascii="Book Antiqua" w:eastAsia="宋体" w:hAnsi="Book Antiqua" w:cs="Times New Roman"/>
          <w:b/>
          <w:kern w:val="2"/>
        </w:rPr>
        <w:t xml:space="preserve"> </w:t>
      </w:r>
      <w:r w:rsidRPr="001F6603">
        <w:rPr>
          <w:rFonts w:ascii="Book Antiqua" w:eastAsia="宋体" w:hAnsi="Book Antiqua" w:cs="Times New Roman"/>
          <w:b/>
          <w:kern w:val="2"/>
        </w:rPr>
        <w:t>Type:</w:t>
      </w:r>
      <w:r w:rsidR="0043237C" w:rsidRPr="001F6603">
        <w:rPr>
          <w:rFonts w:ascii="Book Antiqua" w:eastAsia="宋体" w:hAnsi="Book Antiqua" w:cs="Times New Roman"/>
          <w:b/>
          <w:kern w:val="2"/>
        </w:rPr>
        <w:t xml:space="preserve"> </w:t>
      </w:r>
      <w:bookmarkEnd w:id="1"/>
      <w:bookmarkEnd w:id="2"/>
      <w:r w:rsidRPr="001F6603">
        <w:rPr>
          <w:rFonts w:ascii="Book Antiqua" w:eastAsia="等线" w:hAnsi="Book Antiqua" w:cs="Arial"/>
          <w:kern w:val="2"/>
        </w:rPr>
        <w:t>ORIGINAL</w:t>
      </w:r>
      <w:r w:rsidR="0043237C" w:rsidRPr="001F6603">
        <w:rPr>
          <w:rFonts w:ascii="Book Antiqua" w:eastAsia="等线" w:hAnsi="Book Antiqua" w:cs="Arial"/>
          <w:kern w:val="2"/>
        </w:rPr>
        <w:t xml:space="preserve"> </w:t>
      </w:r>
      <w:r w:rsidRPr="001F6603">
        <w:rPr>
          <w:rFonts w:ascii="Book Antiqua" w:eastAsia="等线" w:hAnsi="Book Antiqua" w:cs="Arial"/>
          <w:kern w:val="2"/>
        </w:rPr>
        <w:t>ARTICLE</w:t>
      </w:r>
    </w:p>
    <w:bookmarkEnd w:id="0"/>
    <w:p w:rsidR="00F55A99" w:rsidRPr="001F6603" w:rsidRDefault="00F55A99" w:rsidP="004A4CEB">
      <w:pPr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</w:p>
    <w:p w:rsidR="00F55A99" w:rsidRPr="001F6603" w:rsidRDefault="00F55A99" w:rsidP="004A4CEB">
      <w:pPr>
        <w:snapToGrid w:val="0"/>
        <w:spacing w:line="360" w:lineRule="auto"/>
        <w:jc w:val="both"/>
        <w:rPr>
          <w:rFonts w:ascii="Book Antiqua" w:hAnsi="Book Antiqua"/>
          <w:b/>
          <w:i/>
          <w:iCs/>
        </w:rPr>
      </w:pPr>
      <w:r w:rsidRPr="001F6603">
        <w:rPr>
          <w:rFonts w:ascii="Book Antiqua" w:hAnsi="Book Antiqua"/>
          <w:b/>
          <w:i/>
          <w:iCs/>
        </w:rPr>
        <w:t>Prospective</w:t>
      </w:r>
      <w:r w:rsidR="0043237C" w:rsidRPr="001F6603">
        <w:rPr>
          <w:rFonts w:ascii="Book Antiqua" w:hAnsi="Book Antiqua"/>
          <w:b/>
          <w:i/>
          <w:iCs/>
        </w:rPr>
        <w:t xml:space="preserve"> </w:t>
      </w:r>
      <w:r w:rsidRPr="001F6603">
        <w:rPr>
          <w:rFonts w:ascii="Book Antiqua" w:hAnsi="Book Antiqua"/>
          <w:b/>
          <w:i/>
          <w:iCs/>
        </w:rPr>
        <w:t>Study</w:t>
      </w:r>
    </w:p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  <w:bookmarkStart w:id="3" w:name="_Hlk36470697"/>
      <w:r w:rsidRPr="001F6603">
        <w:rPr>
          <w:rFonts w:ascii="Book Antiqua" w:hAnsi="Book Antiqua"/>
          <w:b/>
          <w:bCs/>
        </w:rPr>
        <w:t>Impact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of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F55A99" w:rsidRPr="001F6603">
        <w:rPr>
          <w:rFonts w:ascii="Book Antiqua" w:hAnsi="Book Antiqua"/>
          <w:b/>
          <w:bCs/>
        </w:rPr>
        <w:t>gender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F55A99" w:rsidRPr="001F6603">
        <w:rPr>
          <w:rFonts w:ascii="Book Antiqua" w:hAnsi="Book Antiqua"/>
          <w:b/>
          <w:bCs/>
        </w:rPr>
        <w:t>and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F55A99" w:rsidRPr="001F6603">
        <w:rPr>
          <w:rFonts w:ascii="Book Antiqua" w:hAnsi="Book Antiqua"/>
          <w:b/>
          <w:bCs/>
        </w:rPr>
        <w:t>race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F55A99" w:rsidRPr="001F6603">
        <w:rPr>
          <w:rFonts w:ascii="Book Antiqua" w:hAnsi="Book Antiqua"/>
          <w:b/>
          <w:bCs/>
        </w:rPr>
        <w:t>on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F55A99" w:rsidRPr="001F6603">
        <w:rPr>
          <w:rFonts w:ascii="Book Antiqua" w:hAnsi="Book Antiqua"/>
          <w:b/>
          <w:bCs/>
        </w:rPr>
        <w:t>expectations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F55A99" w:rsidRPr="001F6603">
        <w:rPr>
          <w:rFonts w:ascii="Book Antiqua" w:hAnsi="Book Antiqua"/>
          <w:b/>
          <w:bCs/>
        </w:rPr>
        <w:t>and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F55A99" w:rsidRPr="001F6603">
        <w:rPr>
          <w:rFonts w:ascii="Book Antiqua" w:hAnsi="Book Antiqua"/>
          <w:b/>
          <w:bCs/>
        </w:rPr>
        <w:t>outcomes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F55A99" w:rsidRPr="001F6603">
        <w:rPr>
          <w:rFonts w:ascii="Book Antiqua" w:hAnsi="Book Antiqua"/>
          <w:b/>
          <w:bCs/>
        </w:rPr>
        <w:t>in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F55A99" w:rsidRPr="001F6603">
        <w:rPr>
          <w:rFonts w:ascii="Book Antiqua" w:hAnsi="Book Antiqua"/>
          <w:b/>
          <w:bCs/>
        </w:rPr>
        <w:t>total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F55A99" w:rsidRPr="001F6603">
        <w:rPr>
          <w:rFonts w:ascii="Book Antiqua" w:hAnsi="Book Antiqua"/>
          <w:b/>
          <w:bCs/>
        </w:rPr>
        <w:t>knee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F55A99" w:rsidRPr="001F6603">
        <w:rPr>
          <w:rFonts w:ascii="Book Antiqua" w:hAnsi="Book Antiqua"/>
          <w:b/>
          <w:bCs/>
        </w:rPr>
        <w:t>arthroplasty</w:t>
      </w:r>
      <w:r w:rsidR="0043237C" w:rsidRPr="001F6603">
        <w:rPr>
          <w:rFonts w:ascii="Book Antiqua" w:hAnsi="Book Antiqua"/>
          <w:b/>
          <w:bCs/>
          <w:u w:val="single"/>
        </w:rPr>
        <w:t xml:space="preserve"> </w:t>
      </w:r>
    </w:p>
    <w:bookmarkEnd w:id="3"/>
    <w:p w:rsidR="00101811" w:rsidRPr="001F6603" w:rsidRDefault="00101811" w:rsidP="004A4CEB">
      <w:pPr>
        <w:snapToGrid w:val="0"/>
        <w:spacing w:line="360" w:lineRule="auto"/>
        <w:jc w:val="both"/>
        <w:rPr>
          <w:rFonts w:ascii="Book Antiqua" w:hAnsi="Book Antiqua"/>
          <w:u w:val="single"/>
        </w:rPr>
      </w:pPr>
    </w:p>
    <w:p w:rsidR="00101811" w:rsidRPr="001F6603" w:rsidRDefault="00F55A99" w:rsidP="004A4CEB">
      <w:pPr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  <w:r w:rsidRPr="001F6603">
        <w:rPr>
          <w:rFonts w:ascii="Book Antiqua" w:hAnsi="Book Antiqua"/>
        </w:rPr>
        <w:t>Perez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</w:t>
      </w:r>
      <w:r w:rsidR="0043237C" w:rsidRPr="001F6603">
        <w:rPr>
          <w:rFonts w:ascii="Book Antiqua" w:eastAsia="宋体" w:hAnsi="Book Antiqua" w:cs="Calibri"/>
        </w:rPr>
        <w:t xml:space="preserve"> </w:t>
      </w:r>
      <w:r w:rsidRPr="001F6603">
        <w:rPr>
          <w:rFonts w:ascii="Book Antiqua" w:eastAsia="宋体" w:hAnsi="Book Antiqua" w:cs="Calibri"/>
          <w:i/>
        </w:rPr>
        <w:t>et</w:t>
      </w:r>
      <w:r w:rsidR="0043237C" w:rsidRPr="001F6603">
        <w:rPr>
          <w:rFonts w:ascii="Book Antiqua" w:eastAsia="宋体" w:hAnsi="Book Antiqua" w:cs="Calibri"/>
          <w:i/>
        </w:rPr>
        <w:t xml:space="preserve"> </w:t>
      </w:r>
      <w:r w:rsidRPr="001F6603">
        <w:rPr>
          <w:rFonts w:ascii="Book Antiqua" w:eastAsia="宋体" w:hAnsi="Book Antiqua" w:cs="Calibri"/>
          <w:i/>
        </w:rPr>
        <w:t>al.</w:t>
      </w:r>
      <w:r w:rsidR="0043237C" w:rsidRPr="001F6603">
        <w:rPr>
          <w:rFonts w:ascii="Book Antiqua" w:eastAsia="宋体" w:hAnsi="Book Antiqua" w:cs="Calibri"/>
          <w:i/>
        </w:rPr>
        <w:t xml:space="preserve"> </w:t>
      </w:r>
      <w:r w:rsidR="00367ED8" w:rsidRPr="001F6603">
        <w:rPr>
          <w:rFonts w:ascii="Book Antiqua" w:hAnsi="Book Antiqua"/>
        </w:rPr>
        <w:t>Disparities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total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knee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arthroplasty</w:t>
      </w:r>
    </w:p>
    <w:p w:rsidR="00101811" w:rsidRPr="001F6603" w:rsidRDefault="00101811" w:rsidP="004A4CEB">
      <w:pPr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</w:p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  <w:bCs/>
        </w:rPr>
      </w:pPr>
      <w:r w:rsidRPr="001F6603">
        <w:rPr>
          <w:rFonts w:ascii="Book Antiqua" w:hAnsi="Book Antiqua"/>
          <w:bCs/>
        </w:rPr>
        <w:t>Brian</w:t>
      </w:r>
      <w:r w:rsidR="0043237C" w:rsidRPr="001F6603">
        <w:rPr>
          <w:rFonts w:ascii="Book Antiqua" w:hAnsi="Book Antiqua"/>
          <w:bCs/>
        </w:rPr>
        <w:t xml:space="preserve"> </w:t>
      </w:r>
      <w:r w:rsidRPr="001F6603">
        <w:rPr>
          <w:rFonts w:ascii="Book Antiqua" w:hAnsi="Book Antiqua"/>
          <w:bCs/>
        </w:rPr>
        <w:t>Perez,</w:t>
      </w:r>
      <w:r w:rsidR="0043237C" w:rsidRPr="001F6603">
        <w:rPr>
          <w:rFonts w:ascii="Book Antiqua" w:hAnsi="Book Antiqua"/>
          <w:bCs/>
        </w:rPr>
        <w:t xml:space="preserve"> </w:t>
      </w:r>
      <w:r w:rsidRPr="001F6603">
        <w:rPr>
          <w:rFonts w:ascii="Book Antiqua" w:hAnsi="Book Antiqua"/>
          <w:bCs/>
        </w:rPr>
        <w:t>James</w:t>
      </w:r>
      <w:r w:rsidR="0043237C" w:rsidRPr="001F6603">
        <w:rPr>
          <w:rFonts w:ascii="Book Antiqua" w:hAnsi="Book Antiqua"/>
          <w:bCs/>
        </w:rPr>
        <w:t xml:space="preserve"> </w:t>
      </w:r>
      <w:proofErr w:type="spellStart"/>
      <w:r w:rsidRPr="001F6603">
        <w:rPr>
          <w:rFonts w:ascii="Book Antiqua" w:hAnsi="Book Antiqua"/>
          <w:bCs/>
        </w:rPr>
        <w:t>Slover</w:t>
      </w:r>
      <w:proofErr w:type="spellEnd"/>
      <w:r w:rsidRPr="001F6603">
        <w:rPr>
          <w:rFonts w:ascii="Book Antiqua" w:hAnsi="Book Antiqua"/>
          <w:bCs/>
        </w:rPr>
        <w:t>,</w:t>
      </w:r>
      <w:r w:rsidR="0043237C" w:rsidRPr="001F6603">
        <w:rPr>
          <w:rFonts w:ascii="Book Antiqua" w:hAnsi="Book Antiqua"/>
          <w:bCs/>
        </w:rPr>
        <w:t xml:space="preserve"> </w:t>
      </w:r>
      <w:r w:rsidRPr="001F6603">
        <w:rPr>
          <w:rFonts w:ascii="Book Antiqua" w:hAnsi="Book Antiqua"/>
          <w:bCs/>
        </w:rPr>
        <w:t>Emmanuel</w:t>
      </w:r>
      <w:r w:rsidR="0043237C" w:rsidRPr="001F6603">
        <w:rPr>
          <w:rFonts w:ascii="Book Antiqua" w:hAnsi="Book Antiqua"/>
          <w:bCs/>
        </w:rPr>
        <w:t xml:space="preserve"> </w:t>
      </w:r>
      <w:proofErr w:type="spellStart"/>
      <w:r w:rsidRPr="001F6603">
        <w:rPr>
          <w:rFonts w:ascii="Book Antiqua" w:hAnsi="Book Antiqua"/>
          <w:bCs/>
        </w:rPr>
        <w:t>Edusei</w:t>
      </w:r>
      <w:proofErr w:type="spellEnd"/>
      <w:r w:rsidRPr="001F6603">
        <w:rPr>
          <w:rFonts w:ascii="Book Antiqua" w:hAnsi="Book Antiqua"/>
          <w:bCs/>
        </w:rPr>
        <w:t>,</w:t>
      </w:r>
      <w:r w:rsidR="0043237C" w:rsidRPr="001F6603">
        <w:rPr>
          <w:rFonts w:ascii="Book Antiqua" w:hAnsi="Book Antiqua"/>
          <w:bCs/>
        </w:rPr>
        <w:t xml:space="preserve"> </w:t>
      </w:r>
      <w:r w:rsidRPr="001F6603">
        <w:rPr>
          <w:rFonts w:ascii="Book Antiqua" w:hAnsi="Book Antiqua"/>
          <w:bCs/>
        </w:rPr>
        <w:t>Annamarie</w:t>
      </w:r>
      <w:r w:rsidR="0043237C" w:rsidRPr="001F6603">
        <w:rPr>
          <w:rFonts w:ascii="Book Antiqua" w:hAnsi="Book Antiqua"/>
          <w:bCs/>
        </w:rPr>
        <w:t xml:space="preserve"> </w:t>
      </w:r>
      <w:r w:rsidRPr="001F6603">
        <w:rPr>
          <w:rFonts w:ascii="Book Antiqua" w:hAnsi="Book Antiqua"/>
          <w:bCs/>
        </w:rPr>
        <w:t>Horan,</w:t>
      </w:r>
      <w:r w:rsidR="0043237C" w:rsidRPr="001F6603">
        <w:rPr>
          <w:rFonts w:ascii="Book Antiqua" w:hAnsi="Book Antiqua"/>
          <w:bCs/>
        </w:rPr>
        <w:t xml:space="preserve"> </w:t>
      </w:r>
      <w:proofErr w:type="spellStart"/>
      <w:r w:rsidRPr="001F6603">
        <w:rPr>
          <w:rFonts w:ascii="Book Antiqua" w:hAnsi="Book Antiqua"/>
          <w:bCs/>
        </w:rPr>
        <w:t>Afshin</w:t>
      </w:r>
      <w:proofErr w:type="spellEnd"/>
      <w:r w:rsidR="0043237C" w:rsidRPr="001F6603">
        <w:rPr>
          <w:rFonts w:ascii="Book Antiqua" w:hAnsi="Book Antiqua"/>
          <w:bCs/>
        </w:rPr>
        <w:t xml:space="preserve"> </w:t>
      </w:r>
      <w:proofErr w:type="spellStart"/>
      <w:r w:rsidRPr="001F6603">
        <w:rPr>
          <w:rFonts w:ascii="Book Antiqua" w:hAnsi="Book Antiqua"/>
          <w:bCs/>
        </w:rPr>
        <w:t>Anoushiravani</w:t>
      </w:r>
      <w:proofErr w:type="spellEnd"/>
      <w:r w:rsidRPr="001F6603">
        <w:rPr>
          <w:rFonts w:ascii="Book Antiqua" w:hAnsi="Book Antiqua"/>
          <w:bCs/>
        </w:rPr>
        <w:t>,</w:t>
      </w:r>
      <w:r w:rsidR="0043237C" w:rsidRPr="001F6603">
        <w:rPr>
          <w:rFonts w:ascii="Book Antiqua" w:hAnsi="Book Antiqua"/>
          <w:bCs/>
        </w:rPr>
        <w:t xml:space="preserve"> </w:t>
      </w:r>
      <w:proofErr w:type="spellStart"/>
      <w:r w:rsidRPr="001F6603">
        <w:rPr>
          <w:rFonts w:ascii="Book Antiqua" w:hAnsi="Book Antiqua"/>
          <w:bCs/>
        </w:rPr>
        <w:t>Atul</w:t>
      </w:r>
      <w:proofErr w:type="spellEnd"/>
      <w:r w:rsidR="0043237C" w:rsidRPr="001F6603">
        <w:rPr>
          <w:rFonts w:ascii="Book Antiqua" w:hAnsi="Book Antiqua"/>
          <w:bCs/>
        </w:rPr>
        <w:t xml:space="preserve"> </w:t>
      </w:r>
      <w:r w:rsidRPr="001F6603">
        <w:rPr>
          <w:rFonts w:ascii="Book Antiqua" w:hAnsi="Book Antiqua"/>
          <w:bCs/>
        </w:rPr>
        <w:t>Kamath,</w:t>
      </w:r>
      <w:r w:rsidR="0043237C" w:rsidRPr="001F6603">
        <w:rPr>
          <w:rFonts w:ascii="Book Antiqua" w:hAnsi="Book Antiqua"/>
          <w:bCs/>
        </w:rPr>
        <w:t xml:space="preserve"> </w:t>
      </w:r>
      <w:r w:rsidRPr="001F6603">
        <w:rPr>
          <w:rFonts w:ascii="Book Antiqua" w:hAnsi="Book Antiqua"/>
          <w:bCs/>
        </w:rPr>
        <w:t>Charles</w:t>
      </w:r>
      <w:r w:rsidR="0043237C" w:rsidRPr="001F6603">
        <w:rPr>
          <w:rFonts w:ascii="Book Antiqua" w:hAnsi="Book Antiqua"/>
          <w:bCs/>
        </w:rPr>
        <w:t xml:space="preserve"> </w:t>
      </w:r>
      <w:r w:rsidR="00713795" w:rsidRPr="001F6603">
        <w:rPr>
          <w:rFonts w:ascii="Book Antiqua" w:hAnsi="Book Antiqua"/>
          <w:bCs/>
        </w:rPr>
        <w:t>L</w:t>
      </w:r>
      <w:r w:rsidR="0043237C" w:rsidRPr="001F6603">
        <w:rPr>
          <w:rFonts w:ascii="Book Antiqua" w:hAnsi="Book Antiqua"/>
          <w:bCs/>
        </w:rPr>
        <w:t xml:space="preserve"> </w:t>
      </w:r>
      <w:r w:rsidRPr="001F6603">
        <w:rPr>
          <w:rFonts w:ascii="Book Antiqua" w:hAnsi="Book Antiqua"/>
          <w:bCs/>
        </w:rPr>
        <w:t>Nelson</w:t>
      </w:r>
    </w:p>
    <w:p w:rsidR="00101811" w:rsidRPr="001F6603" w:rsidRDefault="00101811" w:rsidP="004A4CEB">
      <w:pPr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</w:p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  <w:b/>
        </w:rPr>
        <w:t>Brian</w:t>
      </w:r>
      <w:r w:rsidR="0043237C" w:rsidRPr="001F6603">
        <w:rPr>
          <w:rFonts w:ascii="Book Antiqua" w:hAnsi="Book Antiqua"/>
          <w:b/>
        </w:rPr>
        <w:t xml:space="preserve"> </w:t>
      </w:r>
      <w:r w:rsidRPr="001F6603">
        <w:rPr>
          <w:rFonts w:ascii="Book Antiqua" w:hAnsi="Book Antiqua"/>
          <w:b/>
        </w:rPr>
        <w:t>Perez,</w:t>
      </w:r>
      <w:r w:rsidR="0043237C" w:rsidRPr="001F6603">
        <w:rPr>
          <w:rFonts w:ascii="Book Antiqua" w:hAnsi="Book Antiqua"/>
          <w:b/>
        </w:rPr>
        <w:t xml:space="preserve"> </w:t>
      </w:r>
      <w:r w:rsidRPr="001F6603">
        <w:rPr>
          <w:rFonts w:ascii="Book Antiqua" w:hAnsi="Book Antiqua"/>
          <w:b/>
        </w:rPr>
        <w:t>Annamarie</w:t>
      </w:r>
      <w:r w:rsidR="0043237C" w:rsidRPr="001F6603">
        <w:rPr>
          <w:rFonts w:ascii="Book Antiqua" w:hAnsi="Book Antiqua"/>
          <w:b/>
        </w:rPr>
        <w:t xml:space="preserve"> </w:t>
      </w:r>
      <w:r w:rsidRPr="001F6603">
        <w:rPr>
          <w:rFonts w:ascii="Book Antiqua" w:hAnsi="Book Antiqua"/>
          <w:b/>
        </w:rPr>
        <w:t>Horan,</w:t>
      </w:r>
      <w:r w:rsidR="0043237C" w:rsidRPr="001F6603">
        <w:rPr>
          <w:rFonts w:ascii="Book Antiqua" w:hAnsi="Book Antiqua"/>
          <w:b/>
        </w:rPr>
        <w:t xml:space="preserve"> </w:t>
      </w:r>
      <w:r w:rsidRPr="001F6603">
        <w:rPr>
          <w:rFonts w:ascii="Book Antiqua" w:hAnsi="Book Antiqua"/>
          <w:b/>
        </w:rPr>
        <w:t>Charles</w:t>
      </w:r>
      <w:r w:rsidR="0043237C" w:rsidRPr="001F6603">
        <w:rPr>
          <w:rFonts w:ascii="Book Antiqua" w:hAnsi="Book Antiqua"/>
          <w:b/>
        </w:rPr>
        <w:t xml:space="preserve"> </w:t>
      </w:r>
      <w:r w:rsidR="00713795" w:rsidRPr="001F6603">
        <w:rPr>
          <w:rFonts w:ascii="Book Antiqua" w:hAnsi="Book Antiqua"/>
          <w:b/>
        </w:rPr>
        <w:t>L</w:t>
      </w:r>
      <w:r w:rsidR="0043237C" w:rsidRPr="001F6603">
        <w:rPr>
          <w:rFonts w:ascii="Book Antiqua" w:hAnsi="Book Antiqua"/>
          <w:b/>
        </w:rPr>
        <w:t xml:space="preserve"> </w:t>
      </w:r>
      <w:r w:rsidRPr="001F6603">
        <w:rPr>
          <w:rFonts w:ascii="Book Antiqua" w:hAnsi="Book Antiqua"/>
          <w:b/>
        </w:rPr>
        <w:t>Nelson,</w:t>
      </w:r>
      <w:r w:rsidR="0043237C" w:rsidRPr="001F6603">
        <w:rPr>
          <w:rFonts w:ascii="Book Antiqua" w:hAnsi="Book Antiqua"/>
          <w:b/>
        </w:rPr>
        <w:t xml:space="preserve"> </w:t>
      </w:r>
      <w:r w:rsidRPr="001F6603">
        <w:rPr>
          <w:rFonts w:ascii="Book Antiqua" w:hAnsi="Book Antiqua"/>
        </w:rPr>
        <w:t>Department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Orthopedics,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University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Pennsylvania,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Philadelphia,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PA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19104,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United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States</w:t>
      </w:r>
    </w:p>
    <w:p w:rsidR="00472F98" w:rsidRPr="001F6603" w:rsidRDefault="00472F98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  <w:b/>
        </w:rPr>
        <w:t>James</w:t>
      </w:r>
      <w:r w:rsidR="0043237C" w:rsidRPr="001F6603">
        <w:rPr>
          <w:rFonts w:ascii="Book Antiqua" w:hAnsi="Book Antiqua"/>
          <w:b/>
        </w:rPr>
        <w:t xml:space="preserve"> </w:t>
      </w:r>
      <w:proofErr w:type="spellStart"/>
      <w:r w:rsidRPr="001F6603">
        <w:rPr>
          <w:rFonts w:ascii="Book Antiqua" w:hAnsi="Book Antiqua"/>
          <w:b/>
        </w:rPr>
        <w:t>Slover</w:t>
      </w:r>
      <w:proofErr w:type="spellEnd"/>
      <w:r w:rsidRPr="001F6603">
        <w:rPr>
          <w:rFonts w:ascii="Book Antiqua" w:hAnsi="Book Antiqua"/>
          <w:b/>
        </w:rPr>
        <w:t>,</w:t>
      </w:r>
      <w:r w:rsidR="0043237C" w:rsidRPr="001F6603">
        <w:rPr>
          <w:rFonts w:ascii="Book Antiqua" w:hAnsi="Book Antiqua"/>
          <w:b/>
        </w:rPr>
        <w:t xml:space="preserve"> </w:t>
      </w:r>
      <w:r w:rsidRPr="001F6603">
        <w:rPr>
          <w:rFonts w:ascii="Book Antiqua" w:hAnsi="Book Antiqua"/>
          <w:b/>
        </w:rPr>
        <w:t>Emmanuel</w:t>
      </w:r>
      <w:r w:rsidR="0043237C" w:rsidRPr="001F6603">
        <w:rPr>
          <w:rFonts w:ascii="Book Antiqua" w:hAnsi="Book Antiqua"/>
          <w:b/>
        </w:rPr>
        <w:t xml:space="preserve"> </w:t>
      </w:r>
      <w:proofErr w:type="spellStart"/>
      <w:r w:rsidRPr="001F6603">
        <w:rPr>
          <w:rFonts w:ascii="Book Antiqua" w:hAnsi="Book Antiqua"/>
          <w:b/>
        </w:rPr>
        <w:t>Edusei</w:t>
      </w:r>
      <w:proofErr w:type="spellEnd"/>
      <w:r w:rsidRPr="001F6603">
        <w:rPr>
          <w:rFonts w:ascii="Book Antiqua" w:hAnsi="Book Antiqua"/>
          <w:b/>
        </w:rPr>
        <w:t>,</w:t>
      </w:r>
      <w:r w:rsidR="0043237C" w:rsidRPr="001F6603">
        <w:rPr>
          <w:rFonts w:ascii="Book Antiqua" w:hAnsi="Book Antiqua"/>
          <w:b/>
        </w:rPr>
        <w:t xml:space="preserve"> </w:t>
      </w:r>
      <w:proofErr w:type="spellStart"/>
      <w:r w:rsidRPr="001F6603">
        <w:rPr>
          <w:rFonts w:ascii="Book Antiqua" w:hAnsi="Book Antiqua"/>
          <w:b/>
        </w:rPr>
        <w:t>Afshin</w:t>
      </w:r>
      <w:proofErr w:type="spellEnd"/>
      <w:r w:rsidR="0043237C" w:rsidRPr="001F6603">
        <w:rPr>
          <w:rFonts w:ascii="Book Antiqua" w:hAnsi="Book Antiqua"/>
          <w:b/>
        </w:rPr>
        <w:t xml:space="preserve"> </w:t>
      </w:r>
      <w:proofErr w:type="spellStart"/>
      <w:r w:rsidRPr="001F6603">
        <w:rPr>
          <w:rFonts w:ascii="Book Antiqua" w:hAnsi="Book Antiqua"/>
          <w:b/>
        </w:rPr>
        <w:t>Anoushiravani</w:t>
      </w:r>
      <w:proofErr w:type="spellEnd"/>
      <w:r w:rsidRPr="001F6603">
        <w:rPr>
          <w:rFonts w:ascii="Book Antiqua" w:hAnsi="Book Antiqua"/>
          <w:b/>
        </w:rPr>
        <w:t>,</w:t>
      </w:r>
      <w:r w:rsidR="0043237C" w:rsidRPr="001F6603">
        <w:rPr>
          <w:rFonts w:ascii="Book Antiqua" w:hAnsi="Book Antiqua"/>
          <w:b/>
        </w:rPr>
        <w:t xml:space="preserve"> </w:t>
      </w:r>
      <w:r w:rsidRPr="001F6603">
        <w:rPr>
          <w:rFonts w:ascii="Book Antiqua" w:hAnsi="Book Antiqua"/>
        </w:rPr>
        <w:t>Department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Orthopedic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Surgery,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New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York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University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Langone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Health,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New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York,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10016,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United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States</w:t>
      </w:r>
    </w:p>
    <w:p w:rsidR="00472F98" w:rsidRPr="001F6603" w:rsidRDefault="00472F98" w:rsidP="004A4CEB">
      <w:pPr>
        <w:snapToGrid w:val="0"/>
        <w:spacing w:line="360" w:lineRule="auto"/>
        <w:jc w:val="both"/>
        <w:rPr>
          <w:rFonts w:ascii="Book Antiqua" w:hAnsi="Book Antiqua"/>
          <w:b/>
        </w:rPr>
      </w:pPr>
    </w:p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1F6603">
        <w:rPr>
          <w:rFonts w:ascii="Book Antiqua" w:hAnsi="Book Antiqua"/>
          <w:b/>
        </w:rPr>
        <w:t>Atul</w:t>
      </w:r>
      <w:proofErr w:type="spellEnd"/>
      <w:r w:rsidR="0043237C" w:rsidRPr="001F6603">
        <w:rPr>
          <w:rFonts w:ascii="Book Antiqua" w:hAnsi="Book Antiqua"/>
          <w:b/>
        </w:rPr>
        <w:t xml:space="preserve"> </w:t>
      </w:r>
      <w:r w:rsidRPr="001F6603">
        <w:rPr>
          <w:rFonts w:ascii="Book Antiqua" w:hAnsi="Book Antiqua"/>
          <w:b/>
        </w:rPr>
        <w:t>Kamath,</w:t>
      </w:r>
      <w:r w:rsidR="0043237C" w:rsidRPr="001F6603">
        <w:rPr>
          <w:rFonts w:ascii="Book Antiqua" w:hAnsi="Book Antiqua"/>
          <w:b/>
        </w:rPr>
        <w:t xml:space="preserve"> </w:t>
      </w:r>
      <w:r w:rsidRPr="001F6603">
        <w:rPr>
          <w:rFonts w:ascii="Book Antiqua" w:hAnsi="Book Antiqua"/>
        </w:rPr>
        <w:t>Department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proofErr w:type="spellStart"/>
      <w:r w:rsidRPr="001F6603">
        <w:rPr>
          <w:rFonts w:ascii="Book Antiqua" w:hAnsi="Book Antiqua"/>
        </w:rPr>
        <w:t>Orthopaedic</w:t>
      </w:r>
      <w:proofErr w:type="spellEnd"/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Surgery,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Cleveland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Clinic,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Cleveland,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OH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44195,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United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States</w:t>
      </w:r>
    </w:p>
    <w:p w:rsidR="00101811" w:rsidRPr="001F6603" w:rsidRDefault="00101811" w:rsidP="004A4CEB">
      <w:pPr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</w:p>
    <w:p w:rsidR="00101811" w:rsidRPr="001F6603" w:rsidRDefault="00472F98" w:rsidP="004A4CEB">
      <w:pPr>
        <w:snapToGrid w:val="0"/>
        <w:spacing w:line="360" w:lineRule="auto"/>
        <w:jc w:val="both"/>
        <w:rPr>
          <w:rFonts w:ascii="Book Antiqua" w:hAnsi="Book Antiqua"/>
        </w:rPr>
      </w:pPr>
      <w:bookmarkStart w:id="4" w:name="_gjdgxs" w:colFirst="0" w:colLast="0"/>
      <w:bookmarkStart w:id="5" w:name="_Hlk35202152"/>
      <w:bookmarkEnd w:id="4"/>
      <w:r w:rsidRPr="001F6603">
        <w:rPr>
          <w:rFonts w:ascii="Book Antiqua" w:eastAsia="宋体" w:hAnsi="Book Antiqua" w:cs="Times New Roman"/>
          <w:b/>
          <w:lang w:val="en-GB" w:eastAsia="en-US"/>
        </w:rPr>
        <w:t>Author</w:t>
      </w:r>
      <w:r w:rsidR="0043237C" w:rsidRPr="001F6603">
        <w:rPr>
          <w:rFonts w:ascii="Book Antiqua" w:eastAsia="宋体" w:hAnsi="Book Antiqua" w:cs="Times New Roman"/>
          <w:b/>
          <w:lang w:val="en-GB" w:eastAsia="en-US"/>
        </w:rPr>
        <w:t xml:space="preserve"> </w:t>
      </w:r>
      <w:r w:rsidRPr="001F6603">
        <w:rPr>
          <w:rFonts w:ascii="Book Antiqua" w:eastAsia="宋体" w:hAnsi="Book Antiqua" w:cs="Times New Roman"/>
          <w:b/>
          <w:lang w:val="en-GB" w:eastAsia="en-US"/>
        </w:rPr>
        <w:t>contributions:</w:t>
      </w:r>
      <w:bookmarkEnd w:id="5"/>
      <w:r w:rsidR="0043237C" w:rsidRPr="001F6603">
        <w:rPr>
          <w:rFonts w:ascii="Book Antiqua" w:eastAsia="宋体" w:hAnsi="Book Antiqua" w:cs="Times New Roman"/>
          <w:b/>
          <w:lang w:val="en-GB" w:eastAsia="en-US"/>
        </w:rPr>
        <w:t xml:space="preserve"> </w:t>
      </w:r>
      <w:r w:rsidR="00367ED8" w:rsidRPr="001F6603">
        <w:rPr>
          <w:rFonts w:ascii="Book Antiqua" w:hAnsi="Book Antiqua"/>
        </w:rPr>
        <w:t>Nelson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</w:t>
      </w:r>
      <w:r w:rsidR="00713795" w:rsidRPr="001F6603">
        <w:rPr>
          <w:rFonts w:ascii="Book Antiqua" w:hAnsi="Book Antiqua"/>
        </w:rPr>
        <w:t>L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Slover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J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designed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research;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Perez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B,</w:t>
      </w:r>
      <w:r w:rsidR="0043237C" w:rsidRPr="001F6603">
        <w:rPr>
          <w:rFonts w:ascii="Book Antiqua" w:hAnsi="Book Antiqua"/>
        </w:rPr>
        <w:t xml:space="preserve"> </w:t>
      </w:r>
      <w:proofErr w:type="spellStart"/>
      <w:r w:rsidR="00367ED8" w:rsidRPr="001F6603">
        <w:rPr>
          <w:rFonts w:ascii="Book Antiqua" w:hAnsi="Book Antiqua"/>
        </w:rPr>
        <w:t>Edus</w:t>
      </w:r>
      <w:r w:rsidR="00A34B9D" w:rsidRPr="001F6603">
        <w:rPr>
          <w:rFonts w:ascii="Book Antiqua" w:hAnsi="Book Antiqua"/>
        </w:rPr>
        <w:t>e</w:t>
      </w:r>
      <w:r w:rsidR="00367ED8" w:rsidRPr="001F6603">
        <w:rPr>
          <w:rFonts w:ascii="Book Antiqua" w:hAnsi="Book Antiqua"/>
        </w:rPr>
        <w:t>i</w:t>
      </w:r>
      <w:proofErr w:type="spellEnd"/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E,</w:t>
      </w:r>
      <w:r w:rsidR="0043237C" w:rsidRPr="001F6603">
        <w:rPr>
          <w:rFonts w:ascii="Book Antiqua" w:hAnsi="Book Antiqua"/>
        </w:rPr>
        <w:t xml:space="preserve"> </w:t>
      </w:r>
      <w:proofErr w:type="spellStart"/>
      <w:r w:rsidR="00367ED8" w:rsidRPr="001F6603">
        <w:rPr>
          <w:rFonts w:ascii="Book Antiqua" w:hAnsi="Book Antiqua"/>
        </w:rPr>
        <w:t>Anoushiravani</w:t>
      </w:r>
      <w:proofErr w:type="spellEnd"/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performed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research;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Horan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contributed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analysis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data,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Perez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wrote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paper;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Nelson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</w:t>
      </w:r>
      <w:r w:rsidR="00713795" w:rsidRPr="001F6603">
        <w:rPr>
          <w:rFonts w:ascii="Book Antiqua" w:hAnsi="Book Antiqua"/>
        </w:rPr>
        <w:t>L</w:t>
      </w:r>
      <w:r w:rsidR="00367ED8" w:rsidRPr="001F6603">
        <w:rPr>
          <w:rFonts w:ascii="Book Antiqua" w:hAnsi="Book Antiqua"/>
        </w:rPr>
        <w:t>,</w:t>
      </w:r>
      <w:r w:rsidR="0043237C" w:rsidRPr="001F6603">
        <w:rPr>
          <w:rFonts w:ascii="Book Antiqua" w:hAnsi="Book Antiqua"/>
        </w:rPr>
        <w:t xml:space="preserve"> </w:t>
      </w:r>
      <w:proofErr w:type="spellStart"/>
      <w:r w:rsidR="00367ED8" w:rsidRPr="001F6603">
        <w:rPr>
          <w:rFonts w:ascii="Book Antiqua" w:hAnsi="Book Antiqua"/>
        </w:rPr>
        <w:t>Slover</w:t>
      </w:r>
      <w:proofErr w:type="spellEnd"/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J,</w:t>
      </w:r>
      <w:r w:rsidR="0043237C" w:rsidRPr="001F6603">
        <w:rPr>
          <w:rFonts w:ascii="Book Antiqua" w:hAnsi="Book Antiqua"/>
        </w:rPr>
        <w:t xml:space="preserve"> </w:t>
      </w:r>
      <w:proofErr w:type="spellStart"/>
      <w:r w:rsidR="00367ED8" w:rsidRPr="001F6603">
        <w:rPr>
          <w:rFonts w:ascii="Book Antiqua" w:hAnsi="Book Antiqua"/>
        </w:rPr>
        <w:t>Edus</w:t>
      </w:r>
      <w:r w:rsidR="00A34B9D" w:rsidRPr="001F6603">
        <w:rPr>
          <w:rFonts w:ascii="Book Antiqua" w:hAnsi="Book Antiqua"/>
        </w:rPr>
        <w:t>e</w:t>
      </w:r>
      <w:r w:rsidR="00367ED8" w:rsidRPr="001F6603">
        <w:rPr>
          <w:rFonts w:ascii="Book Antiqua" w:hAnsi="Book Antiqua"/>
        </w:rPr>
        <w:t>i</w:t>
      </w:r>
      <w:proofErr w:type="spellEnd"/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E,</w:t>
      </w:r>
      <w:r w:rsidR="0043237C" w:rsidRPr="001F6603">
        <w:rPr>
          <w:rFonts w:ascii="Book Antiqua" w:hAnsi="Book Antiqua"/>
        </w:rPr>
        <w:t xml:space="preserve"> </w:t>
      </w:r>
      <w:proofErr w:type="spellStart"/>
      <w:r w:rsidR="00367ED8" w:rsidRPr="001F6603">
        <w:rPr>
          <w:rFonts w:ascii="Book Antiqua" w:hAnsi="Book Antiqua"/>
        </w:rPr>
        <w:t>Anoushiravani</w:t>
      </w:r>
      <w:proofErr w:type="spellEnd"/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Kamath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</w:t>
      </w:r>
      <w:r w:rsidR="009A03E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provided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edits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paper.</w:t>
      </w:r>
    </w:p>
    <w:p w:rsidR="00101811" w:rsidRPr="001F6603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  <w:bookmarkStart w:id="6" w:name="_30j0zll" w:colFirst="0" w:colLast="0"/>
      <w:bookmarkEnd w:id="6"/>
    </w:p>
    <w:p w:rsidR="00101811" w:rsidRPr="001F6603" w:rsidRDefault="00472F98" w:rsidP="004A4CEB">
      <w:pPr>
        <w:snapToGrid w:val="0"/>
        <w:spacing w:line="360" w:lineRule="auto"/>
        <w:jc w:val="both"/>
        <w:rPr>
          <w:rFonts w:ascii="Book Antiqua" w:hAnsi="Book Antiqua"/>
        </w:rPr>
      </w:pPr>
      <w:bookmarkStart w:id="7" w:name="_1fob9te" w:colFirst="0" w:colLast="0"/>
      <w:bookmarkStart w:id="8" w:name="_f7kggnoamdh" w:colFirst="0" w:colLast="0"/>
      <w:bookmarkStart w:id="9" w:name="_z337ya" w:colFirst="0" w:colLast="0"/>
      <w:bookmarkStart w:id="10" w:name="_Hlk28872359"/>
      <w:bookmarkEnd w:id="7"/>
      <w:bookmarkEnd w:id="8"/>
      <w:bookmarkEnd w:id="9"/>
      <w:r w:rsidRPr="001F6603">
        <w:rPr>
          <w:rFonts w:ascii="Book Antiqua" w:eastAsia="宋体" w:hAnsi="Book Antiqua" w:cs="Calibri"/>
          <w:b/>
          <w:lang w:val="hu-HU" w:eastAsia="en-US"/>
        </w:rPr>
        <w:t>Corresponding</w:t>
      </w:r>
      <w:r w:rsidR="0043237C" w:rsidRPr="001F6603">
        <w:rPr>
          <w:rFonts w:ascii="Book Antiqua" w:eastAsia="宋体" w:hAnsi="Book Antiqua" w:cs="Calibri"/>
          <w:b/>
          <w:lang w:val="hu-HU" w:eastAsia="en-US"/>
        </w:rPr>
        <w:t xml:space="preserve"> </w:t>
      </w:r>
      <w:r w:rsidRPr="001F6603">
        <w:rPr>
          <w:rFonts w:ascii="Book Antiqua" w:eastAsia="宋体" w:hAnsi="Book Antiqua" w:cs="Calibri"/>
          <w:b/>
          <w:lang w:val="hu-HU" w:eastAsia="en-US"/>
        </w:rPr>
        <w:t>author:</w:t>
      </w:r>
      <w:bookmarkEnd w:id="10"/>
      <w:r w:rsidR="0043237C" w:rsidRPr="001F6603">
        <w:rPr>
          <w:rFonts w:ascii="Book Antiqua" w:eastAsia="宋体" w:hAnsi="Book Antiqua" w:cs="Calibri"/>
          <w:b/>
          <w:lang w:val="hu-HU"/>
        </w:rPr>
        <w:t xml:space="preserve"> </w:t>
      </w:r>
      <w:r w:rsidR="00367ED8" w:rsidRPr="001F6603">
        <w:rPr>
          <w:rFonts w:ascii="Book Antiqua" w:hAnsi="Book Antiqua"/>
          <w:b/>
          <w:bCs/>
        </w:rPr>
        <w:t>Brian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367ED8" w:rsidRPr="001F6603">
        <w:rPr>
          <w:rFonts w:ascii="Book Antiqua" w:hAnsi="Book Antiqua"/>
          <w:b/>
          <w:bCs/>
        </w:rPr>
        <w:t>Perez,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367ED8" w:rsidRPr="001F6603">
        <w:rPr>
          <w:rFonts w:ascii="Book Antiqua" w:hAnsi="Book Antiqua"/>
          <w:b/>
          <w:bCs/>
        </w:rPr>
        <w:t>MD,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Doctor,</w:t>
      </w:r>
      <w:r w:rsidR="0043237C" w:rsidRPr="001F6603">
        <w:rPr>
          <w:rFonts w:ascii="Book Antiqua" w:hAnsi="Book Antiqua"/>
          <w:b/>
          <w:bCs/>
        </w:rPr>
        <w:t xml:space="preserve"> </w:t>
      </w:r>
      <w:proofErr w:type="spellStart"/>
      <w:r w:rsidRPr="001F6603">
        <w:rPr>
          <w:rFonts w:ascii="Book Antiqua" w:hAnsi="Book Antiqua"/>
          <w:b/>
          <w:bCs/>
        </w:rPr>
        <w:t>Orthopaedic</w:t>
      </w:r>
      <w:proofErr w:type="spellEnd"/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Resident,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</w:rPr>
        <w:t>Department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proofErr w:type="spellStart"/>
      <w:r w:rsidRPr="001F6603">
        <w:rPr>
          <w:rFonts w:ascii="Book Antiqua" w:hAnsi="Book Antiqua"/>
        </w:rPr>
        <w:t>Orthop</w:t>
      </w:r>
      <w:r w:rsidR="00002413" w:rsidRPr="001F6603">
        <w:rPr>
          <w:rFonts w:ascii="Book Antiqua" w:hAnsi="Book Antiqua"/>
        </w:rPr>
        <w:t>a</w:t>
      </w:r>
      <w:r w:rsidRPr="001F6603">
        <w:rPr>
          <w:rFonts w:ascii="Book Antiqua" w:hAnsi="Book Antiqua"/>
        </w:rPr>
        <w:t>edics</w:t>
      </w:r>
      <w:proofErr w:type="spellEnd"/>
      <w:r w:rsidRPr="001F6603">
        <w:rPr>
          <w:rFonts w:ascii="Book Antiqua" w:hAnsi="Book Antiqua"/>
        </w:rPr>
        <w:t>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University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Pennsylvania,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3400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Spruce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St</w:t>
      </w:r>
      <w:r w:rsidRPr="001F6603">
        <w:rPr>
          <w:rFonts w:ascii="Book Antiqua" w:hAnsi="Book Antiqua"/>
        </w:rPr>
        <w:t>reet</w:t>
      </w:r>
      <w:r w:rsidR="00367ED8" w:rsidRPr="001F6603">
        <w:rPr>
          <w:rFonts w:ascii="Book Antiqua" w:hAnsi="Book Antiqua"/>
        </w:rPr>
        <w:t>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Philadelphia,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19104,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United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States.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brian.perez</w:t>
      </w:r>
      <w:r w:rsidR="00367ED8" w:rsidRPr="001F6603">
        <w:rPr>
          <w:rFonts w:ascii="Book Antiqua" w:hAnsi="Book Antiqua"/>
        </w:rPr>
        <w:t>@pennmedicine.upenn.edu.</w:t>
      </w:r>
      <w:r w:rsidR="0043237C" w:rsidRPr="001F6603">
        <w:rPr>
          <w:rFonts w:ascii="Book Antiqua" w:hAnsi="Book Antiqua"/>
        </w:rPr>
        <w:t xml:space="preserve"> </w:t>
      </w:r>
    </w:p>
    <w:p w:rsidR="00101811" w:rsidRPr="001F6603" w:rsidRDefault="00101811" w:rsidP="004A4CEB">
      <w:pPr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</w:p>
    <w:p w:rsidR="00472F98" w:rsidRPr="001F6603" w:rsidRDefault="00472F98" w:rsidP="004A4CEB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en-GB" w:eastAsia="en-US"/>
        </w:rPr>
      </w:pPr>
      <w:bookmarkStart w:id="11" w:name="_Hlk28872415"/>
      <w:r w:rsidRPr="001F6603">
        <w:rPr>
          <w:rFonts w:ascii="Book Antiqua" w:eastAsia="宋体" w:hAnsi="Book Antiqua" w:cs="Times New Roman"/>
          <w:b/>
          <w:lang w:val="en-GB" w:eastAsia="en-US"/>
        </w:rPr>
        <w:t>Received:</w:t>
      </w:r>
      <w:r w:rsidR="0043237C" w:rsidRPr="001F6603">
        <w:rPr>
          <w:rFonts w:ascii="Book Antiqua" w:eastAsia="宋体" w:hAnsi="Book Antiqua" w:cs="Times New Roman"/>
          <w:b/>
          <w:lang w:val="en-GB"/>
        </w:rPr>
        <w:t xml:space="preserve"> </w:t>
      </w:r>
      <w:bookmarkStart w:id="12" w:name="_Hlk36470405"/>
      <w:r w:rsidRPr="001F6603">
        <w:rPr>
          <w:rFonts w:ascii="Book Antiqua" w:eastAsia="宋体" w:hAnsi="Book Antiqua" w:cs="Times New Roman"/>
          <w:lang w:val="en-GB"/>
        </w:rPr>
        <w:t>January</w:t>
      </w:r>
      <w:r w:rsidR="0043237C" w:rsidRPr="001F6603">
        <w:rPr>
          <w:rFonts w:ascii="Book Antiqua" w:eastAsia="等线" w:hAnsi="Book Antiqua" w:cs="Times New Roman"/>
          <w:kern w:val="2"/>
          <w:lang w:val="en-GB"/>
        </w:rPr>
        <w:t xml:space="preserve"> </w:t>
      </w:r>
      <w:bookmarkEnd w:id="12"/>
      <w:r w:rsidRPr="001F6603">
        <w:rPr>
          <w:rFonts w:ascii="Book Antiqua" w:eastAsia="等线" w:hAnsi="Book Antiqua" w:cs="Times New Roman"/>
          <w:kern w:val="2"/>
          <w:lang w:val="en-GB"/>
        </w:rPr>
        <w:t>1</w:t>
      </w:r>
      <w:r w:rsidRPr="001F6603">
        <w:rPr>
          <w:rFonts w:ascii="Book Antiqua" w:eastAsia="宋体" w:hAnsi="Book Antiqua" w:cs="Times New Roman"/>
          <w:lang w:val="en-GB"/>
        </w:rPr>
        <w:t>,</w:t>
      </w:r>
      <w:r w:rsidR="0043237C" w:rsidRPr="001F6603">
        <w:rPr>
          <w:rFonts w:ascii="Book Antiqua" w:eastAsia="宋体" w:hAnsi="Book Antiqua" w:cs="Times New Roman"/>
          <w:lang w:val="en-GB"/>
        </w:rPr>
        <w:t xml:space="preserve"> </w:t>
      </w:r>
      <w:r w:rsidRPr="001F6603">
        <w:rPr>
          <w:rFonts w:ascii="Book Antiqua" w:eastAsia="宋体" w:hAnsi="Book Antiqua" w:cs="Times New Roman"/>
          <w:lang w:val="en-GB"/>
        </w:rPr>
        <w:t>20</w:t>
      </w:r>
      <w:r w:rsidR="00A3140D" w:rsidRPr="001F6603">
        <w:rPr>
          <w:rFonts w:ascii="Book Antiqua" w:eastAsia="宋体" w:hAnsi="Book Antiqua" w:cs="Times New Roman"/>
          <w:lang w:val="en-GB"/>
        </w:rPr>
        <w:t>20</w:t>
      </w:r>
    </w:p>
    <w:p w:rsidR="00472F98" w:rsidRPr="001F6603" w:rsidRDefault="00472F98" w:rsidP="004A4CEB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en-GB" w:eastAsia="en-US"/>
        </w:rPr>
      </w:pPr>
      <w:r w:rsidRPr="001F6603">
        <w:rPr>
          <w:rFonts w:ascii="Book Antiqua" w:eastAsia="宋体" w:hAnsi="Book Antiqua" w:cs="Times New Roman"/>
          <w:b/>
          <w:lang w:val="en-GB" w:eastAsia="en-US"/>
        </w:rPr>
        <w:t>Revised:</w:t>
      </w:r>
      <w:r w:rsidR="0043237C" w:rsidRPr="001F6603">
        <w:rPr>
          <w:rFonts w:ascii="Book Antiqua" w:eastAsia="宋体" w:hAnsi="Book Antiqua" w:cs="Times New Roman"/>
          <w:lang w:val="en-GB"/>
        </w:rPr>
        <w:t xml:space="preserve"> </w:t>
      </w:r>
      <w:r w:rsidR="00A3140D" w:rsidRPr="001F6603">
        <w:rPr>
          <w:rFonts w:ascii="Book Antiqua" w:eastAsia="宋体" w:hAnsi="Book Antiqua" w:cs="Times New Roman"/>
          <w:kern w:val="2"/>
        </w:rPr>
        <w:t xml:space="preserve">April </w:t>
      </w:r>
      <w:r w:rsidRPr="001F6603">
        <w:rPr>
          <w:rFonts w:ascii="Book Antiqua" w:eastAsia="等线" w:hAnsi="Book Antiqua" w:cs="Times New Roman"/>
          <w:kern w:val="2"/>
          <w:lang w:val="en-GB"/>
        </w:rPr>
        <w:t>1</w:t>
      </w:r>
      <w:r w:rsidRPr="001F6603">
        <w:rPr>
          <w:rFonts w:ascii="Book Antiqua" w:eastAsia="宋体" w:hAnsi="Book Antiqua" w:cs="Times New Roman"/>
          <w:lang w:val="en-GB"/>
        </w:rPr>
        <w:t>,</w:t>
      </w:r>
      <w:r w:rsidR="0043237C" w:rsidRPr="001F6603">
        <w:rPr>
          <w:rFonts w:ascii="Book Antiqua" w:eastAsia="宋体" w:hAnsi="Book Antiqua" w:cs="Times New Roman"/>
          <w:lang w:val="en-GB"/>
        </w:rPr>
        <w:t xml:space="preserve"> </w:t>
      </w:r>
      <w:r w:rsidRPr="001F6603">
        <w:rPr>
          <w:rFonts w:ascii="Book Antiqua" w:eastAsia="宋体" w:hAnsi="Book Antiqua" w:cs="Times New Roman"/>
          <w:lang w:val="en-GB"/>
        </w:rPr>
        <w:t>2020</w:t>
      </w:r>
    </w:p>
    <w:p w:rsidR="00472F98" w:rsidRPr="001F6603" w:rsidRDefault="00472F98" w:rsidP="004A4CEB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eastAsia="en-US"/>
        </w:rPr>
      </w:pPr>
      <w:r w:rsidRPr="001F6603">
        <w:rPr>
          <w:rFonts w:ascii="Book Antiqua" w:eastAsia="宋体" w:hAnsi="Book Antiqua" w:cs="Times New Roman"/>
          <w:b/>
          <w:lang w:val="en-GB" w:eastAsia="en-US"/>
        </w:rPr>
        <w:t>Accepted:</w:t>
      </w:r>
      <w:r w:rsidR="0043237C" w:rsidRPr="001F6603">
        <w:rPr>
          <w:rFonts w:ascii="Book Antiqua" w:eastAsia="宋体" w:hAnsi="Book Antiqua" w:cs="Times New Roman"/>
          <w:lang w:val="el-GR" w:eastAsia="en-US"/>
        </w:rPr>
        <w:t xml:space="preserve"> </w:t>
      </w:r>
      <w:r w:rsidR="00796EF0" w:rsidRPr="001F6603">
        <w:rPr>
          <w:rFonts w:ascii="Book Antiqua" w:eastAsia="宋体" w:hAnsi="Book Antiqua" w:cs="Times New Roman"/>
          <w:lang w:eastAsia="en-US"/>
        </w:rPr>
        <w:t>April 8, 2020</w:t>
      </w:r>
    </w:p>
    <w:p w:rsidR="00472F98" w:rsidRPr="001F6603" w:rsidRDefault="00472F98" w:rsidP="004A4CEB">
      <w:pPr>
        <w:snapToGrid w:val="0"/>
        <w:spacing w:line="360" w:lineRule="auto"/>
        <w:jc w:val="both"/>
        <w:rPr>
          <w:rFonts w:ascii="Book Antiqua" w:hAnsi="Book Antiqua" w:cs="Times New Roman"/>
          <w:b/>
          <w:lang w:val="en-GB"/>
        </w:rPr>
      </w:pPr>
      <w:r w:rsidRPr="001F6603">
        <w:rPr>
          <w:rFonts w:ascii="Book Antiqua" w:eastAsia="宋体" w:hAnsi="Book Antiqua" w:cs="Times New Roman"/>
          <w:b/>
          <w:lang w:val="en-GB" w:eastAsia="en-US"/>
        </w:rPr>
        <w:t>Published</w:t>
      </w:r>
      <w:r w:rsidR="0043237C" w:rsidRPr="001F6603">
        <w:rPr>
          <w:rFonts w:ascii="Book Antiqua" w:eastAsia="宋体" w:hAnsi="Book Antiqua" w:cs="Times New Roman"/>
          <w:b/>
          <w:lang w:val="en-GB" w:eastAsia="en-US"/>
        </w:rPr>
        <w:t xml:space="preserve"> </w:t>
      </w:r>
      <w:r w:rsidRPr="001F6603">
        <w:rPr>
          <w:rFonts w:ascii="Book Antiqua" w:eastAsia="宋体" w:hAnsi="Book Antiqua" w:cs="Times New Roman"/>
          <w:b/>
          <w:lang w:val="en-GB" w:eastAsia="en-US"/>
        </w:rPr>
        <w:t>online:</w:t>
      </w:r>
      <w:r w:rsidR="0043237C" w:rsidRPr="001F6603">
        <w:rPr>
          <w:rFonts w:ascii="Book Antiqua" w:eastAsia="宋体" w:hAnsi="Book Antiqua" w:cs="Times New Roman"/>
          <w:b/>
          <w:lang w:val="en-GB" w:eastAsia="en-US"/>
        </w:rPr>
        <w:t xml:space="preserve"> </w:t>
      </w:r>
      <w:r w:rsidR="009E1987" w:rsidRPr="001F6603">
        <w:rPr>
          <w:rFonts w:ascii="Book Antiqua" w:hAnsi="Book Antiqua" w:cs="Times New Roman" w:hint="eastAsia"/>
          <w:lang w:val="en-GB"/>
        </w:rPr>
        <w:t>May 18, 2020</w:t>
      </w:r>
    </w:p>
    <w:bookmarkEnd w:id="11"/>
    <w:p w:rsidR="00101811" w:rsidRPr="001F6603" w:rsidRDefault="00101811" w:rsidP="004A4CEB">
      <w:pPr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</w:p>
    <w:p w:rsidR="00472F98" w:rsidRPr="001F6603" w:rsidRDefault="00472F98" w:rsidP="004A4CEB">
      <w:pPr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  <w:r w:rsidRPr="001F6603">
        <w:rPr>
          <w:rFonts w:ascii="Book Antiqua" w:hAnsi="Book Antiqua"/>
          <w:b/>
          <w:u w:val="single"/>
        </w:rPr>
        <w:br w:type="page"/>
      </w:r>
    </w:p>
    <w:p w:rsidR="0075586A" w:rsidRPr="001F6603" w:rsidRDefault="0075586A" w:rsidP="004A4CEB">
      <w:pPr>
        <w:adjustRightInd w:val="0"/>
        <w:snapToGrid w:val="0"/>
        <w:spacing w:line="360" w:lineRule="auto"/>
        <w:jc w:val="both"/>
        <w:rPr>
          <w:rFonts w:ascii="Book Antiqua" w:eastAsia="宋体" w:hAnsi="Book Antiqua" w:cs="Calibri"/>
          <w:b/>
          <w:lang w:eastAsia="en-US"/>
        </w:rPr>
      </w:pPr>
      <w:bookmarkStart w:id="13" w:name="_Hlk35202271"/>
      <w:r w:rsidRPr="001F6603">
        <w:rPr>
          <w:rFonts w:ascii="Book Antiqua" w:eastAsia="宋体" w:hAnsi="Book Antiqua" w:cs="Calibri"/>
          <w:b/>
          <w:lang w:eastAsia="en-US"/>
        </w:rPr>
        <w:lastRenderedPageBreak/>
        <w:t>Abstract</w:t>
      </w:r>
    </w:p>
    <w:p w:rsidR="00496A2C" w:rsidRPr="001F6603" w:rsidRDefault="00496A2C" w:rsidP="004A4CEB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</w:pPr>
      <w:bookmarkStart w:id="14" w:name="_Hlk35119703"/>
      <w:bookmarkEnd w:id="13"/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BACKGROUND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</w:p>
    <w:p w:rsidR="0075586A" w:rsidRPr="001F6603" w:rsidRDefault="00496A2C" w:rsidP="004A4CEB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lang w:eastAsia="en-US"/>
        </w:rPr>
      </w:pP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Total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joint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arthroplasty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is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one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of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the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most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common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surgeries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performed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in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the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United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States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with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="00400690" w:rsidRPr="001F6603">
        <w:rPr>
          <w:rFonts w:ascii="Book Antiqua" w:hAnsi="Book Antiqua"/>
        </w:rPr>
        <w:t>total knee arthroplasty (TKA)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being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one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of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the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most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successful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surgeries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for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restoring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function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and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diminishing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pain.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Even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with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the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demonstrated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success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of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="00400690" w:rsidRPr="001F6603">
        <w:rPr>
          <w:rFonts w:ascii="Book Antiqua" w:hAnsi="Book Antiqua"/>
        </w:rPr>
        <w:t>TKA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and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higher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prevalence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of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arthritis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and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arthritis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related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disability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among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minorities,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racial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and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gender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disparity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remains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constant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issue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in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providing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care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for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the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adult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reconstruction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patient.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</w:p>
    <w:bookmarkEnd w:id="14"/>
    <w:p w:rsidR="0075586A" w:rsidRPr="001F6603" w:rsidRDefault="0075586A" w:rsidP="004A4CEB">
      <w:pPr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</w:p>
    <w:p w:rsidR="0075586A" w:rsidRPr="001F6603" w:rsidRDefault="0075586A" w:rsidP="004A4CEB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eastAsia="en-US"/>
        </w:rPr>
      </w:pPr>
      <w:bookmarkStart w:id="15" w:name="_Hlk29286169"/>
      <w:r w:rsidRPr="001F6603">
        <w:rPr>
          <w:rFonts w:ascii="Book Antiqua" w:eastAsia="宋体" w:hAnsi="Book Antiqua" w:cs="Times New Roman"/>
          <w:lang w:eastAsia="en-US"/>
        </w:rPr>
        <w:t>AIM</w:t>
      </w:r>
    </w:p>
    <w:bookmarkEnd w:id="15"/>
    <w:p w:rsidR="00101811" w:rsidRPr="001F6603" w:rsidRDefault="0075586A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assess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role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demographics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expectations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differences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perioperative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reported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(PRO)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following</w:t>
      </w:r>
      <w:r w:rsidR="0043237C" w:rsidRPr="001F6603">
        <w:rPr>
          <w:rFonts w:ascii="Book Antiqua" w:hAnsi="Book Antiqua"/>
        </w:rPr>
        <w:t xml:space="preserve"> </w:t>
      </w:r>
      <w:r w:rsidR="00400690" w:rsidRPr="001F6603">
        <w:rPr>
          <w:rFonts w:ascii="Book Antiqua" w:hAnsi="Book Antiqua"/>
        </w:rPr>
        <w:t>TKA</w:t>
      </w:r>
      <w:r w:rsidR="00367ED8" w:rsidRPr="001F6603">
        <w:rPr>
          <w:rFonts w:ascii="Book Antiqua" w:hAnsi="Book Antiqua"/>
        </w:rPr>
        <w:t>.</w:t>
      </w:r>
    </w:p>
    <w:p w:rsidR="00101811" w:rsidRPr="001F6603" w:rsidRDefault="0043237C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 xml:space="preserve"> </w:t>
      </w:r>
    </w:p>
    <w:p w:rsidR="0075586A" w:rsidRPr="001F6603" w:rsidRDefault="0075586A" w:rsidP="004A4CEB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eastAsia="en-US"/>
        </w:rPr>
      </w:pPr>
      <w:bookmarkStart w:id="16" w:name="_Hlk33637087"/>
      <w:bookmarkStart w:id="17" w:name="_Hlk29286181"/>
      <w:r w:rsidRPr="001F6603">
        <w:rPr>
          <w:rFonts w:ascii="Book Antiqua" w:eastAsia="宋体" w:hAnsi="Book Antiqua" w:cs="Times New Roman"/>
          <w:lang w:eastAsia="en-US"/>
        </w:rPr>
        <w:t>METHODS</w:t>
      </w:r>
    </w:p>
    <w:bookmarkEnd w:id="16"/>
    <w:bookmarkEnd w:id="17"/>
    <w:p w:rsidR="00101811" w:rsidRPr="001F6603" w:rsidRDefault="00400690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O</w:t>
      </w:r>
      <w:r w:rsidRPr="001F6603">
        <w:rPr>
          <w:rFonts w:ascii="Book Antiqua" w:hAnsi="Book Antiqua" w:hint="eastAsia"/>
        </w:rPr>
        <w:t>ne</w:t>
      </w:r>
      <w:r w:rsidRPr="001F6603">
        <w:rPr>
          <w:rFonts w:ascii="Book Antiqua" w:hAnsi="Book Antiqua"/>
        </w:rPr>
        <w:t xml:space="preserve"> hundred and thirty-three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scheduled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primary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unilateral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secondary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moderate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severe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osteoarthritis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enrolled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this</w:t>
      </w:r>
      <w:r w:rsidR="0043237C" w:rsidRPr="001F6603">
        <w:rPr>
          <w:rFonts w:ascii="Book Antiqua" w:hAnsi="Book Antiqua"/>
        </w:rPr>
        <w:t xml:space="preserve"> </w:t>
      </w:r>
      <w:r w:rsidR="004A4CEB" w:rsidRPr="001F6603">
        <w:rPr>
          <w:rFonts w:ascii="Book Antiqua" w:hAnsi="Book Antiqua"/>
        </w:rPr>
        <w:t>two-institution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prospective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study.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Validated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PRO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questionnaires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collected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at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four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time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points.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Statistical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analysis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conducted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determine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impact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gender,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ethnic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background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expectation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surveys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responses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assess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PRO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at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these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time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points.</w:t>
      </w:r>
    </w:p>
    <w:p w:rsidR="00101811" w:rsidRPr="001F6603" w:rsidRDefault="0043237C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 xml:space="preserve"> </w:t>
      </w:r>
    </w:p>
    <w:p w:rsidR="0075586A" w:rsidRPr="001F6603" w:rsidRDefault="0075586A" w:rsidP="004A4CEB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eastAsia="en-US"/>
        </w:rPr>
      </w:pPr>
      <w:bookmarkStart w:id="18" w:name="_Hlk33637095"/>
      <w:bookmarkStart w:id="19" w:name="_Hlk29286194"/>
      <w:r w:rsidRPr="001F6603">
        <w:rPr>
          <w:rFonts w:ascii="Book Antiqua" w:eastAsia="宋体" w:hAnsi="Book Antiqua" w:cs="Times New Roman"/>
          <w:lang w:eastAsia="en-US"/>
        </w:rPr>
        <w:t>RESULTS</w:t>
      </w:r>
    </w:p>
    <w:bookmarkEnd w:id="18"/>
    <w:bookmarkEnd w:id="19"/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Females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associated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worse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Knee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Injury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Osteoarthritis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Scores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(KOOS)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symptoms,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activities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daily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living.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Americans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associated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worse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KOOS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activities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daily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living,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quality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life.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Despite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worse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scores,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categories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groups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postoperatively.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Additionally,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pre-operative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psychometric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scales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equivalent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across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groups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except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Geriatric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Depression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scale,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which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groups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Race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Age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Group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</w:t>
      </w:r>
      <w:r w:rsidR="00400690" w:rsidRPr="001F6603">
        <w:rPr>
          <w:rFonts w:ascii="Book Antiqua" w:hAnsi="Book Antiqua"/>
          <w:i/>
          <w:iCs/>
        </w:rPr>
        <w:t>P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&lt;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0.05).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Conversely,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Catastrophizing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Scale,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lastRenderedPageBreak/>
        <w:t>significantly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subscales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total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Age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Group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</w:t>
      </w:r>
      <w:r w:rsidR="00400690" w:rsidRPr="001F6603">
        <w:rPr>
          <w:rFonts w:ascii="Book Antiqua" w:hAnsi="Book Antiqua"/>
          <w:i/>
          <w:iCs/>
        </w:rPr>
        <w:t>P</w:t>
      </w:r>
      <w:r w:rsidR="00400690" w:rsidRPr="001F6603">
        <w:rPr>
          <w:rFonts w:ascii="Book Antiqua" w:hAnsi="Book Antiqua"/>
        </w:rPr>
        <w:t xml:space="preserve"> &lt; </w:t>
      </w:r>
      <w:r w:rsidRPr="001F6603">
        <w:rPr>
          <w:rFonts w:ascii="Book Antiqua" w:hAnsi="Book Antiqua"/>
        </w:rPr>
        <w:t>0.05),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Magnification,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Helplessness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subscales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Total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groups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Race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Relationship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Status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</w:t>
      </w:r>
      <w:r w:rsidR="00400690" w:rsidRPr="001F6603">
        <w:rPr>
          <w:rFonts w:ascii="Book Antiqua" w:hAnsi="Book Antiqua"/>
          <w:i/>
          <w:iCs/>
        </w:rPr>
        <w:t>P</w:t>
      </w:r>
      <w:r w:rsidR="00400690" w:rsidRPr="001F6603">
        <w:rPr>
          <w:rFonts w:ascii="Book Antiqua" w:hAnsi="Book Antiqua"/>
        </w:rPr>
        <w:t xml:space="preserve"> &lt; </w:t>
      </w:r>
      <w:r w:rsidRPr="001F6603">
        <w:rPr>
          <w:rFonts w:ascii="Book Antiqua" w:hAnsi="Book Antiqua"/>
        </w:rPr>
        <w:t>0.01).</w:t>
      </w:r>
    </w:p>
    <w:p w:rsidR="0071593A" w:rsidRPr="001F6603" w:rsidRDefault="0043237C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 xml:space="preserve"> </w:t>
      </w:r>
      <w:bookmarkStart w:id="20" w:name="_Hlk33637103"/>
      <w:bookmarkStart w:id="21" w:name="_Hlk29286201"/>
    </w:p>
    <w:p w:rsidR="0075586A" w:rsidRPr="001F6603" w:rsidRDefault="0075586A" w:rsidP="004A4CEB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eastAsia="en-US"/>
        </w:rPr>
      </w:pPr>
      <w:r w:rsidRPr="001F6603">
        <w:rPr>
          <w:rFonts w:ascii="Book Antiqua" w:eastAsia="宋体" w:hAnsi="Book Antiqua" w:cs="Times New Roman"/>
          <w:lang w:eastAsia="en-US"/>
        </w:rPr>
        <w:t>CONCLUSION</w:t>
      </w:r>
    </w:p>
    <w:bookmarkEnd w:id="20"/>
    <w:bookmarkEnd w:id="21"/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We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conclude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female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American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lower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KOOS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scores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compared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postoperative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differences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groups.</w:t>
      </w:r>
      <w:r w:rsidR="0043237C" w:rsidRPr="001F6603">
        <w:rPr>
          <w:rFonts w:ascii="Book Antiqua" w:hAnsi="Book Antiqua"/>
        </w:rPr>
        <w:t xml:space="preserve"> </w:t>
      </w:r>
    </w:p>
    <w:p w:rsidR="00101811" w:rsidRPr="001F6603" w:rsidRDefault="0043237C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 xml:space="preserve"> </w:t>
      </w:r>
    </w:p>
    <w:p w:rsidR="00101811" w:rsidRPr="001F6603" w:rsidRDefault="0075586A" w:rsidP="004A4CEB">
      <w:pPr>
        <w:snapToGrid w:val="0"/>
        <w:spacing w:line="360" w:lineRule="auto"/>
        <w:jc w:val="both"/>
        <w:rPr>
          <w:rFonts w:ascii="Book Antiqua" w:hAnsi="Book Antiqua"/>
        </w:rPr>
      </w:pPr>
      <w:bookmarkStart w:id="22" w:name="_Hlk28872569"/>
      <w:bookmarkStart w:id="23" w:name="_Hlk35205927"/>
      <w:r w:rsidRPr="001F6603">
        <w:rPr>
          <w:rFonts w:ascii="Book Antiqua" w:eastAsia="宋体" w:hAnsi="Book Antiqua" w:cs="Calibri"/>
          <w:b/>
          <w:lang w:eastAsia="en-US"/>
        </w:rPr>
        <w:t>Key</w:t>
      </w:r>
      <w:r w:rsidR="0043237C" w:rsidRPr="001F6603">
        <w:rPr>
          <w:rFonts w:ascii="Book Antiqua" w:eastAsia="宋体" w:hAnsi="Book Antiqua" w:cs="Calibri"/>
          <w:b/>
        </w:rPr>
        <w:t xml:space="preserve"> </w:t>
      </w:r>
      <w:r w:rsidRPr="001F6603">
        <w:rPr>
          <w:rFonts w:ascii="Book Antiqua" w:eastAsia="宋体" w:hAnsi="Book Antiqua" w:cs="Calibri"/>
          <w:b/>
          <w:lang w:eastAsia="en-US"/>
        </w:rPr>
        <w:t>words:</w:t>
      </w:r>
      <w:bookmarkEnd w:id="22"/>
      <w:r w:rsidR="0043237C" w:rsidRPr="001F6603">
        <w:rPr>
          <w:rFonts w:ascii="Book Antiqua" w:eastAsia="宋体" w:hAnsi="Book Antiqua" w:cs="Calibri"/>
          <w:b/>
          <w:lang w:eastAsia="en-US"/>
        </w:rPr>
        <w:t xml:space="preserve"> </w:t>
      </w:r>
      <w:bookmarkEnd w:id="23"/>
      <w:r w:rsidR="00367ED8" w:rsidRPr="001F6603">
        <w:rPr>
          <w:rFonts w:ascii="Book Antiqua" w:hAnsi="Book Antiqua"/>
        </w:rPr>
        <w:t>Knee</w:t>
      </w:r>
      <w:r w:rsidRPr="001F6603">
        <w:rPr>
          <w:rFonts w:ascii="Book Antiqua" w:hAnsi="Book Antiqua"/>
        </w:rPr>
        <w:t>;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Joints</w:t>
      </w:r>
      <w:r w:rsidRPr="001F6603">
        <w:rPr>
          <w:rFonts w:ascii="Book Antiqua" w:hAnsi="Book Antiqua"/>
        </w:rPr>
        <w:t>;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Arthroplasty</w:t>
      </w:r>
      <w:r w:rsidRPr="001F6603">
        <w:rPr>
          <w:rFonts w:ascii="Book Antiqua" w:hAnsi="Book Antiqua"/>
        </w:rPr>
        <w:t>;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Osteoarthritis</w:t>
      </w:r>
      <w:r w:rsidRPr="001F6603">
        <w:rPr>
          <w:rFonts w:ascii="Book Antiqua" w:hAnsi="Book Antiqua"/>
        </w:rPr>
        <w:t>;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Race</w:t>
      </w:r>
      <w:r w:rsidRPr="001F6603">
        <w:rPr>
          <w:rFonts w:ascii="Book Antiqua" w:hAnsi="Book Antiqua"/>
        </w:rPr>
        <w:t>;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Gender</w:t>
      </w:r>
      <w:r w:rsidRPr="001F6603">
        <w:rPr>
          <w:rFonts w:ascii="Book Antiqua" w:hAnsi="Book Antiqua"/>
        </w:rPr>
        <w:t>;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Postoperative</w:t>
      </w:r>
      <w:r w:rsidRPr="001F6603">
        <w:rPr>
          <w:rFonts w:ascii="Book Antiqua" w:hAnsi="Book Antiqua"/>
        </w:rPr>
        <w:t>;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Outcomes</w:t>
      </w:r>
    </w:p>
    <w:p w:rsidR="0075586A" w:rsidRPr="001F6603" w:rsidRDefault="0075586A" w:rsidP="004A4CEB">
      <w:pPr>
        <w:snapToGrid w:val="0"/>
        <w:spacing w:line="360" w:lineRule="auto"/>
        <w:jc w:val="both"/>
        <w:rPr>
          <w:rFonts w:ascii="Book Antiqua" w:eastAsia="宋体" w:hAnsi="Book Antiqua" w:cs="Calibri"/>
        </w:rPr>
      </w:pPr>
    </w:p>
    <w:p w:rsidR="0075586A" w:rsidRPr="001F6603" w:rsidRDefault="00713795" w:rsidP="00C11613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iCs/>
          <w:lang w:val="en-GB"/>
        </w:rPr>
      </w:pPr>
      <w:bookmarkStart w:id="24" w:name="_Hlk33637185"/>
      <w:r w:rsidRPr="001F6603">
        <w:rPr>
          <w:rFonts w:ascii="Book Antiqua" w:hAnsi="Book Antiqua"/>
          <w:bCs/>
        </w:rPr>
        <w:t>Perez</w:t>
      </w:r>
      <w:r w:rsidR="0043237C" w:rsidRPr="001F6603">
        <w:rPr>
          <w:rFonts w:ascii="Book Antiqua" w:hAnsi="Book Antiqua"/>
          <w:bCs/>
        </w:rPr>
        <w:t xml:space="preserve"> </w:t>
      </w:r>
      <w:r w:rsidRPr="001F6603">
        <w:rPr>
          <w:rFonts w:ascii="Book Antiqua" w:hAnsi="Book Antiqua"/>
          <w:bCs/>
        </w:rPr>
        <w:t>B,</w:t>
      </w:r>
      <w:r w:rsidR="0043237C" w:rsidRPr="001F6603">
        <w:rPr>
          <w:rFonts w:ascii="Book Antiqua" w:hAnsi="Book Antiqua"/>
          <w:bCs/>
        </w:rPr>
        <w:t xml:space="preserve"> </w:t>
      </w:r>
      <w:proofErr w:type="spellStart"/>
      <w:r w:rsidRPr="001F6603">
        <w:rPr>
          <w:rFonts w:ascii="Book Antiqua" w:hAnsi="Book Antiqua"/>
        </w:rPr>
        <w:t>Slover</w:t>
      </w:r>
      <w:proofErr w:type="spellEnd"/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J,</w:t>
      </w:r>
      <w:r w:rsidR="0043237C" w:rsidRPr="001F6603">
        <w:rPr>
          <w:rFonts w:ascii="Book Antiqua" w:hAnsi="Book Antiqua"/>
        </w:rPr>
        <w:t xml:space="preserve"> </w:t>
      </w:r>
      <w:proofErr w:type="spellStart"/>
      <w:r w:rsidRPr="001F6603">
        <w:rPr>
          <w:rFonts w:ascii="Book Antiqua" w:hAnsi="Book Antiqua"/>
        </w:rPr>
        <w:t>Edusei</w:t>
      </w:r>
      <w:proofErr w:type="spellEnd"/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Horan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A,</w:t>
      </w:r>
      <w:r w:rsidR="0043237C" w:rsidRPr="001F6603">
        <w:rPr>
          <w:rFonts w:ascii="Book Antiqua" w:hAnsi="Book Antiqua"/>
        </w:rPr>
        <w:t xml:space="preserve"> </w:t>
      </w:r>
      <w:proofErr w:type="spellStart"/>
      <w:r w:rsidRPr="001F6603">
        <w:rPr>
          <w:rFonts w:ascii="Book Antiqua" w:hAnsi="Book Antiqua"/>
        </w:rPr>
        <w:t>Anoushiravani</w:t>
      </w:r>
      <w:proofErr w:type="spellEnd"/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Kamath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Nelson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CL.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Impact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gender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race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expectations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total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knee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arthroplasty.</w:t>
      </w:r>
      <w:r w:rsidR="0043237C" w:rsidRPr="001F6603">
        <w:rPr>
          <w:rFonts w:ascii="Book Antiqua" w:hAnsi="Book Antiqua"/>
        </w:rPr>
        <w:t xml:space="preserve"> </w:t>
      </w:r>
      <w:r w:rsidR="0075586A" w:rsidRPr="001F6603">
        <w:rPr>
          <w:rFonts w:ascii="Book Antiqua" w:eastAsia="Times New Roman" w:hAnsi="Book Antiqua" w:cs="Times New Roman"/>
          <w:i/>
          <w:iCs/>
          <w:lang w:val="en-GB" w:eastAsia="en-GB"/>
        </w:rPr>
        <w:t>World</w:t>
      </w:r>
      <w:r w:rsidR="0043237C" w:rsidRPr="001F6603">
        <w:rPr>
          <w:rFonts w:ascii="Book Antiqua" w:eastAsia="Times New Roman" w:hAnsi="Book Antiqua" w:cs="Times New Roman"/>
          <w:i/>
          <w:iCs/>
          <w:lang w:val="en-GB" w:eastAsia="en-GB"/>
        </w:rPr>
        <w:t xml:space="preserve"> </w:t>
      </w:r>
      <w:r w:rsidR="0075586A" w:rsidRPr="001F6603">
        <w:rPr>
          <w:rFonts w:ascii="Book Antiqua" w:eastAsia="Times New Roman" w:hAnsi="Book Antiqua" w:cs="Times New Roman"/>
          <w:i/>
          <w:iCs/>
          <w:lang w:val="en-GB" w:eastAsia="en-GB"/>
        </w:rPr>
        <w:t>J</w:t>
      </w:r>
      <w:r w:rsidR="0043237C" w:rsidRPr="001F6603">
        <w:rPr>
          <w:rFonts w:ascii="Book Antiqua" w:eastAsia="Times New Roman" w:hAnsi="Book Antiqua" w:cs="Times New Roman"/>
          <w:i/>
          <w:iCs/>
          <w:lang w:val="en-GB" w:eastAsia="en-GB"/>
        </w:rPr>
        <w:t xml:space="preserve"> </w:t>
      </w:r>
      <w:proofErr w:type="spellStart"/>
      <w:r w:rsidR="0075586A" w:rsidRPr="001F6603">
        <w:rPr>
          <w:rFonts w:ascii="Book Antiqua" w:eastAsia="Times New Roman" w:hAnsi="Book Antiqua" w:cs="Times New Roman"/>
          <w:i/>
          <w:iCs/>
          <w:lang w:val="en-GB" w:eastAsia="en-GB"/>
        </w:rPr>
        <w:t>Orthop</w:t>
      </w:r>
      <w:proofErr w:type="spellEnd"/>
      <w:r w:rsidR="0043237C" w:rsidRPr="001F6603">
        <w:rPr>
          <w:rFonts w:ascii="Book Antiqua" w:eastAsia="宋体" w:hAnsi="Book Antiqua" w:cs="Times New Roman"/>
          <w:i/>
          <w:iCs/>
          <w:lang w:val="en-GB"/>
        </w:rPr>
        <w:t xml:space="preserve"> </w:t>
      </w:r>
      <w:bookmarkStart w:id="25" w:name="_Hlk28268548"/>
      <w:bookmarkEnd w:id="24"/>
      <w:r w:rsidR="00C11613" w:rsidRPr="001F6603">
        <w:rPr>
          <w:rFonts w:ascii="Book Antiqua" w:eastAsia="宋体" w:hAnsi="Book Antiqua" w:cs="Times New Roman"/>
          <w:iCs/>
          <w:lang w:val="en-GB"/>
        </w:rPr>
        <w:t>2020; 11(</w:t>
      </w:r>
      <w:r w:rsidR="00C11613" w:rsidRPr="001F6603">
        <w:rPr>
          <w:rFonts w:ascii="Book Antiqua" w:hAnsi="Book Antiqua" w:cs="Times New Roman" w:hint="eastAsia"/>
          <w:iCs/>
          <w:lang w:val="en-GB"/>
        </w:rPr>
        <w:t>5</w:t>
      </w:r>
      <w:r w:rsidR="00C11613" w:rsidRPr="001F6603">
        <w:rPr>
          <w:rFonts w:ascii="Book Antiqua" w:eastAsia="宋体" w:hAnsi="Book Antiqua" w:cs="Times New Roman"/>
          <w:iCs/>
          <w:lang w:val="en-GB"/>
        </w:rPr>
        <w:t xml:space="preserve">): </w:t>
      </w:r>
      <w:r w:rsidR="001F6603" w:rsidRPr="001F6603">
        <w:rPr>
          <w:rFonts w:ascii="Book Antiqua" w:eastAsia="宋体" w:hAnsi="Book Antiqua" w:cs="Times New Roman" w:hint="eastAsia"/>
          <w:iCs/>
          <w:lang w:val="en-GB"/>
        </w:rPr>
        <w:t xml:space="preserve">265-277 </w:t>
      </w:r>
      <w:r w:rsidR="00C11613" w:rsidRPr="001F6603">
        <w:rPr>
          <w:rFonts w:ascii="Book Antiqua" w:eastAsia="宋体" w:hAnsi="Book Antiqua" w:cs="Times New Roman"/>
          <w:iCs/>
          <w:lang w:val="en-GB"/>
        </w:rPr>
        <w:t>URL: https://www.wjgnet.com/2218-5836/full/v11/i</w:t>
      </w:r>
      <w:r w:rsidR="00C11613" w:rsidRPr="001F6603">
        <w:rPr>
          <w:rFonts w:ascii="Book Antiqua" w:hAnsi="Book Antiqua" w:cs="Times New Roman" w:hint="eastAsia"/>
          <w:iCs/>
          <w:lang w:val="en-GB"/>
        </w:rPr>
        <w:t>5</w:t>
      </w:r>
      <w:r w:rsidR="00C11613" w:rsidRPr="001F6603">
        <w:rPr>
          <w:rFonts w:ascii="Book Antiqua" w:eastAsia="宋体" w:hAnsi="Book Antiqua" w:cs="Times New Roman"/>
          <w:iCs/>
          <w:lang w:val="en-GB"/>
        </w:rPr>
        <w:t>/</w:t>
      </w:r>
      <w:r w:rsidR="001F6603" w:rsidRPr="001F6603">
        <w:rPr>
          <w:rFonts w:ascii="Book Antiqua" w:eastAsia="宋体" w:hAnsi="Book Antiqua" w:cs="Times New Roman" w:hint="eastAsia"/>
          <w:iCs/>
          <w:lang w:val="en-GB"/>
        </w:rPr>
        <w:t>265</w:t>
      </w:r>
      <w:r w:rsidR="00C11613" w:rsidRPr="001F6603">
        <w:rPr>
          <w:rFonts w:ascii="Book Antiqua" w:eastAsia="宋体" w:hAnsi="Book Antiqua" w:cs="Times New Roman"/>
          <w:iCs/>
          <w:lang w:val="en-GB"/>
        </w:rPr>
        <w:t xml:space="preserve">.htm DOI: </w:t>
      </w:r>
      <w:r w:rsidR="00AD470F" w:rsidRPr="001F6603">
        <w:rPr>
          <w:rFonts w:ascii="Book Antiqua" w:eastAsia="宋体" w:hAnsi="Book Antiqua" w:cs="Times New Roman"/>
          <w:iCs/>
          <w:lang w:val="en-GB"/>
        </w:rPr>
        <w:t>https://dx.doi.org/10.5312/wjo.v11.i</w:t>
      </w:r>
      <w:r w:rsidR="00AD470F" w:rsidRPr="001F6603">
        <w:rPr>
          <w:rFonts w:ascii="Book Antiqua" w:hAnsi="Book Antiqua" w:cs="Times New Roman" w:hint="eastAsia"/>
          <w:iCs/>
          <w:lang w:val="en-GB"/>
        </w:rPr>
        <w:t>5</w:t>
      </w:r>
      <w:r w:rsidR="001F6603" w:rsidRPr="001F6603">
        <w:rPr>
          <w:rFonts w:ascii="Book Antiqua" w:eastAsia="宋体" w:hAnsi="Book Antiqua" w:cs="Times New Roman"/>
          <w:iCs/>
          <w:lang w:val="en-GB"/>
        </w:rPr>
        <w:t>.</w:t>
      </w:r>
      <w:r w:rsidR="001F6603" w:rsidRPr="001F6603">
        <w:rPr>
          <w:rFonts w:ascii="Book Antiqua" w:eastAsia="宋体" w:hAnsi="Book Antiqua" w:cs="Times New Roman" w:hint="eastAsia"/>
          <w:iCs/>
          <w:lang w:val="en-GB"/>
        </w:rPr>
        <w:t>265</w:t>
      </w:r>
    </w:p>
    <w:p w:rsidR="00C11613" w:rsidRPr="001F6603" w:rsidRDefault="00C11613" w:rsidP="00C11613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val="en-GB" w:eastAsia="en-US"/>
        </w:rPr>
      </w:pPr>
    </w:p>
    <w:p w:rsidR="00101811" w:rsidRPr="001F6603" w:rsidRDefault="0075586A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eastAsia="宋体" w:hAnsi="Book Antiqua" w:cs="Times New Roman"/>
          <w:b/>
          <w:lang w:eastAsia="en-US"/>
        </w:rPr>
        <w:t>Core</w:t>
      </w:r>
      <w:r w:rsidR="0043237C" w:rsidRPr="001F6603">
        <w:rPr>
          <w:rFonts w:ascii="Book Antiqua" w:eastAsia="宋体" w:hAnsi="Book Antiqua" w:cs="Times New Roman"/>
          <w:b/>
          <w:lang w:eastAsia="en-US"/>
        </w:rPr>
        <w:t xml:space="preserve"> </w:t>
      </w:r>
      <w:r w:rsidRPr="001F6603">
        <w:rPr>
          <w:rFonts w:ascii="Book Antiqua" w:eastAsia="宋体" w:hAnsi="Book Antiqua" w:cs="Times New Roman"/>
          <w:b/>
          <w:lang w:eastAsia="en-US"/>
        </w:rPr>
        <w:t>tip</w:t>
      </w:r>
      <w:r w:rsidRPr="001F6603">
        <w:rPr>
          <w:rFonts w:ascii="Book Antiqua" w:eastAsia="宋体" w:hAnsi="Book Antiqua" w:cs="Times New Roman"/>
          <w:b/>
        </w:rPr>
        <w:t>:</w:t>
      </w:r>
      <w:bookmarkEnd w:id="25"/>
      <w:r w:rsidR="0043237C" w:rsidRPr="001F6603">
        <w:rPr>
          <w:rFonts w:ascii="Book Antiqua" w:eastAsia="宋体" w:hAnsi="Book Antiqua" w:cs="Times New Roman"/>
          <w:b/>
        </w:rPr>
        <w:t xml:space="preserve"> </w:t>
      </w:r>
      <w:r w:rsidR="00367ED8" w:rsidRPr="001F6603">
        <w:rPr>
          <w:rFonts w:ascii="Book Antiqua" w:hAnsi="Book Antiqua"/>
        </w:rPr>
        <w:t>Total</w:t>
      </w:r>
      <w:r w:rsidR="0043237C" w:rsidRPr="001F6603">
        <w:rPr>
          <w:rFonts w:ascii="Book Antiqua" w:hAnsi="Book Antiqua"/>
        </w:rPr>
        <w:t xml:space="preserve"> </w:t>
      </w:r>
      <w:r w:rsidR="00400690" w:rsidRPr="001F6603">
        <w:rPr>
          <w:rFonts w:ascii="Book Antiqua" w:hAnsi="Book Antiqua"/>
        </w:rPr>
        <w:t>knee arthroplasties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(TKA)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one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most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common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surgeries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performed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United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States.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Even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its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popularity,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it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has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been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shown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African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Americans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women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offered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this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surgery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less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than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their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white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male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counterparts.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explore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role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potential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factors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connected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underutilization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minorities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women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well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assess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expectations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associated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race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gender.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conclude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no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differences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race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gender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which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leads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us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believe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should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offered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everyone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equally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remedy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disparities.</w:t>
      </w:r>
      <w:r w:rsidR="0043237C" w:rsidRPr="001F6603">
        <w:rPr>
          <w:rFonts w:ascii="Book Antiqua" w:hAnsi="Book Antiqua"/>
        </w:rPr>
        <w:t xml:space="preserve"> </w:t>
      </w:r>
    </w:p>
    <w:p w:rsidR="00713795" w:rsidRPr="001F6603" w:rsidRDefault="00713795" w:rsidP="004A4CEB">
      <w:pPr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  <w:r w:rsidRPr="001F6603">
        <w:rPr>
          <w:rFonts w:ascii="Book Antiqua" w:hAnsi="Book Antiqua"/>
          <w:b/>
          <w:u w:val="single"/>
        </w:rPr>
        <w:br w:type="page"/>
      </w:r>
    </w:p>
    <w:p w:rsidR="00713795" w:rsidRPr="001F6603" w:rsidRDefault="00713795" w:rsidP="004A4CEB">
      <w:pPr>
        <w:adjustRightInd w:val="0"/>
        <w:snapToGrid w:val="0"/>
        <w:spacing w:line="360" w:lineRule="auto"/>
        <w:jc w:val="both"/>
        <w:rPr>
          <w:rFonts w:ascii="Book Antiqua" w:eastAsia="宋体" w:hAnsi="Book Antiqua" w:cs="Calibri"/>
          <w:b/>
          <w:u w:val="single"/>
          <w:lang w:eastAsia="en-US"/>
        </w:rPr>
      </w:pPr>
      <w:bookmarkStart w:id="26" w:name="_Hlk27562550"/>
      <w:r w:rsidRPr="001F6603">
        <w:rPr>
          <w:rFonts w:ascii="Book Antiqua" w:eastAsia="宋体" w:hAnsi="Book Antiqua" w:cs="Calibri"/>
          <w:b/>
          <w:u w:val="single"/>
          <w:lang w:eastAsia="en-US"/>
        </w:rPr>
        <w:lastRenderedPageBreak/>
        <w:t>INTRODUCTION</w:t>
      </w:r>
    </w:p>
    <w:bookmarkEnd w:id="26"/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Total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joint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arthroplasty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one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most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common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surgeries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performed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United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States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suffering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from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stage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osteoarthritis.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year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2050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estimated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60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million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Americans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carry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diagnosis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proofErr w:type="gramStart"/>
      <w:r w:rsidRPr="001F6603">
        <w:rPr>
          <w:rFonts w:ascii="Book Antiqua" w:hAnsi="Book Antiqua"/>
        </w:rPr>
        <w:t>osteoarthritis</w:t>
      </w:r>
      <w:r w:rsidR="000743C6" w:rsidRPr="001F6603">
        <w:rPr>
          <w:rFonts w:ascii="Book Antiqua" w:eastAsia="等线" w:hAnsi="Book Antiqua" w:cs="Times New Roman"/>
          <w:color w:val="000000"/>
          <w:vertAlign w:val="superscript"/>
          <w:lang w:eastAsia="en-US"/>
        </w:rPr>
        <w:t>[</w:t>
      </w:r>
      <w:proofErr w:type="gramEnd"/>
      <w:r w:rsidR="000743C6" w:rsidRPr="001F6603">
        <w:rPr>
          <w:rFonts w:ascii="Book Antiqua" w:eastAsia="等线" w:hAnsi="Book Antiqua" w:cs="Times New Roman"/>
          <w:color w:val="000000"/>
          <w:vertAlign w:val="superscript"/>
          <w:lang w:eastAsia="en-US"/>
        </w:rPr>
        <w:t>1]</w:t>
      </w:r>
      <w:r w:rsidR="000743C6" w:rsidRPr="001F6603">
        <w:rPr>
          <w:rFonts w:ascii="Book Antiqua" w:eastAsia="等线" w:hAnsi="Book Antiqua" w:cs="Times New Roman"/>
          <w:color w:val="000000"/>
          <w:lang w:eastAsia="en-US"/>
        </w:rPr>
        <w:t>.</w:t>
      </w:r>
      <w:r w:rsidR="006E7B5F" w:rsidRPr="001F6603">
        <w:rPr>
          <w:rFonts w:ascii="Book Antiqua" w:eastAsia="等线" w:hAnsi="Book Antiqua" w:cs="Times New Roman"/>
          <w:color w:val="000000"/>
          <w:lang w:eastAsia="en-US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good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news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total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joint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arthroplasty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also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amongst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most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successful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surgeries,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total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knee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arthroplasty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(TKA)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having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90%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success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rate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restoring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function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diminishing</w:t>
      </w:r>
      <w:r w:rsidR="0043237C" w:rsidRPr="001F6603">
        <w:rPr>
          <w:rFonts w:ascii="Book Antiqua" w:hAnsi="Book Antiqua"/>
        </w:rPr>
        <w:t xml:space="preserve"> </w:t>
      </w:r>
      <w:proofErr w:type="gramStart"/>
      <w:r w:rsidRPr="001F6603">
        <w:rPr>
          <w:rFonts w:ascii="Book Antiqua" w:hAnsi="Book Antiqua"/>
        </w:rPr>
        <w:t>pain</w:t>
      </w:r>
      <w:r w:rsidR="006A004B" w:rsidRPr="001F6603">
        <w:rPr>
          <w:rFonts w:ascii="Book Antiqua" w:hAnsi="Book Antiqua"/>
          <w:vertAlign w:val="superscript"/>
        </w:rPr>
        <w:t>[</w:t>
      </w:r>
      <w:proofErr w:type="gramEnd"/>
      <w:r w:rsidR="0071593A" w:rsidRPr="001F6603">
        <w:rPr>
          <w:rFonts w:ascii="Book Antiqua" w:hAnsi="Book Antiqua"/>
          <w:vertAlign w:val="superscript"/>
        </w:rPr>
        <w:t>2</w:t>
      </w:r>
      <w:r w:rsidR="006A004B" w:rsidRPr="001F6603">
        <w:rPr>
          <w:rFonts w:ascii="Book Antiqua" w:hAnsi="Book Antiqua"/>
          <w:vertAlign w:val="superscript"/>
        </w:rPr>
        <w:t>]</w:t>
      </w:r>
      <w:r w:rsidR="006A004B" w:rsidRPr="001F6603">
        <w:rPr>
          <w:rFonts w:ascii="Book Antiqua" w:hAnsi="Book Antiqua"/>
        </w:rPr>
        <w:t>.</w:t>
      </w:r>
      <w:r w:rsidR="006E7B5F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shown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pre-operative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education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associated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improved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clinical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joint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replacement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surgery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increases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understanding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process,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which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turn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empowers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subsequently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alleviates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anxieties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surrounding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total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joint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arthroplasty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(TJA</w:t>
      </w:r>
      <w:proofErr w:type="gramStart"/>
      <w:r w:rsidRPr="001F6603">
        <w:rPr>
          <w:rFonts w:ascii="Book Antiqua" w:hAnsi="Book Antiqua"/>
        </w:rPr>
        <w:t>)</w:t>
      </w:r>
      <w:r w:rsidR="00984263" w:rsidRPr="001F6603">
        <w:rPr>
          <w:rFonts w:ascii="Book Antiqua" w:hAnsi="Book Antiqua"/>
          <w:vertAlign w:val="superscript"/>
        </w:rPr>
        <w:t>[</w:t>
      </w:r>
      <w:proofErr w:type="gramEnd"/>
      <w:r w:rsidR="00984263" w:rsidRPr="001F6603">
        <w:rPr>
          <w:rFonts w:ascii="Book Antiqua" w:hAnsi="Book Antiqua"/>
          <w:vertAlign w:val="superscript"/>
        </w:rPr>
        <w:t>3]</w:t>
      </w:r>
      <w:r w:rsidR="00984263" w:rsidRPr="001F6603">
        <w:rPr>
          <w:rFonts w:ascii="Book Antiqua" w:hAnsi="Book Antiqua"/>
        </w:rPr>
        <w:t>.</w:t>
      </w:r>
    </w:p>
    <w:p w:rsidR="00101811" w:rsidRPr="001F6603" w:rsidRDefault="00367ED8" w:rsidP="0010085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However,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even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demonstrated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success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improving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quality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life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pre-operative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education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offered,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higher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prevalence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arthritis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arthritis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related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disability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among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minorities,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racial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disparity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still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concern.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many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cases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black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experience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worse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postoperative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results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following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procedure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decreased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utilization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observed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black</w:t>
      </w:r>
      <w:r w:rsidR="0043237C" w:rsidRPr="001F6603">
        <w:rPr>
          <w:rFonts w:ascii="Book Antiqua" w:hAnsi="Book Antiqua"/>
        </w:rPr>
        <w:t xml:space="preserve"> </w:t>
      </w:r>
      <w:proofErr w:type="gramStart"/>
      <w:r w:rsidRPr="001F6603">
        <w:rPr>
          <w:rFonts w:ascii="Book Antiqua" w:hAnsi="Book Antiqua"/>
        </w:rPr>
        <w:t>patients</w:t>
      </w:r>
      <w:r w:rsidR="00984263" w:rsidRPr="001F6603">
        <w:rPr>
          <w:rFonts w:ascii="Book Antiqua" w:hAnsi="Book Antiqua"/>
          <w:vertAlign w:val="superscript"/>
        </w:rPr>
        <w:t>[</w:t>
      </w:r>
      <w:proofErr w:type="gramEnd"/>
      <w:r w:rsidR="00984263" w:rsidRPr="001F6603">
        <w:rPr>
          <w:rFonts w:ascii="Book Antiqua" w:hAnsi="Book Antiqua"/>
          <w:vertAlign w:val="superscript"/>
        </w:rPr>
        <w:t>2]</w:t>
      </w:r>
      <w:r w:rsidR="00984263" w:rsidRPr="001F6603">
        <w:rPr>
          <w:rFonts w:ascii="Book Antiqua" w:hAnsi="Book Antiqua"/>
        </w:rPr>
        <w:t>.</w:t>
      </w:r>
      <w:r w:rsidR="002A384D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extended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report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Singh</w:t>
      </w:r>
      <w:r w:rsidR="006E7B5F" w:rsidRPr="001F6603">
        <w:rPr>
          <w:rFonts w:ascii="Book Antiqua" w:hAnsi="Book Antiqua"/>
        </w:rPr>
        <w:t xml:space="preserve"> </w:t>
      </w:r>
      <w:r w:rsidR="006E7B5F" w:rsidRPr="001F6603">
        <w:rPr>
          <w:rFonts w:ascii="Book Antiqua" w:hAnsi="Book Antiqua"/>
          <w:i/>
          <w:iCs/>
        </w:rPr>
        <w:t xml:space="preserve">et </w:t>
      </w:r>
      <w:proofErr w:type="gramStart"/>
      <w:r w:rsidR="006E7B5F" w:rsidRPr="001F6603">
        <w:rPr>
          <w:rFonts w:ascii="Book Antiqua" w:hAnsi="Book Antiqua"/>
          <w:i/>
          <w:iCs/>
        </w:rPr>
        <w:t>al</w:t>
      </w:r>
      <w:r w:rsidR="006E7B5F" w:rsidRPr="001F6603">
        <w:rPr>
          <w:rFonts w:ascii="Book Antiqua" w:hAnsi="Book Antiqua"/>
          <w:vertAlign w:val="superscript"/>
        </w:rPr>
        <w:t>[</w:t>
      </w:r>
      <w:proofErr w:type="gramEnd"/>
      <w:r w:rsidR="006E7B5F" w:rsidRPr="001F6603">
        <w:rPr>
          <w:rFonts w:ascii="Book Antiqua" w:hAnsi="Book Antiqua"/>
          <w:vertAlign w:val="superscript"/>
        </w:rPr>
        <w:t>4]</w:t>
      </w:r>
      <w:r w:rsidRPr="001F6603">
        <w:rPr>
          <w:rFonts w:ascii="Book Antiqua" w:hAnsi="Book Antiqua"/>
        </w:rPr>
        <w:t>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2008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primary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Americans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concerning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39.7%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lower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Caucasians</w:t>
      </w:r>
      <w:r w:rsidR="00984263" w:rsidRPr="001F6603">
        <w:rPr>
          <w:rFonts w:ascii="Book Antiqua" w:hAnsi="Book Antiqua"/>
        </w:rPr>
        <w:t>.</w:t>
      </w:r>
      <w:r w:rsidR="002A384D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Regardless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race,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United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States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population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aging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which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makes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elderly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ethnic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demographic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groups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susceptible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osteoarthritis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1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every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115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Americans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over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age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65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having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already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joint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replacement</w:t>
      </w:r>
      <w:r w:rsidR="0043237C" w:rsidRPr="001F6603">
        <w:rPr>
          <w:rFonts w:ascii="Book Antiqua" w:hAnsi="Book Antiqua"/>
        </w:rPr>
        <w:t xml:space="preserve"> </w:t>
      </w:r>
      <w:proofErr w:type="gramStart"/>
      <w:r w:rsidRPr="001F6603">
        <w:rPr>
          <w:rFonts w:ascii="Book Antiqua" w:hAnsi="Book Antiqua"/>
        </w:rPr>
        <w:t>surgery</w:t>
      </w:r>
      <w:r w:rsidR="00984263" w:rsidRPr="001F6603">
        <w:rPr>
          <w:rFonts w:ascii="Book Antiqua" w:hAnsi="Book Antiqua"/>
          <w:vertAlign w:val="superscript"/>
        </w:rPr>
        <w:t>[</w:t>
      </w:r>
      <w:proofErr w:type="gramEnd"/>
      <w:r w:rsidR="00984263" w:rsidRPr="001F6603">
        <w:rPr>
          <w:rFonts w:ascii="Book Antiqua" w:hAnsi="Book Antiqua"/>
          <w:vertAlign w:val="superscript"/>
        </w:rPr>
        <w:t>5]</w:t>
      </w:r>
      <w:r w:rsidR="00984263" w:rsidRPr="001F6603">
        <w:rPr>
          <w:rFonts w:ascii="Book Antiqua" w:hAnsi="Book Antiqua"/>
        </w:rPr>
        <w:t>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Similarly,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women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present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advanced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diseases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prior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compared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their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counterparts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also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likely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develop</w:t>
      </w:r>
      <w:r w:rsidR="0043237C" w:rsidRPr="001F6603">
        <w:rPr>
          <w:rFonts w:ascii="Book Antiqua" w:hAnsi="Book Antiqua"/>
        </w:rPr>
        <w:t xml:space="preserve"> </w:t>
      </w:r>
      <w:r w:rsidR="006E7B5F" w:rsidRPr="001F6603">
        <w:rPr>
          <w:rFonts w:ascii="Book Antiqua" w:hAnsi="Book Antiqua"/>
        </w:rPr>
        <w:t xml:space="preserve">osteoarthritis </w:t>
      </w:r>
      <w:r w:rsidRPr="001F6603">
        <w:rPr>
          <w:rFonts w:ascii="Book Antiqua" w:hAnsi="Book Antiqua"/>
        </w:rPr>
        <w:t>(OA).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However,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even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prevalent,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underuse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amongst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women.</w:t>
      </w:r>
      <w:r w:rsidR="0043237C" w:rsidRPr="001F6603">
        <w:rPr>
          <w:rFonts w:ascii="Book Antiqua" w:hAnsi="Book Antiqua"/>
        </w:rPr>
        <w:t xml:space="preserve"> </w:t>
      </w:r>
      <w:proofErr w:type="gramStart"/>
      <w:r w:rsidRPr="001F6603">
        <w:rPr>
          <w:rFonts w:ascii="Book Antiqua" w:hAnsi="Book Antiqua"/>
        </w:rPr>
        <w:t>According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Arthritis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Foundation,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women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aged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45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older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experience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7.2%-18.7%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whereas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males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experience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5.9%-13.5%.</w:t>
      </w:r>
      <w:proofErr w:type="gramEnd"/>
      <w:r w:rsidR="009A03EC" w:rsidRPr="001F6603">
        <w:rPr>
          <w:rFonts w:ascii="Book Antiqua" w:hAnsi="Book Antiqua"/>
        </w:rPr>
        <w:t xml:space="preserve"> </w:t>
      </w:r>
    </w:p>
    <w:p w:rsidR="00101811" w:rsidRPr="001F6603" w:rsidRDefault="00367ED8" w:rsidP="0010085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purpose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determine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explore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potential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factors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connected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differences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utilization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associated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race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gender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determine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role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expectations.</w:t>
      </w:r>
      <w:r w:rsidR="0043237C" w:rsidRPr="001F6603">
        <w:rPr>
          <w:rFonts w:ascii="Book Antiqua" w:hAnsi="Book Antiqua"/>
        </w:rPr>
        <w:t xml:space="preserve"> </w:t>
      </w:r>
    </w:p>
    <w:p w:rsidR="00101811" w:rsidRPr="001F6603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:rsidR="003B4196" w:rsidRPr="001F6603" w:rsidRDefault="003B4196" w:rsidP="004A4CEB">
      <w:pPr>
        <w:adjustRightInd w:val="0"/>
        <w:snapToGrid w:val="0"/>
        <w:spacing w:line="360" w:lineRule="auto"/>
        <w:jc w:val="both"/>
        <w:rPr>
          <w:rFonts w:ascii="Book Antiqua" w:eastAsia="宋体" w:hAnsi="Book Antiqua" w:cs="Calibri"/>
          <w:b/>
          <w:u w:val="single"/>
          <w:lang w:eastAsia="en-US"/>
        </w:rPr>
      </w:pPr>
      <w:bookmarkStart w:id="27" w:name="_Hlk27568397"/>
      <w:r w:rsidRPr="001F6603">
        <w:rPr>
          <w:rFonts w:ascii="Book Antiqua" w:eastAsia="宋体" w:hAnsi="Book Antiqua" w:cs="Calibri"/>
          <w:b/>
          <w:u w:val="single"/>
          <w:lang w:eastAsia="en-US"/>
        </w:rPr>
        <w:t>MATERIALS</w:t>
      </w:r>
      <w:r w:rsidR="0043237C" w:rsidRPr="001F6603">
        <w:rPr>
          <w:rFonts w:ascii="Book Antiqua" w:eastAsia="宋体" w:hAnsi="Book Antiqua" w:cs="Calibri"/>
          <w:b/>
          <w:u w:val="single"/>
          <w:lang w:eastAsia="en-US"/>
        </w:rPr>
        <w:t xml:space="preserve"> </w:t>
      </w:r>
      <w:r w:rsidRPr="001F6603">
        <w:rPr>
          <w:rFonts w:ascii="Book Antiqua" w:eastAsia="宋体" w:hAnsi="Book Antiqua" w:cs="Calibri"/>
          <w:b/>
          <w:u w:val="single"/>
          <w:lang w:eastAsia="en-US"/>
        </w:rPr>
        <w:t>AND</w:t>
      </w:r>
      <w:r w:rsidR="0043237C" w:rsidRPr="001F6603">
        <w:rPr>
          <w:rFonts w:ascii="Book Antiqua" w:eastAsia="宋体" w:hAnsi="Book Antiqua" w:cs="Calibri"/>
          <w:b/>
          <w:u w:val="single"/>
          <w:lang w:eastAsia="en-US"/>
        </w:rPr>
        <w:t xml:space="preserve"> </w:t>
      </w:r>
      <w:r w:rsidRPr="001F6603">
        <w:rPr>
          <w:rFonts w:ascii="Book Antiqua" w:eastAsia="宋体" w:hAnsi="Book Antiqua" w:cs="Calibri"/>
          <w:b/>
          <w:u w:val="single"/>
          <w:lang w:eastAsia="en-US"/>
        </w:rPr>
        <w:t>METHODS</w:t>
      </w:r>
    </w:p>
    <w:bookmarkEnd w:id="27"/>
    <w:p w:rsidR="00101811" w:rsidRPr="001F6603" w:rsidRDefault="003B4196" w:rsidP="004A4CEB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1F6603">
        <w:rPr>
          <w:rFonts w:ascii="Book Antiqua" w:hAnsi="Book Antiqua"/>
          <w:b/>
          <w:i/>
          <w:iCs/>
        </w:rPr>
        <w:t>Data</w:t>
      </w:r>
      <w:r w:rsidR="0043237C" w:rsidRPr="001F6603">
        <w:rPr>
          <w:rFonts w:ascii="Book Antiqua" w:hAnsi="Book Antiqua"/>
          <w:b/>
          <w:i/>
          <w:iCs/>
        </w:rPr>
        <w:t xml:space="preserve"> </w:t>
      </w:r>
      <w:r w:rsidRPr="001F6603">
        <w:rPr>
          <w:rFonts w:ascii="Book Antiqua" w:hAnsi="Book Antiqua"/>
          <w:b/>
          <w:i/>
          <w:iCs/>
        </w:rPr>
        <w:t>source</w:t>
      </w:r>
      <w:r w:rsidR="0043237C" w:rsidRPr="001F6603">
        <w:rPr>
          <w:rFonts w:ascii="Book Antiqua" w:hAnsi="Book Antiqua"/>
          <w:b/>
          <w:i/>
          <w:iCs/>
        </w:rPr>
        <w:t xml:space="preserve"> </w:t>
      </w:r>
      <w:r w:rsidRPr="001F6603">
        <w:rPr>
          <w:rFonts w:ascii="Book Antiqua" w:hAnsi="Book Antiqua"/>
          <w:b/>
          <w:i/>
          <w:iCs/>
        </w:rPr>
        <w:t>and</w:t>
      </w:r>
      <w:r w:rsidR="0043237C" w:rsidRPr="001F6603">
        <w:rPr>
          <w:rFonts w:ascii="Book Antiqua" w:hAnsi="Book Antiqua"/>
          <w:b/>
          <w:i/>
          <w:iCs/>
        </w:rPr>
        <w:t xml:space="preserve"> </w:t>
      </w:r>
      <w:r w:rsidRPr="001F6603">
        <w:rPr>
          <w:rFonts w:ascii="Book Antiqua" w:hAnsi="Book Antiqua"/>
          <w:b/>
          <w:i/>
          <w:iCs/>
        </w:rPr>
        <w:t>study</w:t>
      </w:r>
      <w:r w:rsidR="0043237C" w:rsidRPr="001F6603">
        <w:rPr>
          <w:rFonts w:ascii="Book Antiqua" w:hAnsi="Book Antiqua"/>
          <w:b/>
          <w:i/>
          <w:iCs/>
        </w:rPr>
        <w:t xml:space="preserve"> </w:t>
      </w:r>
      <w:r w:rsidRPr="001F6603">
        <w:rPr>
          <w:rFonts w:ascii="Book Antiqua" w:hAnsi="Book Antiqua"/>
          <w:b/>
          <w:i/>
          <w:iCs/>
        </w:rPr>
        <w:t>population</w:t>
      </w:r>
    </w:p>
    <w:p w:rsidR="00101811" w:rsidRPr="001F6603" w:rsidRDefault="006E7B5F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O</w:t>
      </w:r>
      <w:r w:rsidRPr="001F6603">
        <w:rPr>
          <w:rFonts w:ascii="Book Antiqua" w:hAnsi="Book Antiqua" w:hint="eastAsia"/>
        </w:rPr>
        <w:t>ne</w:t>
      </w:r>
      <w:r w:rsidRPr="001F6603">
        <w:rPr>
          <w:rFonts w:ascii="Book Antiqua" w:hAnsi="Book Antiqua"/>
        </w:rPr>
        <w:t xml:space="preserve"> hundred and thirty-three </w:t>
      </w:r>
      <w:r w:rsidR="00367ED8"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undergoing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primary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enrolled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into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this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multi-institutional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prospective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conducted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from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2013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through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2015.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Both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institutions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combined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perform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roughly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around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3600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primary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joint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arthroplasties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per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year.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eligible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if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18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79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years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old,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had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primary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diagnosis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osteoarthritis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knee,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could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read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write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English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purposes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collecting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most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accurate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information.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excluded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who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have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had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prior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history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TKA,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lower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extremity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amputation,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fracture.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Demographic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characteristics,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such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age,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gender,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marital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status,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race,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ethnicity,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collected.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69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(51.9%)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black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patients,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55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(41.4%)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white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patients,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3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(2.3%)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Hispanics,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2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(1.5%)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Asian</w:t>
      </w:r>
      <w:r w:rsidR="0043237C" w:rsidRPr="001F6603">
        <w:rPr>
          <w:rFonts w:ascii="Book Antiqua" w:hAnsi="Book Antiqua"/>
        </w:rPr>
        <w:t xml:space="preserve"> </w:t>
      </w:r>
      <w:proofErr w:type="gramStart"/>
      <w:r w:rsidR="00367ED8" w:rsidRPr="001F6603">
        <w:rPr>
          <w:rFonts w:ascii="Book Antiqua" w:hAnsi="Book Antiqua"/>
        </w:rPr>
        <w:t>patients,</w:t>
      </w:r>
      <w:proofErr w:type="gramEnd"/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4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(3%)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unknown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race.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</w:t>
      </w:r>
      <w:r w:rsidRPr="001F6603">
        <w:rPr>
          <w:rFonts w:ascii="Book Antiqua" w:hAnsi="Book Antiqua" w:hint="eastAsia"/>
        </w:rPr>
        <w:t>ne</w:t>
      </w:r>
      <w:r w:rsidRPr="001F6603">
        <w:rPr>
          <w:rFonts w:ascii="Book Antiqua" w:hAnsi="Book Antiqua"/>
        </w:rPr>
        <w:t xml:space="preserve"> hundred and four </w:t>
      </w:r>
      <w:r w:rsidR="00367ED8"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our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women,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58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black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40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white.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29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males,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15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those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white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11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black.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average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age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our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participants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61.6.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All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participants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consented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participate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study.</w:t>
      </w:r>
    </w:p>
    <w:p w:rsidR="00101811" w:rsidRPr="001F6603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1F6603">
        <w:rPr>
          <w:rFonts w:ascii="Book Antiqua" w:hAnsi="Book Antiqua"/>
          <w:b/>
          <w:i/>
          <w:iCs/>
        </w:rPr>
        <w:t>Outcome</w:t>
      </w:r>
      <w:r w:rsidR="0043237C" w:rsidRPr="001F6603">
        <w:rPr>
          <w:rFonts w:ascii="Book Antiqua" w:hAnsi="Book Antiqua"/>
          <w:b/>
          <w:i/>
          <w:iCs/>
        </w:rPr>
        <w:t xml:space="preserve"> </w:t>
      </w:r>
      <w:r w:rsidR="003B4196" w:rsidRPr="001F6603">
        <w:rPr>
          <w:rFonts w:ascii="Book Antiqua" w:hAnsi="Book Antiqua"/>
          <w:b/>
          <w:i/>
          <w:iCs/>
        </w:rPr>
        <w:t>measures</w:t>
      </w:r>
    </w:p>
    <w:p w:rsidR="003B4196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asked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complete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questionnaires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either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  <w:i/>
          <w:iCs/>
        </w:rPr>
        <w:t>via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email,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telephone,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their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</w:t>
      </w:r>
      <w:r w:rsidR="003B4196" w:rsidRPr="001F6603">
        <w:rPr>
          <w:rFonts w:ascii="Book Antiqua" w:hAnsi="Book Antiqua"/>
        </w:rPr>
        <w:t>-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post-operative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office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visits.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questionnaires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completed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points.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point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1:</w:t>
      </w:r>
      <w:r w:rsidR="0043237C" w:rsidRPr="001F6603">
        <w:rPr>
          <w:rFonts w:ascii="Book Antiqua" w:hAnsi="Book Antiqua"/>
        </w:rPr>
        <w:t xml:space="preserve"> </w:t>
      </w:r>
      <w:r w:rsidR="006E7B5F" w:rsidRPr="001F6603">
        <w:rPr>
          <w:rFonts w:ascii="Book Antiqua" w:hAnsi="Book Antiqua"/>
        </w:rPr>
        <w:t xml:space="preserve">Prior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their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operation</w:t>
      </w:r>
      <w:r w:rsidR="006E7B5F" w:rsidRPr="001F6603">
        <w:rPr>
          <w:rFonts w:ascii="Book Antiqua" w:hAnsi="Book Antiqua"/>
        </w:rPr>
        <w:t>;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="006E7B5F" w:rsidRPr="001F6603">
        <w:rPr>
          <w:rFonts w:ascii="Book Antiqua" w:hAnsi="Book Antiqua"/>
        </w:rPr>
        <w:t xml:space="preserve">point </w:t>
      </w:r>
      <w:r w:rsidRPr="001F6603">
        <w:rPr>
          <w:rFonts w:ascii="Book Antiqua" w:hAnsi="Book Antiqua"/>
        </w:rPr>
        <w:t>2: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4</w:t>
      </w:r>
      <w:r w:rsidR="006E7B5F" w:rsidRPr="001F6603">
        <w:rPr>
          <w:rFonts w:ascii="Book Antiqua" w:hAnsi="Book Antiqua"/>
        </w:rPr>
        <w:t>-</w:t>
      </w:r>
      <w:r w:rsidRPr="001F6603">
        <w:rPr>
          <w:rFonts w:ascii="Book Antiqua" w:hAnsi="Book Antiqua"/>
        </w:rPr>
        <w:t>8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</w:t>
      </w:r>
      <w:r w:rsidR="00EC2333" w:rsidRPr="001F6603">
        <w:rPr>
          <w:rFonts w:ascii="Book Antiqua" w:hAnsi="Book Antiqua"/>
        </w:rPr>
        <w:t>k</w:t>
      </w:r>
      <w:r w:rsidR="006E7B5F" w:rsidRPr="001F6603">
        <w:rPr>
          <w:rFonts w:ascii="Book Antiqua" w:hAnsi="Book Antiqua"/>
        </w:rPr>
        <w:t>;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="006E7B5F" w:rsidRPr="001F6603">
        <w:rPr>
          <w:rFonts w:ascii="Book Antiqua" w:hAnsi="Book Antiqua"/>
        </w:rPr>
        <w:t xml:space="preserve">point </w:t>
      </w:r>
      <w:r w:rsidRPr="001F6603">
        <w:rPr>
          <w:rFonts w:ascii="Book Antiqua" w:hAnsi="Book Antiqua"/>
        </w:rPr>
        <w:t>3: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9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14</w:t>
      </w:r>
      <w:r w:rsidR="0043237C" w:rsidRPr="001F6603">
        <w:rPr>
          <w:rFonts w:ascii="Book Antiqua" w:hAnsi="Book Antiqua"/>
        </w:rPr>
        <w:t xml:space="preserve"> </w:t>
      </w:r>
      <w:proofErr w:type="gramStart"/>
      <w:r w:rsidRPr="001F6603">
        <w:rPr>
          <w:rFonts w:ascii="Book Antiqua" w:hAnsi="Book Antiqua"/>
        </w:rPr>
        <w:t>mo</w:t>
      </w:r>
      <w:proofErr w:type="gramEnd"/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post-operatively.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validated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reported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measure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(PROM)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questionnaires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included</w:t>
      </w:r>
      <w:r w:rsidR="00EC2333" w:rsidRPr="001F6603">
        <w:rPr>
          <w:rFonts w:ascii="Book Antiqua" w:hAnsi="Book Antiqua"/>
        </w:rPr>
        <w:t xml:space="preserve"> the following.</w:t>
      </w:r>
      <w:r w:rsidR="0043237C" w:rsidRPr="001F6603">
        <w:rPr>
          <w:rFonts w:ascii="Book Antiqua" w:hAnsi="Book Antiqua"/>
        </w:rPr>
        <w:t xml:space="preserve"> </w:t>
      </w:r>
    </w:p>
    <w:p w:rsidR="003B4196" w:rsidRPr="001F6603" w:rsidRDefault="003B4196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  <w:b/>
          <w:bCs/>
        </w:rPr>
        <w:t>Study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EC2333" w:rsidRPr="001F6603">
        <w:rPr>
          <w:rFonts w:ascii="Book Antiqua" w:hAnsi="Book Antiqua"/>
          <w:b/>
          <w:bCs/>
        </w:rPr>
        <w:t xml:space="preserve">point </w:t>
      </w:r>
      <w:r w:rsidRPr="001F6603">
        <w:rPr>
          <w:rFonts w:ascii="Book Antiqua" w:hAnsi="Book Antiqua"/>
          <w:b/>
          <w:bCs/>
        </w:rPr>
        <w:t>1:</w:t>
      </w:r>
      <w:r w:rsidR="0043237C" w:rsidRPr="001F6603">
        <w:rPr>
          <w:rFonts w:ascii="Book Antiqua" w:hAnsi="Book Antiqua"/>
        </w:rPr>
        <w:t xml:space="preserve"> </w:t>
      </w:r>
      <w:r w:rsidR="003B4196" w:rsidRPr="001F6603">
        <w:rPr>
          <w:rFonts w:ascii="Book Antiqua" w:hAnsi="Book Antiqua"/>
        </w:rPr>
        <w:t>(1)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HSS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>patient expectation questionnaire</w:t>
      </w:r>
      <w:r w:rsidR="003B4196" w:rsidRPr="001F6603">
        <w:rPr>
          <w:rFonts w:ascii="Book Antiqua" w:hAnsi="Book Antiqua"/>
        </w:rPr>
        <w:t>;</w:t>
      </w:r>
      <w:r w:rsidR="0043237C" w:rsidRPr="001F6603">
        <w:rPr>
          <w:rFonts w:ascii="Book Antiqua" w:hAnsi="Book Antiqua"/>
        </w:rPr>
        <w:t xml:space="preserve"> </w:t>
      </w:r>
      <w:r w:rsidR="003B4196" w:rsidRPr="001F6603">
        <w:rPr>
          <w:rFonts w:ascii="Book Antiqua" w:hAnsi="Book Antiqua"/>
        </w:rPr>
        <w:t>(2)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Social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>support survey</w:t>
      </w:r>
      <w:r w:rsidR="003B4196" w:rsidRPr="001F6603">
        <w:rPr>
          <w:rFonts w:ascii="Book Antiqua" w:hAnsi="Book Antiqua"/>
        </w:rPr>
        <w:t>;</w:t>
      </w:r>
      <w:r w:rsidR="0043237C" w:rsidRPr="001F6603">
        <w:rPr>
          <w:rFonts w:ascii="Book Antiqua" w:hAnsi="Book Antiqua"/>
        </w:rPr>
        <w:t xml:space="preserve"> </w:t>
      </w:r>
      <w:r w:rsidR="003B4196" w:rsidRPr="001F6603">
        <w:rPr>
          <w:rFonts w:ascii="Book Antiqua" w:hAnsi="Book Antiqua"/>
        </w:rPr>
        <w:t>(3)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>catastrophizing survey</w:t>
      </w:r>
      <w:r w:rsidR="003B4196" w:rsidRPr="001F6603">
        <w:rPr>
          <w:rFonts w:ascii="Book Antiqua" w:hAnsi="Book Antiqua"/>
        </w:rPr>
        <w:t>;</w:t>
      </w:r>
      <w:r w:rsidR="0043237C" w:rsidRPr="001F6603">
        <w:rPr>
          <w:rFonts w:ascii="Book Antiqua" w:hAnsi="Book Antiqua"/>
        </w:rPr>
        <w:t xml:space="preserve"> </w:t>
      </w:r>
      <w:r w:rsidR="003B4196" w:rsidRPr="001F6603">
        <w:rPr>
          <w:rFonts w:ascii="Book Antiqua" w:hAnsi="Book Antiqua"/>
        </w:rPr>
        <w:t>(4)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Visual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>analogue pain scale</w:t>
      </w:r>
      <w:r w:rsidR="003B4196" w:rsidRPr="001F6603">
        <w:rPr>
          <w:rFonts w:ascii="Book Antiqua" w:hAnsi="Book Antiqua"/>
        </w:rPr>
        <w:t>;</w:t>
      </w:r>
      <w:r w:rsidR="0043237C" w:rsidRPr="001F6603">
        <w:rPr>
          <w:rFonts w:ascii="Book Antiqua" w:hAnsi="Book Antiqua"/>
        </w:rPr>
        <w:t xml:space="preserve"> </w:t>
      </w:r>
      <w:r w:rsidR="003B4196" w:rsidRPr="001F6603">
        <w:rPr>
          <w:rFonts w:ascii="Book Antiqua" w:hAnsi="Book Antiqua"/>
        </w:rPr>
        <w:t>(5)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Geriatric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>depression scale</w:t>
      </w:r>
      <w:r w:rsidR="003B4196" w:rsidRPr="001F6603">
        <w:rPr>
          <w:rFonts w:ascii="Book Antiqua" w:hAnsi="Book Antiqua"/>
        </w:rPr>
        <w:t>;</w:t>
      </w:r>
      <w:r w:rsidR="0043237C" w:rsidRPr="001F6603">
        <w:rPr>
          <w:rFonts w:ascii="Book Antiqua" w:hAnsi="Book Antiqua"/>
        </w:rPr>
        <w:t xml:space="preserve"> </w:t>
      </w:r>
      <w:r w:rsidR="003B4196" w:rsidRPr="001F6603">
        <w:rPr>
          <w:rFonts w:ascii="Book Antiqua" w:hAnsi="Book Antiqua"/>
        </w:rPr>
        <w:t>(6)</w:t>
      </w:r>
      <w:r w:rsidR="0043237C" w:rsidRPr="001F6603">
        <w:rPr>
          <w:rFonts w:ascii="Book Antiqua" w:hAnsi="Book Antiqua"/>
        </w:rPr>
        <w:t xml:space="preserve"> </w:t>
      </w:r>
      <w:r w:rsidR="008C6D03" w:rsidRPr="001F6603">
        <w:rPr>
          <w:rFonts w:ascii="Book Antiqua" w:hAnsi="Book Antiqua"/>
        </w:rPr>
        <w:t xml:space="preserve">Knee Injury and Osteoarthritis Outcome Scores </w:t>
      </w:r>
      <w:r w:rsidR="008C6D03" w:rsidRPr="001F6603">
        <w:rPr>
          <w:rFonts w:ascii="Book Antiqua" w:hAnsi="Book Antiqua"/>
        </w:rPr>
        <w:lastRenderedPageBreak/>
        <w:t>(</w:t>
      </w:r>
      <w:r w:rsidRPr="001F6603">
        <w:rPr>
          <w:rFonts w:ascii="Book Antiqua" w:hAnsi="Book Antiqua"/>
        </w:rPr>
        <w:t>KOOS</w:t>
      </w:r>
      <w:r w:rsidR="008C6D03" w:rsidRPr="001F6603">
        <w:rPr>
          <w:rFonts w:ascii="Book Antiqua" w:hAnsi="Book Antiqua"/>
        </w:rPr>
        <w:t>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(Knee)-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 xml:space="preserve">routinely </w:t>
      </w:r>
      <w:r w:rsidRPr="001F6603">
        <w:rPr>
          <w:rFonts w:ascii="Book Antiqua" w:hAnsi="Book Antiqua"/>
        </w:rPr>
        <w:t>collected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part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standard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time</w:t>
      </w:r>
      <w:r w:rsidR="003B4196" w:rsidRPr="001F6603">
        <w:rPr>
          <w:rFonts w:ascii="Book Antiqua" w:hAnsi="Book Antiqua"/>
        </w:rPr>
        <w:t>;</w:t>
      </w:r>
      <w:r w:rsidR="0043237C" w:rsidRPr="001F6603">
        <w:rPr>
          <w:rFonts w:ascii="Book Antiqua" w:hAnsi="Book Antiqua"/>
        </w:rPr>
        <w:t xml:space="preserve"> </w:t>
      </w:r>
      <w:r w:rsidR="003B4196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B4196" w:rsidRPr="001F6603">
        <w:rPr>
          <w:rFonts w:ascii="Book Antiqua" w:hAnsi="Book Antiqua"/>
        </w:rPr>
        <w:t>(7)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E-5D-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 xml:space="preserve">routinely </w:t>
      </w:r>
      <w:r w:rsidRPr="001F6603">
        <w:rPr>
          <w:rFonts w:ascii="Book Antiqua" w:hAnsi="Book Antiqua"/>
        </w:rPr>
        <w:t>collected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part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standard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time.</w:t>
      </w:r>
      <w:r w:rsidR="0043237C" w:rsidRPr="001F6603">
        <w:rPr>
          <w:rFonts w:ascii="Book Antiqua" w:hAnsi="Book Antiqua"/>
        </w:rPr>
        <w:t xml:space="preserve"> </w:t>
      </w:r>
    </w:p>
    <w:p w:rsidR="003B4196" w:rsidRPr="001F6603" w:rsidRDefault="003B4196" w:rsidP="004A4CEB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F6603">
        <w:rPr>
          <w:rFonts w:ascii="Book Antiqua" w:hAnsi="Book Antiqua"/>
          <w:b/>
          <w:bCs/>
        </w:rPr>
        <w:t>Study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EC2333" w:rsidRPr="001F6603">
        <w:rPr>
          <w:rFonts w:ascii="Book Antiqua" w:hAnsi="Book Antiqua"/>
          <w:b/>
          <w:bCs/>
        </w:rPr>
        <w:t xml:space="preserve">point </w:t>
      </w:r>
      <w:r w:rsidRPr="001F6603">
        <w:rPr>
          <w:rFonts w:ascii="Book Antiqua" w:hAnsi="Book Antiqua"/>
          <w:b/>
          <w:bCs/>
        </w:rPr>
        <w:t>2: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3B4196" w:rsidRPr="001F6603">
        <w:rPr>
          <w:rFonts w:ascii="Book Antiqua" w:hAnsi="Book Antiqua"/>
        </w:rPr>
        <w:t>(1)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HSS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>patient expectation questionnaire</w:t>
      </w:r>
      <w:r w:rsidR="003B4196" w:rsidRPr="001F6603">
        <w:rPr>
          <w:rFonts w:ascii="Book Antiqua" w:hAnsi="Book Antiqua"/>
        </w:rPr>
        <w:t>;</w:t>
      </w:r>
      <w:r w:rsidR="0043237C" w:rsidRPr="001F6603">
        <w:rPr>
          <w:rFonts w:ascii="Book Antiqua" w:hAnsi="Book Antiqua"/>
        </w:rPr>
        <w:t xml:space="preserve"> </w:t>
      </w:r>
      <w:r w:rsidR="003B4196" w:rsidRPr="001F6603">
        <w:rPr>
          <w:rFonts w:ascii="Book Antiqua" w:hAnsi="Book Antiqua"/>
        </w:rPr>
        <w:t>(2)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Visual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>analogue pain scale</w:t>
      </w:r>
      <w:r w:rsidR="003B4196" w:rsidRPr="001F6603">
        <w:rPr>
          <w:rFonts w:ascii="Book Antiqua" w:hAnsi="Book Antiqua"/>
        </w:rPr>
        <w:t>;</w:t>
      </w:r>
      <w:r w:rsidR="0043237C" w:rsidRPr="001F6603">
        <w:rPr>
          <w:rFonts w:ascii="Book Antiqua" w:hAnsi="Book Antiqua"/>
        </w:rPr>
        <w:t xml:space="preserve"> </w:t>
      </w:r>
      <w:r w:rsidR="003B4196" w:rsidRPr="001F6603">
        <w:rPr>
          <w:rFonts w:ascii="Book Antiqua" w:hAnsi="Book Antiqua"/>
        </w:rPr>
        <w:t>(3)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KOOS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(Knee)-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>routinely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collected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part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standard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time</w:t>
      </w:r>
      <w:r w:rsidR="003B4196" w:rsidRPr="001F6603">
        <w:rPr>
          <w:rFonts w:ascii="Book Antiqua" w:hAnsi="Book Antiqua"/>
        </w:rPr>
        <w:t>;</w:t>
      </w:r>
      <w:r w:rsidR="0043237C" w:rsidRPr="001F6603">
        <w:rPr>
          <w:rFonts w:ascii="Book Antiqua" w:hAnsi="Book Antiqua"/>
        </w:rPr>
        <w:t xml:space="preserve"> </w:t>
      </w:r>
      <w:r w:rsidR="003B4196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B4196" w:rsidRPr="001F6603">
        <w:rPr>
          <w:rFonts w:ascii="Book Antiqua" w:hAnsi="Book Antiqua"/>
        </w:rPr>
        <w:t>(4)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E-5D-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 xml:space="preserve">routinely </w:t>
      </w:r>
      <w:r w:rsidRPr="001F6603">
        <w:rPr>
          <w:rFonts w:ascii="Book Antiqua" w:hAnsi="Book Antiqua"/>
        </w:rPr>
        <w:t>collected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part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standard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time.</w:t>
      </w:r>
    </w:p>
    <w:p w:rsidR="003B4196" w:rsidRPr="001F6603" w:rsidRDefault="003B4196" w:rsidP="004A4CEB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F6603">
        <w:rPr>
          <w:rFonts w:ascii="Book Antiqua" w:hAnsi="Book Antiqua"/>
          <w:b/>
          <w:bCs/>
        </w:rPr>
        <w:t>Study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EC2333" w:rsidRPr="001F6603">
        <w:rPr>
          <w:rFonts w:ascii="Book Antiqua" w:hAnsi="Book Antiqua"/>
          <w:b/>
          <w:bCs/>
        </w:rPr>
        <w:t xml:space="preserve">point </w:t>
      </w:r>
      <w:r w:rsidRPr="001F6603">
        <w:rPr>
          <w:rFonts w:ascii="Book Antiqua" w:hAnsi="Book Antiqua"/>
          <w:b/>
          <w:bCs/>
        </w:rPr>
        <w:t>3: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3B4196" w:rsidRPr="001F6603">
        <w:rPr>
          <w:rFonts w:ascii="Book Antiqua" w:hAnsi="Book Antiqua"/>
        </w:rPr>
        <w:t>(1)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Visual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>analogue pain scale</w:t>
      </w:r>
      <w:r w:rsidR="00D05C8F" w:rsidRPr="001F6603">
        <w:rPr>
          <w:rFonts w:ascii="Book Antiqua" w:hAnsi="Book Antiqua"/>
        </w:rPr>
        <w:t>;</w:t>
      </w:r>
      <w:r w:rsidR="0043237C" w:rsidRPr="001F6603">
        <w:rPr>
          <w:rFonts w:ascii="Book Antiqua" w:hAnsi="Book Antiqua"/>
        </w:rPr>
        <w:t xml:space="preserve"> </w:t>
      </w:r>
      <w:r w:rsidR="003B4196" w:rsidRPr="001F6603">
        <w:rPr>
          <w:rFonts w:ascii="Book Antiqua" w:hAnsi="Book Antiqua"/>
        </w:rPr>
        <w:t>(2)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KOOS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(Knee</w:t>
      </w:r>
      <w:proofErr w:type="gramStart"/>
      <w:r w:rsidRPr="001F6603">
        <w:rPr>
          <w:rFonts w:ascii="Book Antiqua" w:hAnsi="Book Antiqua"/>
        </w:rPr>
        <w:t>)-</w:t>
      </w:r>
      <w:proofErr w:type="gramEnd"/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>routinely collected as part of standard care at this t</w:t>
      </w:r>
      <w:r w:rsidRPr="001F6603">
        <w:rPr>
          <w:rFonts w:ascii="Book Antiqua" w:hAnsi="Book Antiqua"/>
        </w:rPr>
        <w:t>ime</w:t>
      </w:r>
      <w:r w:rsidR="003B4196" w:rsidRPr="001F6603">
        <w:rPr>
          <w:rFonts w:ascii="Book Antiqua" w:hAnsi="Book Antiqua"/>
        </w:rPr>
        <w:t>;</w:t>
      </w:r>
      <w:r w:rsidR="0043237C" w:rsidRPr="001F6603">
        <w:rPr>
          <w:rFonts w:ascii="Book Antiqua" w:hAnsi="Book Antiqua"/>
        </w:rPr>
        <w:t xml:space="preserve"> </w:t>
      </w:r>
      <w:r w:rsidR="003B4196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B4196" w:rsidRPr="001F6603">
        <w:rPr>
          <w:rFonts w:ascii="Book Antiqua" w:hAnsi="Book Antiqua"/>
        </w:rPr>
        <w:t>(3)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E-5D-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>routinely collected as part of standard of care at this time</w:t>
      </w:r>
      <w:r w:rsidRPr="001F6603">
        <w:rPr>
          <w:rFonts w:ascii="Book Antiqua" w:hAnsi="Book Antiqua"/>
        </w:rPr>
        <w:t>.</w:t>
      </w:r>
    </w:p>
    <w:p w:rsidR="00101811" w:rsidRPr="001F6603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:rsidR="003B4196" w:rsidRPr="001F6603" w:rsidRDefault="003B4196" w:rsidP="004A4CEB">
      <w:pPr>
        <w:adjustRightInd w:val="0"/>
        <w:snapToGrid w:val="0"/>
        <w:spacing w:line="360" w:lineRule="auto"/>
        <w:jc w:val="both"/>
        <w:rPr>
          <w:rFonts w:ascii="Book Antiqua" w:eastAsia="宋体" w:hAnsi="Book Antiqua" w:cs="Calibri"/>
          <w:b/>
          <w:bCs/>
          <w:i/>
        </w:rPr>
      </w:pPr>
      <w:bookmarkStart w:id="28" w:name="_Hlk35967339"/>
      <w:r w:rsidRPr="001F6603">
        <w:rPr>
          <w:rFonts w:ascii="Book Antiqua" w:eastAsia="宋体" w:hAnsi="Book Antiqua" w:cs="Calibri"/>
          <w:b/>
          <w:bCs/>
          <w:i/>
          <w:lang w:eastAsia="en-US"/>
        </w:rPr>
        <w:t>Statistical</w:t>
      </w:r>
      <w:r w:rsidR="0043237C" w:rsidRPr="001F6603">
        <w:rPr>
          <w:rFonts w:ascii="Book Antiqua" w:eastAsia="宋体" w:hAnsi="Book Antiqua" w:cs="Calibri"/>
          <w:b/>
          <w:bCs/>
          <w:i/>
          <w:lang w:eastAsia="en-US"/>
        </w:rPr>
        <w:t xml:space="preserve"> </w:t>
      </w:r>
      <w:r w:rsidRPr="001F6603">
        <w:rPr>
          <w:rFonts w:ascii="Book Antiqua" w:eastAsia="宋体" w:hAnsi="Book Antiqua" w:cs="Calibri"/>
          <w:b/>
          <w:bCs/>
          <w:i/>
          <w:lang w:eastAsia="en-US"/>
        </w:rPr>
        <w:t>analys</w:t>
      </w:r>
      <w:r w:rsidRPr="001F6603">
        <w:rPr>
          <w:rFonts w:ascii="Book Antiqua" w:eastAsia="宋体" w:hAnsi="Book Antiqua" w:cs="Calibri"/>
          <w:b/>
          <w:bCs/>
          <w:i/>
        </w:rPr>
        <w:t>i</w:t>
      </w:r>
      <w:r w:rsidRPr="001F6603">
        <w:rPr>
          <w:rFonts w:ascii="Book Antiqua" w:eastAsia="宋体" w:hAnsi="Book Antiqua" w:cs="Calibri"/>
          <w:b/>
          <w:bCs/>
          <w:i/>
          <w:lang w:eastAsia="en-US"/>
        </w:rPr>
        <w:t>s</w:t>
      </w:r>
    </w:p>
    <w:bookmarkEnd w:id="28"/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Kolmogorov–Smirnov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test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(K–S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test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test)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used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examine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data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confirmation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normal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distribution.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Hypothesis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testing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completed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using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nonparametric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methods.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Demographic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variables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evaluated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distribution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equity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using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>one-sample binomial or the one-sample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  <w:i/>
          <w:iCs/>
        </w:rPr>
        <w:t>χ</w:t>
      </w:r>
      <w:r w:rsidR="00EC2333" w:rsidRPr="001F6603">
        <w:rPr>
          <w:rFonts w:ascii="Book Antiqua" w:hAnsi="Book Antiqua" w:hint="eastAsia"/>
          <w:vertAlign w:val="superscript"/>
        </w:rPr>
        <w:t>2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>t</w:t>
      </w:r>
      <w:r w:rsidRPr="001F6603">
        <w:rPr>
          <w:rFonts w:ascii="Book Antiqua" w:hAnsi="Book Antiqua"/>
        </w:rPr>
        <w:t>est.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Pre-operative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psychosocial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scales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evaluated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subject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effects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using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MANOVA.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>Wilcoxon signed ranks test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used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compare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 xml:space="preserve">pre- </w:t>
      </w:r>
      <w:r w:rsidR="00EC2333" w:rsidRPr="001F6603">
        <w:rPr>
          <w:rFonts w:ascii="Book Antiqua" w:hAnsi="Book Antiqua"/>
          <w:i/>
          <w:iCs/>
        </w:rPr>
        <w:t>vs</w:t>
      </w:r>
      <w:r w:rsidR="00EC2333" w:rsidRPr="001F6603">
        <w:rPr>
          <w:rFonts w:ascii="Book Antiqua" w:hAnsi="Book Antiqua"/>
        </w:rPr>
        <w:t xml:space="preserve"> post-operative expectations</w:t>
      </w:r>
      <w:r w:rsidRPr="001F6603">
        <w:rPr>
          <w:rFonts w:ascii="Book Antiqua" w:hAnsi="Book Antiqua"/>
        </w:rPr>
        <w:t>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Post-</w:t>
      </w:r>
      <w:r w:rsidR="00EC2333" w:rsidRPr="001F6603">
        <w:rPr>
          <w:rFonts w:ascii="Book Antiqua" w:hAnsi="Book Antiqua"/>
        </w:rPr>
        <w:t>operative outcomes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evaluated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over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three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time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points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(Pre-op,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Post-op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4-8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</w:t>
      </w:r>
      <w:r w:rsidR="006E7B5F" w:rsidRPr="001F6603">
        <w:rPr>
          <w:rFonts w:ascii="Book Antiqua" w:hAnsi="Book Antiqua"/>
        </w:rPr>
        <w:t>k</w:t>
      </w:r>
      <w:r w:rsidRPr="001F6603">
        <w:rPr>
          <w:rFonts w:ascii="Book Antiqua" w:hAnsi="Book Antiqua"/>
        </w:rPr>
        <w:t>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Post-op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9-14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mo)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Friedman’s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>two-way analysis of variance by ranks</w:t>
      </w:r>
      <w:r w:rsidRPr="001F6603">
        <w:rPr>
          <w:rFonts w:ascii="Book Antiqua" w:hAnsi="Book Antiqua"/>
        </w:rPr>
        <w:t>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Standard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descriptive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techniques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used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summarize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continuous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variables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appropriate.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maximum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number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participants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used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analysis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  <w:i/>
          <w:iCs/>
        </w:rPr>
        <w:t>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=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133.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continuous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variable,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>age</w:t>
      </w:r>
      <w:r w:rsidRPr="001F6603">
        <w:rPr>
          <w:rFonts w:ascii="Book Antiqua" w:hAnsi="Book Antiqua"/>
        </w:rPr>
        <w:t>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recoded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categorical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variable,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“</w:t>
      </w:r>
      <w:r w:rsidR="00EC2333" w:rsidRPr="001F6603">
        <w:rPr>
          <w:rFonts w:ascii="Book Antiqua" w:hAnsi="Book Antiqua"/>
        </w:rPr>
        <w:t>age group</w:t>
      </w:r>
      <w:r w:rsidRPr="001F6603">
        <w:rPr>
          <w:rFonts w:ascii="Book Antiqua" w:hAnsi="Book Antiqua"/>
        </w:rPr>
        <w:t>”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certain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analyses.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Imputation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methods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missing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data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used.</w:t>
      </w:r>
    </w:p>
    <w:p w:rsidR="00101811" w:rsidRPr="001F6603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:rsidR="00D05C8F" w:rsidRPr="001F6603" w:rsidRDefault="00D05C8F" w:rsidP="004A4CEB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b/>
          <w:u w:val="single"/>
          <w:lang w:eastAsia="en-US"/>
        </w:rPr>
      </w:pPr>
      <w:bookmarkStart w:id="29" w:name="_Hlk27141703"/>
      <w:r w:rsidRPr="001F6603">
        <w:rPr>
          <w:rFonts w:ascii="Book Antiqua" w:eastAsia="宋体" w:hAnsi="Book Antiqua" w:cs="Arial"/>
          <w:b/>
          <w:u w:val="single"/>
          <w:lang w:eastAsia="en-US"/>
        </w:rPr>
        <w:t>RESULTS</w:t>
      </w:r>
    </w:p>
    <w:bookmarkEnd w:id="29"/>
    <w:p w:rsidR="00D86F96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K-S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test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revealed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data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follow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normal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distribution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</w:t>
      </w:r>
      <w:r w:rsidR="00400690" w:rsidRPr="001F6603">
        <w:rPr>
          <w:rFonts w:ascii="Book Antiqua" w:hAnsi="Book Antiqua"/>
          <w:i/>
          <w:iCs/>
        </w:rPr>
        <w:t>P</w:t>
      </w:r>
      <w:r w:rsidR="00400690" w:rsidRPr="001F6603">
        <w:rPr>
          <w:rFonts w:ascii="Book Antiqua" w:hAnsi="Book Antiqua"/>
        </w:rPr>
        <w:t xml:space="preserve"> &lt; </w:t>
      </w:r>
      <w:r w:rsidR="00100852" w:rsidRPr="001F6603">
        <w:rPr>
          <w:rFonts w:ascii="Book Antiqua" w:hAnsi="Book Antiqua"/>
        </w:rPr>
        <w:t>0.01)</w:t>
      </w:r>
      <w:r w:rsidRPr="001F6603">
        <w:rPr>
          <w:rFonts w:ascii="Book Antiqua" w:hAnsi="Book Antiqua"/>
        </w:rPr>
        <w:t>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demographic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breakdown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overall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initial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cohort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shown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both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Table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1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Figure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1.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>Seventy-eight percent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analyzed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lastRenderedPageBreak/>
        <w:t>females.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other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categories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multiple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options,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observed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bi-modal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choices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dominating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over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other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selections.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Relationship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status,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Married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Single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comprised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80.4%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cohort.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Americans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(51.9%)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Whites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(41.4%)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comprised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93.3%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Racial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Demographics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reported.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participants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reported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their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>insurance type as private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58.6%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time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 xml:space="preserve">Medicare </w:t>
      </w:r>
      <w:r w:rsidRPr="001F6603">
        <w:rPr>
          <w:rFonts w:ascii="Book Antiqua" w:hAnsi="Book Antiqua"/>
        </w:rPr>
        <w:t>38.3%,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accounting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96.9%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respondents.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Figure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1</w:t>
      </w:r>
      <w:r w:rsidR="0043237C" w:rsidRPr="001F6603">
        <w:rPr>
          <w:rFonts w:ascii="Book Antiqua" w:hAnsi="Book Antiqua"/>
        </w:rPr>
        <w:t xml:space="preserve"> </w:t>
      </w:r>
      <w:proofErr w:type="gramStart"/>
      <w:r w:rsidRPr="001F6603">
        <w:rPr>
          <w:rFonts w:ascii="Book Antiqua" w:hAnsi="Book Antiqua"/>
        </w:rPr>
        <w:t>shows</w:t>
      </w:r>
      <w:proofErr w:type="gramEnd"/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full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age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distribution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summary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statistics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cohort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(mean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age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61.56</w:t>
      </w:r>
      <w:r w:rsidR="00EC2333" w:rsidRPr="001F6603">
        <w:rPr>
          <w:rFonts w:ascii="Book Antiqua" w:hAnsi="Book Antiqua"/>
        </w:rPr>
        <w:t xml:space="preserve"> years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±</w:t>
      </w:r>
      <w:r w:rsidR="00EC2333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8.56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years)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how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recoded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revised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categorical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variable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Age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Group</w:t>
      </w:r>
      <w:r w:rsidR="00DE13DD" w:rsidRPr="001F6603">
        <w:rPr>
          <w:rFonts w:ascii="Book Antiqua" w:hAnsi="Book Antiqua"/>
        </w:rPr>
        <w:t>.</w:t>
      </w:r>
    </w:p>
    <w:p w:rsidR="00101811" w:rsidRPr="001F6603" w:rsidRDefault="00367ED8" w:rsidP="00AD5FD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pre-operative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psychometric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scales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>pain catastrophizing scale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summarized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Table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2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along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E65EBC" w:rsidRPr="001F6603">
        <w:rPr>
          <w:rFonts w:ascii="Book Antiqua" w:hAnsi="Book Antiqua"/>
        </w:rPr>
        <w:t>number of friends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>pre-operative and post-operative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(4-8</w:t>
      </w:r>
      <w:r w:rsidR="0043237C" w:rsidRPr="001F6603">
        <w:rPr>
          <w:rFonts w:ascii="Book Antiqua" w:hAnsi="Book Antiqua"/>
        </w:rPr>
        <w:t xml:space="preserve"> </w:t>
      </w:r>
      <w:r w:rsidR="00DE13DD" w:rsidRPr="001F6603">
        <w:rPr>
          <w:rFonts w:ascii="Book Antiqua" w:hAnsi="Book Antiqua"/>
        </w:rPr>
        <w:t>wk</w:t>
      </w:r>
      <w:r w:rsidRPr="001F6603">
        <w:rPr>
          <w:rFonts w:ascii="Book Antiqua" w:hAnsi="Book Antiqua"/>
        </w:rPr>
        <w:t>)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 xml:space="preserve">expectations </w:t>
      </w:r>
      <w:r w:rsidRPr="001F6603">
        <w:rPr>
          <w:rFonts w:ascii="Book Antiqua" w:hAnsi="Book Antiqua"/>
        </w:rPr>
        <w:t>scores.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observed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across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demographic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category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="00E65EBC" w:rsidRPr="001F6603">
        <w:rPr>
          <w:rFonts w:ascii="Book Antiqua" w:hAnsi="Book Antiqua"/>
        </w:rPr>
        <w:t>number of friends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</w:t>
      </w:r>
      <w:r w:rsidR="00EC2333" w:rsidRPr="001F6603">
        <w:rPr>
          <w:rFonts w:ascii="Book Antiqua" w:hAnsi="Book Antiqua"/>
          <w:i/>
          <w:iCs/>
        </w:rPr>
        <w:t>P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=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>NS</w:t>
      </w:r>
      <w:r w:rsidRPr="001F6603">
        <w:rPr>
          <w:rFonts w:ascii="Book Antiqua" w:hAnsi="Book Antiqua"/>
        </w:rPr>
        <w:t>).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pre-operative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psychometric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scales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equivalent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across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groups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</w:t>
      </w:r>
      <w:r w:rsidR="00EC2333" w:rsidRPr="001F6603">
        <w:rPr>
          <w:rFonts w:ascii="Book Antiqua" w:hAnsi="Book Antiqua"/>
          <w:i/>
          <w:iCs/>
        </w:rPr>
        <w:t>P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=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>NS</w:t>
      </w:r>
      <w:r w:rsidRPr="001F6603">
        <w:rPr>
          <w:rFonts w:ascii="Book Antiqua" w:hAnsi="Book Antiqua"/>
        </w:rPr>
        <w:t>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except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="00E65EBC" w:rsidRPr="001F6603">
        <w:rPr>
          <w:rFonts w:ascii="Book Antiqua" w:hAnsi="Book Antiqua"/>
        </w:rPr>
        <w:t>geriatric depression</w:t>
      </w:r>
      <w:r w:rsidRPr="001F6603">
        <w:rPr>
          <w:rFonts w:ascii="Book Antiqua" w:hAnsi="Book Antiqua"/>
        </w:rPr>
        <w:t>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which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groups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E65EBC" w:rsidRPr="001F6603">
        <w:rPr>
          <w:rFonts w:ascii="Book Antiqua" w:hAnsi="Book Antiqua"/>
        </w:rPr>
        <w:t>race and age group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</w:t>
      </w:r>
      <w:r w:rsidR="00400690" w:rsidRPr="001F6603">
        <w:rPr>
          <w:rFonts w:ascii="Book Antiqua" w:hAnsi="Book Antiqua"/>
          <w:i/>
          <w:iCs/>
        </w:rPr>
        <w:t>P</w:t>
      </w:r>
      <w:r w:rsidR="00400690" w:rsidRPr="001F6603">
        <w:rPr>
          <w:rFonts w:ascii="Book Antiqua" w:hAnsi="Book Antiqua"/>
        </w:rPr>
        <w:t xml:space="preserve"> &lt;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0.05).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detailed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differences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each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category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shown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graphically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Figure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2.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E65EBC" w:rsidRPr="001F6603">
        <w:rPr>
          <w:rFonts w:ascii="Book Antiqua" w:hAnsi="Book Antiqua"/>
        </w:rPr>
        <w:t>pain catastrophizing scale</w:t>
      </w:r>
      <w:r w:rsidRPr="001F6603">
        <w:rPr>
          <w:rFonts w:ascii="Book Antiqua" w:hAnsi="Book Antiqua"/>
        </w:rPr>
        <w:t>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subscales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total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within</w:t>
      </w:r>
      <w:r w:rsidR="0043237C" w:rsidRPr="001F6603">
        <w:rPr>
          <w:rFonts w:ascii="Book Antiqua" w:hAnsi="Book Antiqua"/>
        </w:rPr>
        <w:t xml:space="preserve"> </w:t>
      </w:r>
      <w:r w:rsidR="00E65EBC" w:rsidRPr="001F6603">
        <w:rPr>
          <w:rFonts w:ascii="Book Antiqua" w:hAnsi="Book Antiqua"/>
        </w:rPr>
        <w:t xml:space="preserve">age group </w:t>
      </w:r>
      <w:r w:rsidRPr="001F6603">
        <w:rPr>
          <w:rFonts w:ascii="Book Antiqua" w:hAnsi="Book Antiqua"/>
        </w:rPr>
        <w:t>(</w:t>
      </w:r>
      <w:r w:rsidR="00400690" w:rsidRPr="001F6603">
        <w:rPr>
          <w:rFonts w:ascii="Book Antiqua" w:hAnsi="Book Antiqua"/>
          <w:i/>
          <w:iCs/>
        </w:rPr>
        <w:t>P</w:t>
      </w:r>
      <w:r w:rsidR="00400690" w:rsidRPr="001F6603">
        <w:rPr>
          <w:rFonts w:ascii="Book Antiqua" w:hAnsi="Book Antiqua"/>
        </w:rPr>
        <w:t xml:space="preserve"> &lt;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0.05),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E65EBC" w:rsidRPr="001F6603">
        <w:rPr>
          <w:rFonts w:ascii="Book Antiqua" w:hAnsi="Book Antiqua"/>
        </w:rPr>
        <w:t>magnification</w:t>
      </w:r>
      <w:r w:rsidRPr="001F6603">
        <w:rPr>
          <w:rFonts w:ascii="Book Antiqua" w:hAnsi="Book Antiqua"/>
        </w:rPr>
        <w:t>,</w:t>
      </w:r>
      <w:r w:rsidR="0043237C" w:rsidRPr="001F6603">
        <w:rPr>
          <w:rFonts w:ascii="Book Antiqua" w:hAnsi="Book Antiqua"/>
        </w:rPr>
        <w:t xml:space="preserve"> </w:t>
      </w:r>
      <w:r w:rsidR="00E65EBC" w:rsidRPr="001F6603">
        <w:rPr>
          <w:rFonts w:ascii="Book Antiqua" w:hAnsi="Book Antiqua"/>
        </w:rPr>
        <w:t xml:space="preserve">helplessness </w:t>
      </w:r>
      <w:r w:rsidRPr="001F6603">
        <w:rPr>
          <w:rFonts w:ascii="Book Antiqua" w:hAnsi="Book Antiqua"/>
        </w:rPr>
        <w:t>subscales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E65EBC" w:rsidRPr="001F6603">
        <w:rPr>
          <w:rFonts w:ascii="Book Antiqua" w:hAnsi="Book Antiqua"/>
        </w:rPr>
        <w:t xml:space="preserve">total </w:t>
      </w:r>
      <w:r w:rsidRPr="001F6603">
        <w:rPr>
          <w:rFonts w:ascii="Book Antiqua" w:hAnsi="Book Antiqua"/>
        </w:rPr>
        <w:t>score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groups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="00E65EBC" w:rsidRPr="001F6603">
        <w:rPr>
          <w:rFonts w:ascii="Book Antiqua" w:hAnsi="Book Antiqua"/>
        </w:rPr>
        <w:t xml:space="preserve">race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E65EBC" w:rsidRPr="001F6603">
        <w:rPr>
          <w:rFonts w:ascii="Book Antiqua" w:hAnsi="Book Antiqua"/>
        </w:rPr>
        <w:t xml:space="preserve">relationship status </w:t>
      </w:r>
      <w:r w:rsidRPr="001F6603">
        <w:rPr>
          <w:rFonts w:ascii="Book Antiqua" w:hAnsi="Book Antiqua"/>
        </w:rPr>
        <w:t>(</w:t>
      </w:r>
      <w:r w:rsidR="00400690" w:rsidRPr="001F6603">
        <w:rPr>
          <w:rFonts w:ascii="Book Antiqua" w:hAnsi="Book Antiqua"/>
          <w:i/>
          <w:iCs/>
        </w:rPr>
        <w:t>P</w:t>
      </w:r>
      <w:r w:rsidR="00400690" w:rsidRPr="001F6603">
        <w:rPr>
          <w:rFonts w:ascii="Book Antiqua" w:hAnsi="Book Antiqua"/>
        </w:rPr>
        <w:t xml:space="preserve"> &lt;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0.01).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differences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expanded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graphically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Figure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3.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only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observed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gender-based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differences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measures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="00E65EBC" w:rsidRPr="001F6603">
        <w:rPr>
          <w:rFonts w:ascii="Book Antiqua" w:hAnsi="Book Antiqua"/>
        </w:rPr>
        <w:t>post</w:t>
      </w:r>
      <w:r w:rsidRPr="001F6603">
        <w:rPr>
          <w:rFonts w:ascii="Book Antiqua" w:hAnsi="Book Antiqua"/>
        </w:rPr>
        <w:t>-</w:t>
      </w:r>
      <w:r w:rsidR="00E65EBC" w:rsidRPr="001F6603">
        <w:rPr>
          <w:rFonts w:ascii="Book Antiqua" w:hAnsi="Book Antiqua"/>
        </w:rPr>
        <w:t>op expectations</w:t>
      </w:r>
      <w:r w:rsidRPr="001F6603">
        <w:rPr>
          <w:rFonts w:ascii="Book Antiqua" w:hAnsi="Book Antiqua"/>
        </w:rPr>
        <w:t>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mean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females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(65.5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±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31.5)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lower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males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(84.5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±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21.5,</w:t>
      </w:r>
      <w:r w:rsidR="0043237C" w:rsidRPr="001F6603">
        <w:rPr>
          <w:rFonts w:ascii="Book Antiqua" w:hAnsi="Book Antiqua"/>
        </w:rPr>
        <w:t xml:space="preserve"> </w:t>
      </w:r>
      <w:r w:rsidR="00400690" w:rsidRPr="001F6603">
        <w:rPr>
          <w:rFonts w:ascii="Book Antiqua" w:hAnsi="Book Antiqua"/>
          <w:i/>
          <w:iCs/>
        </w:rPr>
        <w:t>P</w:t>
      </w:r>
      <w:r w:rsidR="00400690" w:rsidRPr="001F6603">
        <w:rPr>
          <w:rFonts w:ascii="Book Antiqua" w:hAnsi="Book Antiqua"/>
        </w:rPr>
        <w:t xml:space="preserve"> &lt;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0.05).</w:t>
      </w:r>
    </w:p>
    <w:p w:rsidR="00101811" w:rsidRPr="001F6603" w:rsidRDefault="005C7EB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 w:hint="eastAsia"/>
        </w:rPr>
        <w:t xml:space="preserve"> 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overall</w:t>
      </w:r>
      <w:r w:rsidR="0043237C" w:rsidRPr="001F6603">
        <w:rPr>
          <w:rFonts w:ascii="Book Antiqua" w:hAnsi="Book Antiqua"/>
        </w:rPr>
        <w:t xml:space="preserve"> </w:t>
      </w:r>
      <w:proofErr w:type="gramStart"/>
      <w:r w:rsidR="00367ED8" w:rsidRPr="001F6603">
        <w:rPr>
          <w:rFonts w:ascii="Book Antiqua" w:hAnsi="Book Antiqua"/>
        </w:rPr>
        <w:t>differences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</w:t>
      </w:r>
      <w:r w:rsidR="00367ED8" w:rsidRPr="001F6603">
        <w:rPr>
          <w:rFonts w:ascii="Book Antiqua" w:hAnsi="Book Antiqua"/>
        </w:rPr>
        <w:t>-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  <w:i/>
          <w:iCs/>
        </w:rPr>
        <w:t>vs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post</w:t>
      </w:r>
      <w:r w:rsidR="00367ED8" w:rsidRPr="001F6603">
        <w:rPr>
          <w:rFonts w:ascii="Book Antiqua" w:hAnsi="Book Antiqua"/>
        </w:rPr>
        <w:t>-operative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 xml:space="preserve">expectations </w:t>
      </w:r>
      <w:r w:rsidR="00367ED8" w:rsidRPr="001F6603">
        <w:rPr>
          <w:rFonts w:ascii="Book Antiqua" w:hAnsi="Book Antiqua"/>
        </w:rPr>
        <w:t>is</w:t>
      </w:r>
      <w:proofErr w:type="gramEnd"/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shown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histogram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Figure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4.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mean</w:t>
      </w:r>
      <w:r w:rsidRPr="001F6603">
        <w:rPr>
          <w:rFonts w:ascii="Book Antiqua" w:hAnsi="Book Antiqua"/>
        </w:rPr>
        <w:t xml:space="preserve"> pre-op </w:t>
      </w:r>
      <w:r w:rsidR="00367ED8" w:rsidRPr="001F6603">
        <w:rPr>
          <w:rFonts w:ascii="Book Antiqua" w:hAnsi="Book Antiqua"/>
        </w:rPr>
        <w:t>score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81.98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±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17.74.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</w:t>
      </w:r>
      <w:r w:rsidR="00367ED8" w:rsidRPr="001F6603">
        <w:rPr>
          <w:rFonts w:ascii="Book Antiqua" w:hAnsi="Book Antiqua"/>
        </w:rPr>
        <w:t>-</w:t>
      </w:r>
      <w:r w:rsidRPr="001F6603">
        <w:rPr>
          <w:rFonts w:ascii="Book Antiqua" w:hAnsi="Book Antiqua"/>
        </w:rPr>
        <w:t xml:space="preserve">op </w:t>
      </w:r>
      <w:r w:rsidR="00367ED8" w:rsidRPr="001F6603">
        <w:rPr>
          <w:rFonts w:ascii="Book Antiqua" w:hAnsi="Book Antiqua"/>
        </w:rPr>
        <w:t>range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23.08-100.00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(</w:t>
      </w:r>
      <w:r w:rsidR="00367ED8" w:rsidRPr="001F6603">
        <w:rPr>
          <w:rFonts w:ascii="Book Antiqua" w:hAnsi="Book Antiqua"/>
          <w:i/>
          <w:iCs/>
        </w:rPr>
        <w:t>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=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126).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mean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post</w:t>
      </w:r>
      <w:r w:rsidR="00367ED8" w:rsidRPr="001F6603">
        <w:rPr>
          <w:rFonts w:ascii="Book Antiqua" w:hAnsi="Book Antiqua"/>
        </w:rPr>
        <w:t>-</w:t>
      </w:r>
      <w:r w:rsidRPr="001F6603">
        <w:rPr>
          <w:rFonts w:ascii="Book Antiqua" w:hAnsi="Book Antiqua"/>
        </w:rPr>
        <w:t xml:space="preserve">op </w:t>
      </w:r>
      <w:r w:rsidR="00367ED8" w:rsidRPr="001F6603">
        <w:rPr>
          <w:rFonts w:ascii="Book Antiqua" w:hAnsi="Book Antiqua"/>
        </w:rPr>
        <w:t>score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70.97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±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29.82.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post</w:t>
      </w:r>
      <w:r w:rsidR="00367ED8" w:rsidRPr="001F6603">
        <w:rPr>
          <w:rFonts w:ascii="Book Antiqua" w:hAnsi="Book Antiqua"/>
        </w:rPr>
        <w:t>-</w:t>
      </w:r>
      <w:r w:rsidRPr="001F6603">
        <w:rPr>
          <w:rFonts w:ascii="Book Antiqua" w:hAnsi="Book Antiqua"/>
        </w:rPr>
        <w:t xml:space="preserve">op </w:t>
      </w:r>
      <w:r w:rsidR="00367ED8" w:rsidRPr="001F6603">
        <w:rPr>
          <w:rFonts w:ascii="Book Antiqua" w:hAnsi="Book Antiqua"/>
        </w:rPr>
        <w:t>range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2.56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-100.00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(</w:t>
      </w:r>
      <w:r w:rsidR="00367ED8" w:rsidRPr="001F6603">
        <w:rPr>
          <w:rFonts w:ascii="Book Antiqua" w:hAnsi="Book Antiqua"/>
          <w:i/>
          <w:iCs/>
        </w:rPr>
        <w:t>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=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69).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difference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</w:t>
      </w:r>
      <w:r w:rsidR="00367ED8" w:rsidRPr="001F6603">
        <w:rPr>
          <w:rFonts w:ascii="Book Antiqua" w:hAnsi="Book Antiqua"/>
        </w:rPr>
        <w:t>-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  <w:i/>
          <w:iCs/>
        </w:rPr>
        <w:t>vs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post</w:t>
      </w:r>
      <w:r w:rsidR="00367ED8" w:rsidRPr="001F6603">
        <w:rPr>
          <w:rFonts w:ascii="Book Antiqua" w:hAnsi="Book Antiqua"/>
        </w:rPr>
        <w:t>-</w:t>
      </w:r>
      <w:r w:rsidRPr="001F6603">
        <w:rPr>
          <w:rFonts w:ascii="Book Antiqua" w:hAnsi="Book Antiqua"/>
        </w:rPr>
        <w:t xml:space="preserve">op expectations </w:t>
      </w:r>
      <w:r w:rsidR="00367ED8"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significant,</w:t>
      </w:r>
      <w:r w:rsidR="0043237C" w:rsidRPr="001F6603">
        <w:rPr>
          <w:rFonts w:ascii="Book Antiqua" w:hAnsi="Book Antiqua"/>
        </w:rPr>
        <w:t xml:space="preserve"> </w:t>
      </w:r>
      <w:r w:rsidR="00400690" w:rsidRPr="001F6603">
        <w:rPr>
          <w:rFonts w:ascii="Book Antiqua" w:hAnsi="Book Antiqua"/>
          <w:i/>
          <w:iCs/>
        </w:rPr>
        <w:t>P</w:t>
      </w:r>
      <w:r w:rsidR="00400690" w:rsidRPr="001F6603">
        <w:rPr>
          <w:rFonts w:ascii="Book Antiqua" w:hAnsi="Book Antiqua"/>
        </w:rPr>
        <w:t xml:space="preserve"> &lt; </w:t>
      </w:r>
      <w:r w:rsidR="00367ED8" w:rsidRPr="001F6603">
        <w:rPr>
          <w:rFonts w:ascii="Book Antiqua" w:hAnsi="Book Antiqua"/>
        </w:rPr>
        <w:t>0.01,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using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Wilcoxon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signed rank test</w:t>
      </w:r>
      <w:r w:rsidR="00367ED8" w:rsidRPr="001F6603">
        <w:rPr>
          <w:rFonts w:ascii="Book Antiqua" w:hAnsi="Book Antiqua"/>
        </w:rPr>
        <w:t>.</w:t>
      </w:r>
    </w:p>
    <w:p w:rsidR="00101811" w:rsidRPr="001F6603" w:rsidRDefault="00367ED8" w:rsidP="00AD5FD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overall</w:t>
      </w:r>
      <w:r w:rsidR="0043237C" w:rsidRPr="001F6603">
        <w:rPr>
          <w:rFonts w:ascii="Book Antiqua" w:hAnsi="Book Antiqua"/>
        </w:rPr>
        <w:t xml:space="preserve"> </w:t>
      </w:r>
      <w:proofErr w:type="gramStart"/>
      <w:r w:rsidRPr="001F6603">
        <w:rPr>
          <w:rFonts w:ascii="Book Antiqua" w:hAnsi="Book Antiqua"/>
        </w:rPr>
        <w:t>differences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="005C7EB8" w:rsidRPr="001F6603">
        <w:rPr>
          <w:rFonts w:ascii="Book Antiqua" w:hAnsi="Book Antiqua"/>
        </w:rPr>
        <w:t xml:space="preserve">pre- </w:t>
      </w:r>
      <w:r w:rsidR="005C7EB8" w:rsidRPr="001F6603">
        <w:rPr>
          <w:rFonts w:ascii="Book Antiqua" w:hAnsi="Book Antiqua"/>
          <w:i/>
          <w:iCs/>
        </w:rPr>
        <w:t>vs</w:t>
      </w:r>
      <w:r w:rsidR="005C7EB8" w:rsidRPr="001F6603">
        <w:rPr>
          <w:rFonts w:ascii="Book Antiqua" w:hAnsi="Book Antiqua"/>
        </w:rPr>
        <w:t xml:space="preserve"> post-operative expectations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</w:t>
      </w:r>
      <w:proofErr w:type="gramEnd"/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shown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histogram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Figure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4.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mean</w:t>
      </w:r>
      <w:r w:rsidR="0043237C" w:rsidRPr="001F6603">
        <w:rPr>
          <w:rFonts w:ascii="Book Antiqua" w:hAnsi="Book Antiqua"/>
        </w:rPr>
        <w:t xml:space="preserve"> </w:t>
      </w:r>
      <w:r w:rsidR="005C7EB8" w:rsidRPr="001F6603">
        <w:rPr>
          <w:rFonts w:ascii="Book Antiqua" w:hAnsi="Book Antiqua"/>
        </w:rPr>
        <w:t>pre</w:t>
      </w:r>
      <w:r w:rsidRPr="001F6603">
        <w:rPr>
          <w:rFonts w:ascii="Book Antiqua" w:hAnsi="Book Antiqua"/>
        </w:rPr>
        <w:t>-</w:t>
      </w:r>
      <w:r w:rsidR="005C7EB8" w:rsidRPr="001F6603">
        <w:rPr>
          <w:rFonts w:ascii="Book Antiqua" w:hAnsi="Book Antiqua"/>
        </w:rPr>
        <w:t xml:space="preserve">op </w:t>
      </w:r>
      <w:r w:rsidRPr="001F6603">
        <w:rPr>
          <w:rFonts w:ascii="Book Antiqua" w:hAnsi="Book Antiqua"/>
        </w:rPr>
        <w:t>score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81.98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±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17.74.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5C7EB8" w:rsidRPr="001F6603">
        <w:rPr>
          <w:rFonts w:ascii="Book Antiqua" w:hAnsi="Book Antiqua"/>
        </w:rPr>
        <w:t>pre</w:t>
      </w:r>
      <w:r w:rsidRPr="001F6603">
        <w:rPr>
          <w:rFonts w:ascii="Book Antiqua" w:hAnsi="Book Antiqua"/>
        </w:rPr>
        <w:t>-</w:t>
      </w:r>
      <w:r w:rsidR="005C7EB8" w:rsidRPr="001F6603">
        <w:rPr>
          <w:rFonts w:ascii="Book Antiqua" w:hAnsi="Book Antiqua"/>
        </w:rPr>
        <w:t xml:space="preserve">op </w:t>
      </w:r>
      <w:r w:rsidRPr="001F6603">
        <w:rPr>
          <w:rFonts w:ascii="Book Antiqua" w:hAnsi="Book Antiqua"/>
        </w:rPr>
        <w:lastRenderedPageBreak/>
        <w:t>range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23.08-100.00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</w:t>
      </w:r>
      <w:r w:rsidRPr="001F6603">
        <w:rPr>
          <w:rFonts w:ascii="Book Antiqua" w:hAnsi="Book Antiqua"/>
          <w:i/>
          <w:iCs/>
        </w:rPr>
        <w:t>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=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126).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mean</w:t>
      </w:r>
      <w:r w:rsidR="0043237C" w:rsidRPr="001F6603">
        <w:rPr>
          <w:rFonts w:ascii="Book Antiqua" w:hAnsi="Book Antiqua"/>
        </w:rPr>
        <w:t xml:space="preserve"> </w:t>
      </w:r>
      <w:r w:rsidR="005C7EB8" w:rsidRPr="001F6603">
        <w:rPr>
          <w:rFonts w:ascii="Book Antiqua" w:hAnsi="Book Antiqua"/>
        </w:rPr>
        <w:t>post</w:t>
      </w:r>
      <w:r w:rsidRPr="001F6603">
        <w:rPr>
          <w:rFonts w:ascii="Book Antiqua" w:hAnsi="Book Antiqua"/>
        </w:rPr>
        <w:t>-</w:t>
      </w:r>
      <w:r w:rsidR="005C7EB8" w:rsidRPr="001F6603">
        <w:rPr>
          <w:rFonts w:ascii="Book Antiqua" w:hAnsi="Book Antiqua"/>
        </w:rPr>
        <w:t xml:space="preserve">op </w:t>
      </w:r>
      <w:r w:rsidRPr="001F6603">
        <w:rPr>
          <w:rFonts w:ascii="Book Antiqua" w:hAnsi="Book Antiqua"/>
        </w:rPr>
        <w:t>score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70.97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±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29.82.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5C7EB8" w:rsidRPr="001F6603">
        <w:rPr>
          <w:rFonts w:ascii="Book Antiqua" w:hAnsi="Book Antiqua"/>
        </w:rPr>
        <w:t>post</w:t>
      </w:r>
      <w:r w:rsidRPr="001F6603">
        <w:rPr>
          <w:rFonts w:ascii="Book Antiqua" w:hAnsi="Book Antiqua"/>
        </w:rPr>
        <w:t>-</w:t>
      </w:r>
      <w:r w:rsidR="005C7EB8" w:rsidRPr="001F6603">
        <w:rPr>
          <w:rFonts w:ascii="Book Antiqua" w:hAnsi="Book Antiqua"/>
        </w:rPr>
        <w:t xml:space="preserve">op </w:t>
      </w:r>
      <w:r w:rsidRPr="001F6603">
        <w:rPr>
          <w:rFonts w:ascii="Book Antiqua" w:hAnsi="Book Antiqua"/>
        </w:rPr>
        <w:t>range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2.56-100.00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</w:t>
      </w:r>
      <w:r w:rsidRPr="001F6603">
        <w:rPr>
          <w:rFonts w:ascii="Book Antiqua" w:hAnsi="Book Antiqua"/>
          <w:i/>
          <w:iCs/>
        </w:rPr>
        <w:t>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=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69).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="005C7EB8" w:rsidRPr="001F6603">
        <w:rPr>
          <w:rFonts w:ascii="Book Antiqua" w:hAnsi="Book Antiqua"/>
        </w:rPr>
        <w:t>pre</w:t>
      </w:r>
      <w:r w:rsidRPr="001F6603">
        <w:rPr>
          <w:rFonts w:ascii="Book Antiqua" w:hAnsi="Book Antiqua"/>
        </w:rPr>
        <w:t>-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  <w:i/>
          <w:iCs/>
        </w:rPr>
        <w:t>vs</w:t>
      </w:r>
      <w:r w:rsidR="0043237C" w:rsidRPr="001F6603">
        <w:rPr>
          <w:rFonts w:ascii="Book Antiqua" w:hAnsi="Book Antiqua"/>
        </w:rPr>
        <w:t xml:space="preserve"> </w:t>
      </w:r>
      <w:r w:rsidR="005C7EB8" w:rsidRPr="001F6603">
        <w:rPr>
          <w:rFonts w:ascii="Book Antiqua" w:hAnsi="Book Antiqua"/>
        </w:rPr>
        <w:t>post</w:t>
      </w:r>
      <w:r w:rsidRPr="001F6603">
        <w:rPr>
          <w:rFonts w:ascii="Book Antiqua" w:hAnsi="Book Antiqua"/>
        </w:rPr>
        <w:t>-</w:t>
      </w:r>
      <w:r w:rsidR="005C7EB8" w:rsidRPr="001F6603">
        <w:rPr>
          <w:rFonts w:ascii="Book Antiqua" w:hAnsi="Book Antiqua"/>
        </w:rPr>
        <w:t xml:space="preserve">op expectations </w:t>
      </w:r>
      <w:r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significant,</w:t>
      </w:r>
      <w:r w:rsidR="0043237C" w:rsidRPr="001F6603">
        <w:rPr>
          <w:rFonts w:ascii="Book Antiqua" w:hAnsi="Book Antiqua"/>
        </w:rPr>
        <w:t xml:space="preserve"> </w:t>
      </w:r>
      <w:r w:rsidR="00400690" w:rsidRPr="001F6603">
        <w:rPr>
          <w:rFonts w:ascii="Book Antiqua" w:hAnsi="Book Antiqua"/>
          <w:i/>
          <w:iCs/>
        </w:rPr>
        <w:t>P</w:t>
      </w:r>
      <w:r w:rsidR="00400690" w:rsidRPr="001F6603">
        <w:rPr>
          <w:rFonts w:ascii="Book Antiqua" w:hAnsi="Book Antiqua"/>
        </w:rPr>
        <w:t xml:space="preserve"> &lt; </w:t>
      </w:r>
      <w:r w:rsidRPr="001F6603">
        <w:rPr>
          <w:rFonts w:ascii="Book Antiqua" w:hAnsi="Book Antiqua"/>
        </w:rPr>
        <w:t>0.01,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using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Wilcoxon</w:t>
      </w:r>
      <w:r w:rsidR="0043237C" w:rsidRPr="001F6603">
        <w:rPr>
          <w:rFonts w:ascii="Book Antiqua" w:hAnsi="Book Antiqua"/>
        </w:rPr>
        <w:t xml:space="preserve"> </w:t>
      </w:r>
      <w:r w:rsidR="005C7EB8" w:rsidRPr="001F6603">
        <w:rPr>
          <w:rFonts w:ascii="Book Antiqua" w:hAnsi="Book Antiqua"/>
        </w:rPr>
        <w:t>signed rank test</w:t>
      </w:r>
      <w:r w:rsidRPr="001F6603">
        <w:rPr>
          <w:rFonts w:ascii="Book Antiqua" w:hAnsi="Book Antiqua"/>
        </w:rPr>
        <w:t>.</w:t>
      </w:r>
    </w:p>
    <w:p w:rsidR="00101811" w:rsidRPr="001F6603" w:rsidRDefault="00367ED8" w:rsidP="00AD5FD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Outcome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measures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collected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4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time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points,</w:t>
      </w:r>
      <w:r w:rsidR="0043237C" w:rsidRPr="001F6603">
        <w:rPr>
          <w:rFonts w:ascii="Book Antiqua" w:hAnsi="Book Antiqua"/>
        </w:rPr>
        <w:t xml:space="preserve"> </w:t>
      </w:r>
      <w:r w:rsidR="005C7EB8" w:rsidRPr="001F6603">
        <w:rPr>
          <w:rFonts w:ascii="Book Antiqua" w:hAnsi="Book Antiqua"/>
        </w:rPr>
        <w:t>pre</w:t>
      </w:r>
      <w:r w:rsidRPr="001F6603">
        <w:rPr>
          <w:rFonts w:ascii="Book Antiqua" w:hAnsi="Book Antiqua"/>
        </w:rPr>
        <w:t>-</w:t>
      </w:r>
      <w:r w:rsidR="005C7EB8" w:rsidRPr="001F6603">
        <w:rPr>
          <w:rFonts w:ascii="Book Antiqua" w:hAnsi="Book Antiqua"/>
        </w:rPr>
        <w:t xml:space="preserve">operative </w:t>
      </w:r>
      <w:r w:rsidRPr="001F6603">
        <w:rPr>
          <w:rFonts w:ascii="Book Antiqua" w:hAnsi="Book Antiqua"/>
        </w:rPr>
        <w:t>(Baseline,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T1),</w:t>
      </w:r>
      <w:r w:rsidR="0043237C" w:rsidRPr="001F6603">
        <w:rPr>
          <w:rFonts w:ascii="Book Antiqua" w:hAnsi="Book Antiqua"/>
        </w:rPr>
        <w:t xml:space="preserve"> </w:t>
      </w:r>
      <w:r w:rsidR="005C7EB8" w:rsidRPr="001F6603">
        <w:rPr>
          <w:rFonts w:ascii="Book Antiqua" w:hAnsi="Book Antiqua"/>
        </w:rPr>
        <w:t>post</w:t>
      </w:r>
      <w:r w:rsidRPr="001F6603">
        <w:rPr>
          <w:rFonts w:ascii="Book Antiqua" w:hAnsi="Book Antiqua"/>
        </w:rPr>
        <w:t>-</w:t>
      </w:r>
      <w:r w:rsidR="005C7EB8" w:rsidRPr="001F6603">
        <w:rPr>
          <w:rFonts w:ascii="Book Antiqua" w:hAnsi="Book Antiqua"/>
        </w:rPr>
        <w:t xml:space="preserve">operative </w:t>
      </w:r>
      <w:r w:rsidRPr="001F6603">
        <w:rPr>
          <w:rFonts w:ascii="Book Antiqua" w:hAnsi="Book Antiqua"/>
        </w:rPr>
        <w:t>follow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up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1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(4</w:t>
      </w:r>
      <w:r w:rsidR="00AD5FD8" w:rsidRPr="001F6603">
        <w:rPr>
          <w:rFonts w:ascii="Book Antiqua" w:hAnsi="Book Antiqua"/>
        </w:rPr>
        <w:t>-</w:t>
      </w:r>
      <w:r w:rsidRPr="001F6603">
        <w:rPr>
          <w:rFonts w:ascii="Book Antiqua" w:hAnsi="Book Antiqua"/>
        </w:rPr>
        <w:t>8</w:t>
      </w:r>
      <w:r w:rsidR="0043237C" w:rsidRPr="001F6603">
        <w:rPr>
          <w:rFonts w:ascii="Book Antiqua" w:hAnsi="Book Antiqua"/>
        </w:rPr>
        <w:t xml:space="preserve"> </w:t>
      </w:r>
      <w:r w:rsidR="005C7EB8" w:rsidRPr="001F6603">
        <w:rPr>
          <w:rFonts w:ascii="Book Antiqua" w:hAnsi="Book Antiqua" w:hint="eastAsia"/>
        </w:rPr>
        <w:t>wk</w:t>
      </w:r>
      <w:r w:rsidRPr="001F6603">
        <w:rPr>
          <w:rFonts w:ascii="Book Antiqua" w:hAnsi="Book Antiqua"/>
        </w:rPr>
        <w:t>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T2),</w:t>
      </w:r>
      <w:r w:rsidR="0043237C" w:rsidRPr="001F6603">
        <w:rPr>
          <w:rFonts w:ascii="Book Antiqua" w:hAnsi="Book Antiqua"/>
        </w:rPr>
        <w:t xml:space="preserve"> </w:t>
      </w:r>
      <w:r w:rsidR="005C7EB8" w:rsidRPr="001F6603">
        <w:rPr>
          <w:rFonts w:ascii="Book Antiqua" w:hAnsi="Book Antiqua"/>
        </w:rPr>
        <w:t>post</w:t>
      </w:r>
      <w:r w:rsidRPr="001F6603">
        <w:rPr>
          <w:rFonts w:ascii="Book Antiqua" w:hAnsi="Book Antiqua"/>
        </w:rPr>
        <w:t>-</w:t>
      </w:r>
      <w:r w:rsidR="005C7EB8" w:rsidRPr="001F6603">
        <w:rPr>
          <w:rFonts w:ascii="Book Antiqua" w:hAnsi="Book Antiqua"/>
        </w:rPr>
        <w:t xml:space="preserve">operative </w:t>
      </w:r>
      <w:r w:rsidRPr="001F6603">
        <w:rPr>
          <w:rFonts w:ascii="Book Antiqua" w:hAnsi="Book Antiqua"/>
        </w:rPr>
        <w:t>follow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up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2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(9-14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mo,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T3)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5C7EB8" w:rsidRPr="001F6603">
        <w:rPr>
          <w:rFonts w:ascii="Book Antiqua" w:hAnsi="Book Antiqua"/>
        </w:rPr>
        <w:t>post</w:t>
      </w:r>
      <w:r w:rsidRPr="001F6603">
        <w:rPr>
          <w:rFonts w:ascii="Book Antiqua" w:hAnsi="Book Antiqua"/>
        </w:rPr>
        <w:t>-</w:t>
      </w:r>
      <w:r w:rsidR="005C7EB8" w:rsidRPr="001F6603">
        <w:rPr>
          <w:rFonts w:ascii="Book Antiqua" w:hAnsi="Book Antiqua"/>
        </w:rPr>
        <w:t xml:space="preserve">operative </w:t>
      </w:r>
      <w:r w:rsidRPr="001F6603">
        <w:rPr>
          <w:rFonts w:ascii="Book Antiqua" w:hAnsi="Book Antiqua"/>
        </w:rPr>
        <w:t>follow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up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3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(20</w:t>
      </w:r>
      <w:r w:rsidR="00AD5FD8" w:rsidRPr="001F6603">
        <w:rPr>
          <w:rFonts w:ascii="Book Antiqua" w:hAnsi="Book Antiqua"/>
        </w:rPr>
        <w:t>-</w:t>
      </w:r>
      <w:r w:rsidRPr="001F6603">
        <w:rPr>
          <w:rFonts w:ascii="Book Antiqua" w:hAnsi="Book Antiqua"/>
        </w:rPr>
        <w:t>26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mo,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T4).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each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sampling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period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varied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somewhat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each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instrument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unknown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reasons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(T1,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  <w:i/>
          <w:iCs/>
        </w:rPr>
        <w:t>n</w:t>
      </w:r>
      <w:r w:rsidR="0043237C" w:rsidRPr="001F6603">
        <w:rPr>
          <w:rFonts w:ascii="Book Antiqua" w:hAnsi="Book Antiqua"/>
        </w:rPr>
        <w:t xml:space="preserve"> </w:t>
      </w:r>
      <w:r w:rsidR="005C7EB8" w:rsidRPr="001F6603">
        <w:rPr>
          <w:rFonts w:ascii="Book Antiqua" w:hAnsi="Book Antiqua"/>
        </w:rPr>
        <w:t>&gt;&gt;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130.25</w:t>
      </w:r>
      <w:r w:rsidR="005C7EB8" w:rsidRPr="001F6603">
        <w:rPr>
          <w:rFonts w:ascii="Book Antiqua" w:hAnsi="Book Antiqua"/>
        </w:rPr>
        <w:t>;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T2,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  <w:i/>
          <w:iCs/>
        </w:rPr>
        <w:t>n</w:t>
      </w:r>
      <w:r w:rsidR="0043237C" w:rsidRPr="001F6603">
        <w:rPr>
          <w:rFonts w:ascii="Book Antiqua" w:hAnsi="Book Antiqua"/>
        </w:rPr>
        <w:t xml:space="preserve"> </w:t>
      </w:r>
      <w:r w:rsidR="005C7EB8" w:rsidRPr="001F6603">
        <w:rPr>
          <w:rFonts w:ascii="Book Antiqua" w:hAnsi="Book Antiqua"/>
        </w:rPr>
        <w:t>&gt;&gt;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104</w:t>
      </w:r>
      <w:r w:rsidR="005C7EB8" w:rsidRPr="001F6603">
        <w:rPr>
          <w:rFonts w:ascii="Book Antiqua" w:hAnsi="Book Antiqua"/>
        </w:rPr>
        <w:t>;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T3,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  <w:i/>
          <w:iCs/>
        </w:rPr>
        <w:t>n</w:t>
      </w:r>
      <w:r w:rsidR="0043237C" w:rsidRPr="001F6603">
        <w:rPr>
          <w:rFonts w:ascii="Book Antiqua" w:hAnsi="Book Antiqua"/>
        </w:rPr>
        <w:t xml:space="preserve"> </w:t>
      </w:r>
      <w:r w:rsidR="005C7EB8" w:rsidRPr="001F6603">
        <w:rPr>
          <w:rFonts w:ascii="Book Antiqua" w:hAnsi="Book Antiqua"/>
        </w:rPr>
        <w:t>&gt;&gt;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54.25</w:t>
      </w:r>
      <w:r w:rsidR="005C7EB8" w:rsidRPr="001F6603">
        <w:rPr>
          <w:rFonts w:ascii="Book Antiqua" w:hAnsi="Book Antiqua"/>
        </w:rPr>
        <w:t>;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T4,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  <w:i/>
          <w:iCs/>
        </w:rPr>
        <w:t>n</w:t>
      </w:r>
      <w:r w:rsidR="0043237C" w:rsidRPr="001F6603">
        <w:rPr>
          <w:rFonts w:ascii="Book Antiqua" w:hAnsi="Book Antiqua"/>
        </w:rPr>
        <w:t xml:space="preserve"> </w:t>
      </w:r>
      <w:r w:rsidR="005C7EB8" w:rsidRPr="001F6603">
        <w:rPr>
          <w:rFonts w:ascii="Book Antiqua" w:hAnsi="Book Antiqua"/>
        </w:rPr>
        <w:t>&gt;&gt;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9).</w:t>
      </w:r>
      <w:r w:rsidR="009A03E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T4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time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point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removed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from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analysis.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overall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follow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up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58%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T1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T3.</w:t>
      </w:r>
    </w:p>
    <w:p w:rsidR="00101811" w:rsidRPr="001F6603" w:rsidRDefault="00367ED8" w:rsidP="00AD5FD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Table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3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shows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summary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measures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taken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cohort.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VAS,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KOOS-Pain,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KOOS-ADL,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KOOS-QOL-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improved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overall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each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interval.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EQ5D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improved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T1</w:t>
      </w:r>
      <w:r w:rsidR="0043237C" w:rsidRPr="001F6603">
        <w:rPr>
          <w:rFonts w:ascii="Book Antiqua" w:hAnsi="Book Antiqua"/>
        </w:rPr>
        <w:t xml:space="preserve"> </w:t>
      </w:r>
      <w:r w:rsidR="005C7EB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T2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but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improve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T2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T3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overall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from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T1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T3.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Both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EQ5D-VAS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KOOS-Sport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showed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overall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improvements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from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T1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T3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but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interval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improvements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KOOS-Symptom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improved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T1</w:t>
      </w:r>
      <w:r w:rsidR="0043237C" w:rsidRPr="001F6603">
        <w:rPr>
          <w:rFonts w:ascii="Book Antiqua" w:hAnsi="Book Antiqua"/>
        </w:rPr>
        <w:t xml:space="preserve"> </w:t>
      </w:r>
      <w:r w:rsidR="005C7EB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T2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overall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period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T1-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T3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but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change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T2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T3.</w:t>
      </w:r>
      <w:r w:rsidR="0043237C" w:rsidRPr="001F6603">
        <w:rPr>
          <w:rFonts w:ascii="Book Antiqua" w:hAnsi="Book Antiqua"/>
        </w:rPr>
        <w:t xml:space="preserve"> </w:t>
      </w:r>
    </w:p>
    <w:p w:rsidR="00101811" w:rsidRPr="001F6603" w:rsidRDefault="00367ED8" w:rsidP="00AD5FD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Evaluation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demographic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variables,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psychometric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scales,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catastrophizing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scale,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expectations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  <w:i/>
          <w:iCs/>
        </w:rPr>
        <w:t>vs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cohort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revealed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despite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demonstrated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variations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from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multiple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sources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cohort,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subjects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evaluated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through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9–14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post-operative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period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show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disparate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(data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shown).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Further,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higher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likelihood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dropout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based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characteristics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evaluated.</w:t>
      </w:r>
      <w:r w:rsidR="0043237C" w:rsidRPr="001F6603">
        <w:rPr>
          <w:rFonts w:ascii="Book Antiqua" w:hAnsi="Book Antiqua"/>
        </w:rPr>
        <w:t xml:space="preserve"> </w:t>
      </w:r>
    </w:p>
    <w:p w:rsidR="00101811" w:rsidRPr="001F6603" w:rsidRDefault="005C7EB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 xml:space="preserve"> 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71593A" w:rsidRPr="001F6603">
        <w:rPr>
          <w:rFonts w:ascii="Book Antiqua" w:hAnsi="Book Antiqua"/>
        </w:rPr>
        <w:t>statics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methods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this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reviewed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Dr.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Annamarie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Horan,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Director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Clinical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Research,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University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Pennsylvania,</w:t>
      </w:r>
      <w:r w:rsidR="0043237C" w:rsidRPr="001F6603">
        <w:rPr>
          <w:rFonts w:ascii="Book Antiqua" w:hAnsi="Book Antiqua"/>
        </w:rPr>
        <w:t xml:space="preserve"> </w:t>
      </w:r>
      <w:proofErr w:type="gramStart"/>
      <w:r w:rsidR="00367ED8" w:rsidRPr="001F6603">
        <w:rPr>
          <w:rFonts w:ascii="Book Antiqua" w:hAnsi="Book Antiqua"/>
        </w:rPr>
        <w:t>Department</w:t>
      </w:r>
      <w:proofErr w:type="gramEnd"/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proofErr w:type="spellStart"/>
      <w:r w:rsidR="00367ED8" w:rsidRPr="001F6603">
        <w:rPr>
          <w:rFonts w:ascii="Book Antiqua" w:hAnsi="Book Antiqua"/>
        </w:rPr>
        <w:t>Orthopaedic</w:t>
      </w:r>
      <w:proofErr w:type="spellEnd"/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Surgery.</w:t>
      </w:r>
      <w:r w:rsidR="0043237C" w:rsidRPr="001F6603">
        <w:rPr>
          <w:rFonts w:ascii="Book Antiqua" w:hAnsi="Book Antiqua"/>
        </w:rPr>
        <w:t xml:space="preserve"> </w:t>
      </w:r>
    </w:p>
    <w:p w:rsidR="00101811" w:rsidRPr="001F6603" w:rsidRDefault="0043237C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 xml:space="preserve"> </w:t>
      </w:r>
    </w:p>
    <w:p w:rsidR="00D05C8F" w:rsidRPr="001F6603" w:rsidRDefault="00D05C8F" w:rsidP="004A4CEB">
      <w:pPr>
        <w:adjustRightInd w:val="0"/>
        <w:snapToGrid w:val="0"/>
        <w:spacing w:line="360" w:lineRule="auto"/>
        <w:jc w:val="both"/>
        <w:rPr>
          <w:rFonts w:ascii="Book Antiqua" w:eastAsia="宋体" w:hAnsi="Book Antiqua" w:cs="Calibri"/>
          <w:b/>
          <w:u w:val="single"/>
          <w:lang w:eastAsia="en-US"/>
        </w:rPr>
      </w:pPr>
      <w:bookmarkStart w:id="30" w:name="_Hlk27141721"/>
      <w:r w:rsidRPr="001F6603">
        <w:rPr>
          <w:rFonts w:ascii="Book Antiqua" w:eastAsia="宋体" w:hAnsi="Book Antiqua" w:cs="Arial"/>
          <w:b/>
          <w:u w:val="single"/>
          <w:lang w:eastAsia="en-US"/>
        </w:rPr>
        <w:t>DISCUSSION</w:t>
      </w:r>
    </w:p>
    <w:bookmarkEnd w:id="30"/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lastRenderedPageBreak/>
        <w:t>This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explored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role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gender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race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play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expectations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postoperative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reported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scores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following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Previous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identified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explored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utilization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disparities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associated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race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gender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exploring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both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provider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factors.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focuses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expectations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pre-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post-surgery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characteristics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such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social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support,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catastrophizing,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depression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their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lives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played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role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results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offer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additional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understanding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race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gender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disparities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associated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Lower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expectations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could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lead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lower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utilization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decreased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desire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pursue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Lower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expectations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lead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poorer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satisfaction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="00A34B9D" w:rsidRPr="001F6603">
        <w:rPr>
          <w:rFonts w:ascii="Book Antiqua" w:hAnsi="Book Antiqua"/>
        </w:rPr>
        <w:t>self-fulfilling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prophesy,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other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hand,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lower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expectations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lead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better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improved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satisfaction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consequence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results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far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better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anticipated.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However,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found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related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</w:t>
      </w:r>
      <w:r w:rsidR="00DE13DD" w:rsidRPr="001F6603">
        <w:rPr>
          <w:rFonts w:ascii="Book Antiqua" w:hAnsi="Book Antiqua"/>
        </w:rPr>
        <w:t>-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post-operative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expectations.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Even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though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highly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successful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cost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effective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lower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and/or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later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utilization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blacks,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Latinos,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lower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income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individuals,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women.</w:t>
      </w:r>
      <w:r w:rsidR="0043237C" w:rsidRPr="001F6603">
        <w:rPr>
          <w:rFonts w:ascii="Book Antiqua" w:hAnsi="Book Antiqua"/>
        </w:rPr>
        <w:t xml:space="preserve"> </w:t>
      </w:r>
    </w:p>
    <w:p w:rsidR="00101811" w:rsidRPr="001F6603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  <w:b/>
          <w:i/>
          <w:iCs/>
        </w:rPr>
      </w:pPr>
      <w:r w:rsidRPr="001F6603">
        <w:rPr>
          <w:rFonts w:ascii="Book Antiqua" w:hAnsi="Book Antiqua"/>
          <w:b/>
          <w:i/>
          <w:iCs/>
        </w:rPr>
        <w:t>Social</w:t>
      </w:r>
      <w:r w:rsidR="0043237C" w:rsidRPr="001F6603">
        <w:rPr>
          <w:rFonts w:ascii="Book Antiqua" w:hAnsi="Book Antiqua"/>
          <w:b/>
          <w:i/>
          <w:iCs/>
        </w:rPr>
        <w:t xml:space="preserve"> </w:t>
      </w:r>
      <w:r w:rsidR="00DE13DD" w:rsidRPr="001F6603">
        <w:rPr>
          <w:rFonts w:ascii="Book Antiqua" w:hAnsi="Book Antiqua"/>
          <w:b/>
          <w:i/>
          <w:iCs/>
        </w:rPr>
        <w:t>support</w:t>
      </w:r>
    </w:p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Undergoing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surgery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choosing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undergo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surgery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cause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many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added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stress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due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lack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control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predictability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during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this</w:t>
      </w:r>
      <w:r w:rsidR="0043237C" w:rsidRPr="001F6603">
        <w:rPr>
          <w:rFonts w:ascii="Book Antiqua" w:hAnsi="Book Antiqua"/>
        </w:rPr>
        <w:t xml:space="preserve"> </w:t>
      </w:r>
      <w:proofErr w:type="gramStart"/>
      <w:r w:rsidRPr="001F6603">
        <w:rPr>
          <w:rFonts w:ascii="Book Antiqua" w:hAnsi="Book Antiqua"/>
        </w:rPr>
        <w:t>time</w:t>
      </w:r>
      <w:r w:rsidR="005C7EB8" w:rsidRPr="001F6603">
        <w:rPr>
          <w:rFonts w:ascii="Book Antiqua" w:hAnsi="Book Antiqua"/>
          <w:vertAlign w:val="superscript"/>
        </w:rPr>
        <w:t>[</w:t>
      </w:r>
      <w:proofErr w:type="gramEnd"/>
      <w:r w:rsidR="005C7EB8" w:rsidRPr="001F6603">
        <w:rPr>
          <w:rFonts w:ascii="Book Antiqua" w:hAnsi="Book Antiqua"/>
          <w:vertAlign w:val="superscript"/>
        </w:rPr>
        <w:t>6]</w:t>
      </w:r>
      <w:r w:rsidRPr="001F6603">
        <w:rPr>
          <w:rFonts w:ascii="Book Antiqua" w:hAnsi="Book Antiqua"/>
        </w:rPr>
        <w:t>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looked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potential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role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social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support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plays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both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post-operatively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which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effect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expectations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2005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study,</w:t>
      </w:r>
      <w:r w:rsidR="0043237C" w:rsidRPr="001F6603">
        <w:rPr>
          <w:rFonts w:ascii="Book Antiqua" w:hAnsi="Book Antiqua"/>
        </w:rPr>
        <w:t xml:space="preserve"> </w:t>
      </w:r>
      <w:proofErr w:type="spellStart"/>
      <w:r w:rsidRPr="001F6603">
        <w:rPr>
          <w:rFonts w:ascii="Book Antiqua" w:hAnsi="Book Antiqua"/>
        </w:rPr>
        <w:t>Khrohne</w:t>
      </w:r>
      <w:proofErr w:type="spellEnd"/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  <w:i/>
        </w:rPr>
        <w:t>et</w:t>
      </w:r>
      <w:r w:rsidR="0043237C" w:rsidRPr="001F6603">
        <w:rPr>
          <w:rFonts w:ascii="Book Antiqua" w:hAnsi="Book Antiqua"/>
          <w:i/>
        </w:rPr>
        <w:t xml:space="preserve"> </w:t>
      </w:r>
      <w:r w:rsidRPr="001F6603">
        <w:rPr>
          <w:rFonts w:ascii="Book Antiqua" w:hAnsi="Book Antiqua"/>
          <w:i/>
        </w:rPr>
        <w:t>al</w:t>
      </w:r>
      <w:r w:rsidR="0043237C" w:rsidRPr="001F6603">
        <w:rPr>
          <w:rFonts w:ascii="Book Antiqua" w:hAnsi="Book Antiqua"/>
          <w:i/>
        </w:rPr>
        <w:t xml:space="preserve"> </w:t>
      </w:r>
      <w:r w:rsidRPr="001F6603">
        <w:rPr>
          <w:rFonts w:ascii="Book Antiqua" w:hAnsi="Book Antiqua"/>
        </w:rPr>
        <w:t>investigated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influence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social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support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indicators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perioperative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adaptation,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specifically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perceived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accessibility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emotional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informational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support.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reported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women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low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support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anxiety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compared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men.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addition,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length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scored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below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median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stayed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longer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expected,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resulting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1.42</w:t>
      </w:r>
      <w:r w:rsidR="0043237C" w:rsidRPr="001F6603">
        <w:rPr>
          <w:rFonts w:ascii="Book Antiqua" w:hAnsi="Book Antiqua"/>
        </w:rPr>
        <w:t xml:space="preserve"> </w:t>
      </w:r>
      <w:proofErr w:type="gramStart"/>
      <w:r w:rsidR="00984263" w:rsidRPr="001F6603">
        <w:rPr>
          <w:rFonts w:ascii="Book Antiqua" w:hAnsi="Book Antiqua"/>
        </w:rPr>
        <w:t>d</w:t>
      </w:r>
      <w:r w:rsidR="00984263" w:rsidRPr="001F6603">
        <w:rPr>
          <w:rFonts w:ascii="Book Antiqua" w:hAnsi="Book Antiqua"/>
          <w:vertAlign w:val="superscript"/>
        </w:rPr>
        <w:t>[</w:t>
      </w:r>
      <w:proofErr w:type="gramEnd"/>
      <w:r w:rsidR="00984263" w:rsidRPr="001F6603">
        <w:rPr>
          <w:rFonts w:ascii="Book Antiqua" w:hAnsi="Book Antiqua"/>
          <w:vertAlign w:val="superscript"/>
        </w:rPr>
        <w:t>6]</w:t>
      </w:r>
      <w:r w:rsidR="00984263" w:rsidRPr="001F6603">
        <w:rPr>
          <w:rFonts w:ascii="Book Antiqua" w:hAnsi="Book Antiqua"/>
        </w:rPr>
        <w:t>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Vina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  <w:i/>
          <w:iCs/>
        </w:rPr>
        <w:t>et</w:t>
      </w:r>
      <w:r w:rsidR="0043237C" w:rsidRPr="001F6603">
        <w:rPr>
          <w:rFonts w:ascii="Book Antiqua" w:hAnsi="Book Antiqua"/>
          <w:i/>
          <w:iCs/>
        </w:rPr>
        <w:t xml:space="preserve"> </w:t>
      </w:r>
      <w:proofErr w:type="gramStart"/>
      <w:r w:rsidRPr="001F6603">
        <w:rPr>
          <w:rFonts w:ascii="Book Antiqua" w:hAnsi="Book Antiqua"/>
          <w:i/>
          <w:iCs/>
        </w:rPr>
        <w:t>al</w:t>
      </w:r>
      <w:r w:rsidR="001269FF" w:rsidRPr="001F6603">
        <w:rPr>
          <w:rFonts w:ascii="Book Antiqua" w:hAnsi="Book Antiqua"/>
          <w:vertAlign w:val="superscript"/>
        </w:rPr>
        <w:t>[</w:t>
      </w:r>
      <w:proofErr w:type="gramEnd"/>
      <w:r w:rsidR="001269FF" w:rsidRPr="001F6603">
        <w:rPr>
          <w:rFonts w:ascii="Book Antiqua" w:hAnsi="Book Antiqua"/>
          <w:vertAlign w:val="superscript"/>
        </w:rPr>
        <w:t>7]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studied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role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lastRenderedPageBreak/>
        <w:t>social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support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dealing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race,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gender,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total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knee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replacements.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surveyed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514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285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American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undergoing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total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knee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replacements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found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compared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whites,</w:t>
      </w:r>
      <w:r w:rsidR="0043237C" w:rsidRPr="001F6603">
        <w:rPr>
          <w:rFonts w:ascii="Book Antiqua" w:hAnsi="Book Antiqua"/>
        </w:rPr>
        <w:t xml:space="preserve"> </w:t>
      </w:r>
      <w:r w:rsidR="001269FF" w:rsidRPr="001F6603">
        <w:rPr>
          <w:rFonts w:ascii="Book Antiqua" w:hAnsi="Book Antiqua"/>
        </w:rPr>
        <w:t xml:space="preserve">African American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likely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married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overall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less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emotional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support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structures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also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less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likely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consider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surgery.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However,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association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social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support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willingness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undergo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1269FF" w:rsidRPr="001F6603">
        <w:rPr>
          <w:rFonts w:ascii="Book Antiqua" w:hAnsi="Book Antiqua"/>
        </w:rPr>
        <w:t xml:space="preserve">African American </w:t>
      </w:r>
      <w:r w:rsidRPr="001F6603">
        <w:rPr>
          <w:rFonts w:ascii="Book Antiqua" w:hAnsi="Book Antiqua"/>
        </w:rPr>
        <w:t>patients</w:t>
      </w:r>
      <w:r w:rsidR="00984263" w:rsidRPr="001F6603">
        <w:rPr>
          <w:rFonts w:ascii="Book Antiqua" w:hAnsi="Book Antiqua"/>
        </w:rPr>
        <w:t>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cohort,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whose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relationship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status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“partner”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“significant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other”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experienced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increase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helplessness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magnification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those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“single”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“divorced”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which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lead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believe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social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support,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relationship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status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doesn't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alleviate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certain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stressors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expected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from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similar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studies</w:t>
      </w:r>
      <w:r w:rsidR="00984263" w:rsidRPr="001F6603">
        <w:rPr>
          <w:rFonts w:ascii="Book Antiqua" w:hAnsi="Book Antiqua"/>
          <w:vertAlign w:val="superscript"/>
        </w:rPr>
        <w:t>[6,7]</w:t>
      </w:r>
      <w:r w:rsidR="00984263" w:rsidRPr="001F6603">
        <w:rPr>
          <w:rFonts w:ascii="Book Antiqua" w:hAnsi="Book Antiqua"/>
        </w:rPr>
        <w:t>.</w:t>
      </w:r>
    </w:p>
    <w:p w:rsidR="00A34B9D" w:rsidRPr="001F6603" w:rsidRDefault="00A34B9D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  <w:b/>
          <w:i/>
          <w:iCs/>
        </w:rPr>
      </w:pPr>
      <w:r w:rsidRPr="001F6603">
        <w:rPr>
          <w:rFonts w:ascii="Book Antiqua" w:hAnsi="Book Antiqua"/>
          <w:b/>
          <w:i/>
          <w:iCs/>
        </w:rPr>
        <w:t>Pain</w:t>
      </w:r>
      <w:r w:rsidR="0043237C" w:rsidRPr="001F6603">
        <w:rPr>
          <w:rFonts w:ascii="Book Antiqua" w:hAnsi="Book Antiqua"/>
          <w:b/>
          <w:i/>
          <w:iCs/>
        </w:rPr>
        <w:t xml:space="preserve"> </w:t>
      </w:r>
      <w:r w:rsidR="00DE13DD" w:rsidRPr="001F6603">
        <w:rPr>
          <w:rFonts w:ascii="Book Antiqua" w:hAnsi="Book Antiqua"/>
          <w:b/>
          <w:i/>
          <w:iCs/>
        </w:rPr>
        <w:t>catastrophizing</w:t>
      </w:r>
    </w:p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Expectations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surgery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influenced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many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elements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patient's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life.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Like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social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support,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catastrophizing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play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role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expectations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experience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undergoing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catastrophizing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act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magnifying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threat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value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stimulus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feel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helpless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relation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also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linked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many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clinical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related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including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measure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severity,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related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activity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interference,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depression,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disability,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increased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behavioral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expressions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illness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behaviors</w:t>
      </w:r>
      <w:r w:rsidR="00984263" w:rsidRPr="001F6603">
        <w:rPr>
          <w:rFonts w:ascii="Book Antiqua" w:hAnsi="Book Antiqua"/>
          <w:vertAlign w:val="superscript"/>
        </w:rPr>
        <w:t>[8]</w:t>
      </w:r>
      <w:r w:rsidR="00984263" w:rsidRPr="001F6603">
        <w:rPr>
          <w:rFonts w:ascii="Book Antiqua" w:hAnsi="Book Antiqua"/>
        </w:rPr>
        <w:t>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analyses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catastrophizing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looking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magnification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helplessness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looked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American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comparison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Caucasian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increase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both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levels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magnification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helplessness,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which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identifies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Americans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experiencing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catastrophizing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Caucasians.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Americans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experienced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catastrophizing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more,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Hispanics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experienced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highest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levels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catastrophizing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addition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catastrophizing,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Americans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Hispanics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experienced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higher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levels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depression,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which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consequence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their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relationship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pain.</w:t>
      </w:r>
      <w:r w:rsidR="0043237C" w:rsidRPr="001F6603">
        <w:rPr>
          <w:rFonts w:ascii="Book Antiqua" w:hAnsi="Book Antiqua"/>
        </w:rPr>
        <w:t xml:space="preserve"> </w:t>
      </w:r>
    </w:p>
    <w:p w:rsidR="00101811" w:rsidRPr="001F6603" w:rsidRDefault="00367ED8" w:rsidP="00A446A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lastRenderedPageBreak/>
        <w:t>Many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suggested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pre-surgical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catastrophizing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predicts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poorer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recovery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from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2011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Fabian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  <w:i/>
          <w:iCs/>
        </w:rPr>
        <w:t>et</w:t>
      </w:r>
      <w:r w:rsidR="0043237C" w:rsidRPr="001F6603">
        <w:rPr>
          <w:rFonts w:ascii="Book Antiqua" w:hAnsi="Book Antiqua"/>
          <w:i/>
          <w:iCs/>
        </w:rPr>
        <w:t xml:space="preserve"> </w:t>
      </w:r>
      <w:proofErr w:type="gramStart"/>
      <w:r w:rsidRPr="001F6603">
        <w:rPr>
          <w:rFonts w:ascii="Book Antiqua" w:hAnsi="Book Antiqua"/>
          <w:i/>
          <w:iCs/>
        </w:rPr>
        <w:t>al</w:t>
      </w:r>
      <w:r w:rsidR="005C7EB8" w:rsidRPr="001F6603">
        <w:rPr>
          <w:rFonts w:ascii="Book Antiqua" w:hAnsi="Book Antiqua"/>
          <w:vertAlign w:val="superscript"/>
        </w:rPr>
        <w:t>[</w:t>
      </w:r>
      <w:proofErr w:type="gramEnd"/>
      <w:r w:rsidR="005C7EB8" w:rsidRPr="001F6603">
        <w:rPr>
          <w:rFonts w:ascii="Book Antiqua" w:hAnsi="Book Antiqua"/>
          <w:vertAlign w:val="superscript"/>
        </w:rPr>
        <w:t>9]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examined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differences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responses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ethnicity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62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participants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ages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18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25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completed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screening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questionnaires.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Similar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results,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showed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Americans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Asian/Pacific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Islanders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reported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greater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intensity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Caucasians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Americans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also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reported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greater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situational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catastrophizing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comparison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Caucasians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Asian/Pacific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Islander</w:t>
      </w:r>
      <w:r w:rsidR="00984263" w:rsidRPr="001F6603">
        <w:rPr>
          <w:rFonts w:ascii="Book Antiqua" w:hAnsi="Book Antiqua"/>
        </w:rPr>
        <w:t>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="00A34B9D" w:rsidRPr="001F6603">
        <w:rPr>
          <w:rFonts w:ascii="Book Antiqua" w:hAnsi="Book Antiqua"/>
        </w:rPr>
        <w:t>meta-analysis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by</w:t>
      </w:r>
      <w:r w:rsidR="0043237C" w:rsidRPr="001F6603">
        <w:rPr>
          <w:rFonts w:ascii="Book Antiqua" w:hAnsi="Book Antiqua"/>
        </w:rPr>
        <w:t xml:space="preserve"> </w:t>
      </w:r>
      <w:proofErr w:type="spellStart"/>
      <w:r w:rsidRPr="001F6603">
        <w:rPr>
          <w:rFonts w:ascii="Book Antiqua" w:hAnsi="Book Antiqua"/>
        </w:rPr>
        <w:t>Meints</w:t>
      </w:r>
      <w:proofErr w:type="spellEnd"/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  <w:i/>
          <w:iCs/>
        </w:rPr>
        <w:t>et</w:t>
      </w:r>
      <w:r w:rsidR="0043237C" w:rsidRPr="001F6603">
        <w:rPr>
          <w:rFonts w:ascii="Book Antiqua" w:hAnsi="Book Antiqua"/>
          <w:i/>
          <w:iCs/>
        </w:rPr>
        <w:t xml:space="preserve"> </w:t>
      </w:r>
      <w:proofErr w:type="gramStart"/>
      <w:r w:rsidRPr="001F6603">
        <w:rPr>
          <w:rFonts w:ascii="Book Antiqua" w:hAnsi="Book Antiqua"/>
          <w:i/>
          <w:iCs/>
        </w:rPr>
        <w:t>al</w:t>
      </w:r>
      <w:r w:rsidR="005C7EB8" w:rsidRPr="001F6603">
        <w:rPr>
          <w:rFonts w:ascii="Book Antiqua" w:hAnsi="Book Antiqua"/>
          <w:vertAlign w:val="superscript"/>
        </w:rPr>
        <w:t>[</w:t>
      </w:r>
      <w:proofErr w:type="gramEnd"/>
      <w:r w:rsidR="005C7EB8" w:rsidRPr="001F6603">
        <w:rPr>
          <w:rFonts w:ascii="Book Antiqua" w:hAnsi="Book Antiqua"/>
          <w:vertAlign w:val="superscript"/>
        </w:rPr>
        <w:t>10]</w:t>
      </w:r>
      <w:r w:rsidRPr="001F6603">
        <w:rPr>
          <w:rFonts w:ascii="Book Antiqua" w:hAnsi="Book Antiqua"/>
        </w:rPr>
        <w:t>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19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analyzed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compare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differences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coping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black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Americans.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reported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black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individuals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used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coping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strategies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like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praying,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often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individuals,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also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catastrophizing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often</w:t>
      </w:r>
      <w:r w:rsidR="00984263" w:rsidRPr="001F6603">
        <w:rPr>
          <w:rFonts w:ascii="Book Antiqua" w:hAnsi="Book Antiqua"/>
        </w:rPr>
        <w:t>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Similarly,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women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found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also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catastrophize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often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compared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increased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intensity.</w:t>
      </w:r>
      <w:r w:rsidR="0043237C" w:rsidRPr="001F6603">
        <w:rPr>
          <w:rFonts w:ascii="Book Antiqua" w:hAnsi="Book Antiqua"/>
        </w:rPr>
        <w:t xml:space="preserve"> </w:t>
      </w:r>
    </w:p>
    <w:p w:rsidR="00101811" w:rsidRPr="001F6603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1F6603">
        <w:rPr>
          <w:rFonts w:ascii="Book Antiqua" w:hAnsi="Book Antiqua"/>
          <w:b/>
          <w:i/>
          <w:iCs/>
        </w:rPr>
        <w:t>Disparities</w:t>
      </w:r>
      <w:r w:rsidR="0043237C" w:rsidRPr="001F6603">
        <w:rPr>
          <w:rFonts w:ascii="Book Antiqua" w:hAnsi="Book Antiqua"/>
          <w:b/>
          <w:i/>
          <w:iCs/>
        </w:rPr>
        <w:t xml:space="preserve"> </w:t>
      </w:r>
      <w:r w:rsidRPr="001F6603">
        <w:rPr>
          <w:rFonts w:ascii="Book Antiqua" w:hAnsi="Book Antiqua"/>
          <w:b/>
          <w:i/>
          <w:iCs/>
        </w:rPr>
        <w:t>in</w:t>
      </w:r>
      <w:r w:rsidR="0043237C" w:rsidRPr="001F6603">
        <w:rPr>
          <w:rFonts w:ascii="Book Antiqua" w:hAnsi="Book Antiqua"/>
          <w:b/>
          <w:i/>
          <w:iCs/>
        </w:rPr>
        <w:t xml:space="preserve"> </w:t>
      </w:r>
      <w:r w:rsidRPr="001F6603">
        <w:rPr>
          <w:rFonts w:ascii="Book Antiqua" w:hAnsi="Book Antiqua"/>
          <w:b/>
          <w:i/>
          <w:iCs/>
        </w:rPr>
        <w:t>TKA</w:t>
      </w:r>
    </w:p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tried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find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underlying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reasons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variables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disparities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observe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narrowed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down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potential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explanations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racial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gender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disparities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following: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Societal/socioeconomic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factors,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clinician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health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provider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factors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(bias,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communication,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perception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poorer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outcomes),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factors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(preferences,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expectations,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health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literacy,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trust,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burden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disease,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comorbidities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precluding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bias/communication).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Goodman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  <w:i/>
        </w:rPr>
        <w:t>et</w:t>
      </w:r>
      <w:r w:rsidR="0043237C" w:rsidRPr="001F6603">
        <w:rPr>
          <w:rFonts w:ascii="Book Antiqua" w:hAnsi="Book Antiqua"/>
          <w:i/>
        </w:rPr>
        <w:t xml:space="preserve"> </w:t>
      </w:r>
      <w:r w:rsidRPr="001F6603">
        <w:rPr>
          <w:rFonts w:ascii="Book Antiqua" w:hAnsi="Book Antiqua"/>
          <w:i/>
        </w:rPr>
        <w:t>a</w:t>
      </w:r>
      <w:r w:rsidR="00796EF0" w:rsidRPr="001F6603">
        <w:rPr>
          <w:rFonts w:ascii="Book Antiqua" w:hAnsi="Book Antiqua"/>
          <w:i/>
        </w:rPr>
        <w:t>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conducted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retrospective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undergoing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2007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2011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assess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association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race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socioeconomic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factors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dealing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patient-reported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after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New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York,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New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Jersey,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Connecticut.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their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analysis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confirmed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black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worse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WOMAC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function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after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compared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states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2-year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follow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up.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found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heavily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associated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census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tract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poverty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level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especially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pointing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black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living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impoverished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communities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resulted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WOMAC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lastRenderedPageBreak/>
        <w:t>function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scores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7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8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points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lower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black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living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wealthier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communities</w:t>
      </w:r>
      <w:r w:rsidR="00984263" w:rsidRPr="001F6603">
        <w:rPr>
          <w:rFonts w:ascii="Book Antiqua" w:hAnsi="Book Antiqua"/>
          <w:vertAlign w:val="superscript"/>
        </w:rPr>
        <w:t>[11]</w:t>
      </w:r>
      <w:r w:rsidR="00984263" w:rsidRPr="001F6603">
        <w:rPr>
          <w:rFonts w:ascii="Book Antiqua" w:hAnsi="Book Antiqua"/>
        </w:rPr>
        <w:t>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found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female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sex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associated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worse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KOOS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symptoms,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activities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daily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living,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which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result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women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presenting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later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symptoms.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Women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also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experience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worse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after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due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pre-operative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factors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such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negative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mental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health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state,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poorer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due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late</w:t>
      </w:r>
      <w:r w:rsidR="0043237C" w:rsidRPr="001F6603">
        <w:rPr>
          <w:rFonts w:ascii="Book Antiqua" w:hAnsi="Book Antiqua"/>
        </w:rPr>
        <w:t xml:space="preserve"> </w:t>
      </w:r>
      <w:proofErr w:type="gramStart"/>
      <w:r w:rsidRPr="001F6603">
        <w:rPr>
          <w:rFonts w:ascii="Book Antiqua" w:hAnsi="Book Antiqua"/>
        </w:rPr>
        <w:t>presentation</w:t>
      </w:r>
      <w:r w:rsidR="00984263" w:rsidRPr="001F6603">
        <w:rPr>
          <w:rFonts w:ascii="Book Antiqua" w:hAnsi="Book Antiqua"/>
          <w:vertAlign w:val="superscript"/>
        </w:rPr>
        <w:t>[</w:t>
      </w:r>
      <w:proofErr w:type="gramEnd"/>
      <w:r w:rsidR="00984263" w:rsidRPr="001F6603">
        <w:rPr>
          <w:rFonts w:ascii="Book Antiqua" w:hAnsi="Book Antiqua"/>
          <w:vertAlign w:val="superscript"/>
        </w:rPr>
        <w:t>12]</w:t>
      </w:r>
      <w:r w:rsidR="00984263" w:rsidRPr="001F6603">
        <w:rPr>
          <w:rFonts w:ascii="Book Antiqua" w:hAnsi="Book Antiqua"/>
        </w:rPr>
        <w:t>.</w:t>
      </w:r>
    </w:p>
    <w:p w:rsidR="00101811" w:rsidRPr="001F6603" w:rsidRDefault="00367ED8" w:rsidP="00EF279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addition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socioeconomic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factors,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provider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factors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contributor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disparities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observed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Provider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factors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include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items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like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unconscious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bias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physicians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unconsciously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allow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certain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characteristics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dictate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their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methods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treatments.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Lopez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  <w:i/>
        </w:rPr>
        <w:t>et</w:t>
      </w:r>
      <w:r w:rsidR="0043237C" w:rsidRPr="001F6603">
        <w:rPr>
          <w:rFonts w:ascii="Book Antiqua" w:hAnsi="Book Antiqua"/>
          <w:i/>
        </w:rPr>
        <w:t xml:space="preserve"> </w:t>
      </w:r>
      <w:r w:rsidRPr="001F6603">
        <w:rPr>
          <w:rFonts w:ascii="Book Antiqua" w:hAnsi="Book Antiqua"/>
          <w:i/>
        </w:rPr>
        <w:t>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surveyed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596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knee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hip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determine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their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perception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access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referral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specialists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order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observe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possible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differences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referred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</w:t>
      </w:r>
      <w:r w:rsidR="0043237C" w:rsidRPr="001F6603">
        <w:rPr>
          <w:rFonts w:ascii="Book Antiqua" w:hAnsi="Book Antiqua"/>
        </w:rPr>
        <w:t xml:space="preserve"> </w:t>
      </w:r>
      <w:r w:rsidR="005C7EB8" w:rsidRPr="001F6603">
        <w:rPr>
          <w:rFonts w:ascii="Book Antiqua" w:hAnsi="Book Antiqua"/>
        </w:rPr>
        <w:t>orthopedic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rheumatology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specialist.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differences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referred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specialists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often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their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black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counterparts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24.2%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  <w:i/>
          <w:iCs/>
        </w:rPr>
        <w:t>vs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17.4%</w:t>
      </w:r>
      <w:r w:rsidR="0043237C" w:rsidRPr="001F6603">
        <w:rPr>
          <w:rFonts w:ascii="Book Antiqua" w:hAnsi="Book Antiqua"/>
        </w:rPr>
        <w:t xml:space="preserve"> </w:t>
      </w:r>
      <w:proofErr w:type="gramStart"/>
      <w:r w:rsidRPr="001F6603">
        <w:rPr>
          <w:rFonts w:ascii="Book Antiqua" w:hAnsi="Book Antiqua"/>
        </w:rPr>
        <w:t>respectively</w:t>
      </w:r>
      <w:r w:rsidR="00984263" w:rsidRPr="001F6603">
        <w:rPr>
          <w:rFonts w:ascii="Book Antiqua" w:hAnsi="Book Antiqua"/>
          <w:vertAlign w:val="superscript"/>
        </w:rPr>
        <w:t>[</w:t>
      </w:r>
      <w:proofErr w:type="gramEnd"/>
      <w:r w:rsidR="00984263" w:rsidRPr="001F6603">
        <w:rPr>
          <w:rFonts w:ascii="Book Antiqua" w:hAnsi="Book Antiqua"/>
          <w:vertAlign w:val="superscript"/>
        </w:rPr>
        <w:t>13]</w:t>
      </w:r>
      <w:r w:rsidR="00984263" w:rsidRPr="001F6603">
        <w:rPr>
          <w:rFonts w:ascii="Book Antiqua" w:hAnsi="Book Antiqua"/>
        </w:rPr>
        <w:t>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by</w:t>
      </w:r>
      <w:r w:rsidR="0043237C" w:rsidRPr="001F6603">
        <w:rPr>
          <w:rFonts w:ascii="Book Antiqua" w:hAnsi="Book Antiqua"/>
        </w:rPr>
        <w:t xml:space="preserve"> </w:t>
      </w:r>
      <w:proofErr w:type="spellStart"/>
      <w:r w:rsidRPr="001F6603">
        <w:rPr>
          <w:rFonts w:ascii="Book Antiqua" w:hAnsi="Book Antiqua"/>
        </w:rPr>
        <w:t>Dy</w:t>
      </w:r>
      <w:proofErr w:type="spellEnd"/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  <w:i/>
          <w:iCs/>
        </w:rPr>
        <w:t>et</w:t>
      </w:r>
      <w:r w:rsidR="0043237C" w:rsidRPr="001F6603">
        <w:rPr>
          <w:rFonts w:ascii="Book Antiqua" w:hAnsi="Book Antiqua"/>
          <w:i/>
          <w:iCs/>
        </w:rPr>
        <w:t xml:space="preserve"> </w:t>
      </w:r>
      <w:proofErr w:type="gramStart"/>
      <w:r w:rsidRPr="001F6603">
        <w:rPr>
          <w:rFonts w:ascii="Book Antiqua" w:hAnsi="Book Antiqua"/>
          <w:i/>
          <w:iCs/>
        </w:rPr>
        <w:t>al</w:t>
      </w:r>
      <w:r w:rsidR="001269FF" w:rsidRPr="001F6603">
        <w:rPr>
          <w:rFonts w:ascii="Book Antiqua" w:hAnsi="Book Antiqua"/>
          <w:vertAlign w:val="superscript"/>
        </w:rPr>
        <w:t>[</w:t>
      </w:r>
      <w:proofErr w:type="gramEnd"/>
      <w:r w:rsidR="001269FF" w:rsidRPr="001F6603">
        <w:rPr>
          <w:rFonts w:ascii="Book Antiqua" w:hAnsi="Book Antiqua"/>
          <w:vertAlign w:val="superscript"/>
        </w:rPr>
        <w:t>14]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evaluated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effect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possible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surgeon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bias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dealing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recommendations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used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four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computerized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scenarios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combinations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black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female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stage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knee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OA.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similar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history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surgeons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asked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would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recommend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concluded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race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sex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associated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surgical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recommendation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percentages</w:t>
      </w:r>
      <w:r w:rsidR="00984263" w:rsidRPr="001F6603">
        <w:rPr>
          <w:rFonts w:ascii="Book Antiqua" w:hAnsi="Book Antiqua"/>
        </w:rPr>
        <w:t>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differences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observed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studies,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contrast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stages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patient-physician</w:t>
      </w:r>
      <w:r w:rsidR="0043237C" w:rsidRPr="001F6603">
        <w:rPr>
          <w:rFonts w:ascii="Book Antiqua" w:hAnsi="Book Antiqua"/>
        </w:rPr>
        <w:t xml:space="preserve"> </w:t>
      </w:r>
      <w:proofErr w:type="gramStart"/>
      <w:r w:rsidRPr="001F6603">
        <w:rPr>
          <w:rFonts w:ascii="Book Antiqua" w:hAnsi="Book Antiqua"/>
        </w:rPr>
        <w:t>interaction</w:t>
      </w:r>
      <w:r w:rsidR="00984263" w:rsidRPr="001F6603">
        <w:rPr>
          <w:rFonts w:ascii="Book Antiqua" w:hAnsi="Book Antiqua"/>
          <w:vertAlign w:val="superscript"/>
        </w:rPr>
        <w:t>[</w:t>
      </w:r>
      <w:proofErr w:type="gramEnd"/>
      <w:r w:rsidR="00984263" w:rsidRPr="001F6603">
        <w:rPr>
          <w:rFonts w:ascii="Book Antiqua" w:hAnsi="Book Antiqua"/>
          <w:vertAlign w:val="superscript"/>
        </w:rPr>
        <w:t>13]</w:t>
      </w:r>
      <w:r w:rsidR="00984263" w:rsidRPr="001F6603">
        <w:rPr>
          <w:rFonts w:ascii="Book Antiqua" w:hAnsi="Book Antiqua"/>
        </w:rPr>
        <w:t>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2008</w:t>
      </w:r>
      <w:r w:rsidR="0043237C" w:rsidRPr="001F6603">
        <w:rPr>
          <w:rFonts w:ascii="Book Antiqua" w:hAnsi="Book Antiqua"/>
        </w:rPr>
        <w:t xml:space="preserve"> </w:t>
      </w:r>
      <w:proofErr w:type="gramStart"/>
      <w:r w:rsidRPr="001F6603">
        <w:rPr>
          <w:rFonts w:ascii="Book Antiqua" w:hAnsi="Book Antiqua"/>
        </w:rPr>
        <w:t>study</w:t>
      </w:r>
      <w:r w:rsidR="001269FF" w:rsidRPr="001F6603">
        <w:rPr>
          <w:rFonts w:ascii="Book Antiqua" w:hAnsi="Book Antiqua"/>
          <w:vertAlign w:val="superscript"/>
        </w:rPr>
        <w:t>[</w:t>
      </w:r>
      <w:proofErr w:type="gramEnd"/>
      <w:r w:rsidR="001269FF" w:rsidRPr="001F6603">
        <w:rPr>
          <w:rFonts w:ascii="Book Antiqua" w:hAnsi="Book Antiqua"/>
          <w:vertAlign w:val="superscript"/>
        </w:rPr>
        <w:t>15]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71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physicians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(38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family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physicians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33</w:t>
      </w:r>
      <w:r w:rsidR="0043237C" w:rsidRPr="001F6603">
        <w:rPr>
          <w:rFonts w:ascii="Book Antiqua" w:hAnsi="Book Antiqua"/>
        </w:rPr>
        <w:t xml:space="preserve"> </w:t>
      </w:r>
      <w:proofErr w:type="spellStart"/>
      <w:r w:rsidRPr="001F6603">
        <w:rPr>
          <w:rFonts w:ascii="Book Antiqua" w:hAnsi="Book Antiqua"/>
        </w:rPr>
        <w:t>orthopaedic</w:t>
      </w:r>
      <w:proofErr w:type="spellEnd"/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surgeons),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67%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physicians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recommended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only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33%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recommended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female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984263" w:rsidRPr="001F6603">
        <w:rPr>
          <w:rFonts w:ascii="Book Antiqua" w:hAnsi="Book Antiqua"/>
        </w:rPr>
        <w:t>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Schulman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  <w:i/>
          <w:iCs/>
        </w:rPr>
        <w:t>et</w:t>
      </w:r>
      <w:r w:rsidR="0043237C" w:rsidRPr="001F6603">
        <w:rPr>
          <w:rFonts w:ascii="Book Antiqua" w:hAnsi="Book Antiqua"/>
          <w:i/>
          <w:iCs/>
        </w:rPr>
        <w:t xml:space="preserve"> </w:t>
      </w:r>
      <w:proofErr w:type="gramStart"/>
      <w:r w:rsidRPr="001F6603">
        <w:rPr>
          <w:rFonts w:ascii="Book Antiqua" w:hAnsi="Book Antiqua"/>
          <w:i/>
          <w:iCs/>
        </w:rPr>
        <w:t>al</w:t>
      </w:r>
      <w:r w:rsidR="001269FF" w:rsidRPr="001F6603">
        <w:rPr>
          <w:rFonts w:ascii="Book Antiqua" w:hAnsi="Book Antiqua"/>
          <w:vertAlign w:val="superscript"/>
        </w:rPr>
        <w:t>[</w:t>
      </w:r>
      <w:proofErr w:type="gramEnd"/>
      <w:r w:rsidR="001269FF" w:rsidRPr="001F6603">
        <w:rPr>
          <w:rFonts w:ascii="Book Antiqua" w:hAnsi="Book Antiqua"/>
          <w:vertAlign w:val="superscript"/>
        </w:rPr>
        <w:t>16]</w:t>
      </w:r>
      <w:r w:rsidRPr="001F6603">
        <w:rPr>
          <w:rFonts w:ascii="Book Antiqua" w:hAnsi="Book Antiqua"/>
        </w:rPr>
        <w:t>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reported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race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sex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contributed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physicians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decision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refer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chest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cardiac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catheterization,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black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females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least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obtain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referral</w:t>
      </w:r>
      <w:r w:rsidR="00984263" w:rsidRPr="001F6603">
        <w:rPr>
          <w:rFonts w:ascii="Book Antiqua" w:hAnsi="Book Antiqua"/>
        </w:rPr>
        <w:t>.</w:t>
      </w:r>
      <w:r w:rsidR="0043237C" w:rsidRPr="001F6603">
        <w:rPr>
          <w:rFonts w:ascii="Book Antiqua" w:hAnsi="Book Antiqua"/>
        </w:rPr>
        <w:t xml:space="preserve"> </w:t>
      </w:r>
    </w:p>
    <w:p w:rsidR="00101811" w:rsidRPr="001F6603" w:rsidRDefault="0043237C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lastRenderedPageBreak/>
        <w:t xml:space="preserve">  </w:t>
      </w:r>
      <w:r w:rsidR="00367ED8" w:rsidRPr="001F6603">
        <w:rPr>
          <w:rFonts w:ascii="Book Antiqua" w:hAnsi="Book Antiqua"/>
        </w:rPr>
        <w:t>Disparities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medicine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may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also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enhanced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by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factors.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Many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studies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have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observed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that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differences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health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literacy/communication,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preference/willingness,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expectations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are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significant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issues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contributors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racial/gender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disparities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medicine.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Health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literacy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essential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for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comprehend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completely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information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they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are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receiving.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America,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limited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health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literacy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affects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about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90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million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people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prevents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these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from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receiving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adequate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care.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It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often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case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that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many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their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caregivers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both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lack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level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skills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needed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understand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information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related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medications,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wound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care,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self-monitoring,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follow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up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schedules,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prevention</w:t>
      </w:r>
      <w:r w:rsidRPr="001F6603">
        <w:rPr>
          <w:rFonts w:ascii="Book Antiqua" w:hAnsi="Book Antiqua"/>
        </w:rPr>
        <w:t xml:space="preserve"> </w:t>
      </w:r>
      <w:proofErr w:type="gramStart"/>
      <w:r w:rsidR="00367ED8" w:rsidRPr="001F6603">
        <w:rPr>
          <w:rFonts w:ascii="Book Antiqua" w:hAnsi="Book Antiqua"/>
        </w:rPr>
        <w:t>behaviors</w:t>
      </w:r>
      <w:r w:rsidR="00984263" w:rsidRPr="001F6603">
        <w:rPr>
          <w:rFonts w:ascii="Book Antiqua" w:hAnsi="Book Antiqua"/>
          <w:vertAlign w:val="superscript"/>
        </w:rPr>
        <w:t>[</w:t>
      </w:r>
      <w:proofErr w:type="gramEnd"/>
      <w:r w:rsidR="00984263" w:rsidRPr="001F6603">
        <w:rPr>
          <w:rFonts w:ascii="Book Antiqua" w:hAnsi="Book Antiqua"/>
          <w:vertAlign w:val="superscript"/>
        </w:rPr>
        <w:t>17]</w:t>
      </w:r>
      <w:r w:rsidR="00984263" w:rsidRPr="001F6603">
        <w:rPr>
          <w:rFonts w:ascii="Book Antiqua" w:hAnsi="Book Antiqua"/>
        </w:rPr>
        <w:t>.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recent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study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by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Menendez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  <w:i/>
          <w:iCs/>
        </w:rPr>
        <w:t>et</w:t>
      </w:r>
      <w:r w:rsidRPr="001F6603">
        <w:rPr>
          <w:rFonts w:ascii="Book Antiqua" w:hAnsi="Book Antiqua"/>
          <w:i/>
          <w:iCs/>
        </w:rPr>
        <w:t xml:space="preserve"> </w:t>
      </w:r>
      <w:proofErr w:type="gramStart"/>
      <w:r w:rsidR="00367ED8" w:rsidRPr="001F6603">
        <w:rPr>
          <w:rFonts w:ascii="Book Antiqua" w:hAnsi="Book Antiqua"/>
          <w:i/>
          <w:iCs/>
        </w:rPr>
        <w:t>al</w:t>
      </w:r>
      <w:r w:rsidR="001269FF" w:rsidRPr="001F6603">
        <w:rPr>
          <w:rFonts w:ascii="Book Antiqua" w:hAnsi="Book Antiqua"/>
          <w:vertAlign w:val="superscript"/>
        </w:rPr>
        <w:t>[</w:t>
      </w:r>
      <w:proofErr w:type="gramEnd"/>
      <w:r w:rsidR="001269FF" w:rsidRPr="001F6603">
        <w:rPr>
          <w:rFonts w:ascii="Book Antiqua" w:hAnsi="Book Antiqua"/>
          <w:vertAlign w:val="superscript"/>
        </w:rPr>
        <w:t>18]</w:t>
      </w:r>
      <w:r w:rsidR="00367ED8" w:rsidRPr="001F6603">
        <w:rPr>
          <w:rFonts w:ascii="Book Antiqua" w:hAnsi="Book Antiqua"/>
        </w:rPr>
        <w:t>,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with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limited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health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literacy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were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found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ask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fewer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questions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their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visits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before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surgery.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Non-white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were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also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found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ask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fewer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questions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than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white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patients,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which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may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suggest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significant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association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between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limited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health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literacy,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non-white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patients</w:t>
      </w:r>
      <w:r w:rsidR="00984263" w:rsidRPr="001F6603">
        <w:rPr>
          <w:rFonts w:ascii="Book Antiqua" w:hAnsi="Book Antiqua"/>
        </w:rPr>
        <w:t>.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Communication,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like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health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literacy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also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critical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factor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patient’s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decision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undergo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TKA.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population</w:t>
      </w:r>
      <w:r w:rsidR="00DE13DD" w:rsidRPr="001F6603">
        <w:rPr>
          <w:rFonts w:ascii="Book Antiqua" w:hAnsi="Book Antiqua"/>
        </w:rPr>
        <w:t>-</w:t>
      </w:r>
      <w:r w:rsidR="00367ED8" w:rsidRPr="001F6603">
        <w:rPr>
          <w:rFonts w:ascii="Book Antiqua" w:hAnsi="Book Antiqua"/>
        </w:rPr>
        <w:t>based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study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by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Hawker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  <w:i/>
          <w:iCs/>
        </w:rPr>
        <w:t>et</w:t>
      </w:r>
      <w:r w:rsidRPr="001F6603">
        <w:rPr>
          <w:rFonts w:ascii="Book Antiqua" w:hAnsi="Book Antiqua"/>
          <w:i/>
          <w:iCs/>
        </w:rPr>
        <w:t xml:space="preserve"> </w:t>
      </w:r>
      <w:proofErr w:type="gramStart"/>
      <w:r w:rsidR="00367ED8" w:rsidRPr="001F6603">
        <w:rPr>
          <w:rFonts w:ascii="Book Antiqua" w:hAnsi="Book Antiqua"/>
          <w:i/>
          <w:iCs/>
        </w:rPr>
        <w:t>al</w:t>
      </w:r>
      <w:r w:rsidR="001269FF" w:rsidRPr="001F6603">
        <w:rPr>
          <w:rFonts w:ascii="Book Antiqua" w:hAnsi="Book Antiqua"/>
          <w:vertAlign w:val="superscript"/>
        </w:rPr>
        <w:t>[</w:t>
      </w:r>
      <w:proofErr w:type="gramEnd"/>
      <w:r w:rsidR="001269FF" w:rsidRPr="001F6603">
        <w:rPr>
          <w:rFonts w:ascii="Book Antiqua" w:hAnsi="Book Antiqua"/>
          <w:vertAlign w:val="superscript"/>
        </w:rPr>
        <w:t>19]</w:t>
      </w:r>
      <w:r w:rsidR="00367ED8" w:rsidRPr="001F6603">
        <w:rPr>
          <w:rFonts w:ascii="Book Antiqua" w:hAnsi="Book Antiqua"/>
        </w:rPr>
        <w:t>,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presenting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with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moderate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severe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knee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OA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only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33%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women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reported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speaking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about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arthroplasty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with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their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physician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19%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ever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speaking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with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actual</w:t>
      </w:r>
      <w:r w:rsidRPr="001F6603">
        <w:rPr>
          <w:rFonts w:ascii="Book Antiqua" w:hAnsi="Book Antiqua"/>
        </w:rPr>
        <w:t xml:space="preserve"> </w:t>
      </w:r>
      <w:proofErr w:type="spellStart"/>
      <w:r w:rsidR="00367ED8" w:rsidRPr="001F6603">
        <w:rPr>
          <w:rFonts w:ascii="Book Antiqua" w:hAnsi="Book Antiqua"/>
        </w:rPr>
        <w:t>orthopaedic</w:t>
      </w:r>
      <w:proofErr w:type="spellEnd"/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surgeon.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Alternatively,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42%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men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reported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discussing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with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their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physician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26%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with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</w:t>
      </w:r>
      <w:r w:rsidRPr="001F6603">
        <w:rPr>
          <w:rFonts w:ascii="Book Antiqua" w:hAnsi="Book Antiqua"/>
        </w:rPr>
        <w:t xml:space="preserve"> </w:t>
      </w:r>
      <w:proofErr w:type="spellStart"/>
      <w:r w:rsidR="00367ED8" w:rsidRPr="001F6603">
        <w:rPr>
          <w:rFonts w:ascii="Book Antiqua" w:hAnsi="Book Antiqua"/>
        </w:rPr>
        <w:t>orthopaedic</w:t>
      </w:r>
      <w:proofErr w:type="spellEnd"/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surgeon</w:t>
      </w:r>
      <w:r w:rsidR="00984263" w:rsidRPr="001F6603">
        <w:rPr>
          <w:rFonts w:ascii="Book Antiqua" w:hAnsi="Book Antiqua"/>
        </w:rPr>
        <w:t>.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lack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communication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between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physician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may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add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under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usage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TKA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women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well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their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presenting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at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later,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more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advanced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stages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OA.</w:t>
      </w:r>
      <w:r w:rsidRPr="001F6603">
        <w:rPr>
          <w:rFonts w:ascii="Book Antiqua" w:hAnsi="Book Antiqua"/>
        </w:rPr>
        <w:t xml:space="preserve"> </w:t>
      </w:r>
    </w:p>
    <w:p w:rsidR="00101811" w:rsidRPr="001F6603" w:rsidRDefault="00367ED8" w:rsidP="0052698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Patient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preference/willingness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also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prevalent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factor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linked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inequalities.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Compared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Caucasians,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Americans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methods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other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hospital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visits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surgery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relieve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discomfort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associated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arthritis.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preferred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prayer,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natural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folk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remedies,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lotions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before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considering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surgery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many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believed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their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health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God’s</w:t>
      </w:r>
      <w:r w:rsidR="0043237C" w:rsidRPr="001F6603">
        <w:rPr>
          <w:rFonts w:ascii="Book Antiqua" w:hAnsi="Book Antiqua"/>
        </w:rPr>
        <w:t xml:space="preserve"> </w:t>
      </w:r>
      <w:proofErr w:type="gramStart"/>
      <w:r w:rsidRPr="001F6603">
        <w:rPr>
          <w:rFonts w:ascii="Book Antiqua" w:hAnsi="Book Antiqua"/>
        </w:rPr>
        <w:t>control</w:t>
      </w:r>
      <w:r w:rsidR="00984263" w:rsidRPr="001F6603">
        <w:rPr>
          <w:rFonts w:ascii="Book Antiqua" w:hAnsi="Book Antiqua"/>
          <w:vertAlign w:val="superscript"/>
        </w:rPr>
        <w:t>[</w:t>
      </w:r>
      <w:proofErr w:type="gramEnd"/>
      <w:r w:rsidR="00984263" w:rsidRPr="001F6603">
        <w:rPr>
          <w:rFonts w:ascii="Book Antiqua" w:hAnsi="Book Antiqua"/>
          <w:vertAlign w:val="superscript"/>
        </w:rPr>
        <w:t>1]</w:t>
      </w:r>
      <w:r w:rsidR="00984263" w:rsidRPr="001F6603">
        <w:rPr>
          <w:rFonts w:ascii="Book Antiqua" w:hAnsi="Book Antiqua"/>
        </w:rPr>
        <w:t>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unwillingness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opt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surgery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also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caused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expectation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having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surgery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related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complications.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receive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low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volume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hospitals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low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volume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surgeons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found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worse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functional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lastRenderedPageBreak/>
        <w:t>outcomes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2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years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after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procedure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Americans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likely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attend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low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volume/low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quality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hospitals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compared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Caucasian</w:t>
      </w:r>
      <w:r w:rsidR="0043237C" w:rsidRPr="001F6603">
        <w:rPr>
          <w:rFonts w:ascii="Book Antiqua" w:hAnsi="Book Antiqua"/>
        </w:rPr>
        <w:t xml:space="preserve"> </w:t>
      </w:r>
      <w:proofErr w:type="gramStart"/>
      <w:r w:rsidRPr="001F6603">
        <w:rPr>
          <w:rFonts w:ascii="Book Antiqua" w:hAnsi="Book Antiqua"/>
        </w:rPr>
        <w:t>patients</w:t>
      </w:r>
      <w:r w:rsidR="00984263" w:rsidRPr="001F6603">
        <w:rPr>
          <w:rFonts w:ascii="Book Antiqua" w:hAnsi="Book Antiqua"/>
          <w:vertAlign w:val="superscript"/>
        </w:rPr>
        <w:t>[</w:t>
      </w:r>
      <w:proofErr w:type="gramEnd"/>
      <w:r w:rsidR="00984263" w:rsidRPr="001F6603">
        <w:rPr>
          <w:rFonts w:ascii="Book Antiqua" w:hAnsi="Book Antiqua"/>
          <w:vertAlign w:val="superscript"/>
        </w:rPr>
        <w:t>20,21]</w:t>
      </w:r>
      <w:r w:rsidR="00984263" w:rsidRPr="001F6603">
        <w:rPr>
          <w:rFonts w:ascii="Book Antiqua" w:hAnsi="Book Antiqua"/>
        </w:rPr>
        <w:t>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Low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quality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arthroplasty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results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garner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mistrust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surgery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physicians.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effect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black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likely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expect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worse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following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joint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replacement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surgery.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596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elderly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American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American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likely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expect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functional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disability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following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surgery,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longer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duration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hospital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course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compared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984263" w:rsidRPr="001F6603">
        <w:rPr>
          <w:rFonts w:ascii="Book Antiqua" w:hAnsi="Book Antiqua"/>
          <w:vertAlign w:val="superscript"/>
        </w:rPr>
        <w:t>[5]</w:t>
      </w:r>
      <w:r w:rsidR="00984263" w:rsidRPr="001F6603">
        <w:rPr>
          <w:rFonts w:ascii="Book Antiqua" w:hAnsi="Book Antiqua"/>
        </w:rPr>
        <w:t>.</w:t>
      </w:r>
    </w:p>
    <w:p w:rsidR="00101811" w:rsidRPr="001F6603" w:rsidRDefault="00DE13DD" w:rsidP="00D0217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conclusion,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</w:t>
      </w:r>
      <w:r w:rsidR="00367ED8" w:rsidRPr="001F6603">
        <w:rPr>
          <w:rFonts w:ascii="Book Antiqua" w:hAnsi="Book Antiqua"/>
        </w:rPr>
        <w:t>ur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results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indicate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women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black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undergoing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presented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worse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preoperative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KOOS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scores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compared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white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patients.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also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noticed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black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Hispanic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experience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catastrophizing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depression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more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when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compared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white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patients.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However,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good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among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all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groups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postoperatively,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neither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race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nor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gender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associated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compromised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post-operative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relation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pain,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ADLs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QOL.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These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findings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may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valuable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counseling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surgeons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regarding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value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increase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utilization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these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populations.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Further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necessary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better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understand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lower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utilization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later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presentation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observed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these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populations.</w:t>
      </w:r>
    </w:p>
    <w:p w:rsidR="00101811" w:rsidRPr="001F6603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1F6603">
        <w:rPr>
          <w:rFonts w:ascii="Book Antiqua" w:hAnsi="Book Antiqua"/>
          <w:b/>
          <w:i/>
          <w:iCs/>
        </w:rPr>
        <w:t>Limitations</w:t>
      </w:r>
    </w:p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We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acknowledge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limitations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associated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requires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need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analyze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results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mind.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limitations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included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sample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size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follow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up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time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point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time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point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3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(9-14</w:t>
      </w:r>
      <w:r w:rsidR="0043237C" w:rsidRPr="001F6603">
        <w:rPr>
          <w:rFonts w:ascii="Book Antiqua" w:hAnsi="Book Antiqua"/>
        </w:rPr>
        <w:t xml:space="preserve"> </w:t>
      </w:r>
      <w:proofErr w:type="gramStart"/>
      <w:r w:rsidRPr="001F6603">
        <w:rPr>
          <w:rFonts w:ascii="Book Antiqua" w:hAnsi="Book Antiqua"/>
        </w:rPr>
        <w:t>mo</w:t>
      </w:r>
      <w:proofErr w:type="gramEnd"/>
      <w:r w:rsidRPr="001F6603">
        <w:rPr>
          <w:rFonts w:ascii="Book Antiqua" w:hAnsi="Book Antiqua"/>
        </w:rPr>
        <w:t>).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Furthermore,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limitations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include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higher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bias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toward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women,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near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binary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ethnic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representation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(African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Americans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Whites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over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others)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failed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consider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role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comorbidities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play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affecting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baseline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expectations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postoperative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scores.</w:t>
      </w:r>
      <w:r w:rsidR="0043237C" w:rsidRPr="001F6603">
        <w:rPr>
          <w:rFonts w:ascii="Book Antiqua" w:hAnsi="Book Antiqua"/>
        </w:rPr>
        <w:t xml:space="preserve"> </w:t>
      </w:r>
    </w:p>
    <w:p w:rsidR="00101811" w:rsidRPr="001F6603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:rsidR="00DE13DD" w:rsidRPr="001F6603" w:rsidRDefault="00DE13DD" w:rsidP="004A4CEB">
      <w:pPr>
        <w:adjustRightInd w:val="0"/>
        <w:snapToGrid w:val="0"/>
        <w:spacing w:line="360" w:lineRule="auto"/>
        <w:jc w:val="both"/>
        <w:rPr>
          <w:rFonts w:ascii="Book Antiqua" w:eastAsia="宋体" w:hAnsi="Book Antiqua" w:cs="Calibri"/>
          <w:b/>
          <w:u w:val="single"/>
          <w:lang w:eastAsia="en-US"/>
        </w:rPr>
      </w:pPr>
      <w:bookmarkStart w:id="31" w:name="_Hlk29215933"/>
      <w:bookmarkStart w:id="32" w:name="_Hlk27569419"/>
      <w:r w:rsidRPr="001F6603">
        <w:rPr>
          <w:rFonts w:ascii="Book Antiqua" w:eastAsia="宋体" w:hAnsi="Book Antiqua" w:cs="Calibri"/>
          <w:b/>
          <w:u w:val="single"/>
          <w:lang w:eastAsia="en-US"/>
        </w:rPr>
        <w:t>ARTICLE</w:t>
      </w:r>
      <w:r w:rsidR="0043237C" w:rsidRPr="001F6603">
        <w:rPr>
          <w:rFonts w:ascii="Book Antiqua" w:eastAsia="宋体" w:hAnsi="Book Antiqua" w:cs="Calibri"/>
          <w:b/>
          <w:u w:val="single"/>
          <w:lang w:eastAsia="en-US"/>
        </w:rPr>
        <w:t xml:space="preserve"> </w:t>
      </w:r>
      <w:r w:rsidRPr="001F6603">
        <w:rPr>
          <w:rFonts w:ascii="Book Antiqua" w:eastAsia="宋体" w:hAnsi="Book Antiqua" w:cs="Calibri"/>
          <w:b/>
          <w:u w:val="single"/>
          <w:lang w:eastAsia="en-US"/>
        </w:rPr>
        <w:t>HIGHLIGHTS</w:t>
      </w:r>
    </w:p>
    <w:bookmarkEnd w:id="31"/>
    <w:p w:rsidR="00DE13DD" w:rsidRPr="001F6603" w:rsidRDefault="00DE13DD" w:rsidP="004A4CEB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b/>
          <w:i/>
          <w:iCs/>
          <w:lang w:eastAsia="en-US"/>
        </w:rPr>
      </w:pPr>
      <w:r w:rsidRPr="001F6603">
        <w:rPr>
          <w:rFonts w:ascii="Book Antiqua" w:eastAsia="宋体" w:hAnsi="Book Antiqua" w:cs="Arial"/>
          <w:b/>
          <w:i/>
          <w:iCs/>
          <w:lang w:eastAsia="en-US"/>
        </w:rPr>
        <w:lastRenderedPageBreak/>
        <w:t>Research</w:t>
      </w:r>
      <w:r w:rsidR="0043237C" w:rsidRPr="001F6603">
        <w:rPr>
          <w:rFonts w:ascii="Book Antiqua" w:eastAsia="宋体" w:hAnsi="Book Antiqua" w:cs="Arial"/>
          <w:b/>
          <w:i/>
          <w:iCs/>
          <w:lang w:eastAsia="en-US"/>
        </w:rPr>
        <w:t xml:space="preserve"> </w:t>
      </w:r>
      <w:r w:rsidRPr="001F6603">
        <w:rPr>
          <w:rFonts w:ascii="Book Antiqua" w:eastAsia="宋体" w:hAnsi="Book Antiqua" w:cs="Arial"/>
          <w:b/>
          <w:i/>
          <w:iCs/>
          <w:lang w:eastAsia="en-US"/>
        </w:rPr>
        <w:t>background</w:t>
      </w:r>
    </w:p>
    <w:bookmarkEnd w:id="32"/>
    <w:p w:rsidR="00101811" w:rsidRPr="001F6603" w:rsidRDefault="00812A4D" w:rsidP="004A4CEB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lang w:eastAsia="en-US"/>
        </w:rPr>
      </w:pP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Total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joint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arthroplasty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is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one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of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the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most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common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surgeries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performed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in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the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United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States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with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total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knee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arthroplasty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being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one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of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the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most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successful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surgeries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for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restoring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function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and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diminishing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pain.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Even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with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the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demonstrated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success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of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total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knee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arthroplasty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and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higher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prevalence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of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arthritis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and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arthritis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related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disability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among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minorities,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many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studies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have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shown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that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hAnsi="Book Antiqua"/>
        </w:rPr>
        <w:t>pre-operative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expectations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regarding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relief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after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total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joint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replacement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gender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race</w:t>
      </w:r>
      <w:r w:rsidR="00D13B6B" w:rsidRPr="001F6603">
        <w:rPr>
          <w:rFonts w:ascii="Book Antiqua" w:hAnsi="Book Antiqua"/>
        </w:rPr>
        <w:t>,</w:t>
      </w:r>
      <w:r w:rsidR="0043237C" w:rsidRPr="001F6603">
        <w:rPr>
          <w:rFonts w:ascii="Book Antiqua" w:hAnsi="Book Antiqua"/>
        </w:rPr>
        <w:t xml:space="preserve"> </w:t>
      </w:r>
      <w:r w:rsidR="00D13B6B" w:rsidRPr="001F6603">
        <w:rPr>
          <w:rFonts w:ascii="Book Antiqua" w:hAnsi="Book Antiqua"/>
        </w:rPr>
        <w:t>affecting</w:t>
      </w:r>
      <w:r w:rsidR="0043237C" w:rsidRPr="001F6603">
        <w:rPr>
          <w:rFonts w:ascii="Book Antiqua" w:hAnsi="Book Antiqua"/>
        </w:rPr>
        <w:t xml:space="preserve"> </w:t>
      </w:r>
      <w:r w:rsidR="00D13B6B" w:rsidRPr="001F6603">
        <w:rPr>
          <w:rFonts w:ascii="Book Antiqua" w:hAnsi="Book Antiqua"/>
        </w:rPr>
        <w:t>post-operative</w:t>
      </w:r>
      <w:r w:rsidR="0043237C" w:rsidRPr="001F6603">
        <w:rPr>
          <w:rFonts w:ascii="Book Antiqua" w:hAnsi="Book Antiqua"/>
        </w:rPr>
        <w:t xml:space="preserve"> </w:t>
      </w:r>
      <w:r w:rsidR="00D13B6B" w:rsidRPr="001F6603">
        <w:rPr>
          <w:rFonts w:ascii="Book Antiqua" w:hAnsi="Book Antiqua"/>
        </w:rPr>
        <w:t>outcomes</w:t>
      </w:r>
      <w:r w:rsidR="00FE4896" w:rsidRPr="001F6603">
        <w:rPr>
          <w:rFonts w:ascii="Book Antiqua" w:hAnsi="Book Antiqua"/>
        </w:rPr>
        <w:t>.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R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acial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and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gender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disparity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remains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constant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issue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in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providing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="00D13B6B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appropriate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care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for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the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adult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reconstruction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patient.</w:t>
      </w:r>
      <w:r w:rsidR="0043237C" w:rsidRPr="001F6603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</w:p>
    <w:p w:rsidR="00D13B6B" w:rsidRPr="001F6603" w:rsidRDefault="00D13B6B" w:rsidP="004A4CEB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lang w:eastAsia="en-US"/>
        </w:rPr>
      </w:pPr>
    </w:p>
    <w:p w:rsidR="00CA1460" w:rsidRPr="001F6603" w:rsidRDefault="00CA1460" w:rsidP="004A4CEB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b/>
          <w:i/>
          <w:iCs/>
          <w:lang w:eastAsia="en-US"/>
        </w:rPr>
      </w:pPr>
      <w:r w:rsidRPr="001F6603">
        <w:rPr>
          <w:rFonts w:ascii="Book Antiqua" w:eastAsia="宋体" w:hAnsi="Book Antiqua" w:cs="Arial"/>
          <w:b/>
          <w:i/>
          <w:iCs/>
          <w:lang w:eastAsia="en-US"/>
        </w:rPr>
        <w:t>Research</w:t>
      </w:r>
      <w:r w:rsidR="0043237C" w:rsidRPr="001F6603">
        <w:rPr>
          <w:rFonts w:ascii="Book Antiqua" w:eastAsia="宋体" w:hAnsi="Book Antiqua" w:cs="Arial"/>
          <w:b/>
          <w:i/>
          <w:iCs/>
          <w:lang w:eastAsia="en-US"/>
        </w:rPr>
        <w:t xml:space="preserve"> </w:t>
      </w:r>
      <w:r w:rsidRPr="001F6603">
        <w:rPr>
          <w:rFonts w:ascii="Book Antiqua" w:eastAsia="宋体" w:hAnsi="Book Antiqua" w:cs="Arial"/>
          <w:b/>
          <w:i/>
          <w:iCs/>
          <w:lang w:eastAsia="en-US"/>
        </w:rPr>
        <w:t>motivation</w:t>
      </w:r>
    </w:p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purpose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motivation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behind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non-interventional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measure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pre-operative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expectations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correlate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them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post-operative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expectations,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satisfaction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clinical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after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total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joint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replacement</w:t>
      </w:r>
      <w:r w:rsidR="0043237C" w:rsidRPr="001F6603">
        <w:rPr>
          <w:rFonts w:ascii="Book Antiqua" w:hAnsi="Book Antiqua"/>
        </w:rPr>
        <w:t xml:space="preserve"> </w:t>
      </w:r>
      <w:r w:rsidR="00D13B6B"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="00D13B6B" w:rsidRPr="001F6603">
        <w:rPr>
          <w:rFonts w:ascii="Book Antiqua" w:hAnsi="Book Antiqua"/>
        </w:rPr>
        <w:t>it</w:t>
      </w:r>
      <w:r w:rsidR="0043237C" w:rsidRPr="001F6603">
        <w:rPr>
          <w:rFonts w:ascii="Book Antiqua" w:hAnsi="Book Antiqua"/>
        </w:rPr>
        <w:t xml:space="preserve"> </w:t>
      </w:r>
      <w:r w:rsidR="00D13B6B" w:rsidRPr="001F6603">
        <w:rPr>
          <w:rFonts w:ascii="Book Antiqua" w:hAnsi="Book Antiqua"/>
        </w:rPr>
        <w:t>relates</w:t>
      </w:r>
      <w:r w:rsidR="0043237C" w:rsidRPr="001F6603">
        <w:rPr>
          <w:rFonts w:ascii="Book Antiqua" w:hAnsi="Book Antiqua"/>
        </w:rPr>
        <w:t xml:space="preserve"> </w:t>
      </w:r>
      <w:r w:rsidR="00D13B6B"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="00D13B6B" w:rsidRPr="001F6603">
        <w:rPr>
          <w:rFonts w:ascii="Book Antiqua" w:hAnsi="Book Antiqua"/>
        </w:rPr>
        <w:t>race</w:t>
      </w:r>
      <w:r w:rsidR="0043237C" w:rsidRPr="001F6603">
        <w:rPr>
          <w:rFonts w:ascii="Book Antiqua" w:hAnsi="Book Antiqua"/>
        </w:rPr>
        <w:t xml:space="preserve"> </w:t>
      </w:r>
      <w:r w:rsidR="00D13B6B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D13B6B" w:rsidRPr="001F6603">
        <w:rPr>
          <w:rFonts w:ascii="Book Antiqua" w:hAnsi="Book Antiqua"/>
        </w:rPr>
        <w:t>gender</w:t>
      </w:r>
      <w:r w:rsidRPr="001F6603">
        <w:rPr>
          <w:rFonts w:ascii="Book Antiqua" w:hAnsi="Book Antiqua"/>
        </w:rPr>
        <w:t>.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Clinical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research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examining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patient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expectations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will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increase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awareness</w:t>
      </w:r>
      <w:r w:rsidR="0043237C" w:rsidRPr="001F6603">
        <w:rPr>
          <w:rFonts w:ascii="Book Antiqua" w:hAnsi="Book Antiqua"/>
        </w:rPr>
        <w:t xml:space="preserve"> </w:t>
      </w:r>
      <w:r w:rsidR="00B373F3"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proofErr w:type="spellStart"/>
      <w:r w:rsidR="00FE4896" w:rsidRPr="001F6603">
        <w:rPr>
          <w:rFonts w:ascii="Book Antiqua" w:hAnsi="Book Antiqua"/>
        </w:rPr>
        <w:t>orthopaedic</w:t>
      </w:r>
      <w:proofErr w:type="spellEnd"/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community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address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challenge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musculoskeletal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health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disparities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stimulate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future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research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focused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strategies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on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how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manage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patient’s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surgical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expectations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improve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patient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across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racial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ethnic</w:t>
      </w:r>
      <w:r w:rsidR="0043237C" w:rsidRPr="001F6603">
        <w:rPr>
          <w:rFonts w:ascii="Book Antiqua" w:hAnsi="Book Antiqua"/>
        </w:rPr>
        <w:t xml:space="preserve"> </w:t>
      </w:r>
      <w:r w:rsidR="00FE4896" w:rsidRPr="001F6603">
        <w:rPr>
          <w:rFonts w:ascii="Book Antiqua" w:hAnsi="Book Antiqua"/>
        </w:rPr>
        <w:t>groups.</w:t>
      </w:r>
    </w:p>
    <w:p w:rsidR="00B373F3" w:rsidRPr="001F6603" w:rsidRDefault="00B373F3" w:rsidP="004A4CEB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b/>
          <w:i/>
          <w:iCs/>
          <w:lang w:eastAsia="en-US"/>
        </w:rPr>
      </w:pPr>
    </w:p>
    <w:p w:rsidR="00CA1460" w:rsidRPr="001F6603" w:rsidRDefault="00CA1460" w:rsidP="004A4CEB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b/>
          <w:i/>
          <w:iCs/>
          <w:lang w:eastAsia="en-US"/>
        </w:rPr>
      </w:pPr>
      <w:r w:rsidRPr="001F6603">
        <w:rPr>
          <w:rFonts w:ascii="Book Antiqua" w:eastAsia="宋体" w:hAnsi="Book Antiqua" w:cs="Arial"/>
          <w:b/>
          <w:i/>
          <w:iCs/>
          <w:lang w:eastAsia="en-US"/>
        </w:rPr>
        <w:t>Research</w:t>
      </w:r>
      <w:r w:rsidR="0043237C" w:rsidRPr="001F6603">
        <w:rPr>
          <w:rFonts w:ascii="Book Antiqua" w:eastAsia="宋体" w:hAnsi="Book Antiqua" w:cs="Arial"/>
          <w:b/>
          <w:i/>
          <w:iCs/>
          <w:lang w:eastAsia="en-US"/>
        </w:rPr>
        <w:t xml:space="preserve"> </w:t>
      </w:r>
      <w:r w:rsidRPr="001F6603">
        <w:rPr>
          <w:rFonts w:ascii="Book Antiqua" w:eastAsia="宋体" w:hAnsi="Book Antiqua" w:cs="Arial"/>
          <w:b/>
          <w:i/>
          <w:iCs/>
          <w:lang w:eastAsia="en-US"/>
        </w:rPr>
        <w:t>objectives</w:t>
      </w:r>
    </w:p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Our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objective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determine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explore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potential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factors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connected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differences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utilization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="001269FF" w:rsidRPr="001F6603">
        <w:rPr>
          <w:rFonts w:ascii="Book Antiqua" w:hAnsi="Book Antiqua"/>
        </w:rPr>
        <w:t xml:space="preserve">total knee arthroplasties (TKA) </w:t>
      </w:r>
      <w:r w:rsidRPr="001F6603">
        <w:rPr>
          <w:rFonts w:ascii="Book Antiqua" w:hAnsi="Book Antiqua"/>
        </w:rPr>
        <w:t>associated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race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gender,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determine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role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expectations.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looked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characteristics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such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social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support,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catastrophizing,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depression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="00A34B9D" w:rsidRPr="001F6603">
        <w:rPr>
          <w:rFonts w:ascii="Book Antiqua" w:hAnsi="Book Antiqua"/>
        </w:rPr>
        <w:t>patients’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lives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results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offer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additional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understanding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race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gender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disparities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TKA.</w:t>
      </w:r>
      <w:r w:rsidR="0043237C" w:rsidRPr="001F6603">
        <w:rPr>
          <w:rFonts w:ascii="Book Antiqua" w:hAnsi="Book Antiqua"/>
        </w:rPr>
        <w:t xml:space="preserve"> </w:t>
      </w:r>
    </w:p>
    <w:p w:rsidR="00101811" w:rsidRPr="001F6603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:rsidR="00CA1460" w:rsidRPr="001F6603" w:rsidRDefault="00CA1460" w:rsidP="004A4CEB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b/>
          <w:i/>
          <w:iCs/>
          <w:lang w:eastAsia="en-US"/>
        </w:rPr>
      </w:pPr>
      <w:r w:rsidRPr="001F6603">
        <w:rPr>
          <w:rFonts w:ascii="Book Antiqua" w:eastAsia="宋体" w:hAnsi="Book Antiqua" w:cs="Arial"/>
          <w:b/>
          <w:i/>
          <w:iCs/>
          <w:lang w:eastAsia="en-US"/>
        </w:rPr>
        <w:lastRenderedPageBreak/>
        <w:t>Research</w:t>
      </w:r>
      <w:r w:rsidR="0043237C" w:rsidRPr="001F6603">
        <w:rPr>
          <w:rFonts w:ascii="Book Antiqua" w:eastAsia="宋体" w:hAnsi="Book Antiqua" w:cs="Arial"/>
          <w:b/>
          <w:i/>
          <w:iCs/>
          <w:lang w:eastAsia="en-US"/>
        </w:rPr>
        <w:t xml:space="preserve"> </w:t>
      </w:r>
      <w:r w:rsidRPr="001F6603">
        <w:rPr>
          <w:rFonts w:ascii="Book Antiqua" w:eastAsia="宋体" w:hAnsi="Book Antiqua" w:cs="Arial"/>
          <w:b/>
          <w:i/>
          <w:iCs/>
          <w:lang w:eastAsia="en-US"/>
        </w:rPr>
        <w:t>methods</w:t>
      </w:r>
    </w:p>
    <w:p w:rsidR="00101811" w:rsidRPr="001F6603" w:rsidRDefault="001269FF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O</w:t>
      </w:r>
      <w:r w:rsidRPr="001F6603">
        <w:rPr>
          <w:rFonts w:ascii="Book Antiqua" w:hAnsi="Book Antiqua" w:hint="eastAsia"/>
        </w:rPr>
        <w:t>ne</w:t>
      </w:r>
      <w:r w:rsidRPr="001F6603">
        <w:rPr>
          <w:rFonts w:ascii="Book Antiqua" w:hAnsi="Book Antiqua"/>
        </w:rPr>
        <w:t xml:space="preserve"> hundred and thirty-three </w:t>
      </w:r>
      <w:r w:rsidR="00367ED8"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undergoing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primary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enrolled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into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this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from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2013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through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2015.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Demographic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characteristics,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such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age,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gender,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marital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status,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race,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ethnicity,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collected.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asked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complete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questionnaires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either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  <w:i/>
          <w:iCs/>
        </w:rPr>
        <w:t>via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email,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telephone,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at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their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pre</w:t>
      </w:r>
      <w:r w:rsidRPr="001F6603">
        <w:rPr>
          <w:rFonts w:ascii="Book Antiqua" w:hAnsi="Book Antiqua"/>
        </w:rPr>
        <w:t>-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post-operative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office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visits.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questionnaires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completed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at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different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points.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point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1: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prior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their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operation,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 xml:space="preserve">point </w:t>
      </w:r>
      <w:r w:rsidR="00367ED8" w:rsidRPr="001F6603">
        <w:rPr>
          <w:rFonts w:ascii="Book Antiqua" w:hAnsi="Book Antiqua"/>
        </w:rPr>
        <w:t>2: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4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8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w</w:t>
      </w:r>
      <w:r w:rsidR="006E7B5F" w:rsidRPr="001F6603">
        <w:rPr>
          <w:rFonts w:ascii="Book Antiqua" w:hAnsi="Book Antiqua"/>
        </w:rPr>
        <w:t>k</w:t>
      </w:r>
      <w:r w:rsidR="00367ED8" w:rsidRPr="001F6603">
        <w:rPr>
          <w:rFonts w:ascii="Book Antiqua" w:hAnsi="Book Antiqua"/>
        </w:rPr>
        <w:t>,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</w:rPr>
        <w:t xml:space="preserve">point </w:t>
      </w:r>
      <w:r w:rsidR="00367ED8" w:rsidRPr="001F6603">
        <w:rPr>
          <w:rFonts w:ascii="Book Antiqua" w:hAnsi="Book Antiqua"/>
        </w:rPr>
        <w:t>3: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9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14</w:t>
      </w:r>
      <w:r w:rsidR="0043237C" w:rsidRPr="001F6603">
        <w:rPr>
          <w:rFonts w:ascii="Book Antiqua" w:hAnsi="Book Antiqua"/>
        </w:rPr>
        <w:t xml:space="preserve"> </w:t>
      </w:r>
      <w:proofErr w:type="gramStart"/>
      <w:r w:rsidR="00367ED8" w:rsidRPr="001F6603">
        <w:rPr>
          <w:rFonts w:ascii="Book Antiqua" w:hAnsi="Book Antiqua"/>
        </w:rPr>
        <w:t>mo</w:t>
      </w:r>
      <w:proofErr w:type="gramEnd"/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post-operatively.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validated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patient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reported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outcome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measure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(PROM)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questionnaires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included: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 w:hint="eastAsia"/>
        </w:rPr>
        <w:t>(</w:t>
      </w:r>
      <w:r w:rsidRPr="001F6603">
        <w:rPr>
          <w:rFonts w:ascii="Book Antiqua" w:hAnsi="Book Antiqua"/>
        </w:rPr>
        <w:t>1)</w:t>
      </w:r>
      <w:r w:rsidR="008F138D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HSS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 expectation questionnaire;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 xml:space="preserve">(2) </w:t>
      </w:r>
      <w:r w:rsidR="00367ED8" w:rsidRPr="001F6603">
        <w:rPr>
          <w:rFonts w:ascii="Book Antiqua" w:hAnsi="Book Antiqua"/>
        </w:rPr>
        <w:t>Social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support survey;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 xml:space="preserve">(3) </w:t>
      </w:r>
      <w:r w:rsidR="00367ED8"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catastrophizing survey;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 xml:space="preserve">(4) </w:t>
      </w:r>
      <w:r w:rsidR="00367ED8" w:rsidRPr="001F6603">
        <w:rPr>
          <w:rFonts w:ascii="Book Antiqua" w:hAnsi="Book Antiqua"/>
        </w:rPr>
        <w:t>Visual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analogue pain scale;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 xml:space="preserve">(5) </w:t>
      </w:r>
      <w:r w:rsidR="00367ED8" w:rsidRPr="001F6603">
        <w:rPr>
          <w:rFonts w:ascii="Book Antiqua" w:hAnsi="Book Antiqua"/>
        </w:rPr>
        <w:t>Geriatric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depression scale;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 xml:space="preserve">(6) </w:t>
      </w:r>
      <w:r w:rsidR="008C6D03" w:rsidRPr="001F6603">
        <w:rPr>
          <w:rFonts w:ascii="Book Antiqua" w:hAnsi="Book Antiqua"/>
        </w:rPr>
        <w:t>Knee Injury and Osteoarthritis Outcome Scores (</w:t>
      </w:r>
      <w:r w:rsidR="00367ED8" w:rsidRPr="001F6603">
        <w:rPr>
          <w:rFonts w:ascii="Book Antiqua" w:hAnsi="Book Antiqua"/>
        </w:rPr>
        <w:t>KOOS</w:t>
      </w:r>
      <w:r w:rsidR="008C6D03" w:rsidRPr="001F6603">
        <w:rPr>
          <w:rFonts w:ascii="Book Antiqua" w:hAnsi="Book Antiqua"/>
        </w:rPr>
        <w:t>)</w:t>
      </w:r>
      <w:r w:rsidR="0043237C" w:rsidRPr="001F6603">
        <w:rPr>
          <w:rFonts w:ascii="Book Antiqua" w:hAnsi="Book Antiqua"/>
        </w:rPr>
        <w:t xml:space="preserve"> </w:t>
      </w:r>
      <w:r w:rsidR="00367ED8" w:rsidRPr="001F6603">
        <w:rPr>
          <w:rFonts w:ascii="Book Antiqua" w:hAnsi="Book Antiqua"/>
        </w:rPr>
        <w:t>(Knee</w:t>
      </w:r>
      <w:proofErr w:type="gramStart"/>
      <w:r w:rsidR="00367ED8" w:rsidRPr="001F6603">
        <w:rPr>
          <w:rFonts w:ascii="Book Antiqua" w:hAnsi="Book Antiqua"/>
        </w:rPr>
        <w:t>)-</w:t>
      </w:r>
      <w:proofErr w:type="gramEnd"/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routinely collected as part of standard care at this time;</w:t>
      </w:r>
      <w:r w:rsidRPr="001F6603">
        <w:rPr>
          <w:rFonts w:ascii="Book Antiqua" w:hAnsi="Book Antiqua" w:cs="Noto Sans Symbols"/>
        </w:rPr>
        <w:t xml:space="preserve"> and </w:t>
      </w:r>
      <w:r w:rsidRPr="001F6603">
        <w:rPr>
          <w:rFonts w:ascii="Book Antiqua" w:hAnsi="Book Antiqua"/>
        </w:rPr>
        <w:t xml:space="preserve">(7) </w:t>
      </w:r>
      <w:r w:rsidR="00367ED8" w:rsidRPr="001F6603">
        <w:rPr>
          <w:rFonts w:ascii="Book Antiqua" w:hAnsi="Book Antiqua"/>
        </w:rPr>
        <w:t>E-5D-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routinely collected as part of standard of care at this time.</w:t>
      </w:r>
    </w:p>
    <w:p w:rsidR="00CA1460" w:rsidRPr="001F6603" w:rsidRDefault="00CA1460" w:rsidP="004A4CEB">
      <w:pPr>
        <w:snapToGrid w:val="0"/>
        <w:spacing w:line="360" w:lineRule="auto"/>
        <w:jc w:val="both"/>
        <w:rPr>
          <w:rFonts w:ascii="Book Antiqua" w:hAnsi="Book Antiqua"/>
          <w:u w:val="single"/>
        </w:rPr>
      </w:pPr>
    </w:p>
    <w:p w:rsidR="00CA1460" w:rsidRPr="001F6603" w:rsidRDefault="00CA1460" w:rsidP="004A4CEB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b/>
          <w:i/>
          <w:iCs/>
          <w:lang w:eastAsia="en-US"/>
        </w:rPr>
      </w:pPr>
      <w:r w:rsidRPr="001F6603">
        <w:rPr>
          <w:rFonts w:ascii="Book Antiqua" w:eastAsia="宋体" w:hAnsi="Book Antiqua" w:cs="Arial"/>
          <w:b/>
          <w:i/>
          <w:iCs/>
          <w:lang w:eastAsia="en-US"/>
        </w:rPr>
        <w:t>Research</w:t>
      </w:r>
      <w:r w:rsidR="0043237C" w:rsidRPr="001F6603">
        <w:rPr>
          <w:rFonts w:ascii="Book Antiqua" w:eastAsia="宋体" w:hAnsi="Book Antiqua" w:cs="Arial"/>
          <w:b/>
          <w:i/>
          <w:iCs/>
          <w:lang w:eastAsia="en-US"/>
        </w:rPr>
        <w:t xml:space="preserve"> </w:t>
      </w:r>
      <w:r w:rsidRPr="001F6603">
        <w:rPr>
          <w:rFonts w:ascii="Book Antiqua" w:eastAsia="宋体" w:hAnsi="Book Antiqua" w:cs="Arial"/>
          <w:b/>
          <w:i/>
          <w:iCs/>
          <w:lang w:eastAsia="en-US"/>
        </w:rPr>
        <w:t>results</w:t>
      </w:r>
    </w:p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findings,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females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associated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worse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KOOS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symptoms,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activities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daily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living.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Americans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associated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worse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KOOS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activities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daily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living,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quality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life.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Despite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worse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scores,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categories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groups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postoperatively.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Additionally,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Catastrophizing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Scale,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subscales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total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Age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Group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</w:t>
      </w:r>
      <w:r w:rsidR="00400690" w:rsidRPr="001F6603">
        <w:rPr>
          <w:rFonts w:ascii="Book Antiqua" w:hAnsi="Book Antiqua"/>
          <w:i/>
          <w:iCs/>
        </w:rPr>
        <w:t>P</w:t>
      </w:r>
      <w:r w:rsidR="00400690" w:rsidRPr="001F6603">
        <w:rPr>
          <w:rFonts w:ascii="Book Antiqua" w:hAnsi="Book Antiqua"/>
        </w:rPr>
        <w:t xml:space="preserve"> &lt;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0.05),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Magnification,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Helplessness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subscales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Total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significantly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groups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Race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Relationship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Status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(</w:t>
      </w:r>
      <w:r w:rsidR="00400690" w:rsidRPr="001F6603">
        <w:rPr>
          <w:rFonts w:ascii="Book Antiqua" w:hAnsi="Book Antiqua"/>
          <w:i/>
          <w:iCs/>
        </w:rPr>
        <w:t>P</w:t>
      </w:r>
      <w:r w:rsidR="00400690" w:rsidRPr="001F6603">
        <w:rPr>
          <w:rFonts w:ascii="Book Antiqua" w:hAnsi="Book Antiqua"/>
        </w:rPr>
        <w:t xml:space="preserve"> &lt;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0.01).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results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indicate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women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black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undergoing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presented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worse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KOOS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scores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compared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However,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good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among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groups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postoperatively,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neither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race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gender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associated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compromised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post-operative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relation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ADLs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QOL.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Due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this,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question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still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remains,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lastRenderedPageBreak/>
        <w:t>TKA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underutilized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groups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aid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fixing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disparities.</w:t>
      </w:r>
    </w:p>
    <w:p w:rsidR="00101811" w:rsidRPr="001F6603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:rsidR="00CA1460" w:rsidRPr="001F6603" w:rsidRDefault="00CA1460" w:rsidP="004A4CEB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b/>
          <w:i/>
          <w:iCs/>
          <w:lang w:eastAsia="en-US"/>
        </w:rPr>
      </w:pPr>
      <w:r w:rsidRPr="001F6603">
        <w:rPr>
          <w:rFonts w:ascii="Book Antiqua" w:eastAsia="宋体" w:hAnsi="Book Antiqua" w:cs="Arial"/>
          <w:b/>
          <w:i/>
          <w:iCs/>
          <w:lang w:eastAsia="en-US"/>
        </w:rPr>
        <w:t>Research</w:t>
      </w:r>
      <w:r w:rsidR="0043237C" w:rsidRPr="001F6603">
        <w:rPr>
          <w:rFonts w:ascii="Book Antiqua" w:eastAsia="宋体" w:hAnsi="Book Antiqua" w:cs="Arial"/>
          <w:b/>
          <w:i/>
          <w:iCs/>
          <w:lang w:eastAsia="en-US"/>
        </w:rPr>
        <w:t xml:space="preserve"> </w:t>
      </w:r>
      <w:r w:rsidRPr="001F6603">
        <w:rPr>
          <w:rFonts w:ascii="Book Antiqua" w:eastAsia="宋体" w:hAnsi="Book Antiqua" w:cs="Arial"/>
          <w:b/>
          <w:i/>
          <w:iCs/>
          <w:lang w:eastAsia="en-US"/>
        </w:rPr>
        <w:t>conclusions</w:t>
      </w:r>
    </w:p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Our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concluded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multiple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variations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pre-operative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demographic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variables,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psychometric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scale,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catastrophizing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scale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expectation</w:t>
      </w:r>
      <w:r w:rsidR="0043237C" w:rsidRPr="001F6603">
        <w:rPr>
          <w:rFonts w:ascii="Book Antiqua" w:hAnsi="Book Antiqua"/>
        </w:rPr>
        <w:t xml:space="preserve"> </w:t>
      </w:r>
      <w:r w:rsidR="00EC2333" w:rsidRPr="001F6603">
        <w:rPr>
          <w:rFonts w:ascii="Book Antiqua" w:hAnsi="Book Antiqua"/>
          <w:i/>
          <w:iCs/>
        </w:rPr>
        <w:t>vs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noticed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female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American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lower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KOOS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scores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compared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their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not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affected.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Irrespective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findings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due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lack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postoperative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differences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outcomes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groups,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valid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option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minorities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should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offered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same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rate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their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white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counterparts.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findings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valuable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counseling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patients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surgeons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regarding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value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increased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utilization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Americans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women.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Further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necessary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better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understand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lower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utilization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later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presentation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observed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populations.</w:t>
      </w:r>
    </w:p>
    <w:p w:rsidR="00101811" w:rsidRPr="001F6603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:rsidR="00CA1460" w:rsidRPr="001F6603" w:rsidRDefault="00CA1460" w:rsidP="004A4CEB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b/>
          <w:i/>
          <w:iCs/>
          <w:lang w:eastAsia="en-US"/>
        </w:rPr>
      </w:pPr>
      <w:r w:rsidRPr="001F6603">
        <w:rPr>
          <w:rFonts w:ascii="Book Antiqua" w:eastAsia="宋体" w:hAnsi="Book Antiqua" w:cs="Arial"/>
          <w:b/>
          <w:i/>
          <w:iCs/>
          <w:lang w:eastAsia="en-US"/>
        </w:rPr>
        <w:t>Research</w:t>
      </w:r>
      <w:r w:rsidR="0043237C" w:rsidRPr="001F6603">
        <w:rPr>
          <w:rFonts w:ascii="Book Antiqua" w:eastAsia="宋体" w:hAnsi="Book Antiqua" w:cs="Arial"/>
          <w:b/>
          <w:i/>
          <w:iCs/>
          <w:lang w:eastAsia="en-US"/>
        </w:rPr>
        <w:t xml:space="preserve"> </w:t>
      </w:r>
      <w:r w:rsidRPr="001F6603">
        <w:rPr>
          <w:rFonts w:ascii="Book Antiqua" w:eastAsia="宋体" w:hAnsi="Book Antiqua" w:cs="Arial"/>
          <w:b/>
          <w:i/>
          <w:iCs/>
          <w:lang w:eastAsia="en-US"/>
        </w:rPr>
        <w:t>perspectives</w:t>
      </w:r>
    </w:p>
    <w:p w:rsidR="00101811" w:rsidRPr="001F6603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</w:rPr>
        <w:t>It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necessary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continue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research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disparities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found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TKA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within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African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American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communities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women.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While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our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explores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certain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factors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like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social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support,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depression,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pain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catastrophizing,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bias,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considered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before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determinations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be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concluded.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What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know,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however,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regardless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factors,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physicians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responsibility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tackle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these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disparities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in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hopes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providing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equal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quality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care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all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races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genders.</w:t>
      </w:r>
    </w:p>
    <w:p w:rsidR="00101811" w:rsidRPr="001F6603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:rsidR="00CA1460" w:rsidRPr="001F6603" w:rsidRDefault="00CA1460" w:rsidP="004A4CE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Calibri"/>
          <w:b/>
          <w:lang w:eastAsia="en-US"/>
        </w:rPr>
      </w:pPr>
      <w:bookmarkStart w:id="33" w:name="_Hlk35202755"/>
      <w:r w:rsidRPr="001F6603">
        <w:rPr>
          <w:rFonts w:ascii="Book Antiqua" w:eastAsia="宋体" w:hAnsi="Book Antiqua" w:cs="Calibri"/>
          <w:b/>
          <w:lang w:eastAsia="en-US"/>
        </w:rPr>
        <w:t>REFERENCES</w:t>
      </w:r>
    </w:p>
    <w:p w:rsidR="006E7B5F" w:rsidRPr="001F6603" w:rsidRDefault="006E7B5F" w:rsidP="006E7B5F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</w:rPr>
      </w:pPr>
      <w:bookmarkStart w:id="34" w:name="_Hlk27143351"/>
      <w:bookmarkEnd w:id="33"/>
      <w:r w:rsidRPr="001F6603">
        <w:rPr>
          <w:rFonts w:ascii="Book Antiqua" w:eastAsia="等线" w:hAnsi="Book Antiqua" w:cs="Times New Roman"/>
          <w:kern w:val="2"/>
        </w:rPr>
        <w:t xml:space="preserve">1 </w:t>
      </w:r>
      <w:r w:rsidRPr="001F6603">
        <w:rPr>
          <w:rFonts w:ascii="Book Antiqua" w:eastAsia="等线" w:hAnsi="Book Antiqua" w:cs="Times New Roman"/>
          <w:b/>
          <w:bCs/>
          <w:kern w:val="2"/>
        </w:rPr>
        <w:t>Ibrahim SA</w:t>
      </w:r>
      <w:r w:rsidRPr="001F6603">
        <w:rPr>
          <w:rFonts w:ascii="Book Antiqua" w:eastAsia="等线" w:hAnsi="Book Antiqua" w:cs="Times New Roman"/>
          <w:kern w:val="2"/>
        </w:rPr>
        <w:t xml:space="preserve">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Siminoff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LA,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Burant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CJ,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Kwoh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CK. Variation in perceptions of treatment and self-care practices in elderly with osteoarthritis: a comparison between African American and white patients. </w:t>
      </w:r>
      <w:r w:rsidRPr="001F6603">
        <w:rPr>
          <w:rFonts w:ascii="Book Antiqua" w:eastAsia="等线" w:hAnsi="Book Antiqua" w:cs="Times New Roman"/>
          <w:i/>
          <w:iCs/>
          <w:kern w:val="2"/>
        </w:rPr>
        <w:t>Arthritis Rheum</w:t>
      </w:r>
      <w:r w:rsidRPr="001F6603">
        <w:rPr>
          <w:rFonts w:ascii="Book Antiqua" w:eastAsia="等线" w:hAnsi="Book Antiqua" w:cs="Times New Roman"/>
          <w:kern w:val="2"/>
        </w:rPr>
        <w:t xml:space="preserve"> 2001; 45: 340-345 [PMID: 11501721 DOI: 10.1002/1529-0131(200108)45:4&lt;340:</w:t>
      </w:r>
      <w:proofErr w:type="gramStart"/>
      <w:r w:rsidRPr="001F6603">
        <w:rPr>
          <w:rFonts w:ascii="Book Antiqua" w:eastAsia="等线" w:hAnsi="Book Antiqua" w:cs="Times New Roman"/>
          <w:kern w:val="2"/>
        </w:rPr>
        <w:t>:AID</w:t>
      </w:r>
      <w:proofErr w:type="gramEnd"/>
      <w:r w:rsidRPr="001F6603">
        <w:rPr>
          <w:rFonts w:ascii="Book Antiqua" w:eastAsia="等线" w:hAnsi="Book Antiqua" w:cs="Times New Roman"/>
          <w:kern w:val="2"/>
        </w:rPr>
        <w:t>-</w:t>
      </w:r>
      <w:r w:rsidRPr="001F6603">
        <w:rPr>
          <w:rFonts w:ascii="Book Antiqua" w:eastAsia="等线" w:hAnsi="Book Antiqua" w:cs="Times New Roman"/>
          <w:kern w:val="2"/>
        </w:rPr>
        <w:lastRenderedPageBreak/>
        <w:t>ART346&gt;3.0.CO;2-5]</w:t>
      </w:r>
    </w:p>
    <w:p w:rsidR="006E7B5F" w:rsidRPr="001F6603" w:rsidRDefault="006E7B5F" w:rsidP="006E7B5F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</w:rPr>
      </w:pPr>
      <w:r w:rsidRPr="001F6603">
        <w:rPr>
          <w:rFonts w:ascii="Book Antiqua" w:eastAsia="等线" w:hAnsi="Book Antiqua" w:cs="Times New Roman"/>
          <w:kern w:val="2"/>
        </w:rPr>
        <w:t xml:space="preserve">2 </w:t>
      </w:r>
      <w:r w:rsidRPr="001F6603">
        <w:rPr>
          <w:rFonts w:ascii="Book Antiqua" w:eastAsia="等线" w:hAnsi="Book Antiqua" w:cs="Times New Roman"/>
          <w:b/>
          <w:kern w:val="2"/>
        </w:rPr>
        <w:t>Goodman SM</w:t>
      </w:r>
      <w:r w:rsidRPr="001F6603">
        <w:rPr>
          <w:rFonts w:ascii="Book Antiqua" w:eastAsia="等线" w:hAnsi="Book Antiqua" w:cs="Times New Roman"/>
          <w:kern w:val="2"/>
        </w:rPr>
        <w:t xml:space="preserve">, Parks ML, McHugh K, Fields K, Smethurst R, Figgie MP, Bass AR. Disparities in Outcomes for African Americans and Whites Undergoing Total Knee Arthroplasty: A Systematic Literature Review. </w:t>
      </w:r>
      <w:r w:rsidRPr="001F6603">
        <w:rPr>
          <w:rFonts w:ascii="Book Antiqua" w:eastAsia="等线" w:hAnsi="Book Antiqua" w:cs="Times New Roman"/>
          <w:i/>
          <w:kern w:val="2"/>
        </w:rPr>
        <w:t xml:space="preserve">J </w:t>
      </w:r>
      <w:proofErr w:type="spellStart"/>
      <w:r w:rsidRPr="001F6603">
        <w:rPr>
          <w:rFonts w:ascii="Book Antiqua" w:eastAsia="等线" w:hAnsi="Book Antiqua" w:cs="Times New Roman"/>
          <w:i/>
          <w:kern w:val="2"/>
        </w:rPr>
        <w:t>Rheumatol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2016; </w:t>
      </w:r>
      <w:r w:rsidRPr="001F6603">
        <w:rPr>
          <w:rFonts w:ascii="Book Antiqua" w:eastAsia="等线" w:hAnsi="Book Antiqua" w:cs="Times New Roman"/>
          <w:b/>
          <w:kern w:val="2"/>
        </w:rPr>
        <w:t>43</w:t>
      </w:r>
      <w:r w:rsidRPr="001F6603">
        <w:rPr>
          <w:rFonts w:ascii="Book Antiqua" w:eastAsia="等线" w:hAnsi="Book Antiqua" w:cs="Times New Roman"/>
          <w:kern w:val="2"/>
        </w:rPr>
        <w:t>: 765-770 [PMID: 26834217 DOI: 10.3899/jrheum.150950]</w:t>
      </w:r>
    </w:p>
    <w:p w:rsidR="006E7B5F" w:rsidRPr="001F6603" w:rsidRDefault="006E7B5F" w:rsidP="006E7B5F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</w:rPr>
      </w:pPr>
      <w:r w:rsidRPr="001F6603">
        <w:rPr>
          <w:rFonts w:ascii="Book Antiqua" w:eastAsia="等线" w:hAnsi="Book Antiqua" w:cs="Times New Roman"/>
          <w:kern w:val="2"/>
        </w:rPr>
        <w:t xml:space="preserve">3 </w:t>
      </w:r>
      <w:r w:rsidRPr="001F6603">
        <w:rPr>
          <w:rFonts w:ascii="Book Antiqua" w:eastAsia="等线" w:hAnsi="Book Antiqua" w:cs="Times New Roman"/>
          <w:b/>
          <w:kern w:val="2"/>
        </w:rPr>
        <w:t>O' Reilly M</w:t>
      </w:r>
      <w:r w:rsidRPr="001F6603">
        <w:rPr>
          <w:rFonts w:ascii="Book Antiqua" w:eastAsia="等线" w:hAnsi="Book Antiqua" w:cs="Times New Roman"/>
          <w:kern w:val="2"/>
        </w:rPr>
        <w:t xml:space="preserve">, Mohamed K, Foy D, Sheehan E. Educational impact of joint replacement school for patients undergoing total hip and knee arthroplasty: a prospective cohort study. </w:t>
      </w:r>
      <w:proofErr w:type="spellStart"/>
      <w:r w:rsidRPr="001F6603">
        <w:rPr>
          <w:rFonts w:ascii="Book Antiqua" w:eastAsia="等线" w:hAnsi="Book Antiqua" w:cs="Times New Roman"/>
          <w:i/>
          <w:kern w:val="2"/>
        </w:rPr>
        <w:t>Int</w:t>
      </w:r>
      <w:proofErr w:type="spellEnd"/>
      <w:r w:rsidRPr="001F6603">
        <w:rPr>
          <w:rFonts w:ascii="Book Antiqua" w:eastAsia="等线" w:hAnsi="Book Antiqua" w:cs="Times New Roman"/>
          <w:i/>
          <w:kern w:val="2"/>
        </w:rPr>
        <w:t xml:space="preserve"> </w:t>
      </w:r>
      <w:proofErr w:type="spellStart"/>
      <w:r w:rsidRPr="001F6603">
        <w:rPr>
          <w:rFonts w:ascii="Book Antiqua" w:eastAsia="等线" w:hAnsi="Book Antiqua" w:cs="Times New Roman"/>
          <w:i/>
          <w:kern w:val="2"/>
        </w:rPr>
        <w:t>Orthop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2018; </w:t>
      </w:r>
      <w:r w:rsidRPr="001F6603">
        <w:rPr>
          <w:rFonts w:ascii="Book Antiqua" w:eastAsia="等线" w:hAnsi="Book Antiqua" w:cs="Times New Roman"/>
          <w:b/>
          <w:kern w:val="2"/>
        </w:rPr>
        <w:t>42</w:t>
      </w:r>
      <w:r w:rsidRPr="001F6603">
        <w:rPr>
          <w:rFonts w:ascii="Book Antiqua" w:eastAsia="等线" w:hAnsi="Book Antiqua" w:cs="Times New Roman"/>
          <w:kern w:val="2"/>
        </w:rPr>
        <w:t>: 2745-2754 [PMID: 29936539 DOI: 10.1007/s00264-018-4039-z]</w:t>
      </w:r>
    </w:p>
    <w:p w:rsidR="006E7B5F" w:rsidRPr="001F6603" w:rsidRDefault="006E7B5F" w:rsidP="006E7B5F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</w:rPr>
      </w:pPr>
      <w:r w:rsidRPr="001F6603">
        <w:rPr>
          <w:rFonts w:ascii="Book Antiqua" w:eastAsia="等线" w:hAnsi="Book Antiqua" w:cs="Times New Roman"/>
          <w:kern w:val="2"/>
        </w:rPr>
        <w:t xml:space="preserve">4 </w:t>
      </w:r>
      <w:r w:rsidRPr="001F6603">
        <w:rPr>
          <w:rFonts w:ascii="Book Antiqua" w:eastAsia="等线" w:hAnsi="Book Antiqua" w:cs="Times New Roman"/>
          <w:b/>
          <w:kern w:val="2"/>
        </w:rPr>
        <w:t>Singh JA</w:t>
      </w:r>
      <w:r w:rsidRPr="001F6603">
        <w:rPr>
          <w:rFonts w:ascii="Book Antiqua" w:eastAsia="等线" w:hAnsi="Book Antiqua" w:cs="Times New Roman"/>
          <w:kern w:val="2"/>
        </w:rPr>
        <w:t xml:space="preserve">, Lu X, Rosenthal GE, Ibrahim S, Cram P. Racial disparities in knee and hip total joint arthroplasty: an 18-year analysis of national Medicare data. </w:t>
      </w:r>
      <w:r w:rsidRPr="001F6603">
        <w:rPr>
          <w:rFonts w:ascii="Book Antiqua" w:eastAsia="等线" w:hAnsi="Book Antiqua" w:cs="Times New Roman"/>
          <w:i/>
          <w:kern w:val="2"/>
        </w:rPr>
        <w:t>Ann Rheum Dis</w:t>
      </w:r>
      <w:r w:rsidRPr="001F6603">
        <w:rPr>
          <w:rFonts w:ascii="Book Antiqua" w:eastAsia="等线" w:hAnsi="Book Antiqua" w:cs="Times New Roman"/>
          <w:kern w:val="2"/>
        </w:rPr>
        <w:t xml:space="preserve"> 2014; </w:t>
      </w:r>
      <w:r w:rsidRPr="001F6603">
        <w:rPr>
          <w:rFonts w:ascii="Book Antiqua" w:eastAsia="等线" w:hAnsi="Book Antiqua" w:cs="Times New Roman"/>
          <w:b/>
          <w:kern w:val="2"/>
        </w:rPr>
        <w:t>73</w:t>
      </w:r>
      <w:r w:rsidRPr="001F6603">
        <w:rPr>
          <w:rFonts w:ascii="Book Antiqua" w:eastAsia="等线" w:hAnsi="Book Antiqua" w:cs="Times New Roman"/>
          <w:kern w:val="2"/>
        </w:rPr>
        <w:t>: 2107-2115 [PMID: 24047869 DOI: 10.1136/annrheumdis-2013-203494]</w:t>
      </w:r>
    </w:p>
    <w:p w:rsidR="006E7B5F" w:rsidRPr="001F6603" w:rsidRDefault="006E7B5F" w:rsidP="006E7B5F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</w:rPr>
      </w:pPr>
      <w:r w:rsidRPr="001F6603">
        <w:rPr>
          <w:rFonts w:ascii="Book Antiqua" w:eastAsia="等线" w:hAnsi="Book Antiqua" w:cs="Times New Roman"/>
          <w:kern w:val="2"/>
        </w:rPr>
        <w:t xml:space="preserve">5 </w:t>
      </w:r>
      <w:r w:rsidRPr="001F6603">
        <w:rPr>
          <w:rFonts w:ascii="Book Antiqua" w:eastAsia="等线" w:hAnsi="Book Antiqua" w:cs="Times New Roman"/>
          <w:b/>
          <w:kern w:val="2"/>
        </w:rPr>
        <w:t>Ibrahim SA</w:t>
      </w:r>
      <w:r w:rsidRPr="001F6603">
        <w:rPr>
          <w:rFonts w:ascii="Book Antiqua" w:eastAsia="等线" w:hAnsi="Book Antiqua" w:cs="Times New Roman"/>
          <w:kern w:val="2"/>
        </w:rPr>
        <w:t xml:space="preserve">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Siminoff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LA,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Burant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CJ,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Kwoh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CK. Differences in expectations of outcome mediate African American/white patient differences in "willingness" to consider joint replacement. </w:t>
      </w:r>
      <w:r w:rsidRPr="001F6603">
        <w:rPr>
          <w:rFonts w:ascii="Book Antiqua" w:eastAsia="等线" w:hAnsi="Book Antiqua" w:cs="Times New Roman"/>
          <w:i/>
          <w:kern w:val="2"/>
        </w:rPr>
        <w:t>Arthritis Rheum</w:t>
      </w:r>
      <w:r w:rsidRPr="001F6603">
        <w:rPr>
          <w:rFonts w:ascii="Book Antiqua" w:eastAsia="等线" w:hAnsi="Book Antiqua" w:cs="Times New Roman"/>
          <w:kern w:val="2"/>
        </w:rPr>
        <w:t xml:space="preserve"> 2002; </w:t>
      </w:r>
      <w:r w:rsidRPr="001F6603">
        <w:rPr>
          <w:rFonts w:ascii="Book Antiqua" w:eastAsia="等线" w:hAnsi="Book Antiqua" w:cs="Times New Roman"/>
          <w:b/>
          <w:kern w:val="2"/>
        </w:rPr>
        <w:t>46</w:t>
      </w:r>
      <w:r w:rsidRPr="001F6603">
        <w:rPr>
          <w:rFonts w:ascii="Book Antiqua" w:eastAsia="等线" w:hAnsi="Book Antiqua" w:cs="Times New Roman"/>
          <w:kern w:val="2"/>
        </w:rPr>
        <w:t>: 2429-2435 [PMID: 12355491 DOI: 10.1002/art.10494]</w:t>
      </w:r>
    </w:p>
    <w:p w:rsidR="006E7B5F" w:rsidRPr="001F6603" w:rsidRDefault="006E7B5F" w:rsidP="006E7B5F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</w:rPr>
      </w:pPr>
      <w:r w:rsidRPr="001F6603">
        <w:rPr>
          <w:rFonts w:ascii="Book Antiqua" w:eastAsia="等线" w:hAnsi="Book Antiqua" w:cs="Times New Roman"/>
          <w:kern w:val="2"/>
        </w:rPr>
        <w:t xml:space="preserve">6 </w:t>
      </w:r>
      <w:proofErr w:type="spellStart"/>
      <w:r w:rsidRPr="001F6603">
        <w:rPr>
          <w:rFonts w:ascii="Book Antiqua" w:eastAsia="等线" w:hAnsi="Book Antiqua" w:cs="Times New Roman"/>
          <w:b/>
          <w:kern w:val="2"/>
        </w:rPr>
        <w:t>Krohne</w:t>
      </w:r>
      <w:proofErr w:type="spellEnd"/>
      <w:r w:rsidRPr="001F6603">
        <w:rPr>
          <w:rFonts w:ascii="Book Antiqua" w:eastAsia="等线" w:hAnsi="Book Antiqua" w:cs="Times New Roman"/>
          <w:b/>
          <w:kern w:val="2"/>
        </w:rPr>
        <w:t xml:space="preserve"> HW</w:t>
      </w:r>
      <w:r w:rsidRPr="001F6603">
        <w:rPr>
          <w:rFonts w:ascii="Book Antiqua" w:eastAsia="等线" w:hAnsi="Book Antiqua" w:cs="Times New Roman"/>
          <w:kern w:val="2"/>
        </w:rPr>
        <w:t xml:space="preserve">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Slangen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KE. Influence of social support on adaptation to surgery. </w:t>
      </w:r>
      <w:r w:rsidRPr="001F6603">
        <w:rPr>
          <w:rFonts w:ascii="Book Antiqua" w:eastAsia="等线" w:hAnsi="Book Antiqua" w:cs="Times New Roman"/>
          <w:i/>
          <w:kern w:val="2"/>
        </w:rPr>
        <w:t xml:space="preserve">Health </w:t>
      </w:r>
      <w:proofErr w:type="spellStart"/>
      <w:r w:rsidRPr="001F6603">
        <w:rPr>
          <w:rFonts w:ascii="Book Antiqua" w:eastAsia="等线" w:hAnsi="Book Antiqua" w:cs="Times New Roman"/>
          <w:i/>
          <w:kern w:val="2"/>
        </w:rPr>
        <w:t>Psychol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2005; </w:t>
      </w:r>
      <w:r w:rsidRPr="001F6603">
        <w:rPr>
          <w:rFonts w:ascii="Book Antiqua" w:eastAsia="等线" w:hAnsi="Book Antiqua" w:cs="Times New Roman"/>
          <w:b/>
          <w:kern w:val="2"/>
        </w:rPr>
        <w:t>24</w:t>
      </w:r>
      <w:r w:rsidRPr="001F6603">
        <w:rPr>
          <w:rFonts w:ascii="Book Antiqua" w:eastAsia="等线" w:hAnsi="Book Antiqua" w:cs="Times New Roman"/>
          <w:kern w:val="2"/>
        </w:rPr>
        <w:t>: 101-105 [PMID: 15631568 DOI: 10.1037/0278-6133.24.1.101]</w:t>
      </w:r>
    </w:p>
    <w:p w:rsidR="006E7B5F" w:rsidRPr="001F6603" w:rsidRDefault="006E7B5F" w:rsidP="006E7B5F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</w:rPr>
      </w:pPr>
      <w:r w:rsidRPr="001F6603">
        <w:rPr>
          <w:rFonts w:ascii="Book Antiqua" w:eastAsia="等线" w:hAnsi="Book Antiqua" w:cs="Times New Roman"/>
          <w:kern w:val="2"/>
        </w:rPr>
        <w:t xml:space="preserve">7 </w:t>
      </w:r>
      <w:proofErr w:type="spellStart"/>
      <w:r w:rsidRPr="001F6603">
        <w:rPr>
          <w:rFonts w:ascii="Book Antiqua" w:eastAsia="等线" w:hAnsi="Book Antiqua" w:cs="Times New Roman"/>
          <w:b/>
          <w:kern w:val="2"/>
        </w:rPr>
        <w:t>Vina</w:t>
      </w:r>
      <w:proofErr w:type="spellEnd"/>
      <w:r w:rsidRPr="001F6603">
        <w:rPr>
          <w:rFonts w:ascii="Book Antiqua" w:eastAsia="等线" w:hAnsi="Book Antiqua" w:cs="Times New Roman"/>
          <w:b/>
          <w:kern w:val="2"/>
        </w:rPr>
        <w:t xml:space="preserve"> ER</w:t>
      </w:r>
      <w:r w:rsidRPr="001F6603">
        <w:rPr>
          <w:rFonts w:ascii="Book Antiqua" w:eastAsia="等线" w:hAnsi="Book Antiqua" w:cs="Times New Roman"/>
          <w:kern w:val="2"/>
        </w:rPr>
        <w:t xml:space="preserve">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Cloonan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YK, Ibrahim SA, Hannon MJ, Boudreau RM,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Kwoh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CK. Race, sex, and total knee replacement consideration: role of social support. </w:t>
      </w:r>
      <w:r w:rsidRPr="001F6603">
        <w:rPr>
          <w:rFonts w:ascii="Book Antiqua" w:eastAsia="等线" w:hAnsi="Book Antiqua" w:cs="Times New Roman"/>
          <w:i/>
          <w:kern w:val="2"/>
        </w:rPr>
        <w:t>Arthritis Care Res (Hoboken)</w:t>
      </w:r>
      <w:r w:rsidRPr="001F6603">
        <w:rPr>
          <w:rFonts w:ascii="Book Antiqua" w:eastAsia="等线" w:hAnsi="Book Antiqua" w:cs="Times New Roman"/>
          <w:kern w:val="2"/>
        </w:rPr>
        <w:t xml:space="preserve"> 2013; </w:t>
      </w:r>
      <w:r w:rsidRPr="001F6603">
        <w:rPr>
          <w:rFonts w:ascii="Book Antiqua" w:eastAsia="等线" w:hAnsi="Book Antiqua" w:cs="Times New Roman"/>
          <w:b/>
          <w:kern w:val="2"/>
        </w:rPr>
        <w:t>65</w:t>
      </w:r>
      <w:r w:rsidRPr="001F6603">
        <w:rPr>
          <w:rFonts w:ascii="Book Antiqua" w:eastAsia="等线" w:hAnsi="Book Antiqua" w:cs="Times New Roman"/>
          <w:kern w:val="2"/>
        </w:rPr>
        <w:t>: 1103-1111 [PMID: 23281259 DOI: 10.1002/acr.21925]</w:t>
      </w:r>
    </w:p>
    <w:p w:rsidR="006E7B5F" w:rsidRPr="001F6603" w:rsidRDefault="006E7B5F" w:rsidP="006E7B5F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</w:rPr>
      </w:pPr>
      <w:proofErr w:type="gramStart"/>
      <w:r w:rsidRPr="001F6603">
        <w:rPr>
          <w:rFonts w:ascii="Book Antiqua" w:eastAsia="等线" w:hAnsi="Book Antiqua" w:cs="Times New Roman"/>
          <w:kern w:val="2"/>
        </w:rPr>
        <w:t xml:space="preserve">8 </w:t>
      </w:r>
      <w:proofErr w:type="spellStart"/>
      <w:r w:rsidRPr="001F6603">
        <w:rPr>
          <w:rFonts w:ascii="Book Antiqua" w:eastAsia="等线" w:hAnsi="Book Antiqua" w:cs="Times New Roman"/>
          <w:b/>
          <w:kern w:val="2"/>
        </w:rPr>
        <w:t>Quartana</w:t>
      </w:r>
      <w:proofErr w:type="spellEnd"/>
      <w:r w:rsidRPr="001F6603">
        <w:rPr>
          <w:rFonts w:ascii="Book Antiqua" w:eastAsia="等线" w:hAnsi="Book Antiqua" w:cs="Times New Roman"/>
          <w:b/>
          <w:kern w:val="2"/>
        </w:rPr>
        <w:t xml:space="preserve"> PJ</w:t>
      </w:r>
      <w:r w:rsidRPr="001F6603">
        <w:rPr>
          <w:rFonts w:ascii="Book Antiqua" w:eastAsia="等线" w:hAnsi="Book Antiqua" w:cs="Times New Roman"/>
          <w:kern w:val="2"/>
        </w:rPr>
        <w:t>, Campbell CM, Edwards RR.</w:t>
      </w:r>
      <w:proofErr w:type="gramEnd"/>
      <w:r w:rsidRPr="001F6603">
        <w:rPr>
          <w:rFonts w:ascii="Book Antiqua" w:eastAsia="等线" w:hAnsi="Book Antiqua" w:cs="Times New Roman"/>
          <w:kern w:val="2"/>
        </w:rPr>
        <w:t xml:space="preserve"> Pain catastrophizing: a critical review. </w:t>
      </w:r>
      <w:r w:rsidRPr="001F6603">
        <w:rPr>
          <w:rFonts w:ascii="Book Antiqua" w:eastAsia="等线" w:hAnsi="Book Antiqua" w:cs="Times New Roman"/>
          <w:i/>
          <w:kern w:val="2"/>
        </w:rPr>
        <w:t xml:space="preserve">Expert Rev </w:t>
      </w:r>
      <w:proofErr w:type="spellStart"/>
      <w:r w:rsidRPr="001F6603">
        <w:rPr>
          <w:rFonts w:ascii="Book Antiqua" w:eastAsia="等线" w:hAnsi="Book Antiqua" w:cs="Times New Roman"/>
          <w:i/>
          <w:kern w:val="2"/>
        </w:rPr>
        <w:t>Neurother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2009; </w:t>
      </w:r>
      <w:r w:rsidRPr="001F6603">
        <w:rPr>
          <w:rFonts w:ascii="Book Antiqua" w:eastAsia="等线" w:hAnsi="Book Antiqua" w:cs="Times New Roman"/>
          <w:b/>
          <w:kern w:val="2"/>
        </w:rPr>
        <w:t>9</w:t>
      </w:r>
      <w:r w:rsidRPr="001F6603">
        <w:rPr>
          <w:rFonts w:ascii="Book Antiqua" w:eastAsia="等线" w:hAnsi="Book Antiqua" w:cs="Times New Roman"/>
          <w:kern w:val="2"/>
        </w:rPr>
        <w:t>: 745-758 [PMID: 19402782 DOI: 10.1586/ern.09.34]</w:t>
      </w:r>
    </w:p>
    <w:p w:rsidR="006E7B5F" w:rsidRPr="001F6603" w:rsidRDefault="006E7B5F" w:rsidP="006E7B5F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</w:rPr>
      </w:pPr>
      <w:r w:rsidRPr="001F6603">
        <w:rPr>
          <w:rFonts w:ascii="Book Antiqua" w:eastAsia="等线" w:hAnsi="Book Antiqua" w:cs="Times New Roman"/>
          <w:kern w:val="2"/>
        </w:rPr>
        <w:t xml:space="preserve">9 </w:t>
      </w:r>
      <w:r w:rsidRPr="001F6603">
        <w:rPr>
          <w:rFonts w:ascii="Book Antiqua" w:eastAsia="等线" w:hAnsi="Book Antiqua" w:cs="Times New Roman"/>
          <w:b/>
          <w:kern w:val="2"/>
        </w:rPr>
        <w:t>Fabian LA</w:t>
      </w:r>
      <w:r w:rsidRPr="001F6603">
        <w:rPr>
          <w:rFonts w:ascii="Book Antiqua" w:eastAsia="等线" w:hAnsi="Book Antiqua" w:cs="Times New Roman"/>
          <w:kern w:val="2"/>
        </w:rPr>
        <w:t xml:space="preserve">, McGuire L,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Goodin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BR, Edwards RR. Ethnicity, catastrophizing, and qualities of the pain experience. </w:t>
      </w:r>
      <w:r w:rsidRPr="001F6603">
        <w:rPr>
          <w:rFonts w:ascii="Book Antiqua" w:eastAsia="等线" w:hAnsi="Book Antiqua" w:cs="Times New Roman"/>
          <w:i/>
          <w:kern w:val="2"/>
        </w:rPr>
        <w:t>Pain Med</w:t>
      </w:r>
      <w:r w:rsidRPr="001F6603">
        <w:rPr>
          <w:rFonts w:ascii="Book Antiqua" w:eastAsia="等线" w:hAnsi="Book Antiqua" w:cs="Times New Roman"/>
          <w:kern w:val="2"/>
        </w:rPr>
        <w:t xml:space="preserve"> 2011; </w:t>
      </w:r>
      <w:r w:rsidRPr="001F6603">
        <w:rPr>
          <w:rFonts w:ascii="Book Antiqua" w:eastAsia="等线" w:hAnsi="Book Antiqua" w:cs="Times New Roman"/>
          <w:b/>
          <w:kern w:val="2"/>
        </w:rPr>
        <w:t>12</w:t>
      </w:r>
      <w:r w:rsidRPr="001F6603">
        <w:rPr>
          <w:rFonts w:ascii="Book Antiqua" w:eastAsia="等线" w:hAnsi="Book Antiqua" w:cs="Times New Roman"/>
          <w:kern w:val="2"/>
        </w:rPr>
        <w:t>: 314-321 [PMID: 21143756 DOI: 10.1111/j.1526-4637.2010.01015.x]</w:t>
      </w:r>
    </w:p>
    <w:p w:rsidR="006E7B5F" w:rsidRPr="001F6603" w:rsidRDefault="006E7B5F" w:rsidP="006E7B5F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</w:rPr>
      </w:pPr>
      <w:proofErr w:type="gramStart"/>
      <w:r w:rsidRPr="001F6603">
        <w:rPr>
          <w:rFonts w:ascii="Book Antiqua" w:eastAsia="等线" w:hAnsi="Book Antiqua" w:cs="Times New Roman"/>
          <w:kern w:val="2"/>
        </w:rPr>
        <w:t xml:space="preserve">10 </w:t>
      </w:r>
      <w:proofErr w:type="spellStart"/>
      <w:r w:rsidRPr="001F6603">
        <w:rPr>
          <w:rFonts w:ascii="Book Antiqua" w:eastAsia="等线" w:hAnsi="Book Antiqua" w:cs="Times New Roman"/>
          <w:b/>
          <w:kern w:val="2"/>
        </w:rPr>
        <w:t>Meints</w:t>
      </w:r>
      <w:proofErr w:type="spellEnd"/>
      <w:r w:rsidRPr="001F6603">
        <w:rPr>
          <w:rFonts w:ascii="Book Antiqua" w:eastAsia="等线" w:hAnsi="Book Antiqua" w:cs="Times New Roman"/>
          <w:b/>
          <w:kern w:val="2"/>
        </w:rPr>
        <w:t xml:space="preserve"> SM</w:t>
      </w:r>
      <w:r w:rsidRPr="001F6603">
        <w:rPr>
          <w:rFonts w:ascii="Book Antiqua" w:eastAsia="等线" w:hAnsi="Book Antiqua" w:cs="Times New Roman"/>
          <w:kern w:val="2"/>
        </w:rPr>
        <w:t>, Miller MM, Hirsh AT.</w:t>
      </w:r>
      <w:proofErr w:type="gramEnd"/>
      <w:r w:rsidRPr="001F6603">
        <w:rPr>
          <w:rFonts w:ascii="Book Antiqua" w:eastAsia="等线" w:hAnsi="Book Antiqua" w:cs="Times New Roman"/>
          <w:kern w:val="2"/>
        </w:rPr>
        <w:t xml:space="preserve"> Differences in Pain Coping Between Black </w:t>
      </w:r>
      <w:r w:rsidRPr="001F6603">
        <w:rPr>
          <w:rFonts w:ascii="Book Antiqua" w:eastAsia="等线" w:hAnsi="Book Antiqua" w:cs="Times New Roman"/>
          <w:kern w:val="2"/>
        </w:rPr>
        <w:lastRenderedPageBreak/>
        <w:t xml:space="preserve">and White Americans: A Meta-Analysis. </w:t>
      </w:r>
      <w:r w:rsidRPr="001F6603">
        <w:rPr>
          <w:rFonts w:ascii="Book Antiqua" w:eastAsia="等线" w:hAnsi="Book Antiqua" w:cs="Times New Roman"/>
          <w:i/>
          <w:kern w:val="2"/>
        </w:rPr>
        <w:t>J Pain</w:t>
      </w:r>
      <w:r w:rsidRPr="001F6603">
        <w:rPr>
          <w:rFonts w:ascii="Book Antiqua" w:eastAsia="等线" w:hAnsi="Book Antiqua" w:cs="Times New Roman"/>
          <w:kern w:val="2"/>
        </w:rPr>
        <w:t xml:space="preserve"> 2016; </w:t>
      </w:r>
      <w:r w:rsidRPr="001F6603">
        <w:rPr>
          <w:rFonts w:ascii="Book Antiqua" w:eastAsia="等线" w:hAnsi="Book Antiqua" w:cs="Times New Roman"/>
          <w:b/>
          <w:kern w:val="2"/>
        </w:rPr>
        <w:t>17</w:t>
      </w:r>
      <w:r w:rsidRPr="001F6603">
        <w:rPr>
          <w:rFonts w:ascii="Book Antiqua" w:eastAsia="等线" w:hAnsi="Book Antiqua" w:cs="Times New Roman"/>
          <w:kern w:val="2"/>
        </w:rPr>
        <w:t>: 642-653 [PMID: 26804583 DOI: 10.1016/j.jpain.2015.12.017]</w:t>
      </w:r>
    </w:p>
    <w:p w:rsidR="006E7B5F" w:rsidRPr="001F6603" w:rsidRDefault="006E7B5F" w:rsidP="006E7B5F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</w:rPr>
      </w:pPr>
      <w:r w:rsidRPr="001F6603">
        <w:rPr>
          <w:rFonts w:ascii="Book Antiqua" w:eastAsia="等线" w:hAnsi="Book Antiqua" w:cs="Times New Roman"/>
          <w:kern w:val="2"/>
        </w:rPr>
        <w:t xml:space="preserve">11 </w:t>
      </w:r>
      <w:r w:rsidRPr="001F6603">
        <w:rPr>
          <w:rFonts w:ascii="Book Antiqua" w:eastAsia="等线" w:hAnsi="Book Antiqua" w:cs="Times New Roman"/>
          <w:b/>
          <w:kern w:val="2"/>
        </w:rPr>
        <w:t>Goodman SM</w:t>
      </w:r>
      <w:r w:rsidRPr="001F6603">
        <w:rPr>
          <w:rFonts w:ascii="Book Antiqua" w:eastAsia="等线" w:hAnsi="Book Antiqua" w:cs="Times New Roman"/>
          <w:kern w:val="2"/>
        </w:rPr>
        <w:t xml:space="preserve">, Mandl LA, Parks ML, Zhang M, McHugh KR, Lee YY, Nguyen JT, Russell LA, Bogardus MH, Figgie MP, Bass AR. Disparities in TKA Outcomes: Census Tract Data Show Interactions Between Race and Poverty. </w:t>
      </w:r>
      <w:proofErr w:type="spellStart"/>
      <w:r w:rsidRPr="001F6603">
        <w:rPr>
          <w:rFonts w:ascii="Book Antiqua" w:eastAsia="等线" w:hAnsi="Book Antiqua" w:cs="Times New Roman"/>
          <w:i/>
          <w:kern w:val="2"/>
        </w:rPr>
        <w:t>Clin</w:t>
      </w:r>
      <w:proofErr w:type="spellEnd"/>
      <w:r w:rsidRPr="001F6603">
        <w:rPr>
          <w:rFonts w:ascii="Book Antiqua" w:eastAsia="等线" w:hAnsi="Book Antiqua" w:cs="Times New Roman"/>
          <w:i/>
          <w:kern w:val="2"/>
        </w:rPr>
        <w:t xml:space="preserve"> </w:t>
      </w:r>
      <w:proofErr w:type="spellStart"/>
      <w:r w:rsidRPr="001F6603">
        <w:rPr>
          <w:rFonts w:ascii="Book Antiqua" w:eastAsia="等线" w:hAnsi="Book Antiqua" w:cs="Times New Roman"/>
          <w:i/>
          <w:kern w:val="2"/>
        </w:rPr>
        <w:t>Orthop</w:t>
      </w:r>
      <w:proofErr w:type="spellEnd"/>
      <w:r w:rsidRPr="001F6603">
        <w:rPr>
          <w:rFonts w:ascii="Book Antiqua" w:eastAsia="等线" w:hAnsi="Book Antiqua" w:cs="Times New Roman"/>
          <w:i/>
          <w:kern w:val="2"/>
        </w:rPr>
        <w:t xml:space="preserve"> </w:t>
      </w:r>
      <w:proofErr w:type="spellStart"/>
      <w:r w:rsidRPr="001F6603">
        <w:rPr>
          <w:rFonts w:ascii="Book Antiqua" w:eastAsia="等线" w:hAnsi="Book Antiqua" w:cs="Times New Roman"/>
          <w:i/>
          <w:kern w:val="2"/>
        </w:rPr>
        <w:t>Relat</w:t>
      </w:r>
      <w:proofErr w:type="spellEnd"/>
      <w:r w:rsidRPr="001F6603">
        <w:rPr>
          <w:rFonts w:ascii="Book Antiqua" w:eastAsia="等线" w:hAnsi="Book Antiqua" w:cs="Times New Roman"/>
          <w:i/>
          <w:kern w:val="2"/>
        </w:rPr>
        <w:t xml:space="preserve"> Res</w:t>
      </w:r>
      <w:r w:rsidRPr="001F6603">
        <w:rPr>
          <w:rFonts w:ascii="Book Antiqua" w:eastAsia="等线" w:hAnsi="Book Antiqua" w:cs="Times New Roman"/>
          <w:kern w:val="2"/>
        </w:rPr>
        <w:t xml:space="preserve"> 2016; </w:t>
      </w:r>
      <w:r w:rsidRPr="001F6603">
        <w:rPr>
          <w:rFonts w:ascii="Book Antiqua" w:eastAsia="等线" w:hAnsi="Book Antiqua" w:cs="Times New Roman"/>
          <w:b/>
          <w:kern w:val="2"/>
        </w:rPr>
        <w:t>474</w:t>
      </w:r>
      <w:r w:rsidRPr="001F6603">
        <w:rPr>
          <w:rFonts w:ascii="Book Antiqua" w:eastAsia="等线" w:hAnsi="Book Antiqua" w:cs="Times New Roman"/>
          <w:kern w:val="2"/>
        </w:rPr>
        <w:t>: 1986-1995 [PMID: 27278675 DOI: 10.1007/s11999-016-4919-8]</w:t>
      </w:r>
    </w:p>
    <w:p w:rsidR="006E7B5F" w:rsidRPr="001F6603" w:rsidRDefault="006E7B5F" w:rsidP="006E7B5F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</w:rPr>
      </w:pPr>
      <w:r w:rsidRPr="001F6603">
        <w:rPr>
          <w:rFonts w:ascii="Book Antiqua" w:eastAsia="等线" w:hAnsi="Book Antiqua" w:cs="Times New Roman"/>
          <w:kern w:val="2"/>
        </w:rPr>
        <w:t xml:space="preserve">12 </w:t>
      </w:r>
      <w:r w:rsidRPr="001F6603">
        <w:rPr>
          <w:rFonts w:ascii="Book Antiqua" w:eastAsia="等线" w:hAnsi="Book Antiqua" w:cs="Times New Roman"/>
          <w:b/>
          <w:bCs/>
          <w:kern w:val="2"/>
        </w:rPr>
        <w:t>Mehta S</w:t>
      </w:r>
      <w:r w:rsidRPr="001F6603">
        <w:rPr>
          <w:rFonts w:ascii="Book Antiqua" w:eastAsia="等线" w:hAnsi="Book Antiqua" w:cs="Times New Roman"/>
          <w:kern w:val="2"/>
        </w:rPr>
        <w:t xml:space="preserve">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Palaganas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M,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Perruccio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AV, Davis AM. Do women have poorer outcomes following total knee replacement for osteoarthritis? </w:t>
      </w:r>
      <w:r w:rsidRPr="001F6603">
        <w:rPr>
          <w:rFonts w:ascii="Book Antiqua" w:eastAsia="等线" w:hAnsi="Book Antiqua" w:cs="Times New Roman"/>
          <w:i/>
          <w:iCs/>
          <w:kern w:val="2"/>
        </w:rPr>
        <w:t>Osteoarthritis Cartilage</w:t>
      </w:r>
      <w:r w:rsidRPr="001F6603">
        <w:rPr>
          <w:rFonts w:ascii="Book Antiqua" w:eastAsia="等线" w:hAnsi="Book Antiqua" w:cs="Times New Roman"/>
          <w:kern w:val="2"/>
        </w:rPr>
        <w:t xml:space="preserve"> 2014; </w:t>
      </w:r>
      <w:r w:rsidRPr="001F6603">
        <w:rPr>
          <w:rFonts w:ascii="Book Antiqua" w:eastAsia="等线" w:hAnsi="Book Antiqua" w:cs="Times New Roman"/>
          <w:b/>
          <w:bCs/>
          <w:kern w:val="2"/>
        </w:rPr>
        <w:t>22</w:t>
      </w:r>
      <w:r w:rsidRPr="001F6603">
        <w:rPr>
          <w:rFonts w:ascii="Book Antiqua" w:eastAsia="等线" w:hAnsi="Book Antiqua" w:cs="Times New Roman"/>
          <w:kern w:val="2"/>
        </w:rPr>
        <w:t>: S15-S16 [DOI: 10.1016/j.joca.2014.02.050]</w:t>
      </w:r>
    </w:p>
    <w:p w:rsidR="006E7B5F" w:rsidRPr="001F6603" w:rsidRDefault="006E7B5F" w:rsidP="006E7B5F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</w:rPr>
      </w:pPr>
      <w:r w:rsidRPr="001F6603">
        <w:rPr>
          <w:rFonts w:ascii="Book Antiqua" w:eastAsia="等线" w:hAnsi="Book Antiqua" w:cs="Times New Roman"/>
          <w:kern w:val="2"/>
        </w:rPr>
        <w:t xml:space="preserve">13 </w:t>
      </w:r>
      <w:r w:rsidRPr="001F6603">
        <w:rPr>
          <w:rFonts w:ascii="Book Antiqua" w:eastAsia="等线" w:hAnsi="Book Antiqua" w:cs="Times New Roman"/>
          <w:b/>
          <w:bCs/>
          <w:kern w:val="2"/>
        </w:rPr>
        <w:t>Lopez JP</w:t>
      </w:r>
      <w:r w:rsidRPr="001F6603">
        <w:rPr>
          <w:rFonts w:ascii="Book Antiqua" w:eastAsia="等线" w:hAnsi="Book Antiqua" w:cs="Times New Roman"/>
          <w:kern w:val="2"/>
        </w:rPr>
        <w:t xml:space="preserve">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Burant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CJ,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Siminoff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LA,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Kwoh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CK, Ibrahim SA. Patient perceptions of access to care and referrals to specialists: a comparison of African-American and white older patients with knee and hip osteoarthritis. </w:t>
      </w:r>
      <w:r w:rsidRPr="001F6603">
        <w:rPr>
          <w:rFonts w:ascii="Book Antiqua" w:eastAsia="等线" w:hAnsi="Book Antiqua" w:cs="Times New Roman"/>
          <w:i/>
          <w:iCs/>
          <w:kern w:val="2"/>
        </w:rPr>
        <w:t xml:space="preserve">J Natl Med </w:t>
      </w:r>
      <w:proofErr w:type="spellStart"/>
      <w:r w:rsidRPr="001F6603">
        <w:rPr>
          <w:rFonts w:ascii="Book Antiqua" w:eastAsia="等线" w:hAnsi="Book Antiqua" w:cs="Times New Roman"/>
          <w:i/>
          <w:iCs/>
          <w:kern w:val="2"/>
        </w:rPr>
        <w:t>Assoc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2005; </w:t>
      </w:r>
      <w:r w:rsidRPr="001F6603">
        <w:rPr>
          <w:rFonts w:ascii="Book Antiqua" w:eastAsia="等线" w:hAnsi="Book Antiqua" w:cs="Times New Roman"/>
          <w:b/>
          <w:bCs/>
          <w:kern w:val="2"/>
        </w:rPr>
        <w:t>97</w:t>
      </w:r>
      <w:r w:rsidRPr="001F6603">
        <w:rPr>
          <w:rFonts w:ascii="Book Antiqua" w:eastAsia="等线" w:hAnsi="Book Antiqua" w:cs="Times New Roman"/>
          <w:kern w:val="2"/>
        </w:rPr>
        <w:t>: 667-673 [PMID: 15926643]</w:t>
      </w:r>
    </w:p>
    <w:p w:rsidR="006E7B5F" w:rsidRPr="001F6603" w:rsidRDefault="006E7B5F" w:rsidP="006E7B5F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</w:rPr>
      </w:pPr>
      <w:r w:rsidRPr="001F6603">
        <w:rPr>
          <w:rFonts w:ascii="Book Antiqua" w:eastAsia="等线" w:hAnsi="Book Antiqua" w:cs="Times New Roman"/>
          <w:kern w:val="2"/>
        </w:rPr>
        <w:t xml:space="preserve">14 </w:t>
      </w:r>
      <w:proofErr w:type="spellStart"/>
      <w:r w:rsidRPr="001F6603">
        <w:rPr>
          <w:rFonts w:ascii="Book Antiqua" w:eastAsia="等线" w:hAnsi="Book Antiqua" w:cs="Times New Roman"/>
          <w:b/>
          <w:kern w:val="2"/>
        </w:rPr>
        <w:t>Dy</w:t>
      </w:r>
      <w:proofErr w:type="spellEnd"/>
      <w:r w:rsidRPr="001F6603">
        <w:rPr>
          <w:rFonts w:ascii="Book Antiqua" w:eastAsia="等线" w:hAnsi="Book Antiqua" w:cs="Times New Roman"/>
          <w:b/>
          <w:kern w:val="2"/>
        </w:rPr>
        <w:t xml:space="preserve"> CJ</w:t>
      </w:r>
      <w:r w:rsidRPr="001F6603">
        <w:rPr>
          <w:rFonts w:ascii="Book Antiqua" w:eastAsia="等线" w:hAnsi="Book Antiqua" w:cs="Times New Roman"/>
          <w:kern w:val="2"/>
        </w:rPr>
        <w:t xml:space="preserve">, Lyman S, Boutin-Foster C, Felix K, Kang Y, Parks ML. Do patient race and sex change surgeon recommendations for TKA? </w:t>
      </w:r>
      <w:proofErr w:type="spellStart"/>
      <w:r w:rsidRPr="001F6603">
        <w:rPr>
          <w:rFonts w:ascii="Book Antiqua" w:eastAsia="等线" w:hAnsi="Book Antiqua" w:cs="Times New Roman"/>
          <w:i/>
          <w:kern w:val="2"/>
        </w:rPr>
        <w:t>Clin</w:t>
      </w:r>
      <w:proofErr w:type="spellEnd"/>
      <w:r w:rsidRPr="001F6603">
        <w:rPr>
          <w:rFonts w:ascii="Book Antiqua" w:eastAsia="等线" w:hAnsi="Book Antiqua" w:cs="Times New Roman"/>
          <w:i/>
          <w:kern w:val="2"/>
        </w:rPr>
        <w:t xml:space="preserve"> </w:t>
      </w:r>
      <w:proofErr w:type="spellStart"/>
      <w:r w:rsidRPr="001F6603">
        <w:rPr>
          <w:rFonts w:ascii="Book Antiqua" w:eastAsia="等线" w:hAnsi="Book Antiqua" w:cs="Times New Roman"/>
          <w:i/>
          <w:kern w:val="2"/>
        </w:rPr>
        <w:t>Orthop</w:t>
      </w:r>
      <w:proofErr w:type="spellEnd"/>
      <w:r w:rsidRPr="001F6603">
        <w:rPr>
          <w:rFonts w:ascii="Book Antiqua" w:eastAsia="等线" w:hAnsi="Book Antiqua" w:cs="Times New Roman"/>
          <w:i/>
          <w:kern w:val="2"/>
        </w:rPr>
        <w:t xml:space="preserve"> </w:t>
      </w:r>
      <w:proofErr w:type="spellStart"/>
      <w:r w:rsidRPr="001F6603">
        <w:rPr>
          <w:rFonts w:ascii="Book Antiqua" w:eastAsia="等线" w:hAnsi="Book Antiqua" w:cs="Times New Roman"/>
          <w:i/>
          <w:kern w:val="2"/>
        </w:rPr>
        <w:t>Relat</w:t>
      </w:r>
      <w:proofErr w:type="spellEnd"/>
      <w:r w:rsidRPr="001F6603">
        <w:rPr>
          <w:rFonts w:ascii="Book Antiqua" w:eastAsia="等线" w:hAnsi="Book Antiqua" w:cs="Times New Roman"/>
          <w:i/>
          <w:kern w:val="2"/>
        </w:rPr>
        <w:t xml:space="preserve"> Res</w:t>
      </w:r>
      <w:r w:rsidRPr="001F6603">
        <w:rPr>
          <w:rFonts w:ascii="Book Antiqua" w:eastAsia="等线" w:hAnsi="Book Antiqua" w:cs="Times New Roman"/>
          <w:kern w:val="2"/>
        </w:rPr>
        <w:t xml:space="preserve"> 2015; </w:t>
      </w:r>
      <w:r w:rsidRPr="001F6603">
        <w:rPr>
          <w:rFonts w:ascii="Book Antiqua" w:eastAsia="等线" w:hAnsi="Book Antiqua" w:cs="Times New Roman"/>
          <w:b/>
          <w:kern w:val="2"/>
        </w:rPr>
        <w:t>473</w:t>
      </w:r>
      <w:r w:rsidRPr="001F6603">
        <w:rPr>
          <w:rFonts w:ascii="Book Antiqua" w:eastAsia="等线" w:hAnsi="Book Antiqua" w:cs="Times New Roman"/>
          <w:kern w:val="2"/>
        </w:rPr>
        <w:t>: 410-417 [PMID: 25337976 DOI: 10.1007/s11999-014-4003-1]</w:t>
      </w:r>
    </w:p>
    <w:p w:rsidR="006E7B5F" w:rsidRPr="001F6603" w:rsidRDefault="006E7B5F" w:rsidP="006E7B5F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</w:rPr>
      </w:pPr>
      <w:r w:rsidRPr="001F6603">
        <w:rPr>
          <w:rFonts w:ascii="Book Antiqua" w:eastAsia="等线" w:hAnsi="Book Antiqua" w:cs="Times New Roman"/>
          <w:kern w:val="2"/>
        </w:rPr>
        <w:t xml:space="preserve">15 </w:t>
      </w:r>
      <w:proofErr w:type="spellStart"/>
      <w:r w:rsidRPr="001F6603">
        <w:rPr>
          <w:rFonts w:ascii="Book Antiqua" w:eastAsia="等线" w:hAnsi="Book Antiqua" w:cs="Times New Roman"/>
          <w:b/>
          <w:kern w:val="2"/>
        </w:rPr>
        <w:t>Borkhoff</w:t>
      </w:r>
      <w:proofErr w:type="spellEnd"/>
      <w:r w:rsidRPr="001F6603">
        <w:rPr>
          <w:rFonts w:ascii="Book Antiqua" w:eastAsia="等线" w:hAnsi="Book Antiqua" w:cs="Times New Roman"/>
          <w:b/>
          <w:kern w:val="2"/>
        </w:rPr>
        <w:t xml:space="preserve"> CM</w:t>
      </w:r>
      <w:r w:rsidRPr="001F6603">
        <w:rPr>
          <w:rFonts w:ascii="Book Antiqua" w:eastAsia="等线" w:hAnsi="Book Antiqua" w:cs="Times New Roman"/>
          <w:kern w:val="2"/>
        </w:rPr>
        <w:t xml:space="preserve">, Hawker GA,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Kreder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HJ, Glazier RH, Mahomed NN, Wright JG. </w:t>
      </w:r>
      <w:proofErr w:type="gramStart"/>
      <w:r w:rsidRPr="001F6603">
        <w:rPr>
          <w:rFonts w:ascii="Book Antiqua" w:eastAsia="等线" w:hAnsi="Book Antiqua" w:cs="Times New Roman"/>
          <w:kern w:val="2"/>
        </w:rPr>
        <w:t>The effect of patients' sex on physicians' recommendations for total knee arthroplasty.</w:t>
      </w:r>
      <w:proofErr w:type="gramEnd"/>
      <w:r w:rsidRPr="001F6603">
        <w:rPr>
          <w:rFonts w:ascii="Book Antiqua" w:eastAsia="等线" w:hAnsi="Book Antiqua" w:cs="Times New Roman"/>
          <w:kern w:val="2"/>
        </w:rPr>
        <w:t xml:space="preserve"> </w:t>
      </w:r>
      <w:r w:rsidRPr="001F6603">
        <w:rPr>
          <w:rFonts w:ascii="Book Antiqua" w:eastAsia="等线" w:hAnsi="Book Antiqua" w:cs="Times New Roman"/>
          <w:i/>
          <w:kern w:val="2"/>
        </w:rPr>
        <w:t>CMAJ</w:t>
      </w:r>
      <w:r w:rsidRPr="001F6603">
        <w:rPr>
          <w:rFonts w:ascii="Book Antiqua" w:eastAsia="等线" w:hAnsi="Book Antiqua" w:cs="Times New Roman"/>
          <w:kern w:val="2"/>
        </w:rPr>
        <w:t xml:space="preserve"> 2008; </w:t>
      </w:r>
      <w:r w:rsidRPr="001F6603">
        <w:rPr>
          <w:rFonts w:ascii="Book Antiqua" w:eastAsia="等线" w:hAnsi="Book Antiqua" w:cs="Times New Roman"/>
          <w:b/>
          <w:kern w:val="2"/>
        </w:rPr>
        <w:t>178</w:t>
      </w:r>
      <w:r w:rsidRPr="001F6603">
        <w:rPr>
          <w:rFonts w:ascii="Book Antiqua" w:eastAsia="等线" w:hAnsi="Book Antiqua" w:cs="Times New Roman"/>
          <w:kern w:val="2"/>
        </w:rPr>
        <w:t>: 681-687 [PMID: 18332383 DOI: 10.1503/cmaj.071168]</w:t>
      </w:r>
    </w:p>
    <w:p w:rsidR="006E7B5F" w:rsidRPr="001F6603" w:rsidRDefault="006E7B5F" w:rsidP="006E7B5F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</w:rPr>
      </w:pPr>
      <w:r w:rsidRPr="001F6603">
        <w:rPr>
          <w:rFonts w:ascii="Book Antiqua" w:eastAsia="等线" w:hAnsi="Book Antiqua" w:cs="Times New Roman"/>
          <w:kern w:val="2"/>
        </w:rPr>
        <w:t xml:space="preserve">16 </w:t>
      </w:r>
      <w:r w:rsidRPr="001F6603">
        <w:rPr>
          <w:rFonts w:ascii="Book Antiqua" w:eastAsia="等线" w:hAnsi="Book Antiqua" w:cs="Times New Roman"/>
          <w:b/>
          <w:kern w:val="2"/>
        </w:rPr>
        <w:t>Schulman KA</w:t>
      </w:r>
      <w:r w:rsidRPr="001F6603">
        <w:rPr>
          <w:rFonts w:ascii="Book Antiqua" w:eastAsia="等线" w:hAnsi="Book Antiqua" w:cs="Times New Roman"/>
          <w:kern w:val="2"/>
        </w:rPr>
        <w:t xml:space="preserve">, Berlin JA,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Harless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W,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Kerner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JF,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Sistrunk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S,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Gersh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BJ,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Dubé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R,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Taleghani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CK, Burke JE, Williams S, Eisenberg JM,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Escarce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JJ. </w:t>
      </w:r>
      <w:proofErr w:type="gramStart"/>
      <w:r w:rsidRPr="001F6603">
        <w:rPr>
          <w:rFonts w:ascii="Book Antiqua" w:eastAsia="等线" w:hAnsi="Book Antiqua" w:cs="Times New Roman"/>
          <w:kern w:val="2"/>
        </w:rPr>
        <w:t>The effect of race and sex on physicians' recommendations for cardiac catheterization.</w:t>
      </w:r>
      <w:proofErr w:type="gramEnd"/>
      <w:r w:rsidRPr="001F6603">
        <w:rPr>
          <w:rFonts w:ascii="Book Antiqua" w:eastAsia="等线" w:hAnsi="Book Antiqua" w:cs="Times New Roman"/>
          <w:kern w:val="2"/>
        </w:rPr>
        <w:t xml:space="preserve"> </w:t>
      </w:r>
      <w:r w:rsidRPr="001F6603">
        <w:rPr>
          <w:rFonts w:ascii="Book Antiqua" w:eastAsia="等线" w:hAnsi="Book Antiqua" w:cs="Times New Roman"/>
          <w:i/>
          <w:kern w:val="2"/>
        </w:rPr>
        <w:t xml:space="preserve">N </w:t>
      </w:r>
      <w:proofErr w:type="spellStart"/>
      <w:r w:rsidRPr="001F6603">
        <w:rPr>
          <w:rFonts w:ascii="Book Antiqua" w:eastAsia="等线" w:hAnsi="Book Antiqua" w:cs="Times New Roman"/>
          <w:i/>
          <w:kern w:val="2"/>
        </w:rPr>
        <w:t>Engl</w:t>
      </w:r>
      <w:proofErr w:type="spellEnd"/>
      <w:r w:rsidRPr="001F6603">
        <w:rPr>
          <w:rFonts w:ascii="Book Antiqua" w:eastAsia="等线" w:hAnsi="Book Antiqua" w:cs="Times New Roman"/>
          <w:i/>
          <w:kern w:val="2"/>
        </w:rPr>
        <w:t xml:space="preserve"> J Med</w:t>
      </w:r>
      <w:r w:rsidRPr="001F6603">
        <w:rPr>
          <w:rFonts w:ascii="Book Antiqua" w:eastAsia="等线" w:hAnsi="Book Antiqua" w:cs="Times New Roman"/>
          <w:kern w:val="2"/>
        </w:rPr>
        <w:t xml:space="preserve"> 1999; </w:t>
      </w:r>
      <w:r w:rsidRPr="001F6603">
        <w:rPr>
          <w:rFonts w:ascii="Book Antiqua" w:eastAsia="等线" w:hAnsi="Book Antiqua" w:cs="Times New Roman"/>
          <w:b/>
          <w:kern w:val="2"/>
        </w:rPr>
        <w:t>340</w:t>
      </w:r>
      <w:r w:rsidRPr="001F6603">
        <w:rPr>
          <w:rFonts w:ascii="Book Antiqua" w:eastAsia="等线" w:hAnsi="Book Antiqua" w:cs="Times New Roman"/>
          <w:kern w:val="2"/>
        </w:rPr>
        <w:t>: 618-626 [PMID: 10029647 DOI: 10.1037/e556962006-001]</w:t>
      </w:r>
    </w:p>
    <w:p w:rsidR="006E7B5F" w:rsidRPr="001F6603" w:rsidRDefault="006E7B5F" w:rsidP="006E7B5F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</w:rPr>
      </w:pPr>
      <w:r w:rsidRPr="001F6603">
        <w:rPr>
          <w:rFonts w:ascii="Book Antiqua" w:eastAsia="等线" w:hAnsi="Book Antiqua" w:cs="Times New Roman"/>
          <w:kern w:val="2"/>
        </w:rPr>
        <w:t xml:space="preserve">17 </w:t>
      </w:r>
      <w:r w:rsidRPr="001F6603">
        <w:rPr>
          <w:rFonts w:ascii="Book Antiqua" w:eastAsia="等线" w:hAnsi="Book Antiqua" w:cs="Times New Roman"/>
          <w:b/>
          <w:kern w:val="2"/>
        </w:rPr>
        <w:t>Hadden KB</w:t>
      </w:r>
      <w:r w:rsidRPr="001F6603">
        <w:rPr>
          <w:rFonts w:ascii="Book Antiqua" w:eastAsia="等线" w:hAnsi="Book Antiqua" w:cs="Times New Roman"/>
          <w:kern w:val="2"/>
        </w:rPr>
        <w:t xml:space="preserve">, Prince LY,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Bushmiaer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MK, Watson JC, Barnes CL. Health literacy and surgery expectations in total hip and knee arthroplasty patients. </w:t>
      </w:r>
      <w:r w:rsidRPr="001F6603">
        <w:rPr>
          <w:rFonts w:ascii="Book Antiqua" w:eastAsia="等线" w:hAnsi="Book Antiqua" w:cs="Times New Roman"/>
          <w:i/>
          <w:kern w:val="2"/>
        </w:rPr>
        <w:t xml:space="preserve">Patient </w:t>
      </w:r>
      <w:proofErr w:type="spellStart"/>
      <w:r w:rsidRPr="001F6603">
        <w:rPr>
          <w:rFonts w:ascii="Book Antiqua" w:eastAsia="等线" w:hAnsi="Book Antiqua" w:cs="Times New Roman"/>
          <w:i/>
          <w:kern w:val="2"/>
        </w:rPr>
        <w:t>Educ</w:t>
      </w:r>
      <w:proofErr w:type="spellEnd"/>
      <w:r w:rsidRPr="001F6603">
        <w:rPr>
          <w:rFonts w:ascii="Book Antiqua" w:eastAsia="等线" w:hAnsi="Book Antiqua" w:cs="Times New Roman"/>
          <w:i/>
          <w:kern w:val="2"/>
        </w:rPr>
        <w:t xml:space="preserve"> </w:t>
      </w:r>
      <w:proofErr w:type="spellStart"/>
      <w:r w:rsidRPr="001F6603">
        <w:rPr>
          <w:rFonts w:ascii="Book Antiqua" w:eastAsia="等线" w:hAnsi="Book Antiqua" w:cs="Times New Roman"/>
          <w:i/>
          <w:kern w:val="2"/>
        </w:rPr>
        <w:t>Couns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2018; </w:t>
      </w:r>
      <w:r w:rsidRPr="001F6603">
        <w:rPr>
          <w:rFonts w:ascii="Book Antiqua" w:eastAsia="等线" w:hAnsi="Book Antiqua" w:cs="Times New Roman"/>
          <w:b/>
          <w:kern w:val="2"/>
        </w:rPr>
        <w:t>101</w:t>
      </w:r>
      <w:r w:rsidRPr="001F6603">
        <w:rPr>
          <w:rFonts w:ascii="Book Antiqua" w:eastAsia="等线" w:hAnsi="Book Antiqua" w:cs="Times New Roman"/>
          <w:kern w:val="2"/>
        </w:rPr>
        <w:t>: 1823-1827 [PMID: 29880403 DOI: 10.1016/j.pec.2018.05.021]</w:t>
      </w:r>
    </w:p>
    <w:p w:rsidR="006E7B5F" w:rsidRPr="001F6603" w:rsidRDefault="006E7B5F" w:rsidP="006E7B5F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</w:rPr>
      </w:pPr>
      <w:r w:rsidRPr="001F6603">
        <w:rPr>
          <w:rFonts w:ascii="Book Antiqua" w:eastAsia="等线" w:hAnsi="Book Antiqua" w:cs="Times New Roman"/>
          <w:kern w:val="2"/>
        </w:rPr>
        <w:t xml:space="preserve">18 </w:t>
      </w:r>
      <w:r w:rsidRPr="001F6603">
        <w:rPr>
          <w:rFonts w:ascii="Book Antiqua" w:eastAsia="等线" w:hAnsi="Book Antiqua" w:cs="Times New Roman"/>
          <w:b/>
          <w:kern w:val="2"/>
        </w:rPr>
        <w:t>Menendez ME</w:t>
      </w:r>
      <w:r w:rsidRPr="001F6603">
        <w:rPr>
          <w:rFonts w:ascii="Book Antiqua" w:eastAsia="等线" w:hAnsi="Book Antiqua" w:cs="Times New Roman"/>
          <w:kern w:val="2"/>
        </w:rPr>
        <w:t xml:space="preserve">, van Hoorn BT,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Mackert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M, Donovan EE, Chen NC, Ring D. Patients With Limited Health Literacy Ask Fewer Questions During Office Visits With Hand Surgeons. </w:t>
      </w:r>
      <w:proofErr w:type="spellStart"/>
      <w:r w:rsidRPr="001F6603">
        <w:rPr>
          <w:rFonts w:ascii="Book Antiqua" w:eastAsia="等线" w:hAnsi="Book Antiqua" w:cs="Times New Roman"/>
          <w:i/>
          <w:kern w:val="2"/>
        </w:rPr>
        <w:t>Clin</w:t>
      </w:r>
      <w:proofErr w:type="spellEnd"/>
      <w:r w:rsidRPr="001F6603">
        <w:rPr>
          <w:rFonts w:ascii="Book Antiqua" w:eastAsia="等线" w:hAnsi="Book Antiqua" w:cs="Times New Roman"/>
          <w:i/>
          <w:kern w:val="2"/>
        </w:rPr>
        <w:t xml:space="preserve"> </w:t>
      </w:r>
      <w:proofErr w:type="spellStart"/>
      <w:r w:rsidRPr="001F6603">
        <w:rPr>
          <w:rFonts w:ascii="Book Antiqua" w:eastAsia="等线" w:hAnsi="Book Antiqua" w:cs="Times New Roman"/>
          <w:i/>
          <w:kern w:val="2"/>
        </w:rPr>
        <w:t>Orthop</w:t>
      </w:r>
      <w:proofErr w:type="spellEnd"/>
      <w:r w:rsidRPr="001F6603">
        <w:rPr>
          <w:rFonts w:ascii="Book Antiqua" w:eastAsia="等线" w:hAnsi="Book Antiqua" w:cs="Times New Roman"/>
          <w:i/>
          <w:kern w:val="2"/>
        </w:rPr>
        <w:t xml:space="preserve"> </w:t>
      </w:r>
      <w:proofErr w:type="spellStart"/>
      <w:r w:rsidRPr="001F6603">
        <w:rPr>
          <w:rFonts w:ascii="Book Antiqua" w:eastAsia="等线" w:hAnsi="Book Antiqua" w:cs="Times New Roman"/>
          <w:i/>
          <w:kern w:val="2"/>
        </w:rPr>
        <w:t>Relat</w:t>
      </w:r>
      <w:proofErr w:type="spellEnd"/>
      <w:r w:rsidRPr="001F6603">
        <w:rPr>
          <w:rFonts w:ascii="Book Antiqua" w:eastAsia="等线" w:hAnsi="Book Antiqua" w:cs="Times New Roman"/>
          <w:i/>
          <w:kern w:val="2"/>
        </w:rPr>
        <w:t xml:space="preserve"> Res</w:t>
      </w:r>
      <w:r w:rsidRPr="001F6603">
        <w:rPr>
          <w:rFonts w:ascii="Book Antiqua" w:eastAsia="等线" w:hAnsi="Book Antiqua" w:cs="Times New Roman"/>
          <w:kern w:val="2"/>
        </w:rPr>
        <w:t xml:space="preserve"> 2017; </w:t>
      </w:r>
      <w:r w:rsidRPr="001F6603">
        <w:rPr>
          <w:rFonts w:ascii="Book Antiqua" w:eastAsia="等线" w:hAnsi="Book Antiqua" w:cs="Times New Roman"/>
          <w:b/>
          <w:kern w:val="2"/>
        </w:rPr>
        <w:t>475</w:t>
      </w:r>
      <w:r w:rsidRPr="001F6603">
        <w:rPr>
          <w:rFonts w:ascii="Book Antiqua" w:eastAsia="等线" w:hAnsi="Book Antiqua" w:cs="Times New Roman"/>
          <w:kern w:val="2"/>
        </w:rPr>
        <w:t xml:space="preserve">: 1291-1297 [PMID: 27796802 </w:t>
      </w:r>
      <w:r w:rsidRPr="001F6603">
        <w:rPr>
          <w:rFonts w:ascii="Book Antiqua" w:eastAsia="等线" w:hAnsi="Book Antiqua" w:cs="Times New Roman"/>
          <w:kern w:val="2"/>
        </w:rPr>
        <w:lastRenderedPageBreak/>
        <w:t>DOI: 10.1007/s11999-016-5140-5]</w:t>
      </w:r>
    </w:p>
    <w:p w:rsidR="006E7B5F" w:rsidRPr="001F6603" w:rsidRDefault="006E7B5F" w:rsidP="006E7B5F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</w:rPr>
      </w:pPr>
      <w:proofErr w:type="gramStart"/>
      <w:r w:rsidRPr="001F6603">
        <w:rPr>
          <w:rFonts w:ascii="Book Antiqua" w:eastAsia="等线" w:hAnsi="Book Antiqua" w:cs="Times New Roman"/>
          <w:kern w:val="2"/>
        </w:rPr>
        <w:t xml:space="preserve">19 </w:t>
      </w:r>
      <w:r w:rsidRPr="001F6603">
        <w:rPr>
          <w:rFonts w:ascii="Book Antiqua" w:eastAsia="等线" w:hAnsi="Book Antiqua" w:cs="Times New Roman"/>
          <w:b/>
          <w:kern w:val="2"/>
        </w:rPr>
        <w:t>Hawker GA</w:t>
      </w:r>
      <w:r w:rsidRPr="001F6603">
        <w:rPr>
          <w:rFonts w:ascii="Book Antiqua" w:eastAsia="等线" w:hAnsi="Book Antiqua" w:cs="Times New Roman"/>
          <w:kern w:val="2"/>
        </w:rPr>
        <w:t xml:space="preserve">, Wright JG, Glazier RH,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Coyte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PC, Harvey B, Williams JI, 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Badley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EM.</w:t>
      </w:r>
      <w:proofErr w:type="gramEnd"/>
      <w:r w:rsidRPr="001F6603">
        <w:rPr>
          <w:rFonts w:ascii="Book Antiqua" w:eastAsia="等线" w:hAnsi="Book Antiqua" w:cs="Times New Roman"/>
          <w:kern w:val="2"/>
        </w:rPr>
        <w:t xml:space="preserve"> </w:t>
      </w:r>
      <w:proofErr w:type="gramStart"/>
      <w:r w:rsidRPr="001F6603">
        <w:rPr>
          <w:rFonts w:ascii="Book Antiqua" w:eastAsia="等线" w:hAnsi="Book Antiqua" w:cs="Times New Roman"/>
          <w:kern w:val="2"/>
        </w:rPr>
        <w:t>The effect of education and income on need and willingness to undergo total joint arthroplasty.</w:t>
      </w:r>
      <w:proofErr w:type="gramEnd"/>
      <w:r w:rsidRPr="001F6603">
        <w:rPr>
          <w:rFonts w:ascii="Book Antiqua" w:eastAsia="等线" w:hAnsi="Book Antiqua" w:cs="Times New Roman"/>
          <w:kern w:val="2"/>
        </w:rPr>
        <w:t xml:space="preserve"> </w:t>
      </w:r>
      <w:r w:rsidRPr="001F6603">
        <w:rPr>
          <w:rFonts w:ascii="Book Antiqua" w:eastAsia="等线" w:hAnsi="Book Antiqua" w:cs="Times New Roman"/>
          <w:i/>
          <w:kern w:val="2"/>
        </w:rPr>
        <w:t>Arthritis Rheum</w:t>
      </w:r>
      <w:r w:rsidRPr="001F6603">
        <w:rPr>
          <w:rFonts w:ascii="Book Antiqua" w:eastAsia="等线" w:hAnsi="Book Antiqua" w:cs="Times New Roman"/>
          <w:kern w:val="2"/>
        </w:rPr>
        <w:t xml:space="preserve"> 2002; </w:t>
      </w:r>
      <w:r w:rsidRPr="001F6603">
        <w:rPr>
          <w:rFonts w:ascii="Book Antiqua" w:eastAsia="等线" w:hAnsi="Book Antiqua" w:cs="Times New Roman"/>
          <w:b/>
          <w:kern w:val="2"/>
        </w:rPr>
        <w:t>46</w:t>
      </w:r>
      <w:r w:rsidRPr="001F6603">
        <w:rPr>
          <w:rFonts w:ascii="Book Antiqua" w:eastAsia="等线" w:hAnsi="Book Antiqua" w:cs="Times New Roman"/>
          <w:kern w:val="2"/>
        </w:rPr>
        <w:t>: 3331-3339 [PMID: 12483740 DOI: 10.1002/art.10682]</w:t>
      </w:r>
    </w:p>
    <w:p w:rsidR="006E7B5F" w:rsidRPr="001F6603" w:rsidRDefault="006E7B5F" w:rsidP="006E7B5F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</w:rPr>
      </w:pPr>
      <w:r w:rsidRPr="001F6603">
        <w:rPr>
          <w:rFonts w:ascii="Book Antiqua" w:eastAsia="等线" w:hAnsi="Book Antiqua" w:cs="Times New Roman"/>
          <w:kern w:val="2"/>
        </w:rPr>
        <w:t xml:space="preserve">20 </w:t>
      </w:r>
      <w:proofErr w:type="gramStart"/>
      <w:r w:rsidRPr="001F6603">
        <w:rPr>
          <w:rFonts w:ascii="Book Antiqua" w:eastAsia="等线" w:hAnsi="Book Antiqua" w:cs="Times New Roman"/>
          <w:b/>
          <w:kern w:val="2"/>
        </w:rPr>
        <w:t>Cai</w:t>
      </w:r>
      <w:proofErr w:type="gramEnd"/>
      <w:r w:rsidRPr="001F6603">
        <w:rPr>
          <w:rFonts w:ascii="Book Antiqua" w:eastAsia="等线" w:hAnsi="Book Antiqua" w:cs="Times New Roman"/>
          <w:b/>
          <w:kern w:val="2"/>
        </w:rPr>
        <w:t xml:space="preserve"> X</w:t>
      </w:r>
      <w:r w:rsidRPr="001F6603">
        <w:rPr>
          <w:rFonts w:ascii="Book Antiqua" w:eastAsia="等线" w:hAnsi="Book Antiqua" w:cs="Times New Roman"/>
          <w:kern w:val="2"/>
        </w:rPr>
        <w:t>, Cram P, Vaughan-</w:t>
      </w:r>
      <w:proofErr w:type="spellStart"/>
      <w:r w:rsidRPr="001F6603">
        <w:rPr>
          <w:rFonts w:ascii="Book Antiqua" w:eastAsia="等线" w:hAnsi="Book Antiqua" w:cs="Times New Roman"/>
          <w:kern w:val="2"/>
        </w:rPr>
        <w:t>Sarrazin</w:t>
      </w:r>
      <w:proofErr w:type="spellEnd"/>
      <w:r w:rsidRPr="001F6603">
        <w:rPr>
          <w:rFonts w:ascii="Book Antiqua" w:eastAsia="等线" w:hAnsi="Book Antiqua" w:cs="Times New Roman"/>
          <w:kern w:val="2"/>
        </w:rPr>
        <w:t xml:space="preserve"> M. Are African American patients more likely to receive a total knee arthroplasty in a low-quality hospital? </w:t>
      </w:r>
      <w:proofErr w:type="spellStart"/>
      <w:r w:rsidRPr="001F6603">
        <w:rPr>
          <w:rFonts w:ascii="Book Antiqua" w:eastAsia="等线" w:hAnsi="Book Antiqua" w:cs="Times New Roman"/>
          <w:i/>
          <w:kern w:val="2"/>
        </w:rPr>
        <w:t>Clin</w:t>
      </w:r>
      <w:proofErr w:type="spellEnd"/>
      <w:r w:rsidRPr="001F6603">
        <w:rPr>
          <w:rFonts w:ascii="Book Antiqua" w:eastAsia="等线" w:hAnsi="Book Antiqua" w:cs="Times New Roman"/>
          <w:i/>
          <w:kern w:val="2"/>
        </w:rPr>
        <w:t xml:space="preserve"> </w:t>
      </w:r>
      <w:proofErr w:type="spellStart"/>
      <w:r w:rsidRPr="001F6603">
        <w:rPr>
          <w:rFonts w:ascii="Book Antiqua" w:eastAsia="等线" w:hAnsi="Book Antiqua" w:cs="Times New Roman"/>
          <w:i/>
          <w:kern w:val="2"/>
        </w:rPr>
        <w:t>Orthop</w:t>
      </w:r>
      <w:proofErr w:type="spellEnd"/>
      <w:r w:rsidRPr="001F6603">
        <w:rPr>
          <w:rFonts w:ascii="Book Antiqua" w:eastAsia="等线" w:hAnsi="Book Antiqua" w:cs="Times New Roman"/>
          <w:i/>
          <w:kern w:val="2"/>
        </w:rPr>
        <w:t xml:space="preserve"> </w:t>
      </w:r>
      <w:proofErr w:type="spellStart"/>
      <w:r w:rsidRPr="001F6603">
        <w:rPr>
          <w:rFonts w:ascii="Book Antiqua" w:eastAsia="等线" w:hAnsi="Book Antiqua" w:cs="Times New Roman"/>
          <w:i/>
          <w:kern w:val="2"/>
        </w:rPr>
        <w:t>Relat</w:t>
      </w:r>
      <w:proofErr w:type="spellEnd"/>
      <w:r w:rsidRPr="001F6603">
        <w:rPr>
          <w:rFonts w:ascii="Book Antiqua" w:eastAsia="等线" w:hAnsi="Book Antiqua" w:cs="Times New Roman"/>
          <w:i/>
          <w:kern w:val="2"/>
        </w:rPr>
        <w:t xml:space="preserve"> Res</w:t>
      </w:r>
      <w:r w:rsidRPr="001F6603">
        <w:rPr>
          <w:rFonts w:ascii="Book Antiqua" w:eastAsia="等线" w:hAnsi="Book Antiqua" w:cs="Times New Roman"/>
          <w:kern w:val="2"/>
        </w:rPr>
        <w:t xml:space="preserve"> 2012; </w:t>
      </w:r>
      <w:r w:rsidRPr="001F6603">
        <w:rPr>
          <w:rFonts w:ascii="Book Antiqua" w:eastAsia="等线" w:hAnsi="Book Antiqua" w:cs="Times New Roman"/>
          <w:b/>
          <w:kern w:val="2"/>
        </w:rPr>
        <w:t>470</w:t>
      </w:r>
      <w:r w:rsidRPr="001F6603">
        <w:rPr>
          <w:rFonts w:ascii="Book Antiqua" w:eastAsia="等线" w:hAnsi="Book Antiqua" w:cs="Times New Roman"/>
          <w:kern w:val="2"/>
        </w:rPr>
        <w:t>: 1185-1193 [PMID: 21879410 DOI: 10.1007/s11999-011-2032-6]</w:t>
      </w:r>
    </w:p>
    <w:p w:rsidR="006E7B5F" w:rsidRPr="001F6603" w:rsidRDefault="006E7B5F" w:rsidP="006E7B5F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</w:rPr>
      </w:pPr>
      <w:proofErr w:type="gramStart"/>
      <w:r w:rsidRPr="001F6603">
        <w:rPr>
          <w:rFonts w:ascii="Book Antiqua" w:eastAsia="等线" w:hAnsi="Book Antiqua" w:cs="Times New Roman"/>
          <w:kern w:val="2"/>
        </w:rPr>
        <w:t xml:space="preserve">21 </w:t>
      </w:r>
      <w:r w:rsidRPr="001F6603">
        <w:rPr>
          <w:rFonts w:ascii="Book Antiqua" w:eastAsia="等线" w:hAnsi="Book Antiqua" w:cs="Times New Roman"/>
          <w:b/>
          <w:kern w:val="2"/>
        </w:rPr>
        <w:t>Katz JN</w:t>
      </w:r>
      <w:r w:rsidRPr="001F6603">
        <w:rPr>
          <w:rFonts w:ascii="Book Antiqua" w:eastAsia="等线" w:hAnsi="Book Antiqua" w:cs="Times New Roman"/>
          <w:kern w:val="2"/>
        </w:rPr>
        <w:t>.</w:t>
      </w:r>
      <w:proofErr w:type="gramEnd"/>
      <w:r w:rsidRPr="001F6603">
        <w:rPr>
          <w:rFonts w:ascii="Book Antiqua" w:eastAsia="等线" w:hAnsi="Book Antiqua" w:cs="Times New Roman"/>
          <w:kern w:val="2"/>
        </w:rPr>
        <w:t xml:space="preserve"> </w:t>
      </w:r>
      <w:proofErr w:type="gramStart"/>
      <w:r w:rsidRPr="001F6603">
        <w:rPr>
          <w:rFonts w:ascii="Book Antiqua" w:eastAsia="等线" w:hAnsi="Book Antiqua" w:cs="Times New Roman"/>
          <w:kern w:val="2"/>
        </w:rPr>
        <w:t>Preferences, quality, and the (under)utilization of total joint arthroplasty.</w:t>
      </w:r>
      <w:proofErr w:type="gramEnd"/>
      <w:r w:rsidRPr="001F6603">
        <w:rPr>
          <w:rFonts w:ascii="Book Antiqua" w:eastAsia="等线" w:hAnsi="Book Antiqua" w:cs="Times New Roman"/>
          <w:kern w:val="2"/>
        </w:rPr>
        <w:t xml:space="preserve"> </w:t>
      </w:r>
      <w:r w:rsidRPr="001F6603">
        <w:rPr>
          <w:rFonts w:ascii="Book Antiqua" w:eastAsia="等线" w:hAnsi="Book Antiqua" w:cs="Times New Roman"/>
          <w:i/>
          <w:kern w:val="2"/>
        </w:rPr>
        <w:t>Med Care</w:t>
      </w:r>
      <w:r w:rsidRPr="001F6603">
        <w:rPr>
          <w:rFonts w:ascii="Book Antiqua" w:eastAsia="等线" w:hAnsi="Book Antiqua" w:cs="Times New Roman"/>
          <w:kern w:val="2"/>
        </w:rPr>
        <w:t xml:space="preserve"> 2001; </w:t>
      </w:r>
      <w:r w:rsidRPr="001F6603">
        <w:rPr>
          <w:rFonts w:ascii="Book Antiqua" w:eastAsia="等线" w:hAnsi="Book Antiqua" w:cs="Times New Roman"/>
          <w:b/>
          <w:kern w:val="2"/>
        </w:rPr>
        <w:t>39</w:t>
      </w:r>
      <w:r w:rsidRPr="001F6603">
        <w:rPr>
          <w:rFonts w:ascii="Book Antiqua" w:eastAsia="等线" w:hAnsi="Book Antiqua" w:cs="Times New Roman"/>
          <w:kern w:val="2"/>
        </w:rPr>
        <w:t>: 203-205 [PMID: 11242315 DOI: 10.1097/00005650-200103000-00001]</w:t>
      </w:r>
    </w:p>
    <w:p w:rsidR="006E7B5F" w:rsidRPr="001F6603" w:rsidRDefault="006E7B5F">
      <w:pPr>
        <w:rPr>
          <w:rFonts w:ascii="Book Antiqua" w:eastAsia="宋体" w:hAnsi="Book Antiqua" w:cs="Times New Roman"/>
          <w:b/>
          <w:lang w:val="el-GR" w:eastAsia="en-US"/>
        </w:rPr>
      </w:pPr>
      <w:r w:rsidRPr="001F6603">
        <w:rPr>
          <w:rFonts w:ascii="Book Antiqua" w:eastAsia="宋体" w:hAnsi="Book Antiqua" w:cs="Times New Roman"/>
          <w:b/>
          <w:lang w:val="el-GR" w:eastAsia="en-US"/>
        </w:rPr>
        <w:br w:type="page"/>
      </w:r>
    </w:p>
    <w:p w:rsidR="002B42BB" w:rsidRPr="001F6603" w:rsidRDefault="002B42BB" w:rsidP="004A4CEB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el-GR" w:eastAsia="en-US"/>
        </w:rPr>
      </w:pPr>
      <w:r w:rsidRPr="001F6603">
        <w:rPr>
          <w:rFonts w:ascii="Book Antiqua" w:eastAsia="宋体" w:hAnsi="Book Antiqua" w:cs="Times New Roman"/>
          <w:b/>
          <w:lang w:val="el-GR" w:eastAsia="en-US"/>
        </w:rPr>
        <w:lastRenderedPageBreak/>
        <w:t>Footnotes</w:t>
      </w:r>
    </w:p>
    <w:bookmarkEnd w:id="34"/>
    <w:p w:rsidR="00472F98" w:rsidRPr="001F6603" w:rsidRDefault="002B42BB" w:rsidP="004A4C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eastAsia="宋体" w:hAnsi="Book Antiqua" w:cs="Times New Roman"/>
          <w:b/>
          <w:color w:val="000000"/>
          <w:lang w:val="hu-HU" w:eastAsia="en-US"/>
        </w:rPr>
        <w:t>Institutional</w:t>
      </w:r>
      <w:r w:rsidR="0043237C" w:rsidRPr="001F6603">
        <w:rPr>
          <w:rFonts w:ascii="Book Antiqua" w:eastAsia="宋体" w:hAnsi="Book Antiqua" w:cs="Times New Roman"/>
          <w:b/>
          <w:color w:val="000000"/>
          <w:lang w:val="hu-HU" w:eastAsia="en-US"/>
        </w:rPr>
        <w:t xml:space="preserve"> </w:t>
      </w:r>
      <w:r w:rsidRPr="001F6603">
        <w:rPr>
          <w:rFonts w:ascii="Book Antiqua" w:eastAsia="宋体" w:hAnsi="Book Antiqua" w:cs="Times New Roman"/>
          <w:b/>
          <w:color w:val="000000"/>
          <w:lang w:val="hu-HU" w:eastAsia="en-US"/>
        </w:rPr>
        <w:t>review</w:t>
      </w:r>
      <w:r w:rsidR="0043237C" w:rsidRPr="001F6603">
        <w:rPr>
          <w:rFonts w:ascii="Book Antiqua" w:eastAsia="宋体" w:hAnsi="Book Antiqua" w:cs="Times New Roman"/>
          <w:b/>
          <w:color w:val="000000"/>
          <w:lang w:val="hu-HU" w:eastAsia="en-US"/>
        </w:rPr>
        <w:t xml:space="preserve"> </w:t>
      </w:r>
      <w:r w:rsidRPr="001F6603">
        <w:rPr>
          <w:rFonts w:ascii="Book Antiqua" w:eastAsia="宋体" w:hAnsi="Book Antiqua" w:cs="Times New Roman"/>
          <w:b/>
          <w:color w:val="000000"/>
          <w:lang w:val="hu-HU" w:eastAsia="en-US"/>
        </w:rPr>
        <w:t>board</w:t>
      </w:r>
      <w:r w:rsidR="0043237C" w:rsidRPr="001F6603">
        <w:rPr>
          <w:rFonts w:ascii="Book Antiqua" w:eastAsia="宋体" w:hAnsi="Book Antiqua" w:cs="Times New Roman"/>
          <w:b/>
          <w:color w:val="000000"/>
          <w:lang w:val="hu-HU" w:eastAsia="en-US"/>
        </w:rPr>
        <w:t xml:space="preserve"> </w:t>
      </w:r>
      <w:r w:rsidRPr="001F6603">
        <w:rPr>
          <w:rFonts w:ascii="Book Antiqua" w:eastAsia="宋体" w:hAnsi="Book Antiqua" w:cs="Times New Roman"/>
          <w:b/>
          <w:color w:val="000000"/>
          <w:lang w:val="hu-HU" w:eastAsia="en-US"/>
        </w:rPr>
        <w:t>statement:</w:t>
      </w:r>
      <w:r w:rsidR="0043237C" w:rsidRPr="001F6603">
        <w:rPr>
          <w:rFonts w:ascii="Book Antiqua" w:eastAsia="宋体" w:hAnsi="Book Antiqua" w:cs="Times New Roman"/>
          <w:color w:val="000000"/>
          <w:lang w:val="hu-HU" w:eastAsia="en-US"/>
        </w:rPr>
        <w:t xml:space="preserve"> </w:t>
      </w:r>
      <w:r w:rsidR="00472F9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reviewed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approved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by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NYU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School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Medicine’s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Institutional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Review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Board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University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of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Pennsylvania’s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Institutional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Review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Board.</w:t>
      </w:r>
    </w:p>
    <w:p w:rsidR="002B42BB" w:rsidRPr="001F6603" w:rsidRDefault="002B42BB" w:rsidP="004A4CEB">
      <w:pPr>
        <w:adjustRightInd w:val="0"/>
        <w:snapToGrid w:val="0"/>
        <w:spacing w:line="360" w:lineRule="auto"/>
        <w:jc w:val="both"/>
        <w:rPr>
          <w:rFonts w:ascii="Book Antiqua" w:eastAsia="宋体" w:hAnsi="Book Antiqua" w:cs="Calibri"/>
          <w:lang w:eastAsia="en-US"/>
        </w:rPr>
      </w:pPr>
    </w:p>
    <w:p w:rsidR="00472F98" w:rsidRPr="001F6603" w:rsidRDefault="002B42BB" w:rsidP="004A4CEB">
      <w:pPr>
        <w:snapToGrid w:val="0"/>
        <w:spacing w:line="360" w:lineRule="auto"/>
        <w:jc w:val="both"/>
        <w:rPr>
          <w:rFonts w:ascii="Book Antiqua" w:hAnsi="Book Antiqua"/>
        </w:rPr>
      </w:pPr>
      <w:bookmarkStart w:id="35" w:name="_2et92p0" w:colFirst="0" w:colLast="0"/>
      <w:bookmarkStart w:id="36" w:name="_tyjcwt" w:colFirst="0" w:colLast="0"/>
      <w:bookmarkStart w:id="37" w:name="_Hlk34698618"/>
      <w:bookmarkEnd w:id="35"/>
      <w:bookmarkEnd w:id="36"/>
      <w:r w:rsidRPr="001F6603">
        <w:rPr>
          <w:rFonts w:ascii="Book Antiqua" w:eastAsia="宋体" w:hAnsi="Book Antiqua" w:cs="Tahoma"/>
          <w:b/>
          <w:lang w:val="en-GB" w:eastAsia="en-US"/>
        </w:rPr>
        <w:t>Informed</w:t>
      </w:r>
      <w:r w:rsidR="0043237C" w:rsidRPr="001F6603">
        <w:rPr>
          <w:rFonts w:ascii="Book Antiqua" w:eastAsia="宋体" w:hAnsi="Book Antiqua" w:cs="Tahoma"/>
          <w:b/>
          <w:lang w:val="en-GB" w:eastAsia="en-US"/>
        </w:rPr>
        <w:t xml:space="preserve"> </w:t>
      </w:r>
      <w:r w:rsidRPr="001F6603">
        <w:rPr>
          <w:rFonts w:ascii="Book Antiqua" w:eastAsia="宋体" w:hAnsi="Book Antiqua" w:cs="Tahoma"/>
          <w:b/>
          <w:lang w:val="en-GB" w:eastAsia="en-US"/>
        </w:rPr>
        <w:t>consent</w:t>
      </w:r>
      <w:r w:rsidR="0043237C" w:rsidRPr="001F6603">
        <w:rPr>
          <w:rFonts w:ascii="Book Antiqua" w:eastAsia="宋体" w:hAnsi="Book Antiqua" w:cs="Tahoma"/>
          <w:b/>
          <w:lang w:val="en-GB" w:eastAsia="en-US"/>
        </w:rPr>
        <w:t xml:space="preserve"> </w:t>
      </w:r>
      <w:r w:rsidRPr="001F6603">
        <w:rPr>
          <w:rFonts w:ascii="Book Antiqua" w:eastAsia="宋体" w:hAnsi="Book Antiqua" w:cs="Tahoma"/>
          <w:b/>
          <w:lang w:val="en-GB" w:eastAsia="en-US"/>
        </w:rPr>
        <w:t>statement:</w:t>
      </w:r>
      <w:bookmarkEnd w:id="37"/>
      <w:r w:rsidR="0043237C" w:rsidRPr="001F6603">
        <w:rPr>
          <w:rFonts w:ascii="Book Antiqua" w:eastAsia="宋体" w:hAnsi="Book Antiqua" w:cs="Tahoma"/>
          <w:b/>
          <w:lang w:val="en-GB" w:eastAsia="en-US"/>
        </w:rPr>
        <w:t xml:space="preserve"> </w:t>
      </w:r>
      <w:r w:rsidR="00472F98" w:rsidRPr="001F6603">
        <w:rPr>
          <w:rFonts w:ascii="Book Antiqua" w:hAnsi="Book Antiqua"/>
        </w:rPr>
        <w:t>All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participants,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or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their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legal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guardian,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provided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informed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written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consent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prior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study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enrollment.</w:t>
      </w:r>
    </w:p>
    <w:p w:rsidR="002B42BB" w:rsidRPr="001F6603" w:rsidRDefault="002B42BB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72F98" w:rsidRPr="001F6603" w:rsidRDefault="002B42BB" w:rsidP="004A4CEB">
      <w:pPr>
        <w:snapToGrid w:val="0"/>
        <w:spacing w:line="360" w:lineRule="auto"/>
        <w:jc w:val="both"/>
        <w:rPr>
          <w:rFonts w:ascii="Book Antiqua" w:hAnsi="Book Antiqua"/>
        </w:rPr>
      </w:pPr>
      <w:bookmarkStart w:id="38" w:name="_3dy6vkm" w:colFirst="0" w:colLast="0"/>
      <w:bookmarkStart w:id="39" w:name="_1t3h5sf" w:colFirst="0" w:colLast="0"/>
      <w:bookmarkStart w:id="40" w:name="_Hlk35467972"/>
      <w:bookmarkEnd w:id="38"/>
      <w:bookmarkEnd w:id="39"/>
      <w:r w:rsidRPr="001F6603">
        <w:rPr>
          <w:rFonts w:ascii="Book Antiqua" w:eastAsia="宋体" w:hAnsi="Book Antiqua" w:cs="Tahoma"/>
          <w:b/>
          <w:lang w:val="en-GB" w:eastAsia="en-US"/>
        </w:rPr>
        <w:t>Conflict-of-interest</w:t>
      </w:r>
      <w:r w:rsidR="0043237C" w:rsidRPr="001F6603">
        <w:rPr>
          <w:rFonts w:ascii="Book Antiqua" w:eastAsia="宋体" w:hAnsi="Book Antiqua" w:cs="Tahoma"/>
          <w:b/>
          <w:lang w:val="en-GB" w:eastAsia="en-US"/>
        </w:rPr>
        <w:t xml:space="preserve"> </w:t>
      </w:r>
      <w:r w:rsidRPr="001F6603">
        <w:rPr>
          <w:rFonts w:ascii="Book Antiqua" w:eastAsia="宋体" w:hAnsi="Book Antiqua" w:cs="Tahoma"/>
          <w:b/>
          <w:lang w:val="en-GB" w:eastAsia="en-US"/>
        </w:rPr>
        <w:t>statement:</w:t>
      </w:r>
      <w:bookmarkEnd w:id="40"/>
      <w:r w:rsidR="0043237C" w:rsidRPr="001F6603">
        <w:rPr>
          <w:rFonts w:ascii="Book Antiqua" w:eastAsia="宋体" w:hAnsi="Book Antiqua" w:cs="Tahoma"/>
          <w:b/>
          <w:lang w:val="en-GB" w:eastAsia="en-US"/>
        </w:rPr>
        <w:t xml:space="preserve"> </w:t>
      </w:r>
      <w:r w:rsidR="00203D94" w:rsidRPr="001F6603">
        <w:rPr>
          <w:rFonts w:ascii="Book Antiqua" w:eastAsia="宋体" w:hAnsi="Book Antiqua" w:cs="TimesNewRomanPSMT"/>
          <w:lang w:val="en-GB" w:eastAsia="en-US"/>
        </w:rPr>
        <w:t>The authors declare that they have no conflict of interest.</w:t>
      </w:r>
    </w:p>
    <w:p w:rsidR="00203D94" w:rsidRPr="001F6603" w:rsidRDefault="00203D94" w:rsidP="004A4CEB">
      <w:pPr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  <w:bookmarkStart w:id="41" w:name="_4d34og8" w:colFirst="0" w:colLast="0"/>
      <w:bookmarkStart w:id="42" w:name="_2s8eyo1" w:colFirst="0" w:colLast="0"/>
      <w:bookmarkStart w:id="43" w:name="_17dp8vu" w:colFirst="0" w:colLast="0"/>
      <w:bookmarkEnd w:id="41"/>
      <w:bookmarkEnd w:id="42"/>
      <w:bookmarkEnd w:id="43"/>
    </w:p>
    <w:p w:rsidR="00472F98" w:rsidRPr="001F6603" w:rsidRDefault="00FF1B63" w:rsidP="004A4CEB">
      <w:pPr>
        <w:snapToGrid w:val="0"/>
        <w:spacing w:line="360" w:lineRule="auto"/>
        <w:jc w:val="both"/>
        <w:rPr>
          <w:rFonts w:ascii="Book Antiqua" w:hAnsi="Book Antiqua"/>
        </w:rPr>
      </w:pPr>
      <w:bookmarkStart w:id="44" w:name="_3rdcrjn" w:colFirst="0" w:colLast="0"/>
      <w:bookmarkStart w:id="45" w:name="_26in1rg" w:colFirst="0" w:colLast="0"/>
      <w:bookmarkEnd w:id="44"/>
      <w:bookmarkEnd w:id="45"/>
      <w:r w:rsidRPr="001F6603">
        <w:rPr>
          <w:rFonts w:ascii="Book Antiqua" w:eastAsia="宋体" w:hAnsi="Book Antiqua" w:cs="Calibri"/>
          <w:b/>
          <w:lang w:eastAsia="en-US"/>
        </w:rPr>
        <w:t>Data</w:t>
      </w:r>
      <w:r w:rsidR="0043237C" w:rsidRPr="001F6603">
        <w:rPr>
          <w:rFonts w:ascii="Book Antiqua" w:eastAsia="宋体" w:hAnsi="Book Antiqua" w:cs="Calibri"/>
          <w:b/>
          <w:lang w:eastAsia="en-US"/>
        </w:rPr>
        <w:t xml:space="preserve"> </w:t>
      </w:r>
      <w:r w:rsidRPr="001F6603">
        <w:rPr>
          <w:rFonts w:ascii="Book Antiqua" w:eastAsia="宋体" w:hAnsi="Book Antiqua" w:cs="Calibri"/>
          <w:b/>
          <w:lang w:eastAsia="en-US"/>
        </w:rPr>
        <w:t>sharing</w:t>
      </w:r>
      <w:r w:rsidR="0043237C" w:rsidRPr="001F6603">
        <w:rPr>
          <w:rFonts w:ascii="Book Antiqua" w:eastAsia="宋体" w:hAnsi="Book Antiqua" w:cs="Calibri"/>
          <w:b/>
          <w:lang w:eastAsia="en-US"/>
        </w:rPr>
        <w:t xml:space="preserve"> </w:t>
      </w:r>
      <w:r w:rsidRPr="001F6603">
        <w:rPr>
          <w:rFonts w:ascii="Book Antiqua" w:eastAsia="宋体" w:hAnsi="Book Antiqua" w:cs="Calibri"/>
          <w:b/>
          <w:lang w:eastAsia="en-US"/>
        </w:rPr>
        <w:t>statement:</w:t>
      </w:r>
      <w:r w:rsidR="0043237C" w:rsidRPr="001F6603">
        <w:rPr>
          <w:rFonts w:ascii="Book Antiqua" w:eastAsia="宋体" w:hAnsi="Book Antiqua" w:cs="Calibri"/>
          <w:b/>
          <w:lang w:eastAsia="en-US"/>
        </w:rPr>
        <w:t xml:space="preserve"> </w:t>
      </w:r>
      <w:r w:rsidR="00472F98" w:rsidRPr="001F6603">
        <w:rPr>
          <w:rFonts w:ascii="Book Antiqua" w:hAnsi="Book Antiqua"/>
        </w:rPr>
        <w:t>No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additional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data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="00472F98" w:rsidRPr="001F6603">
        <w:rPr>
          <w:rFonts w:ascii="Book Antiqua" w:hAnsi="Book Antiqua"/>
        </w:rPr>
        <w:t>available.</w:t>
      </w:r>
    </w:p>
    <w:p w:rsidR="00FF1B63" w:rsidRPr="001F6603" w:rsidRDefault="00FF1B63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72F98" w:rsidRPr="001F6603" w:rsidRDefault="00472F98" w:rsidP="004A4CEB">
      <w:pPr>
        <w:snapToGrid w:val="0"/>
        <w:spacing w:line="360" w:lineRule="auto"/>
        <w:jc w:val="both"/>
        <w:rPr>
          <w:rFonts w:ascii="Book Antiqua" w:hAnsi="Book Antiqua"/>
        </w:rPr>
      </w:pPr>
      <w:bookmarkStart w:id="46" w:name="_lnxbz9" w:colFirst="0" w:colLast="0"/>
      <w:bookmarkEnd w:id="46"/>
      <w:r w:rsidRPr="001F6603">
        <w:rPr>
          <w:rFonts w:ascii="Book Antiqua" w:hAnsi="Book Antiqua"/>
          <w:b/>
        </w:rPr>
        <w:t>CONSORT</w:t>
      </w:r>
      <w:r w:rsidR="0043237C" w:rsidRPr="001F6603">
        <w:rPr>
          <w:rFonts w:ascii="Book Antiqua" w:hAnsi="Book Antiqua"/>
          <w:b/>
        </w:rPr>
        <w:t xml:space="preserve"> </w:t>
      </w:r>
      <w:r w:rsidRPr="001F6603">
        <w:rPr>
          <w:rFonts w:ascii="Book Antiqua" w:hAnsi="Book Antiqua"/>
          <w:b/>
        </w:rPr>
        <w:t>2010</w:t>
      </w:r>
      <w:r w:rsidR="0043237C" w:rsidRPr="001F6603">
        <w:rPr>
          <w:rFonts w:ascii="Book Antiqua" w:hAnsi="Book Antiqua"/>
          <w:b/>
        </w:rPr>
        <w:t xml:space="preserve"> </w:t>
      </w:r>
      <w:r w:rsidR="00C067B9" w:rsidRPr="001F6603">
        <w:rPr>
          <w:rFonts w:ascii="Book Antiqua" w:hAnsi="Book Antiqua"/>
          <w:b/>
        </w:rPr>
        <w:t>statement</w:t>
      </w:r>
      <w:r w:rsidRPr="001F6603">
        <w:rPr>
          <w:rFonts w:ascii="Book Antiqua" w:hAnsi="Book Antiqua"/>
          <w:b/>
        </w:rPr>
        <w:t>:</w:t>
      </w:r>
      <w:r w:rsidR="0043237C" w:rsidRPr="001F6603">
        <w:rPr>
          <w:rFonts w:ascii="Book Antiqua" w:hAnsi="Book Antiqua"/>
          <w:b/>
        </w:rPr>
        <w:t xml:space="preserve"> </w:t>
      </w:r>
      <w:bookmarkStart w:id="47" w:name="_35nkun2" w:colFirst="0" w:colLast="0"/>
      <w:bookmarkEnd w:id="47"/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authors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have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read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CONSORT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2010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Statement,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manuscript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prepared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revised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according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to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CONSORT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2010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Statement.</w:t>
      </w:r>
    </w:p>
    <w:p w:rsidR="00C067B9" w:rsidRPr="001F6603" w:rsidRDefault="00C067B9" w:rsidP="004A4CEB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en-GB" w:eastAsia="en-US"/>
        </w:rPr>
      </w:pPr>
      <w:bookmarkStart w:id="48" w:name="_1ksv4uv" w:colFirst="0" w:colLast="0"/>
      <w:bookmarkEnd w:id="48"/>
    </w:p>
    <w:p w:rsidR="00203D94" w:rsidRPr="001F6603" w:rsidRDefault="00203D94" w:rsidP="00203D94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en-GB" w:eastAsia="en-US"/>
        </w:rPr>
      </w:pPr>
      <w:bookmarkStart w:id="49" w:name="_Hlk36477062"/>
      <w:bookmarkStart w:id="50" w:name="_Hlk29216443"/>
      <w:bookmarkStart w:id="51" w:name="_Hlk27570239"/>
      <w:bookmarkStart w:id="52" w:name="_Hlk35136117"/>
      <w:bookmarkStart w:id="53" w:name="_Hlk27143403"/>
      <w:bookmarkStart w:id="54" w:name="_Hlk28272061"/>
      <w:bookmarkStart w:id="55" w:name="_Hlk35132076"/>
      <w:r w:rsidRPr="001F6603">
        <w:rPr>
          <w:rFonts w:ascii="Book Antiqua" w:eastAsia="宋体" w:hAnsi="Book Antiqua" w:cs="Times New Roman"/>
          <w:b/>
          <w:lang w:val="en-GB" w:eastAsia="en-US"/>
        </w:rPr>
        <w:t xml:space="preserve">Open-Access: </w:t>
      </w:r>
      <w:r w:rsidRPr="001F6603">
        <w:rPr>
          <w:rFonts w:ascii="Book Antiqua" w:eastAsia="等线" w:hAnsi="Book Antiqua" w:cs="Times New Roman"/>
          <w:color w:val="000000"/>
          <w:kern w:val="2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1F6603">
        <w:rPr>
          <w:rFonts w:ascii="Book Antiqua" w:eastAsia="等线" w:hAnsi="Book Antiqua" w:cs="Times New Roman"/>
          <w:color w:val="000000"/>
          <w:kern w:val="2"/>
        </w:rPr>
        <w:t>NonCommercial</w:t>
      </w:r>
      <w:proofErr w:type="spellEnd"/>
      <w:r w:rsidRPr="001F6603">
        <w:rPr>
          <w:rFonts w:ascii="Book Antiqua" w:eastAsia="等线" w:hAnsi="Book Antiqua" w:cs="Times New Roman"/>
          <w:color w:val="000000"/>
          <w:kern w:val="2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49"/>
    <w:p w:rsidR="00203D94" w:rsidRPr="001F6603" w:rsidRDefault="00203D94" w:rsidP="00203D94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Calibri"/>
          <w:b/>
          <w:bCs/>
          <w:lang w:val="en-GB"/>
        </w:rPr>
      </w:pPr>
    </w:p>
    <w:p w:rsidR="00203D94" w:rsidRPr="001F6603" w:rsidRDefault="00203D94" w:rsidP="00203D94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val="en-GB"/>
        </w:rPr>
      </w:pPr>
      <w:bookmarkStart w:id="56" w:name="_Hlk34269957"/>
      <w:r w:rsidRPr="001F6603">
        <w:rPr>
          <w:rFonts w:ascii="Book Antiqua" w:eastAsia="宋体" w:hAnsi="Book Antiqua" w:cs="宋体"/>
          <w:b/>
          <w:lang w:val="en-GB" w:eastAsia="en-US"/>
        </w:rPr>
        <w:t>Manuscript</w:t>
      </w:r>
      <w:r w:rsidRPr="001F6603">
        <w:rPr>
          <w:rFonts w:ascii="Book Antiqua" w:eastAsia="宋体" w:hAnsi="Book Antiqua" w:cs="宋体" w:hint="eastAsia"/>
          <w:b/>
          <w:lang w:val="en-GB"/>
        </w:rPr>
        <w:t xml:space="preserve"> </w:t>
      </w:r>
      <w:r w:rsidRPr="001F6603">
        <w:rPr>
          <w:rFonts w:ascii="Book Antiqua" w:eastAsia="宋体" w:hAnsi="Book Antiqua" w:cs="宋体"/>
          <w:b/>
          <w:lang w:val="en-GB" w:eastAsia="en-US"/>
        </w:rPr>
        <w:t>source:</w:t>
      </w:r>
      <w:bookmarkEnd w:id="50"/>
      <w:r w:rsidRPr="001F6603">
        <w:rPr>
          <w:rFonts w:ascii="Book Antiqua" w:eastAsia="宋体" w:hAnsi="Book Antiqua" w:cs="宋体" w:hint="eastAsia"/>
          <w:lang w:val="en-GB"/>
        </w:rPr>
        <w:t xml:space="preserve"> </w:t>
      </w:r>
      <w:bookmarkStart w:id="57" w:name="_Hlk28276239"/>
      <w:r w:rsidRPr="001F6603">
        <w:rPr>
          <w:rFonts w:ascii="Book Antiqua" w:eastAsia="宋体" w:hAnsi="Book Antiqua" w:cs="宋体"/>
          <w:lang w:val="en-GB" w:eastAsia="en-US"/>
        </w:rPr>
        <w:t>Invited</w:t>
      </w:r>
      <w:r w:rsidRPr="001F6603">
        <w:rPr>
          <w:rFonts w:ascii="Book Antiqua" w:eastAsia="宋体" w:hAnsi="Book Antiqua" w:cs="宋体" w:hint="eastAsia"/>
          <w:lang w:val="en-GB"/>
        </w:rPr>
        <w:t xml:space="preserve"> </w:t>
      </w:r>
      <w:r w:rsidRPr="001F6603">
        <w:rPr>
          <w:rFonts w:ascii="Book Antiqua" w:eastAsia="宋体" w:hAnsi="Book Antiqua" w:cs="宋体"/>
          <w:lang w:val="en-GB" w:eastAsia="en-US"/>
        </w:rPr>
        <w:t>Manuscript</w:t>
      </w:r>
      <w:bookmarkEnd w:id="57"/>
    </w:p>
    <w:bookmarkEnd w:id="51"/>
    <w:p w:rsidR="00203D94" w:rsidRPr="001F6603" w:rsidRDefault="00203D94" w:rsidP="00203D94">
      <w:pPr>
        <w:snapToGrid w:val="0"/>
        <w:spacing w:line="360" w:lineRule="auto"/>
        <w:jc w:val="both"/>
        <w:rPr>
          <w:rFonts w:ascii="Book Antiqua" w:eastAsia="等线" w:hAnsi="Book Antiqua" w:cs="Times New Roman"/>
          <w:b/>
          <w:bCs/>
          <w:color w:val="000000"/>
          <w:lang w:val="el-GR"/>
        </w:rPr>
      </w:pPr>
    </w:p>
    <w:p w:rsidR="00203D94" w:rsidRPr="001F6603" w:rsidRDefault="00203D94" w:rsidP="00203D94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en-GB" w:eastAsia="en-US"/>
        </w:rPr>
      </w:pPr>
      <w:bookmarkStart w:id="58" w:name="_Hlk29216459"/>
      <w:bookmarkStart w:id="59" w:name="_Hlk35896592"/>
      <w:r w:rsidRPr="001F6603">
        <w:rPr>
          <w:rFonts w:ascii="Book Antiqua" w:eastAsia="宋体" w:hAnsi="Book Antiqua" w:cs="Times New Roman"/>
          <w:b/>
          <w:lang w:val="en-GB" w:eastAsia="en-US"/>
        </w:rPr>
        <w:t>Peer-review started:</w:t>
      </w:r>
      <w:r w:rsidRPr="001F6603">
        <w:rPr>
          <w:rFonts w:ascii="Book Antiqua" w:eastAsia="宋体" w:hAnsi="Book Antiqua" w:cs="Times New Roman"/>
          <w:lang w:val="en-GB"/>
        </w:rPr>
        <w:t xml:space="preserve"> </w:t>
      </w:r>
      <w:r w:rsidRPr="001F6603">
        <w:rPr>
          <w:rFonts w:ascii="Book Antiqua" w:eastAsia="等线" w:hAnsi="Book Antiqua" w:cs="Times New Roman"/>
          <w:lang w:val="en-GB"/>
        </w:rPr>
        <w:t>January</w:t>
      </w:r>
      <w:r w:rsidRPr="001F6603">
        <w:rPr>
          <w:rFonts w:ascii="Book Antiqua" w:eastAsia="等线" w:hAnsi="Book Antiqua" w:cs="Times New Roman" w:hint="eastAsia"/>
          <w:lang w:val="en-GB"/>
        </w:rPr>
        <w:t xml:space="preserve"> </w:t>
      </w:r>
      <w:r w:rsidRPr="001F6603">
        <w:rPr>
          <w:rFonts w:ascii="Book Antiqua" w:eastAsia="宋体" w:hAnsi="Book Antiqua" w:cs="Times New Roman" w:hint="eastAsia"/>
          <w:lang w:val="en-GB"/>
        </w:rPr>
        <w:t>1</w:t>
      </w:r>
      <w:r w:rsidRPr="001F6603">
        <w:rPr>
          <w:rFonts w:ascii="Book Antiqua" w:eastAsia="宋体" w:hAnsi="Book Antiqua" w:cs="Times New Roman"/>
          <w:lang w:val="en-GB"/>
        </w:rPr>
        <w:t>, 2020</w:t>
      </w:r>
    </w:p>
    <w:p w:rsidR="00203D94" w:rsidRPr="001F6603" w:rsidRDefault="00203D94" w:rsidP="00203D94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en-GB" w:eastAsia="en-US"/>
        </w:rPr>
      </w:pPr>
      <w:r w:rsidRPr="001F6603">
        <w:rPr>
          <w:rFonts w:ascii="Book Antiqua" w:eastAsia="宋体" w:hAnsi="Book Antiqua" w:cs="Times New Roman"/>
          <w:b/>
          <w:lang w:val="en-GB" w:eastAsia="en-US"/>
        </w:rPr>
        <w:t>First decision:</w:t>
      </w:r>
      <w:r w:rsidRPr="001F6603">
        <w:rPr>
          <w:rFonts w:ascii="Book Antiqua" w:eastAsia="宋体" w:hAnsi="Book Antiqua" w:cs="Times New Roman"/>
          <w:lang w:val="en-GB"/>
        </w:rPr>
        <w:t xml:space="preserve"> February</w:t>
      </w:r>
      <w:r w:rsidRPr="001F6603">
        <w:rPr>
          <w:rFonts w:ascii="Book Antiqua" w:eastAsia="宋体" w:hAnsi="Book Antiqua" w:cs="Times New Roman" w:hint="eastAsia"/>
          <w:lang w:val="en-GB"/>
        </w:rPr>
        <w:t xml:space="preserve"> 1</w:t>
      </w:r>
      <w:r w:rsidRPr="001F6603">
        <w:rPr>
          <w:rFonts w:ascii="Book Antiqua" w:eastAsia="宋体" w:hAnsi="Book Antiqua" w:cs="Times New Roman"/>
          <w:lang w:val="en-GB"/>
        </w:rPr>
        <w:t>9, 2020</w:t>
      </w:r>
      <w:r w:rsidRPr="001F6603">
        <w:rPr>
          <w:rFonts w:ascii="Book Antiqua" w:eastAsia="宋体" w:hAnsi="Book Antiqua" w:cs="Times New Roman"/>
          <w:lang w:val="en-GB" w:eastAsia="en-US"/>
        </w:rPr>
        <w:t xml:space="preserve"> </w:t>
      </w:r>
    </w:p>
    <w:p w:rsidR="00203D94" w:rsidRPr="001F6603" w:rsidRDefault="00203D94" w:rsidP="00203D94">
      <w:pPr>
        <w:snapToGrid w:val="0"/>
        <w:spacing w:line="360" w:lineRule="auto"/>
        <w:jc w:val="both"/>
        <w:rPr>
          <w:rFonts w:ascii="Book Antiqua" w:hAnsi="Book Antiqua" w:cs="Times New Roman"/>
          <w:b/>
        </w:rPr>
      </w:pPr>
      <w:r w:rsidRPr="001F6603">
        <w:rPr>
          <w:rFonts w:ascii="Book Antiqua" w:eastAsia="宋体" w:hAnsi="Book Antiqua" w:cs="Times New Roman"/>
          <w:b/>
          <w:lang w:val="en-GB" w:eastAsia="en-US"/>
        </w:rPr>
        <w:t>Article in press:</w:t>
      </w:r>
      <w:bookmarkEnd w:id="58"/>
      <w:r w:rsidR="009E1987" w:rsidRPr="001F6603">
        <w:rPr>
          <w:rFonts w:ascii="Book Antiqua" w:hAnsi="Book Antiqua" w:cs="Times New Roman" w:hint="eastAsia"/>
          <w:b/>
          <w:lang w:val="en-GB"/>
        </w:rPr>
        <w:t xml:space="preserve"> </w:t>
      </w:r>
      <w:r w:rsidR="009E1987" w:rsidRPr="001F6603">
        <w:rPr>
          <w:rFonts w:ascii="Book Antiqua" w:eastAsia="宋体" w:hAnsi="Book Antiqua" w:cs="Times New Roman"/>
          <w:lang w:eastAsia="en-US"/>
        </w:rPr>
        <w:t>April 8, 2020</w:t>
      </w:r>
    </w:p>
    <w:bookmarkEnd w:id="52"/>
    <w:p w:rsidR="00203D94" w:rsidRPr="001F6603" w:rsidRDefault="00203D94" w:rsidP="00203D94">
      <w:pPr>
        <w:snapToGrid w:val="0"/>
        <w:spacing w:line="360" w:lineRule="auto"/>
        <w:jc w:val="both"/>
        <w:rPr>
          <w:rFonts w:ascii="Book Antiqua" w:eastAsia="宋体" w:hAnsi="Book Antiqua" w:cs="Times New Roman"/>
          <w:lang w:val="en-GB"/>
        </w:rPr>
      </w:pPr>
    </w:p>
    <w:p w:rsidR="00203D94" w:rsidRPr="001F6603" w:rsidRDefault="00203D94" w:rsidP="00203D94">
      <w:pPr>
        <w:snapToGrid w:val="0"/>
        <w:spacing w:line="360" w:lineRule="auto"/>
        <w:jc w:val="both"/>
        <w:rPr>
          <w:rFonts w:ascii="Book Antiqua" w:eastAsia="宋体" w:hAnsi="Book Antiqua" w:cs="Helvetica"/>
          <w:b/>
          <w:lang w:val="el-GR" w:eastAsia="en-US"/>
        </w:rPr>
      </w:pPr>
      <w:bookmarkStart w:id="60" w:name="_Hlk29216517"/>
      <w:bookmarkStart w:id="61" w:name="_Hlk34698666"/>
      <w:r w:rsidRPr="001F6603">
        <w:rPr>
          <w:rFonts w:ascii="Book Antiqua" w:eastAsia="宋体" w:hAnsi="Book Antiqua" w:cs="Helvetica"/>
          <w:b/>
          <w:lang w:val="el-GR" w:eastAsia="en-US"/>
        </w:rPr>
        <w:t xml:space="preserve">Specialty type: </w:t>
      </w:r>
      <w:r w:rsidRPr="001F6603">
        <w:rPr>
          <w:rFonts w:ascii="Book Antiqua" w:eastAsia="Microsoft YaHei" w:hAnsi="Book Antiqua" w:cs="宋体"/>
          <w:lang w:val="el-GR" w:eastAsia="en-US"/>
        </w:rPr>
        <w:t>Orthopedics</w:t>
      </w:r>
    </w:p>
    <w:p w:rsidR="00203D94" w:rsidRPr="001F6603" w:rsidRDefault="00203D94" w:rsidP="00203D94">
      <w:pPr>
        <w:snapToGrid w:val="0"/>
        <w:spacing w:line="360" w:lineRule="auto"/>
        <w:jc w:val="both"/>
        <w:rPr>
          <w:rFonts w:ascii="Book Antiqua" w:eastAsia="宋体" w:hAnsi="Book Antiqua" w:cs="Helvetica"/>
          <w:b/>
          <w:lang w:val="el-GR"/>
        </w:rPr>
      </w:pPr>
      <w:r w:rsidRPr="001F6603">
        <w:rPr>
          <w:rFonts w:ascii="Book Antiqua" w:eastAsia="宋体" w:hAnsi="Book Antiqua" w:cs="Helvetica"/>
          <w:b/>
          <w:lang w:val="el-GR" w:eastAsia="en-US"/>
        </w:rPr>
        <w:t xml:space="preserve">Country of origin: </w:t>
      </w:r>
      <w:r w:rsidRPr="001F6603">
        <w:rPr>
          <w:rFonts w:ascii="Book Antiqua" w:eastAsia="宋体" w:hAnsi="Book Antiqua" w:cs="Helvetica"/>
          <w:bCs/>
          <w:lang w:val="el-GR" w:eastAsia="en-US"/>
        </w:rPr>
        <w:t>United States</w:t>
      </w:r>
    </w:p>
    <w:p w:rsidR="00203D94" w:rsidRPr="001F6603" w:rsidRDefault="00203D94" w:rsidP="00203D94">
      <w:pPr>
        <w:snapToGrid w:val="0"/>
        <w:spacing w:line="360" w:lineRule="auto"/>
        <w:jc w:val="both"/>
        <w:rPr>
          <w:rFonts w:ascii="Book Antiqua" w:eastAsia="宋体" w:hAnsi="Book Antiqua" w:cs="Helvetica"/>
          <w:b/>
          <w:lang w:val="el-GR" w:eastAsia="en-US"/>
        </w:rPr>
      </w:pPr>
      <w:r w:rsidRPr="001F6603">
        <w:rPr>
          <w:rFonts w:ascii="Book Antiqua" w:eastAsia="宋体" w:hAnsi="Book Antiqua" w:cs="Helvetica"/>
          <w:b/>
          <w:lang w:val="el-GR" w:eastAsia="en-US"/>
        </w:rPr>
        <w:t>Peer-review report classification</w:t>
      </w:r>
    </w:p>
    <w:p w:rsidR="00203D94" w:rsidRPr="001F6603" w:rsidRDefault="00203D94" w:rsidP="00203D94">
      <w:pPr>
        <w:snapToGrid w:val="0"/>
        <w:spacing w:line="360" w:lineRule="auto"/>
        <w:jc w:val="both"/>
        <w:rPr>
          <w:rFonts w:ascii="Book Antiqua" w:eastAsia="宋体" w:hAnsi="Book Antiqua" w:cs="Helvetica"/>
          <w:lang w:val="el-GR"/>
        </w:rPr>
      </w:pPr>
      <w:r w:rsidRPr="001F6603">
        <w:rPr>
          <w:rFonts w:ascii="Book Antiqua" w:eastAsia="宋体" w:hAnsi="Book Antiqua" w:cs="Helvetica"/>
          <w:lang w:val="el-GR" w:eastAsia="en-US"/>
        </w:rPr>
        <w:t xml:space="preserve">Grade A (Excellent): </w:t>
      </w:r>
      <w:r w:rsidRPr="001F6603">
        <w:rPr>
          <w:rFonts w:ascii="Book Antiqua" w:eastAsia="宋体" w:hAnsi="Book Antiqua" w:cs="Helvetica"/>
          <w:lang w:val="el-GR"/>
        </w:rPr>
        <w:t>0</w:t>
      </w:r>
    </w:p>
    <w:p w:rsidR="00203D94" w:rsidRPr="001F6603" w:rsidRDefault="00203D94" w:rsidP="00203D94">
      <w:pPr>
        <w:snapToGrid w:val="0"/>
        <w:spacing w:line="360" w:lineRule="auto"/>
        <w:jc w:val="both"/>
        <w:rPr>
          <w:rFonts w:ascii="Book Antiqua" w:eastAsia="宋体" w:hAnsi="Book Antiqua" w:cs="Helvetica"/>
          <w:lang w:val="el-GR"/>
        </w:rPr>
      </w:pPr>
      <w:r w:rsidRPr="001F6603">
        <w:rPr>
          <w:rFonts w:ascii="Book Antiqua" w:eastAsia="宋体" w:hAnsi="Book Antiqua" w:cs="Helvetica"/>
          <w:lang w:val="el-GR" w:eastAsia="en-US"/>
        </w:rPr>
        <w:t xml:space="preserve">Grade B (Very good): </w:t>
      </w:r>
      <w:r w:rsidRPr="001F6603">
        <w:rPr>
          <w:rFonts w:ascii="Book Antiqua" w:eastAsia="宋体" w:hAnsi="Book Antiqua" w:cs="Helvetica" w:hint="eastAsia"/>
          <w:lang w:val="el-GR"/>
        </w:rPr>
        <w:t>0</w:t>
      </w:r>
    </w:p>
    <w:p w:rsidR="00203D94" w:rsidRPr="001F6603" w:rsidRDefault="00203D94" w:rsidP="00203D94">
      <w:pPr>
        <w:snapToGrid w:val="0"/>
        <w:spacing w:line="360" w:lineRule="auto"/>
        <w:jc w:val="both"/>
        <w:rPr>
          <w:rFonts w:ascii="Book Antiqua" w:eastAsia="宋体" w:hAnsi="Book Antiqua" w:cs="Helvetica"/>
          <w:lang w:val="el-GR"/>
        </w:rPr>
      </w:pPr>
      <w:r w:rsidRPr="001F6603">
        <w:rPr>
          <w:rFonts w:ascii="Book Antiqua" w:eastAsia="宋体" w:hAnsi="Book Antiqua" w:cs="Helvetica"/>
          <w:lang w:val="el-GR" w:eastAsia="en-US"/>
        </w:rPr>
        <w:t xml:space="preserve">Grade C (Good): </w:t>
      </w:r>
      <w:r w:rsidRPr="001F6603">
        <w:rPr>
          <w:rFonts w:ascii="Book Antiqua" w:eastAsia="宋体" w:hAnsi="Book Antiqua" w:cs="Helvetica"/>
          <w:lang w:val="el-GR"/>
        </w:rPr>
        <w:t>C</w:t>
      </w:r>
    </w:p>
    <w:p w:rsidR="00203D94" w:rsidRPr="001F6603" w:rsidRDefault="00203D94" w:rsidP="00203D94">
      <w:pPr>
        <w:snapToGrid w:val="0"/>
        <w:spacing w:line="360" w:lineRule="auto"/>
        <w:jc w:val="both"/>
        <w:rPr>
          <w:rFonts w:ascii="Book Antiqua" w:eastAsia="宋体" w:hAnsi="Book Antiqua" w:cs="Helvetica"/>
          <w:lang w:val="el-GR" w:eastAsia="en-US"/>
        </w:rPr>
      </w:pPr>
      <w:r w:rsidRPr="001F6603">
        <w:rPr>
          <w:rFonts w:ascii="Book Antiqua" w:eastAsia="宋体" w:hAnsi="Book Antiqua" w:cs="Helvetica"/>
          <w:lang w:val="el-GR" w:eastAsia="en-US"/>
        </w:rPr>
        <w:t xml:space="preserve">Grade D (Fair): 0 </w:t>
      </w:r>
    </w:p>
    <w:p w:rsidR="00203D94" w:rsidRPr="001F6603" w:rsidRDefault="00203D94" w:rsidP="00203D94">
      <w:pPr>
        <w:snapToGrid w:val="0"/>
        <w:spacing w:line="360" w:lineRule="auto"/>
        <w:jc w:val="both"/>
        <w:rPr>
          <w:rFonts w:ascii="Book Antiqua" w:eastAsia="宋体" w:hAnsi="Book Antiqua" w:cs="Calibri"/>
          <w:noProof/>
          <w:lang w:eastAsia="en-US"/>
        </w:rPr>
      </w:pPr>
      <w:r w:rsidRPr="001F6603">
        <w:rPr>
          <w:rFonts w:ascii="Book Antiqua" w:eastAsia="宋体" w:hAnsi="Book Antiqua" w:cs="Helvetica"/>
          <w:lang w:val="el-GR" w:eastAsia="en-US"/>
        </w:rPr>
        <w:t>Grade E (Poor): 0</w:t>
      </w:r>
    </w:p>
    <w:bookmarkEnd w:id="60"/>
    <w:p w:rsidR="00203D94" w:rsidRPr="001F6603" w:rsidRDefault="00203D94" w:rsidP="00203D94">
      <w:pPr>
        <w:snapToGrid w:val="0"/>
        <w:spacing w:line="360" w:lineRule="auto"/>
        <w:jc w:val="both"/>
        <w:rPr>
          <w:rFonts w:ascii="Book Antiqua" w:eastAsia="宋体" w:hAnsi="Book Antiqua" w:cs="Calibri"/>
          <w:noProof/>
          <w:lang w:val="en-GB"/>
        </w:rPr>
      </w:pPr>
    </w:p>
    <w:p w:rsidR="00203D94" w:rsidRPr="001F6603" w:rsidRDefault="00203D94" w:rsidP="00203D94">
      <w:pPr>
        <w:widowControl w:val="0"/>
        <w:snapToGrid w:val="0"/>
        <w:spacing w:line="360" w:lineRule="auto"/>
        <w:ind w:right="120"/>
        <w:jc w:val="both"/>
        <w:rPr>
          <w:rFonts w:ascii="Book Antiqua" w:eastAsia="宋体" w:hAnsi="Book Antiqua" w:cs="Courier New"/>
          <w:b/>
          <w:kern w:val="2"/>
        </w:rPr>
      </w:pPr>
      <w:bookmarkStart w:id="62" w:name="_Hlk29216555"/>
      <w:r w:rsidRPr="001F6603">
        <w:rPr>
          <w:rFonts w:ascii="Book Antiqua" w:eastAsia="宋体" w:hAnsi="Book Antiqua" w:cs="Courier New"/>
          <w:b/>
          <w:kern w:val="2"/>
        </w:rPr>
        <w:t>P-Reviewer:</w:t>
      </w:r>
      <w:r w:rsidRPr="001F6603">
        <w:t xml:space="preserve"> </w:t>
      </w:r>
      <w:proofErr w:type="spellStart"/>
      <w:r w:rsidRPr="001F6603">
        <w:rPr>
          <w:rFonts w:ascii="Book Antiqua" w:eastAsia="宋体" w:hAnsi="Book Antiqua" w:cs="Courier New"/>
          <w:bCs/>
          <w:kern w:val="2"/>
        </w:rPr>
        <w:t>Bolshakova</w:t>
      </w:r>
      <w:proofErr w:type="spellEnd"/>
      <w:r w:rsidRPr="001F6603">
        <w:rPr>
          <w:rFonts w:ascii="Book Antiqua" w:eastAsia="宋体" w:hAnsi="Book Antiqua" w:cs="Courier New"/>
          <w:bCs/>
          <w:kern w:val="2"/>
        </w:rPr>
        <w:t xml:space="preserve"> GB</w:t>
      </w:r>
      <w:r w:rsidRPr="001F6603">
        <w:rPr>
          <w:rFonts w:ascii="Book Antiqua" w:eastAsia="宋体" w:hAnsi="Book Antiqua" w:cs="Courier New"/>
          <w:b/>
          <w:kern w:val="2"/>
        </w:rPr>
        <w:t xml:space="preserve"> S-Editor: </w:t>
      </w:r>
      <w:r w:rsidRPr="001F6603">
        <w:rPr>
          <w:rFonts w:ascii="Book Antiqua" w:eastAsia="宋体" w:hAnsi="Book Antiqua" w:cs="Courier New" w:hint="eastAsia"/>
          <w:kern w:val="2"/>
        </w:rPr>
        <w:t>Wang YQ</w:t>
      </w:r>
      <w:r w:rsidRPr="001F6603">
        <w:rPr>
          <w:rFonts w:ascii="Book Antiqua" w:eastAsia="宋体" w:hAnsi="Book Antiqua" w:cs="Courier New"/>
          <w:b/>
          <w:kern w:val="2"/>
        </w:rPr>
        <w:t xml:space="preserve"> </w:t>
      </w:r>
      <w:proofErr w:type="spellStart"/>
      <w:r w:rsidRPr="001F6603">
        <w:rPr>
          <w:rFonts w:ascii="Book Antiqua" w:eastAsia="宋体" w:hAnsi="Book Antiqua" w:cs="Courier New"/>
          <w:b/>
          <w:kern w:val="2"/>
        </w:rPr>
        <w:t>L-Editor</w:t>
      </w:r>
      <w:proofErr w:type="gramStart"/>
      <w:r w:rsidRPr="001F6603">
        <w:rPr>
          <w:rFonts w:ascii="Book Antiqua" w:eastAsia="宋体" w:hAnsi="Book Antiqua" w:cs="Courier New"/>
          <w:b/>
          <w:kern w:val="2"/>
        </w:rPr>
        <w:t>:</w:t>
      </w:r>
      <w:r w:rsidR="009E1987" w:rsidRPr="001F6603">
        <w:rPr>
          <w:rFonts w:ascii="Book Antiqua" w:hAnsi="Book Antiqua" w:cs="Courier New" w:hint="eastAsia"/>
          <w:b/>
          <w:kern w:val="2"/>
        </w:rPr>
        <w:t>A</w:t>
      </w:r>
      <w:proofErr w:type="spellEnd"/>
      <w:proofErr w:type="gramEnd"/>
      <w:r w:rsidR="009E1987" w:rsidRPr="001F6603">
        <w:rPr>
          <w:rFonts w:ascii="Book Antiqua" w:hAnsi="Book Antiqua" w:cs="Courier New" w:hint="eastAsia"/>
          <w:b/>
          <w:kern w:val="2"/>
        </w:rPr>
        <w:t xml:space="preserve"> </w:t>
      </w:r>
      <w:r w:rsidRPr="001F6603">
        <w:rPr>
          <w:rFonts w:ascii="Book Antiqua" w:eastAsia="宋体" w:hAnsi="Book Antiqua" w:cs="Courier New"/>
          <w:b/>
          <w:kern w:val="2"/>
        </w:rPr>
        <w:t>E-Editor:</w:t>
      </w:r>
      <w:bookmarkEnd w:id="62"/>
      <w:r w:rsidRPr="001F6603">
        <w:rPr>
          <w:rFonts w:ascii="Book Antiqua" w:eastAsia="宋体" w:hAnsi="Book Antiqua" w:cs="Courier New"/>
          <w:b/>
          <w:kern w:val="2"/>
        </w:rPr>
        <w:t xml:space="preserve"> </w:t>
      </w:r>
      <w:bookmarkEnd w:id="53"/>
      <w:r w:rsidR="009E1987" w:rsidRPr="001F6603">
        <w:rPr>
          <w:rFonts w:ascii="Book Antiqua" w:hAnsi="Book Antiqua" w:cs="Courier New" w:hint="eastAsia"/>
          <w:kern w:val="2"/>
        </w:rPr>
        <w:t>Liu MY</w:t>
      </w:r>
      <w:r w:rsidRPr="001F6603">
        <w:rPr>
          <w:rFonts w:ascii="Book Antiqua" w:eastAsia="宋体" w:hAnsi="Book Antiqua" w:cs="Times New Roman"/>
          <w:b/>
          <w:lang w:val="el-GR" w:eastAsia="en-US"/>
        </w:rPr>
        <w:br w:type="page"/>
      </w:r>
    </w:p>
    <w:bookmarkEnd w:id="54"/>
    <w:bookmarkEnd w:id="56"/>
    <w:bookmarkEnd w:id="59"/>
    <w:bookmarkEnd w:id="61"/>
    <w:p w:rsidR="00E66BE3" w:rsidRPr="001F6603" w:rsidRDefault="00E66BE3" w:rsidP="004A4CEB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el-GR" w:eastAsia="en-US"/>
        </w:rPr>
      </w:pPr>
      <w:r w:rsidRPr="001F6603">
        <w:rPr>
          <w:rFonts w:ascii="Book Antiqua" w:eastAsia="宋体" w:hAnsi="Book Antiqua" w:cs="Times New Roman"/>
          <w:b/>
          <w:lang w:val="el-GR" w:eastAsia="en-US"/>
        </w:rPr>
        <w:lastRenderedPageBreak/>
        <w:t>Figure</w:t>
      </w:r>
      <w:r w:rsidR="0043237C" w:rsidRPr="001F6603">
        <w:rPr>
          <w:rFonts w:ascii="Book Antiqua" w:eastAsia="宋体" w:hAnsi="Book Antiqua" w:cs="Times New Roman"/>
          <w:b/>
          <w:lang w:val="el-GR" w:eastAsia="en-US"/>
        </w:rPr>
        <w:t xml:space="preserve"> </w:t>
      </w:r>
      <w:r w:rsidRPr="001F6603">
        <w:rPr>
          <w:rFonts w:ascii="Book Antiqua" w:eastAsia="宋体" w:hAnsi="Book Antiqua" w:cs="Times New Roman"/>
          <w:b/>
          <w:lang w:val="el-GR" w:eastAsia="en-US"/>
        </w:rPr>
        <w:t>Legends</w:t>
      </w:r>
    </w:p>
    <w:bookmarkEnd w:id="55"/>
    <w:p w:rsidR="007E1AD8" w:rsidRPr="001F6603" w:rsidRDefault="005B687E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noProof/>
        </w:rPr>
        <w:drawing>
          <wp:inline distT="0" distB="0" distL="0" distR="0" wp14:anchorId="32369039" wp14:editId="7247A376">
            <wp:extent cx="5308873" cy="2565532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873" cy="256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AD8" w:rsidRPr="001F6603" w:rsidRDefault="007E1AD8" w:rsidP="004A4CEB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F6603">
        <w:rPr>
          <w:rFonts w:ascii="Book Antiqua" w:hAnsi="Book Antiqua"/>
          <w:b/>
          <w:bCs/>
        </w:rPr>
        <w:t>Figure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1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Age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distribution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and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grouping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for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enrollment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cohort.</w:t>
      </w:r>
    </w:p>
    <w:p w:rsidR="007E1AD8" w:rsidRPr="001F6603" w:rsidRDefault="007E1AD8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:rsidR="007E1AD8" w:rsidRPr="001F6603" w:rsidRDefault="005B687E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noProof/>
        </w:rPr>
        <w:drawing>
          <wp:inline distT="0" distB="0" distL="0" distR="0" wp14:anchorId="4156CE05" wp14:editId="3A2A5BBA">
            <wp:extent cx="5486400" cy="1999615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AD8" w:rsidRPr="001F6603" w:rsidRDefault="007E1A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  <w:b/>
          <w:bCs/>
        </w:rPr>
        <w:t>Figure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2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Geriatric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B71EAA" w:rsidRPr="001F6603">
        <w:rPr>
          <w:rFonts w:ascii="Book Antiqua" w:hAnsi="Book Antiqua"/>
          <w:b/>
          <w:bCs/>
        </w:rPr>
        <w:t>depression score</w:t>
      </w:r>
      <w:r w:rsidRPr="001F6603">
        <w:rPr>
          <w:rFonts w:ascii="Book Antiqua" w:hAnsi="Book Antiqua"/>
          <w:b/>
          <w:bCs/>
        </w:rPr>
        <w:t>.</w:t>
      </w:r>
      <w:r w:rsidR="00B71EAA" w:rsidRPr="001F6603">
        <w:rPr>
          <w:rFonts w:ascii="Book Antiqua" w:hAnsi="Book Antiqua"/>
          <w:b/>
          <w:bCs/>
        </w:rPr>
        <w:t xml:space="preserve"> </w:t>
      </w:r>
      <w:r w:rsidR="00B71EAA" w:rsidRPr="001F6603">
        <w:rPr>
          <w:rFonts w:ascii="Book Antiqua" w:hAnsi="Book Antiqua"/>
        </w:rPr>
        <w:t>A: Race; B: Age group.</w:t>
      </w:r>
    </w:p>
    <w:p w:rsidR="007E1AD8" w:rsidRPr="001F6603" w:rsidRDefault="008135F5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noProof/>
        </w:rPr>
        <w:lastRenderedPageBreak/>
        <w:drawing>
          <wp:inline distT="0" distB="0" distL="0" distR="0" wp14:anchorId="060DB41C" wp14:editId="56C338DD">
            <wp:extent cx="5461000" cy="2997835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463"/>
                    <a:stretch/>
                  </pic:blipFill>
                  <pic:spPr bwMode="auto">
                    <a:xfrm>
                      <a:off x="0" y="0"/>
                      <a:ext cx="5461000" cy="299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AD8" w:rsidRPr="001F6603" w:rsidRDefault="007E1AD8" w:rsidP="004A4CEB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F6603">
        <w:rPr>
          <w:rFonts w:ascii="Book Antiqua" w:hAnsi="Book Antiqua"/>
          <w:b/>
          <w:bCs/>
        </w:rPr>
        <w:t>Figure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3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Graphic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distributions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of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B71EAA" w:rsidRPr="001F6603">
        <w:rPr>
          <w:rFonts w:ascii="Book Antiqua" w:hAnsi="Book Antiqua"/>
          <w:b/>
          <w:bCs/>
        </w:rPr>
        <w:t xml:space="preserve">pain catastrophizing scores </w:t>
      </w:r>
      <w:r w:rsidRPr="001F6603">
        <w:rPr>
          <w:rFonts w:ascii="Book Antiqua" w:hAnsi="Book Antiqua"/>
          <w:b/>
          <w:bCs/>
        </w:rPr>
        <w:t>where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significant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differences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were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found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within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categories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(</w:t>
      </w:r>
      <w:r w:rsidR="00400690" w:rsidRPr="001F6603">
        <w:rPr>
          <w:rFonts w:ascii="Book Antiqua" w:hAnsi="Book Antiqua"/>
          <w:b/>
          <w:bCs/>
          <w:i/>
          <w:iCs/>
        </w:rPr>
        <w:t>P</w:t>
      </w:r>
      <w:r w:rsidR="00400690" w:rsidRPr="001F6603">
        <w:rPr>
          <w:rFonts w:ascii="Book Antiqua" w:hAnsi="Book Antiqua"/>
          <w:b/>
          <w:bCs/>
        </w:rPr>
        <w:t xml:space="preserve"> &lt;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0.05)</w:t>
      </w:r>
      <w:r w:rsidR="00AA60E5" w:rsidRPr="001F6603">
        <w:rPr>
          <w:rFonts w:ascii="Book Antiqua" w:hAnsi="Book Antiqua"/>
          <w:b/>
          <w:bCs/>
        </w:rPr>
        <w:t>.</w:t>
      </w:r>
    </w:p>
    <w:p w:rsidR="00AA60E5" w:rsidRPr="001F6603" w:rsidRDefault="00AA60E5" w:rsidP="004A4CEB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:rsidR="007E1AD8" w:rsidRPr="001F6603" w:rsidRDefault="008135F5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noProof/>
        </w:rPr>
        <w:drawing>
          <wp:inline distT="0" distB="0" distL="0" distR="0" wp14:anchorId="1A6953F3" wp14:editId="55C646B3">
            <wp:extent cx="5486400" cy="225044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AD8" w:rsidRPr="001F6603" w:rsidRDefault="007E1AD8" w:rsidP="004A4CEB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F6603">
        <w:rPr>
          <w:rFonts w:ascii="Book Antiqua" w:hAnsi="Book Antiqua"/>
          <w:b/>
          <w:bCs/>
        </w:rPr>
        <w:t>Figure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4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Histograms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of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0D45AC" w:rsidRPr="001F6603">
        <w:rPr>
          <w:rFonts w:ascii="Book Antiqua" w:hAnsi="Book Antiqua"/>
          <w:b/>
          <w:bCs/>
        </w:rPr>
        <w:t>p</w:t>
      </w:r>
      <w:r w:rsidRPr="001F6603">
        <w:rPr>
          <w:rFonts w:ascii="Book Antiqua" w:hAnsi="Book Antiqua"/>
          <w:b/>
          <w:bCs/>
        </w:rPr>
        <w:t>re-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EC2333" w:rsidRPr="001F6603">
        <w:rPr>
          <w:rFonts w:ascii="Book Antiqua" w:hAnsi="Book Antiqua"/>
          <w:b/>
          <w:bCs/>
          <w:i/>
          <w:iCs/>
        </w:rPr>
        <w:t>vs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0D45AC" w:rsidRPr="001F6603">
        <w:rPr>
          <w:rFonts w:ascii="Book Antiqua" w:hAnsi="Book Antiqua"/>
          <w:b/>
          <w:bCs/>
        </w:rPr>
        <w:t>p</w:t>
      </w:r>
      <w:r w:rsidRPr="001F6603">
        <w:rPr>
          <w:rFonts w:ascii="Book Antiqua" w:hAnsi="Book Antiqua"/>
          <w:b/>
          <w:bCs/>
        </w:rPr>
        <w:t>ost-</w:t>
      </w:r>
      <w:r w:rsidR="000D45AC" w:rsidRPr="001F6603">
        <w:rPr>
          <w:rFonts w:ascii="Book Antiqua" w:hAnsi="Book Antiqua"/>
          <w:b/>
          <w:bCs/>
        </w:rPr>
        <w:t>o</w:t>
      </w:r>
      <w:r w:rsidRPr="001F6603">
        <w:rPr>
          <w:rFonts w:ascii="Book Antiqua" w:hAnsi="Book Antiqua"/>
          <w:b/>
          <w:bCs/>
        </w:rPr>
        <w:t>perative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0D45AC" w:rsidRPr="001F6603">
        <w:rPr>
          <w:rFonts w:ascii="Book Antiqua" w:hAnsi="Book Antiqua"/>
          <w:b/>
          <w:bCs/>
        </w:rPr>
        <w:t>e</w:t>
      </w:r>
      <w:r w:rsidRPr="001F6603">
        <w:rPr>
          <w:rFonts w:ascii="Book Antiqua" w:hAnsi="Book Antiqua"/>
          <w:b/>
          <w:bCs/>
        </w:rPr>
        <w:t>xpectations.</w:t>
      </w:r>
    </w:p>
    <w:p w:rsidR="002364F0" w:rsidRPr="001F6603" w:rsidRDefault="002364F0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:rsidR="000D2286" w:rsidRPr="001F6603" w:rsidRDefault="000D2286" w:rsidP="004A4CEB">
      <w:pPr>
        <w:snapToGrid w:val="0"/>
        <w:spacing w:line="360" w:lineRule="auto"/>
        <w:jc w:val="both"/>
        <w:rPr>
          <w:rFonts w:ascii="Book Antiqua" w:hAnsi="Book Antiqua"/>
        </w:rPr>
        <w:sectPr w:rsidR="000D2286" w:rsidRPr="001F6603">
          <w:pgSz w:w="12240" w:h="15840"/>
          <w:pgMar w:top="810" w:right="1800" w:bottom="1440" w:left="1800" w:header="720" w:footer="720" w:gutter="0"/>
          <w:pgNumType w:start="1"/>
          <w:cols w:space="720"/>
        </w:sectPr>
      </w:pPr>
    </w:p>
    <w:p w:rsidR="000D2286" w:rsidRPr="001F6603" w:rsidRDefault="000D2286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  <w:b/>
          <w:bCs/>
        </w:rPr>
        <w:lastRenderedPageBreak/>
        <w:t>Table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1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Summary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of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916AAF" w:rsidRPr="001F6603">
        <w:rPr>
          <w:rFonts w:ascii="Book Antiqua" w:hAnsi="Book Antiqua"/>
          <w:b/>
          <w:bCs/>
        </w:rPr>
        <w:t>i</w:t>
      </w:r>
      <w:r w:rsidRPr="001F6603">
        <w:rPr>
          <w:rFonts w:ascii="Book Antiqua" w:hAnsi="Book Antiqua"/>
          <w:b/>
          <w:bCs/>
        </w:rPr>
        <w:t>nitial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916AAF" w:rsidRPr="001F6603">
        <w:rPr>
          <w:rFonts w:ascii="Book Antiqua" w:hAnsi="Book Antiqua"/>
          <w:b/>
          <w:bCs/>
        </w:rPr>
        <w:t>c</w:t>
      </w:r>
      <w:r w:rsidRPr="001F6603">
        <w:rPr>
          <w:rFonts w:ascii="Book Antiqua" w:hAnsi="Book Antiqua"/>
          <w:b/>
          <w:bCs/>
        </w:rPr>
        <w:t>ohort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916AAF" w:rsidRPr="001F6603">
        <w:rPr>
          <w:rFonts w:ascii="Book Antiqua" w:hAnsi="Book Antiqua"/>
          <w:b/>
          <w:bCs/>
        </w:rPr>
        <w:t>d</w:t>
      </w:r>
      <w:r w:rsidRPr="001F6603">
        <w:rPr>
          <w:rFonts w:ascii="Book Antiqua" w:hAnsi="Book Antiqua"/>
          <w:b/>
          <w:bCs/>
        </w:rPr>
        <w:t>emographics</w:t>
      </w:r>
    </w:p>
    <w:tbl>
      <w:tblPr>
        <w:tblW w:w="6546" w:type="pct"/>
        <w:tblInd w:w="-1450" w:type="dxa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2"/>
        <w:gridCol w:w="571"/>
        <w:gridCol w:w="855"/>
        <w:gridCol w:w="652"/>
        <w:gridCol w:w="883"/>
        <w:gridCol w:w="666"/>
        <w:gridCol w:w="997"/>
        <w:gridCol w:w="1147"/>
        <w:gridCol w:w="1058"/>
        <w:gridCol w:w="798"/>
        <w:gridCol w:w="563"/>
        <w:gridCol w:w="1058"/>
        <w:gridCol w:w="627"/>
        <w:gridCol w:w="962"/>
        <w:gridCol w:w="652"/>
        <w:gridCol w:w="1161"/>
        <w:gridCol w:w="570"/>
        <w:gridCol w:w="848"/>
        <w:gridCol w:w="1097"/>
        <w:gridCol w:w="1236"/>
        <w:gridCol w:w="559"/>
      </w:tblGrid>
      <w:tr w:rsidR="00B71EAA" w:rsidRPr="001F6603" w:rsidTr="00004A75">
        <w:trPr>
          <w:trHeight w:val="495"/>
        </w:trPr>
        <w:tc>
          <w:tcPr>
            <w:tcW w:w="239" w:type="pct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583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Gender</w:t>
            </w:r>
            <w:r w:rsidR="004E74F4" w:rsidRPr="001F6603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1716" w:type="pct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 xml:space="preserve">Relationship </w:t>
            </w:r>
            <w:r w:rsidR="004E74F4" w:rsidRPr="001F6603">
              <w:rPr>
                <w:rFonts w:ascii="Book Antiqua" w:hAnsi="Book Antiqua"/>
                <w:b/>
                <w:bCs/>
              </w:rPr>
              <w:t>status</w:t>
            </w:r>
            <w:r w:rsidR="004E74F4" w:rsidRPr="001F6603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1412" w:type="pct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Race</w:t>
            </w:r>
            <w:r w:rsidR="004E74F4" w:rsidRPr="001F6603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1050" w:type="pct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 xml:space="preserve">Insurance </w:t>
            </w:r>
            <w:r w:rsidR="004E74F4" w:rsidRPr="001F6603">
              <w:rPr>
                <w:rFonts w:ascii="Book Antiqua" w:hAnsi="Book Antiqua"/>
                <w:b/>
                <w:bCs/>
              </w:rPr>
              <w:t>type</w:t>
            </w:r>
            <w:r w:rsidR="004E74F4" w:rsidRPr="001F6603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</w:tr>
      <w:tr w:rsidR="00B71EAA" w:rsidRPr="001F6603" w:rsidTr="00004A75">
        <w:trPr>
          <w:trHeight w:val="457"/>
        </w:trPr>
        <w:tc>
          <w:tcPr>
            <w:tcW w:w="239" w:type="pct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Male</w:t>
            </w:r>
          </w:p>
        </w:tc>
        <w:tc>
          <w:tcPr>
            <w:tcW w:w="24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Female</w:t>
            </w:r>
          </w:p>
        </w:tc>
        <w:tc>
          <w:tcPr>
            <w:tcW w:w="1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Total</w:t>
            </w:r>
            <w:r w:rsidR="004E74F4" w:rsidRPr="001F6603">
              <w:rPr>
                <w:rFonts w:ascii="Book Antiqua" w:hAnsi="Book Antiqua"/>
                <w:b/>
                <w:bCs/>
              </w:rPr>
              <w:t xml:space="preserve"> </w:t>
            </w:r>
            <w:r w:rsidRPr="001F6603">
              <w:rPr>
                <w:rFonts w:ascii="Book Antiqua" w:hAnsi="Book Antiqua"/>
                <w:b/>
                <w:bCs/>
              </w:rPr>
              <w:t>(</w:t>
            </w:r>
            <w:r w:rsidRPr="001F6603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1F6603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248" w:type="pct"/>
            <w:tcBorders>
              <w:top w:val="single" w:sz="8" w:space="0" w:color="000000"/>
              <w:bottom w:val="single" w:sz="8" w:space="0" w:color="000000"/>
            </w:tcBorders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Married</w:t>
            </w:r>
          </w:p>
        </w:tc>
        <w:tc>
          <w:tcPr>
            <w:tcW w:w="187" w:type="pct"/>
            <w:tcBorders>
              <w:top w:val="single" w:sz="8" w:space="0" w:color="000000"/>
              <w:bottom w:val="single" w:sz="8" w:space="0" w:color="000000"/>
            </w:tcBorders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Single</w:t>
            </w:r>
          </w:p>
        </w:tc>
        <w:tc>
          <w:tcPr>
            <w:tcW w:w="280" w:type="pct"/>
            <w:tcBorders>
              <w:top w:val="single" w:sz="8" w:space="0" w:color="000000"/>
              <w:bottom w:val="single" w:sz="8" w:space="0" w:color="000000"/>
            </w:tcBorders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Divorced</w:t>
            </w:r>
          </w:p>
        </w:tc>
        <w:tc>
          <w:tcPr>
            <w:tcW w:w="322" w:type="pct"/>
            <w:tcBorders>
              <w:top w:val="single" w:sz="8" w:space="0" w:color="000000"/>
              <w:bottom w:val="single" w:sz="8" w:space="0" w:color="000000"/>
            </w:tcBorders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 xml:space="preserve">Significant </w:t>
            </w:r>
            <w:r w:rsidR="004E74F4" w:rsidRPr="001F6603">
              <w:rPr>
                <w:rFonts w:ascii="Book Antiqua" w:hAnsi="Book Antiqua"/>
                <w:b/>
                <w:bCs/>
              </w:rPr>
              <w:t>other</w:t>
            </w:r>
          </w:p>
        </w:tc>
        <w:tc>
          <w:tcPr>
            <w:tcW w:w="297" w:type="pct"/>
            <w:tcBorders>
              <w:top w:val="single" w:sz="8" w:space="0" w:color="000000"/>
              <w:bottom w:val="single" w:sz="8" w:space="0" w:color="000000"/>
            </w:tcBorders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Widowed</w:t>
            </w:r>
          </w:p>
        </w:tc>
        <w:tc>
          <w:tcPr>
            <w:tcW w:w="224" w:type="pct"/>
            <w:tcBorders>
              <w:top w:val="single" w:sz="8" w:space="0" w:color="000000"/>
              <w:bottom w:val="single" w:sz="8" w:space="0" w:color="000000"/>
            </w:tcBorders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Partner</w:t>
            </w:r>
          </w:p>
        </w:tc>
        <w:tc>
          <w:tcPr>
            <w:tcW w:w="158" w:type="pct"/>
            <w:tcBorders>
              <w:top w:val="single" w:sz="8" w:space="0" w:color="000000"/>
              <w:bottom w:val="single" w:sz="8" w:space="0" w:color="000000"/>
            </w:tcBorders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Total</w:t>
            </w:r>
            <w:r w:rsidR="004E74F4" w:rsidRPr="001F6603">
              <w:rPr>
                <w:rFonts w:ascii="Book Antiqua" w:hAnsi="Book Antiqua"/>
                <w:b/>
                <w:bCs/>
              </w:rPr>
              <w:t xml:space="preserve"> </w:t>
            </w:r>
            <w:r w:rsidRPr="001F6603">
              <w:rPr>
                <w:rFonts w:ascii="Book Antiqua" w:hAnsi="Book Antiqua"/>
                <w:b/>
                <w:bCs/>
              </w:rPr>
              <w:t>(</w:t>
            </w:r>
            <w:r w:rsidR="004E74F4" w:rsidRPr="001F6603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1F6603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297" w:type="pct"/>
            <w:tcBorders>
              <w:top w:val="single" w:sz="8" w:space="0" w:color="000000"/>
              <w:bottom w:val="single" w:sz="8" w:space="0" w:color="000000"/>
            </w:tcBorders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African American</w:t>
            </w:r>
          </w:p>
        </w:tc>
        <w:tc>
          <w:tcPr>
            <w:tcW w:w="176" w:type="pct"/>
            <w:tcBorders>
              <w:top w:val="single" w:sz="8" w:space="0" w:color="000000"/>
              <w:bottom w:val="single" w:sz="8" w:space="0" w:color="000000"/>
            </w:tcBorders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Asian</w:t>
            </w:r>
          </w:p>
        </w:tc>
        <w:tc>
          <w:tcPr>
            <w:tcW w:w="270" w:type="pct"/>
            <w:tcBorders>
              <w:top w:val="single" w:sz="8" w:space="0" w:color="000000"/>
              <w:bottom w:val="single" w:sz="8" w:space="0" w:color="000000"/>
            </w:tcBorders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Hispanic</w:t>
            </w:r>
          </w:p>
        </w:tc>
        <w:tc>
          <w:tcPr>
            <w:tcW w:w="183" w:type="pct"/>
            <w:tcBorders>
              <w:top w:val="single" w:sz="8" w:space="0" w:color="000000"/>
              <w:bottom w:val="single" w:sz="8" w:space="0" w:color="000000"/>
            </w:tcBorders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White</w:t>
            </w:r>
          </w:p>
        </w:tc>
        <w:tc>
          <w:tcPr>
            <w:tcW w:w="326" w:type="pct"/>
            <w:tcBorders>
              <w:top w:val="single" w:sz="8" w:space="0" w:color="000000"/>
              <w:bottom w:val="single" w:sz="8" w:space="0" w:color="000000"/>
            </w:tcBorders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Unknown/Other</w:t>
            </w:r>
          </w:p>
        </w:tc>
        <w:tc>
          <w:tcPr>
            <w:tcW w:w="160" w:type="pct"/>
            <w:tcBorders>
              <w:top w:val="single" w:sz="8" w:space="0" w:color="000000"/>
              <w:bottom w:val="single" w:sz="8" w:space="0" w:color="000000"/>
            </w:tcBorders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Total</w:t>
            </w:r>
            <w:r w:rsidR="004E74F4" w:rsidRPr="001F6603">
              <w:rPr>
                <w:rFonts w:ascii="Book Antiqua" w:hAnsi="Book Antiqua"/>
                <w:b/>
                <w:bCs/>
              </w:rPr>
              <w:t xml:space="preserve"> </w:t>
            </w:r>
            <w:r w:rsidRPr="001F6603">
              <w:rPr>
                <w:rFonts w:ascii="Book Antiqua" w:hAnsi="Book Antiqua"/>
                <w:b/>
                <w:bCs/>
              </w:rPr>
              <w:t>(</w:t>
            </w:r>
            <w:r w:rsidRPr="001F6603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1F6603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238" w:type="pct"/>
            <w:tcBorders>
              <w:top w:val="single" w:sz="8" w:space="0" w:color="000000"/>
              <w:bottom w:val="single" w:sz="8" w:space="0" w:color="000000"/>
            </w:tcBorders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Private</w:t>
            </w:r>
          </w:p>
        </w:tc>
        <w:tc>
          <w:tcPr>
            <w:tcW w:w="308" w:type="pct"/>
            <w:tcBorders>
              <w:top w:val="single" w:sz="8" w:space="0" w:color="000000"/>
              <w:bottom w:val="single" w:sz="8" w:space="0" w:color="000000"/>
            </w:tcBorders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Medicare</w:t>
            </w:r>
          </w:p>
        </w:tc>
        <w:tc>
          <w:tcPr>
            <w:tcW w:w="347" w:type="pct"/>
            <w:tcBorders>
              <w:top w:val="single" w:sz="8" w:space="0" w:color="000000"/>
              <w:bottom w:val="single" w:sz="8" w:space="0" w:color="000000"/>
            </w:tcBorders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 xml:space="preserve">Workman's </w:t>
            </w:r>
            <w:r w:rsidR="004E74F4" w:rsidRPr="001F6603">
              <w:rPr>
                <w:rFonts w:ascii="Book Antiqua" w:hAnsi="Book Antiqua"/>
                <w:b/>
                <w:bCs/>
              </w:rPr>
              <w:t>comp</w:t>
            </w:r>
          </w:p>
        </w:tc>
        <w:tc>
          <w:tcPr>
            <w:tcW w:w="157" w:type="pct"/>
          </w:tcPr>
          <w:p w:rsidR="00B71EAA" w:rsidRPr="001F6603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Total</w:t>
            </w:r>
            <w:r w:rsidR="004E74F4" w:rsidRPr="001F6603">
              <w:rPr>
                <w:rFonts w:ascii="Book Antiqua" w:hAnsi="Book Antiqua"/>
                <w:b/>
                <w:bCs/>
              </w:rPr>
              <w:t xml:space="preserve"> </w:t>
            </w:r>
            <w:r w:rsidRPr="001F6603">
              <w:rPr>
                <w:rFonts w:ascii="Book Antiqua" w:hAnsi="Book Antiqua"/>
                <w:b/>
                <w:bCs/>
              </w:rPr>
              <w:t>(</w:t>
            </w:r>
            <w:r w:rsidR="004E74F4" w:rsidRPr="001F6603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1F6603">
              <w:rPr>
                <w:rFonts w:ascii="Book Antiqua" w:hAnsi="Book Antiqua"/>
                <w:b/>
                <w:bCs/>
              </w:rPr>
              <w:t>)</w:t>
            </w:r>
          </w:p>
        </w:tc>
      </w:tr>
      <w:tr w:rsidR="002F0710" w:rsidRPr="001F6603" w:rsidTr="00004A75">
        <w:trPr>
          <w:trHeight w:val="300"/>
        </w:trPr>
        <w:tc>
          <w:tcPr>
            <w:tcW w:w="239" w:type="pct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1F6603">
              <w:rPr>
                <w:rFonts w:ascii="Book Antiqua" w:hAnsi="Book Antiqua"/>
                <w:i/>
                <w:iCs/>
              </w:rPr>
              <w:t>n</w:t>
            </w:r>
          </w:p>
        </w:tc>
        <w:tc>
          <w:tcPr>
            <w:tcW w:w="160" w:type="pct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29</w:t>
            </w:r>
          </w:p>
        </w:tc>
        <w:tc>
          <w:tcPr>
            <w:tcW w:w="240" w:type="pct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104</w:t>
            </w:r>
          </w:p>
        </w:tc>
        <w:tc>
          <w:tcPr>
            <w:tcW w:w="183" w:type="pct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133</w:t>
            </w:r>
          </w:p>
        </w:tc>
        <w:tc>
          <w:tcPr>
            <w:tcW w:w="248" w:type="pct"/>
            <w:tcBorders>
              <w:top w:val="single" w:sz="8" w:space="0" w:color="000000"/>
            </w:tcBorders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54</w:t>
            </w:r>
          </w:p>
        </w:tc>
        <w:tc>
          <w:tcPr>
            <w:tcW w:w="187" w:type="pct"/>
            <w:tcBorders>
              <w:top w:val="single" w:sz="8" w:space="0" w:color="000000"/>
            </w:tcBorders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53</w:t>
            </w:r>
          </w:p>
        </w:tc>
        <w:tc>
          <w:tcPr>
            <w:tcW w:w="280" w:type="pct"/>
            <w:tcBorders>
              <w:top w:val="single" w:sz="8" w:space="0" w:color="000000"/>
            </w:tcBorders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</w:t>
            </w:r>
          </w:p>
        </w:tc>
        <w:tc>
          <w:tcPr>
            <w:tcW w:w="322" w:type="pct"/>
            <w:tcBorders>
              <w:top w:val="single" w:sz="8" w:space="0" w:color="000000"/>
            </w:tcBorders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</w:t>
            </w:r>
          </w:p>
        </w:tc>
        <w:tc>
          <w:tcPr>
            <w:tcW w:w="297" w:type="pct"/>
            <w:tcBorders>
              <w:top w:val="single" w:sz="8" w:space="0" w:color="000000"/>
            </w:tcBorders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13</w:t>
            </w:r>
          </w:p>
        </w:tc>
        <w:tc>
          <w:tcPr>
            <w:tcW w:w="224" w:type="pct"/>
            <w:tcBorders>
              <w:top w:val="single" w:sz="8" w:space="0" w:color="000000"/>
            </w:tcBorders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</w:t>
            </w:r>
          </w:p>
        </w:tc>
        <w:tc>
          <w:tcPr>
            <w:tcW w:w="158" w:type="pct"/>
            <w:tcBorders>
              <w:top w:val="single" w:sz="8" w:space="0" w:color="000000"/>
            </w:tcBorders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132</w:t>
            </w:r>
          </w:p>
        </w:tc>
        <w:tc>
          <w:tcPr>
            <w:tcW w:w="297" w:type="pct"/>
            <w:tcBorders>
              <w:top w:val="single" w:sz="8" w:space="0" w:color="000000"/>
            </w:tcBorders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69</w:t>
            </w:r>
          </w:p>
        </w:tc>
        <w:tc>
          <w:tcPr>
            <w:tcW w:w="176" w:type="pct"/>
            <w:tcBorders>
              <w:top w:val="single" w:sz="8" w:space="0" w:color="000000"/>
            </w:tcBorders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</w:t>
            </w:r>
          </w:p>
        </w:tc>
        <w:tc>
          <w:tcPr>
            <w:tcW w:w="270" w:type="pct"/>
            <w:tcBorders>
              <w:top w:val="single" w:sz="8" w:space="0" w:color="000000"/>
            </w:tcBorders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3</w:t>
            </w:r>
          </w:p>
        </w:tc>
        <w:tc>
          <w:tcPr>
            <w:tcW w:w="183" w:type="pct"/>
            <w:tcBorders>
              <w:top w:val="single" w:sz="8" w:space="0" w:color="000000"/>
            </w:tcBorders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55</w:t>
            </w:r>
          </w:p>
        </w:tc>
        <w:tc>
          <w:tcPr>
            <w:tcW w:w="326" w:type="pct"/>
            <w:tcBorders>
              <w:top w:val="single" w:sz="8" w:space="0" w:color="000000"/>
            </w:tcBorders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4</w:t>
            </w:r>
          </w:p>
        </w:tc>
        <w:tc>
          <w:tcPr>
            <w:tcW w:w="160" w:type="pct"/>
            <w:tcBorders>
              <w:top w:val="single" w:sz="8" w:space="0" w:color="000000"/>
            </w:tcBorders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133</w:t>
            </w:r>
          </w:p>
        </w:tc>
        <w:tc>
          <w:tcPr>
            <w:tcW w:w="238" w:type="pct"/>
            <w:tcBorders>
              <w:top w:val="single" w:sz="8" w:space="0" w:color="000000"/>
            </w:tcBorders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78</w:t>
            </w:r>
          </w:p>
        </w:tc>
        <w:tc>
          <w:tcPr>
            <w:tcW w:w="308" w:type="pct"/>
            <w:tcBorders>
              <w:top w:val="single" w:sz="8" w:space="0" w:color="000000"/>
            </w:tcBorders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51</w:t>
            </w:r>
          </w:p>
        </w:tc>
        <w:tc>
          <w:tcPr>
            <w:tcW w:w="347" w:type="pct"/>
            <w:tcBorders>
              <w:top w:val="single" w:sz="8" w:space="0" w:color="000000"/>
            </w:tcBorders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3</w:t>
            </w:r>
          </w:p>
        </w:tc>
        <w:tc>
          <w:tcPr>
            <w:tcW w:w="157" w:type="pct"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132</w:t>
            </w:r>
          </w:p>
        </w:tc>
      </w:tr>
      <w:tr w:rsidR="002F0710" w:rsidRPr="001F6603" w:rsidTr="00004A75">
        <w:trPr>
          <w:trHeight w:val="300"/>
        </w:trPr>
        <w:tc>
          <w:tcPr>
            <w:tcW w:w="2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Percent</w:t>
            </w:r>
          </w:p>
        </w:tc>
        <w:tc>
          <w:tcPr>
            <w:tcW w:w="1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21.8</w:t>
            </w:r>
          </w:p>
        </w:tc>
        <w:tc>
          <w:tcPr>
            <w:tcW w:w="2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78.2</w:t>
            </w:r>
          </w:p>
        </w:tc>
        <w:tc>
          <w:tcPr>
            <w:tcW w:w="1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100</w:t>
            </w:r>
          </w:p>
        </w:tc>
        <w:tc>
          <w:tcPr>
            <w:tcW w:w="248" w:type="pct"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40.6</w:t>
            </w:r>
          </w:p>
        </w:tc>
        <w:tc>
          <w:tcPr>
            <w:tcW w:w="187" w:type="pct"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39.8</w:t>
            </w:r>
          </w:p>
        </w:tc>
        <w:tc>
          <w:tcPr>
            <w:tcW w:w="280" w:type="pct"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7.5</w:t>
            </w:r>
          </w:p>
        </w:tc>
        <w:tc>
          <w:tcPr>
            <w:tcW w:w="322" w:type="pct"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0.8</w:t>
            </w:r>
          </w:p>
        </w:tc>
        <w:tc>
          <w:tcPr>
            <w:tcW w:w="297" w:type="pct"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9.8</w:t>
            </w:r>
          </w:p>
        </w:tc>
        <w:tc>
          <w:tcPr>
            <w:tcW w:w="224" w:type="pct"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0.8</w:t>
            </w:r>
          </w:p>
        </w:tc>
        <w:tc>
          <w:tcPr>
            <w:tcW w:w="158" w:type="pct"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99.2</w:t>
            </w:r>
          </w:p>
        </w:tc>
        <w:tc>
          <w:tcPr>
            <w:tcW w:w="297" w:type="pct"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51.9</w:t>
            </w:r>
          </w:p>
        </w:tc>
        <w:tc>
          <w:tcPr>
            <w:tcW w:w="176" w:type="pct"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1.5</w:t>
            </w:r>
          </w:p>
        </w:tc>
        <w:tc>
          <w:tcPr>
            <w:tcW w:w="270" w:type="pct"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2.3</w:t>
            </w:r>
          </w:p>
        </w:tc>
        <w:tc>
          <w:tcPr>
            <w:tcW w:w="183" w:type="pct"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41.4</w:t>
            </w:r>
          </w:p>
        </w:tc>
        <w:tc>
          <w:tcPr>
            <w:tcW w:w="326" w:type="pct"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3.0</w:t>
            </w:r>
          </w:p>
        </w:tc>
        <w:tc>
          <w:tcPr>
            <w:tcW w:w="160" w:type="pct"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100</w:t>
            </w:r>
          </w:p>
        </w:tc>
        <w:tc>
          <w:tcPr>
            <w:tcW w:w="238" w:type="pct"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58.6</w:t>
            </w:r>
          </w:p>
        </w:tc>
        <w:tc>
          <w:tcPr>
            <w:tcW w:w="308" w:type="pct"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38.3</w:t>
            </w:r>
          </w:p>
        </w:tc>
        <w:tc>
          <w:tcPr>
            <w:tcW w:w="347" w:type="pct"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2.3</w:t>
            </w:r>
          </w:p>
        </w:tc>
        <w:tc>
          <w:tcPr>
            <w:tcW w:w="157" w:type="pct"/>
          </w:tcPr>
          <w:p w:rsidR="00D62B54" w:rsidRPr="001F6603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99.2</w:t>
            </w:r>
          </w:p>
        </w:tc>
      </w:tr>
    </w:tbl>
    <w:p w:rsidR="000D2286" w:rsidRPr="001F6603" w:rsidRDefault="004E74F4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  <w:b/>
          <w:bCs/>
          <w:vertAlign w:val="superscript"/>
        </w:rPr>
        <w:t>1</w:t>
      </w:r>
      <w:r w:rsidR="000D2286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null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hypothesis,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categories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occur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with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equal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probabilities,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rejected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using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One-Sample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Chi-</w:t>
      </w:r>
      <w:r w:rsidR="00362BB2" w:rsidRPr="001F6603">
        <w:rPr>
          <w:rFonts w:ascii="Book Antiqua" w:hAnsi="Book Antiqua"/>
        </w:rPr>
        <w:t>s</w:t>
      </w:r>
      <w:r w:rsidR="000D2286" w:rsidRPr="001F6603">
        <w:rPr>
          <w:rFonts w:ascii="Book Antiqua" w:hAnsi="Book Antiqua"/>
        </w:rPr>
        <w:t>quare</w:t>
      </w:r>
      <w:r w:rsidR="0043237C" w:rsidRPr="001F6603">
        <w:rPr>
          <w:rFonts w:ascii="Book Antiqua" w:hAnsi="Book Antiqua"/>
        </w:rPr>
        <w:t xml:space="preserve"> </w:t>
      </w:r>
      <w:r w:rsidR="00362BB2" w:rsidRPr="001F6603">
        <w:rPr>
          <w:rFonts w:ascii="Book Antiqua" w:hAnsi="Book Antiqua"/>
        </w:rPr>
        <w:t>t</w:t>
      </w:r>
      <w:r w:rsidR="000D2286" w:rsidRPr="001F6603">
        <w:rPr>
          <w:rFonts w:ascii="Book Antiqua" w:hAnsi="Book Antiqua"/>
        </w:rPr>
        <w:t>est,</w:t>
      </w:r>
      <w:r w:rsidR="0043237C" w:rsidRPr="001F6603">
        <w:rPr>
          <w:rFonts w:ascii="Book Antiqua" w:hAnsi="Book Antiqua"/>
        </w:rPr>
        <w:t xml:space="preserve"> </w:t>
      </w:r>
      <w:r w:rsidR="00400690" w:rsidRPr="001F6603">
        <w:rPr>
          <w:rFonts w:ascii="Book Antiqua" w:hAnsi="Book Antiqua"/>
          <w:i/>
          <w:iCs/>
        </w:rPr>
        <w:t>P</w:t>
      </w:r>
      <w:r w:rsidR="00400690" w:rsidRPr="001F6603">
        <w:rPr>
          <w:rFonts w:ascii="Book Antiqua" w:hAnsi="Book Antiqua"/>
        </w:rPr>
        <w:t xml:space="preserve"> &lt; </w:t>
      </w:r>
      <w:r w:rsidR="000D2286" w:rsidRPr="001F6603">
        <w:rPr>
          <w:rFonts w:ascii="Book Antiqua" w:hAnsi="Book Antiqua"/>
        </w:rPr>
        <w:t>0.01</w:t>
      </w:r>
      <w:r w:rsidR="0043237C" w:rsidRPr="001F6603">
        <w:rPr>
          <w:rFonts w:ascii="Book Antiqua" w:hAnsi="Book Antiqua"/>
        </w:rPr>
        <w:t xml:space="preserve"> </w:t>
      </w:r>
    </w:p>
    <w:p w:rsidR="000D2286" w:rsidRPr="001F6603" w:rsidRDefault="000D2286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:rsidR="002364F0" w:rsidRPr="001F6603" w:rsidRDefault="002364F0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:rsidR="00D62B54" w:rsidRPr="001F6603" w:rsidRDefault="00D62B54" w:rsidP="004A4CEB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F6603">
        <w:rPr>
          <w:rFonts w:ascii="Book Antiqua" w:hAnsi="Book Antiqua"/>
          <w:b/>
          <w:bCs/>
        </w:rPr>
        <w:br w:type="page"/>
      </w:r>
    </w:p>
    <w:p w:rsidR="000D2286" w:rsidRPr="001F6603" w:rsidRDefault="000D2286" w:rsidP="004A4CEB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F6603">
        <w:rPr>
          <w:rFonts w:ascii="Book Antiqua" w:hAnsi="Book Antiqua"/>
          <w:b/>
          <w:bCs/>
        </w:rPr>
        <w:lastRenderedPageBreak/>
        <w:t>Table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2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Summary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871A88" w:rsidRPr="001F6603">
        <w:rPr>
          <w:rFonts w:ascii="Book Antiqua" w:hAnsi="Book Antiqua"/>
          <w:b/>
          <w:bCs/>
        </w:rPr>
        <w:t>statistics of pre-operative assessments and expectations</w:t>
      </w:r>
    </w:p>
    <w:tbl>
      <w:tblPr>
        <w:tblW w:w="11677" w:type="pct"/>
        <w:tblInd w:w="-1455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904"/>
        <w:gridCol w:w="2441"/>
        <w:gridCol w:w="2441"/>
        <w:gridCol w:w="2441"/>
        <w:gridCol w:w="2441"/>
        <w:gridCol w:w="2441"/>
        <w:gridCol w:w="2441"/>
        <w:gridCol w:w="2441"/>
        <w:gridCol w:w="2288"/>
        <w:gridCol w:w="2288"/>
        <w:gridCol w:w="2288"/>
        <w:gridCol w:w="2288"/>
        <w:gridCol w:w="2288"/>
        <w:gridCol w:w="812"/>
      </w:tblGrid>
      <w:tr w:rsidR="006D3EE1" w:rsidRPr="001F6603" w:rsidTr="006D3EE1">
        <w:trPr>
          <w:trHeight w:val="612"/>
        </w:trPr>
        <w:tc>
          <w:tcPr>
            <w:tcW w:w="40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Number</w:t>
            </w:r>
            <w:r w:rsidR="0043237C" w:rsidRPr="001F6603">
              <w:rPr>
                <w:rFonts w:ascii="Book Antiqua" w:hAnsi="Book Antiqua"/>
                <w:b/>
                <w:bCs/>
              </w:rPr>
              <w:t xml:space="preserve"> </w:t>
            </w:r>
            <w:r w:rsidRPr="001F6603">
              <w:rPr>
                <w:rFonts w:ascii="Book Antiqua" w:hAnsi="Book Antiqua"/>
                <w:b/>
                <w:bCs/>
              </w:rPr>
              <w:t>of</w:t>
            </w:r>
            <w:r w:rsidR="0043237C" w:rsidRPr="001F6603">
              <w:rPr>
                <w:rFonts w:ascii="Book Antiqua" w:hAnsi="Book Antiqua"/>
                <w:b/>
                <w:bCs/>
              </w:rPr>
              <w:t xml:space="preserve"> </w:t>
            </w:r>
            <w:r w:rsidR="004E74F4" w:rsidRPr="001F6603">
              <w:rPr>
                <w:rFonts w:ascii="Book Antiqua" w:hAnsi="Book Antiqua"/>
                <w:b/>
                <w:bCs/>
              </w:rPr>
              <w:t xml:space="preserve">friends 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Pre-Op</w:t>
            </w:r>
            <w:r w:rsidR="0043237C" w:rsidRPr="001F6603">
              <w:rPr>
                <w:rFonts w:ascii="Book Antiqua" w:hAnsi="Book Antiqua"/>
                <w:b/>
                <w:bCs/>
              </w:rPr>
              <w:t xml:space="preserve"> </w:t>
            </w:r>
            <w:r w:rsidRPr="001F6603">
              <w:rPr>
                <w:rFonts w:ascii="Book Antiqua" w:hAnsi="Book Antiqua"/>
                <w:b/>
                <w:bCs/>
              </w:rPr>
              <w:t>Psychometric</w:t>
            </w:r>
            <w:r w:rsidR="0043237C" w:rsidRPr="001F6603">
              <w:rPr>
                <w:rFonts w:ascii="Book Antiqua" w:hAnsi="Book Antiqua"/>
                <w:b/>
                <w:bCs/>
              </w:rPr>
              <w:t xml:space="preserve"> </w:t>
            </w:r>
            <w:r w:rsidRPr="001F6603">
              <w:rPr>
                <w:rFonts w:ascii="Book Antiqua" w:hAnsi="Book Antiqua"/>
                <w:b/>
                <w:bCs/>
              </w:rPr>
              <w:t>Scales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Pre-Op</w:t>
            </w:r>
            <w:r w:rsidR="0043237C" w:rsidRPr="001F6603">
              <w:rPr>
                <w:rFonts w:ascii="Book Antiqua" w:hAnsi="Book Antiqua"/>
                <w:b/>
                <w:bCs/>
              </w:rPr>
              <w:t xml:space="preserve"> </w:t>
            </w:r>
            <w:r w:rsidRPr="001F6603">
              <w:rPr>
                <w:rFonts w:ascii="Book Antiqua" w:hAnsi="Book Antiqua"/>
                <w:b/>
                <w:bCs/>
              </w:rPr>
              <w:t>Pain</w:t>
            </w:r>
            <w:r w:rsidR="0043237C" w:rsidRPr="001F6603">
              <w:rPr>
                <w:rFonts w:ascii="Book Antiqua" w:hAnsi="Book Antiqua"/>
                <w:b/>
                <w:bCs/>
              </w:rPr>
              <w:t xml:space="preserve"> </w:t>
            </w:r>
            <w:r w:rsidRPr="001F6603">
              <w:rPr>
                <w:rFonts w:ascii="Book Antiqua" w:hAnsi="Book Antiqua"/>
                <w:b/>
                <w:bCs/>
              </w:rPr>
              <w:t>Catastrophizing</w:t>
            </w:r>
            <w:r w:rsidR="0043237C" w:rsidRPr="001F6603">
              <w:rPr>
                <w:rFonts w:ascii="Book Antiqua" w:hAnsi="Book Antiqua"/>
                <w:b/>
                <w:bCs/>
              </w:rPr>
              <w:t xml:space="preserve"> </w:t>
            </w:r>
            <w:r w:rsidRPr="001F6603">
              <w:rPr>
                <w:rFonts w:ascii="Book Antiqua" w:hAnsi="Book Antiqua"/>
                <w:b/>
                <w:bCs/>
              </w:rPr>
              <w:t>Scale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Expectations</w:t>
            </w:r>
          </w:p>
        </w:tc>
      </w:tr>
      <w:tr w:rsidR="004E74F4" w:rsidRPr="001F6603" w:rsidTr="006D3EE1">
        <w:trPr>
          <w:trHeight w:val="1270"/>
        </w:trPr>
        <w:tc>
          <w:tcPr>
            <w:tcW w:w="40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bottom"/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43237C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Emotional/</w:t>
            </w:r>
          </w:p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Informational</w:t>
            </w:r>
            <w:r w:rsidR="004E74F4" w:rsidRPr="001F6603">
              <w:rPr>
                <w:rFonts w:ascii="Book Antiqua" w:hAnsi="Book Antiqua"/>
                <w:b/>
                <w:bCs/>
              </w:rPr>
              <w:t xml:space="preserve"> support score 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Tangible</w:t>
            </w:r>
            <w:r w:rsidR="0043237C" w:rsidRPr="001F6603">
              <w:rPr>
                <w:rFonts w:ascii="Book Antiqua" w:hAnsi="Book Antiqua"/>
                <w:b/>
                <w:bCs/>
              </w:rPr>
              <w:t xml:space="preserve"> </w:t>
            </w:r>
            <w:r w:rsidR="004E74F4" w:rsidRPr="001F6603">
              <w:rPr>
                <w:rFonts w:ascii="Book Antiqua" w:hAnsi="Book Antiqua"/>
                <w:b/>
                <w:bCs/>
              </w:rPr>
              <w:t xml:space="preserve">support score 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Affectionate</w:t>
            </w:r>
            <w:r w:rsidR="0043237C" w:rsidRPr="001F6603">
              <w:rPr>
                <w:rFonts w:ascii="Book Antiqua" w:hAnsi="Book Antiqua"/>
                <w:b/>
                <w:bCs/>
              </w:rPr>
              <w:t xml:space="preserve"> </w:t>
            </w:r>
            <w:r w:rsidR="004E74F4" w:rsidRPr="001F6603">
              <w:rPr>
                <w:rFonts w:ascii="Book Antiqua" w:hAnsi="Book Antiqua"/>
                <w:b/>
                <w:bCs/>
              </w:rPr>
              <w:t xml:space="preserve">support score 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Overall</w:t>
            </w:r>
            <w:r w:rsidR="0043237C" w:rsidRPr="001F6603">
              <w:rPr>
                <w:rFonts w:ascii="Book Antiqua" w:hAnsi="Book Antiqua"/>
                <w:b/>
                <w:bCs/>
              </w:rPr>
              <w:t xml:space="preserve"> </w:t>
            </w:r>
            <w:r w:rsidR="004E74F4" w:rsidRPr="001F6603">
              <w:rPr>
                <w:rFonts w:ascii="Book Antiqua" w:hAnsi="Book Antiqua"/>
                <w:b/>
                <w:bCs/>
              </w:rPr>
              <w:t xml:space="preserve">medical outcomes support index 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Geriatric</w:t>
            </w:r>
            <w:r w:rsidR="0043237C" w:rsidRPr="001F6603">
              <w:rPr>
                <w:rFonts w:ascii="Book Antiqua" w:hAnsi="Book Antiqua"/>
                <w:b/>
                <w:bCs/>
              </w:rPr>
              <w:t xml:space="preserve"> </w:t>
            </w:r>
            <w:r w:rsidR="004E74F4" w:rsidRPr="001F6603">
              <w:rPr>
                <w:rFonts w:ascii="Book Antiqua" w:hAnsi="Book Antiqua"/>
                <w:b/>
                <w:bCs/>
              </w:rPr>
              <w:t>depression scale</w:t>
            </w:r>
            <w:r w:rsidR="005457ED" w:rsidRPr="001F6603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Positive</w:t>
            </w:r>
            <w:r w:rsidR="0043237C" w:rsidRPr="001F6603">
              <w:rPr>
                <w:rFonts w:ascii="Book Antiqua" w:hAnsi="Book Antiqua"/>
                <w:b/>
                <w:bCs/>
              </w:rPr>
              <w:t xml:space="preserve"> </w:t>
            </w:r>
            <w:r w:rsidR="004E74F4" w:rsidRPr="001F6603">
              <w:rPr>
                <w:rFonts w:ascii="Book Antiqua" w:hAnsi="Book Antiqua"/>
                <w:b/>
                <w:bCs/>
              </w:rPr>
              <w:t xml:space="preserve">social support 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Rumination</w:t>
            </w:r>
            <w:r w:rsidR="005457ED" w:rsidRPr="001F6603">
              <w:rPr>
                <w:rFonts w:ascii="Book Antiqua" w:hAnsi="Book Antiqua"/>
                <w:b/>
                <w:bCs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Magnification</w:t>
            </w:r>
            <w:r w:rsidR="005457ED" w:rsidRPr="001F6603">
              <w:rPr>
                <w:rFonts w:ascii="Book Antiqua" w:hAnsi="Book Antiqua"/>
                <w:b/>
                <w:bCs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Helpnessness</w:t>
            </w:r>
            <w:r w:rsidR="005457ED" w:rsidRPr="001F6603">
              <w:rPr>
                <w:rFonts w:ascii="Book Antiqua" w:hAnsi="Book Antiqua"/>
                <w:b/>
                <w:bCs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Total</w:t>
            </w:r>
            <w:r w:rsidR="00FA358C" w:rsidRPr="001F6603">
              <w:rPr>
                <w:rFonts w:ascii="Book Antiqua" w:hAnsi="Book Antiqua"/>
                <w:b/>
                <w:bCs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Pre-</w:t>
            </w:r>
            <w:r w:rsidR="004E74F4" w:rsidRPr="001F6603">
              <w:rPr>
                <w:rFonts w:ascii="Book Antiqua" w:hAnsi="Book Antiqua"/>
                <w:b/>
                <w:bCs/>
              </w:rPr>
              <w:t>op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Post-</w:t>
            </w:r>
            <w:r w:rsidR="004E74F4" w:rsidRPr="001F6603">
              <w:rPr>
                <w:rFonts w:ascii="Book Antiqua" w:hAnsi="Book Antiqua"/>
                <w:b/>
                <w:bCs/>
              </w:rPr>
              <w:t xml:space="preserve">op </w:t>
            </w:r>
            <w:r w:rsidRPr="001F6603">
              <w:rPr>
                <w:rFonts w:ascii="Book Antiqua" w:hAnsi="Book Antiqua"/>
                <w:b/>
                <w:bCs/>
              </w:rPr>
              <w:t>(4-8</w:t>
            </w:r>
            <w:r w:rsidR="0043237C" w:rsidRPr="001F6603">
              <w:rPr>
                <w:rFonts w:ascii="Book Antiqua" w:hAnsi="Book Antiqua"/>
                <w:b/>
                <w:bCs/>
              </w:rPr>
              <w:t xml:space="preserve"> </w:t>
            </w:r>
            <w:r w:rsidR="004E74F4" w:rsidRPr="001F6603">
              <w:rPr>
                <w:rFonts w:ascii="Book Antiqua" w:hAnsi="Book Antiqua"/>
                <w:b/>
                <w:bCs/>
              </w:rPr>
              <w:t>wk</w:t>
            </w:r>
            <w:r w:rsidRPr="001F6603">
              <w:rPr>
                <w:rFonts w:ascii="Book Antiqua" w:hAnsi="Book Antiqua"/>
                <w:b/>
                <w:bCs/>
              </w:rPr>
              <w:t>)</w:t>
            </w:r>
            <w:r w:rsidR="00FA358C" w:rsidRPr="001F6603">
              <w:rPr>
                <w:rFonts w:ascii="Book Antiqua" w:hAnsi="Book Antiqua"/>
                <w:b/>
                <w:bCs/>
                <w:vertAlign w:val="superscript"/>
              </w:rPr>
              <w:t>4</w:t>
            </w:r>
          </w:p>
        </w:tc>
      </w:tr>
      <w:tr w:rsidR="006D3EE1" w:rsidRPr="001F6603" w:rsidTr="006D3EE1">
        <w:trPr>
          <w:trHeight w:val="204"/>
        </w:trPr>
        <w:tc>
          <w:tcPr>
            <w:tcW w:w="111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1F6603">
              <w:rPr>
                <w:rFonts w:ascii="Book Antiqua" w:hAnsi="Book Antiqua"/>
                <w:i/>
                <w:iCs/>
              </w:rPr>
              <w:t>n</w:t>
            </w:r>
          </w:p>
        </w:tc>
        <w:tc>
          <w:tcPr>
            <w:tcW w:w="298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Valid</w:t>
            </w:r>
          </w:p>
        </w:tc>
        <w:tc>
          <w:tcPr>
            <w:tcW w:w="382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133</w:t>
            </w:r>
          </w:p>
        </w:tc>
        <w:tc>
          <w:tcPr>
            <w:tcW w:w="382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133</w:t>
            </w:r>
          </w:p>
        </w:tc>
        <w:tc>
          <w:tcPr>
            <w:tcW w:w="382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133</w:t>
            </w:r>
          </w:p>
        </w:tc>
        <w:tc>
          <w:tcPr>
            <w:tcW w:w="382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133</w:t>
            </w:r>
          </w:p>
        </w:tc>
        <w:tc>
          <w:tcPr>
            <w:tcW w:w="382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133</w:t>
            </w:r>
          </w:p>
        </w:tc>
        <w:tc>
          <w:tcPr>
            <w:tcW w:w="382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133</w:t>
            </w:r>
          </w:p>
        </w:tc>
        <w:tc>
          <w:tcPr>
            <w:tcW w:w="382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133</w:t>
            </w:r>
          </w:p>
        </w:tc>
        <w:tc>
          <w:tcPr>
            <w:tcW w:w="358" w:type="pct"/>
            <w:tcBorders>
              <w:top w:val="single" w:sz="4" w:space="0" w:color="auto"/>
              <w:bottom w:val="nil"/>
            </w:tcBorders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133</w:t>
            </w:r>
          </w:p>
        </w:tc>
        <w:tc>
          <w:tcPr>
            <w:tcW w:w="358" w:type="pct"/>
            <w:tcBorders>
              <w:top w:val="single" w:sz="4" w:space="0" w:color="auto"/>
              <w:bottom w:val="nil"/>
            </w:tcBorders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133</w:t>
            </w:r>
          </w:p>
        </w:tc>
        <w:tc>
          <w:tcPr>
            <w:tcW w:w="358" w:type="pct"/>
            <w:tcBorders>
              <w:top w:val="single" w:sz="4" w:space="0" w:color="auto"/>
              <w:bottom w:val="nil"/>
            </w:tcBorders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133</w:t>
            </w:r>
          </w:p>
        </w:tc>
        <w:tc>
          <w:tcPr>
            <w:tcW w:w="358" w:type="pct"/>
            <w:tcBorders>
              <w:top w:val="single" w:sz="4" w:space="0" w:color="auto"/>
              <w:bottom w:val="nil"/>
            </w:tcBorders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126</w:t>
            </w:r>
          </w:p>
        </w:tc>
        <w:tc>
          <w:tcPr>
            <w:tcW w:w="358" w:type="pct"/>
            <w:tcBorders>
              <w:top w:val="single" w:sz="4" w:space="0" w:color="auto"/>
              <w:bottom w:val="nil"/>
            </w:tcBorders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69</w:t>
            </w:r>
          </w:p>
        </w:tc>
        <w:tc>
          <w:tcPr>
            <w:tcW w:w="358" w:type="pct"/>
            <w:tcBorders>
              <w:top w:val="single" w:sz="4" w:space="0" w:color="auto"/>
              <w:bottom w:val="nil"/>
            </w:tcBorders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D3EE1" w:rsidRPr="001F6603" w:rsidTr="006D3EE1">
        <w:trPr>
          <w:trHeight w:val="326"/>
        </w:trPr>
        <w:tc>
          <w:tcPr>
            <w:tcW w:w="111" w:type="pct"/>
            <w:vMerge/>
            <w:tcBorders>
              <w:top w:val="nil"/>
            </w:tcBorders>
            <w:vAlign w:val="center"/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8" w:type="pct"/>
            <w:tcBorders>
              <w:top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Missing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</w:t>
            </w:r>
          </w:p>
        </w:tc>
        <w:tc>
          <w:tcPr>
            <w:tcW w:w="358" w:type="pct"/>
            <w:tcBorders>
              <w:top w:val="nil"/>
            </w:tcBorders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</w:t>
            </w:r>
          </w:p>
        </w:tc>
        <w:tc>
          <w:tcPr>
            <w:tcW w:w="358" w:type="pct"/>
            <w:tcBorders>
              <w:top w:val="nil"/>
            </w:tcBorders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</w:t>
            </w:r>
          </w:p>
        </w:tc>
        <w:tc>
          <w:tcPr>
            <w:tcW w:w="358" w:type="pct"/>
            <w:tcBorders>
              <w:top w:val="nil"/>
            </w:tcBorders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</w:t>
            </w:r>
          </w:p>
        </w:tc>
        <w:tc>
          <w:tcPr>
            <w:tcW w:w="358" w:type="pct"/>
            <w:tcBorders>
              <w:top w:val="nil"/>
            </w:tcBorders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7</w:t>
            </w:r>
          </w:p>
        </w:tc>
        <w:tc>
          <w:tcPr>
            <w:tcW w:w="358" w:type="pct"/>
            <w:tcBorders>
              <w:top w:val="nil"/>
            </w:tcBorders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64</w:t>
            </w:r>
          </w:p>
        </w:tc>
        <w:tc>
          <w:tcPr>
            <w:tcW w:w="358" w:type="pct"/>
            <w:tcBorders>
              <w:top w:val="nil"/>
            </w:tcBorders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74F4" w:rsidRPr="001F6603" w:rsidTr="006D3EE1">
        <w:trPr>
          <w:trHeight w:val="204"/>
        </w:trPr>
        <w:tc>
          <w:tcPr>
            <w:tcW w:w="408" w:type="pct"/>
            <w:gridSpan w:val="2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Mean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7.47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85.34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82.02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88.84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85.28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3.39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86.28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7.28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2.63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6.29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16.20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81.98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70.97</w:t>
            </w:r>
          </w:p>
        </w:tc>
      </w:tr>
      <w:tr w:rsidR="004E74F4" w:rsidRPr="001F6603" w:rsidTr="006D3EE1">
        <w:trPr>
          <w:trHeight w:val="204"/>
        </w:trPr>
        <w:tc>
          <w:tcPr>
            <w:tcW w:w="408" w:type="pct"/>
            <w:gridSpan w:val="2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Median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5.0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96.9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94.0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100.0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90.8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3.0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100.0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7.0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2.0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4.0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13.0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89.5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86.8</w:t>
            </w:r>
          </w:p>
        </w:tc>
      </w:tr>
      <w:tr w:rsidR="004E74F4" w:rsidRPr="001F6603" w:rsidTr="006D3EE1">
        <w:trPr>
          <w:trHeight w:val="204"/>
        </w:trPr>
        <w:tc>
          <w:tcPr>
            <w:tcW w:w="408" w:type="pct"/>
            <w:gridSpan w:val="2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Mode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100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16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</w:t>
            </w:r>
            <w:r w:rsidR="00FA358C" w:rsidRPr="001F6603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6</w:t>
            </w:r>
            <w:r w:rsidR="00FA358C" w:rsidRPr="001F6603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97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100</w:t>
            </w:r>
          </w:p>
        </w:tc>
      </w:tr>
      <w:tr w:rsidR="004E74F4" w:rsidRPr="001F6603" w:rsidTr="006D3EE1">
        <w:trPr>
          <w:trHeight w:val="204"/>
        </w:trPr>
        <w:tc>
          <w:tcPr>
            <w:tcW w:w="408" w:type="pct"/>
            <w:gridSpan w:val="2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S</w:t>
            </w:r>
            <w:r w:rsidR="00E4199B" w:rsidRPr="001F6603">
              <w:rPr>
                <w:rFonts w:ascii="Book Antiqua" w:hAnsi="Book Antiqua"/>
              </w:rPr>
              <w:t>D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7.7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20.9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24.2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19.3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18.7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3.0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22.5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5.1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3.2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6.1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12.9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17.7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29.8</w:t>
            </w:r>
          </w:p>
        </w:tc>
      </w:tr>
      <w:tr w:rsidR="004E74F4" w:rsidRPr="001F6603" w:rsidTr="006D3EE1">
        <w:trPr>
          <w:trHeight w:val="204"/>
        </w:trPr>
        <w:tc>
          <w:tcPr>
            <w:tcW w:w="408" w:type="pct"/>
            <w:gridSpan w:val="2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Minimum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3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23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3</w:t>
            </w:r>
          </w:p>
        </w:tc>
      </w:tr>
      <w:tr w:rsidR="004E74F4" w:rsidRPr="001F6603" w:rsidTr="006D3EE1">
        <w:trPr>
          <w:trHeight w:val="204"/>
        </w:trPr>
        <w:tc>
          <w:tcPr>
            <w:tcW w:w="408" w:type="pct"/>
            <w:gridSpan w:val="2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Maximum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50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13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100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16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12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24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52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100</w:t>
            </w:r>
          </w:p>
        </w:tc>
        <w:tc>
          <w:tcPr>
            <w:tcW w:w="358" w:type="pct"/>
          </w:tcPr>
          <w:p w:rsidR="00D62B54" w:rsidRPr="001F6603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100</w:t>
            </w:r>
          </w:p>
        </w:tc>
      </w:tr>
    </w:tbl>
    <w:p w:rsidR="002F0710" w:rsidRPr="001F6603" w:rsidRDefault="00FA358C" w:rsidP="006D3EE1">
      <w:pPr>
        <w:pStyle w:val="ab"/>
        <w:snapToGrid w:val="0"/>
        <w:spacing w:line="360" w:lineRule="auto"/>
        <w:ind w:firstLineChars="0" w:firstLine="0"/>
        <w:jc w:val="both"/>
        <w:rPr>
          <w:rFonts w:ascii="Book Antiqua" w:hAnsi="Book Antiqua"/>
        </w:rPr>
      </w:pPr>
      <w:r w:rsidRPr="001F6603">
        <w:rPr>
          <w:rFonts w:ascii="Book Antiqua" w:hAnsi="Book Antiqua"/>
          <w:vertAlign w:val="superscript"/>
        </w:rPr>
        <w:t>1</w:t>
      </w:r>
      <w:r w:rsidR="00D62B54" w:rsidRPr="001F6603">
        <w:rPr>
          <w:rFonts w:ascii="Book Antiqua" w:hAnsi="Book Antiqua"/>
        </w:rPr>
        <w:t>Using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General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Linear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Modeling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(GLM)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Multivariate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Analysis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(MANOVA),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differences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groups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observed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Race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Age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Group,</w:t>
      </w:r>
      <w:r w:rsidR="0043237C" w:rsidRPr="001F6603">
        <w:rPr>
          <w:rFonts w:ascii="Book Antiqua" w:hAnsi="Book Antiqua"/>
        </w:rPr>
        <w:t xml:space="preserve"> </w:t>
      </w:r>
      <w:r w:rsidR="00400690" w:rsidRPr="001F6603">
        <w:rPr>
          <w:rFonts w:ascii="Book Antiqua" w:hAnsi="Book Antiqua"/>
          <w:i/>
          <w:iCs/>
        </w:rPr>
        <w:t>P</w:t>
      </w:r>
      <w:r w:rsidR="00400690" w:rsidRPr="001F6603">
        <w:rPr>
          <w:rFonts w:ascii="Book Antiqua" w:hAnsi="Book Antiqua"/>
        </w:rPr>
        <w:t xml:space="preserve"> &lt;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0.05</w:t>
      </w:r>
      <w:r w:rsidRPr="001F6603">
        <w:rPr>
          <w:rFonts w:ascii="Book Antiqua" w:hAnsi="Book Antiqua" w:hint="eastAsia"/>
        </w:rPr>
        <w:t>;</w:t>
      </w:r>
      <w:r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  <w:vertAlign w:val="superscript"/>
        </w:rPr>
        <w:t>2</w:t>
      </w:r>
      <w:r w:rsidR="00D62B54" w:rsidRPr="001F6603">
        <w:rPr>
          <w:rFonts w:ascii="Book Antiqua" w:hAnsi="Book Antiqua"/>
        </w:rPr>
        <w:t>Using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GLM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MANOVA,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differences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groups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observed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within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Age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Group,</w:t>
      </w:r>
      <w:r w:rsidR="0043237C" w:rsidRPr="001F6603">
        <w:rPr>
          <w:rFonts w:ascii="Book Antiqua" w:hAnsi="Book Antiqua"/>
        </w:rPr>
        <w:t xml:space="preserve"> </w:t>
      </w:r>
      <w:r w:rsidR="00400690" w:rsidRPr="001F6603">
        <w:rPr>
          <w:rFonts w:ascii="Book Antiqua" w:hAnsi="Book Antiqua"/>
          <w:i/>
          <w:iCs/>
        </w:rPr>
        <w:t>P</w:t>
      </w:r>
      <w:r w:rsidR="00400690" w:rsidRPr="001F6603">
        <w:rPr>
          <w:rFonts w:ascii="Book Antiqua" w:hAnsi="Book Antiqua"/>
        </w:rPr>
        <w:t xml:space="preserve"> &lt;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0.05</w:t>
      </w:r>
      <w:r w:rsidRPr="001F6603">
        <w:rPr>
          <w:rFonts w:ascii="Book Antiqua" w:hAnsi="Book Antiqua" w:hint="eastAsia"/>
        </w:rPr>
        <w:t>;</w:t>
      </w:r>
      <w:r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  <w:vertAlign w:val="superscript"/>
        </w:rPr>
        <w:t>3</w:t>
      </w:r>
      <w:r w:rsidR="00D62B54" w:rsidRPr="001F6603">
        <w:rPr>
          <w:rFonts w:ascii="Book Antiqua" w:hAnsi="Book Antiqua"/>
        </w:rPr>
        <w:t>Using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GLM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MANOVA,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differences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groups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were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observed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Age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Group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(</w:t>
      </w:r>
      <w:r w:rsidR="00400690" w:rsidRPr="001F6603">
        <w:rPr>
          <w:rFonts w:ascii="Book Antiqua" w:hAnsi="Book Antiqua"/>
          <w:i/>
          <w:iCs/>
        </w:rPr>
        <w:t>P</w:t>
      </w:r>
      <w:r w:rsidR="00400690" w:rsidRPr="001F6603">
        <w:rPr>
          <w:rFonts w:ascii="Book Antiqua" w:hAnsi="Book Antiqua"/>
        </w:rPr>
        <w:t xml:space="preserve"> &lt;</w:t>
      </w:r>
      <w:r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0.05),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Race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(</w:t>
      </w:r>
      <w:r w:rsidR="00400690" w:rsidRPr="001F6603">
        <w:rPr>
          <w:rFonts w:ascii="Book Antiqua" w:hAnsi="Book Antiqua"/>
          <w:i/>
          <w:iCs/>
        </w:rPr>
        <w:t>P</w:t>
      </w:r>
      <w:r w:rsidR="00400690" w:rsidRPr="001F6603">
        <w:rPr>
          <w:rFonts w:ascii="Book Antiqua" w:hAnsi="Book Antiqua"/>
        </w:rPr>
        <w:t xml:space="preserve"> &lt;</w:t>
      </w:r>
      <w:r w:rsidR="00D62B54" w:rsidRPr="001F6603">
        <w:rPr>
          <w:rFonts w:ascii="Book Antiqua" w:hAnsi="Book Antiqua"/>
        </w:rPr>
        <w:t>&lt;</w:t>
      </w:r>
      <w:r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0.01),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Relationship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Status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(</w:t>
      </w:r>
      <w:r w:rsidR="00400690" w:rsidRPr="001F6603">
        <w:rPr>
          <w:rFonts w:ascii="Book Antiqua" w:hAnsi="Book Antiqua"/>
          <w:i/>
          <w:iCs/>
        </w:rPr>
        <w:t>P</w:t>
      </w:r>
      <w:r w:rsidR="00400690" w:rsidRPr="001F6603">
        <w:rPr>
          <w:rFonts w:ascii="Book Antiqua" w:hAnsi="Book Antiqua"/>
        </w:rPr>
        <w:t xml:space="preserve"> &lt;</w:t>
      </w:r>
      <w:r w:rsidR="00D62B54" w:rsidRPr="001F6603">
        <w:rPr>
          <w:rFonts w:ascii="Book Antiqua" w:hAnsi="Book Antiqua"/>
        </w:rPr>
        <w:t>&lt;</w:t>
      </w:r>
      <w:r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0.01)</w:t>
      </w:r>
      <w:r w:rsidRPr="001F6603">
        <w:rPr>
          <w:rFonts w:ascii="Book Antiqua" w:hAnsi="Book Antiqua" w:hint="eastAsia"/>
        </w:rPr>
        <w:t>;</w:t>
      </w:r>
      <w:r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  <w:vertAlign w:val="superscript"/>
        </w:rPr>
        <w:t>4</w:t>
      </w:r>
      <w:r w:rsidR="00D62B54" w:rsidRPr="001F6603">
        <w:rPr>
          <w:rFonts w:ascii="Book Antiqua" w:hAnsi="Book Antiqua"/>
        </w:rPr>
        <w:t>Using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GLM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MANOVA,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differences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between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groups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was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observed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Gender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(</w:t>
      </w:r>
      <w:r w:rsidR="00400690" w:rsidRPr="001F6603">
        <w:rPr>
          <w:rFonts w:ascii="Book Antiqua" w:hAnsi="Book Antiqua"/>
          <w:i/>
          <w:iCs/>
        </w:rPr>
        <w:t>P</w:t>
      </w:r>
      <w:r w:rsidR="00400690" w:rsidRPr="001F6603">
        <w:rPr>
          <w:rFonts w:ascii="Book Antiqua" w:hAnsi="Book Antiqua"/>
        </w:rPr>
        <w:t xml:space="preserve"> &lt;</w:t>
      </w:r>
      <w:r w:rsidR="00D62B54" w:rsidRPr="001F6603">
        <w:rPr>
          <w:rFonts w:ascii="Book Antiqua" w:hAnsi="Book Antiqua"/>
        </w:rPr>
        <w:t>0.05)</w:t>
      </w:r>
      <w:r w:rsidRPr="001F6603">
        <w:rPr>
          <w:rFonts w:ascii="Book Antiqua" w:hAnsi="Book Antiqua" w:hint="eastAsia"/>
        </w:rPr>
        <w:t>.</w:t>
      </w:r>
      <w:r w:rsidRPr="001F6603">
        <w:rPr>
          <w:rFonts w:ascii="Book Antiqua" w:hAnsi="Book Antiqua"/>
        </w:rPr>
        <w:t xml:space="preserve"> </w:t>
      </w:r>
      <w:proofErr w:type="spellStart"/>
      <w:proofErr w:type="gramStart"/>
      <w:r w:rsidRPr="001F6603">
        <w:rPr>
          <w:rFonts w:ascii="Book Antiqua" w:hAnsi="Book Antiqua"/>
          <w:vertAlign w:val="superscript"/>
        </w:rPr>
        <w:t>a</w:t>
      </w:r>
      <w:r w:rsidR="00D62B54" w:rsidRPr="001F6603">
        <w:rPr>
          <w:rFonts w:ascii="Book Antiqua" w:hAnsi="Book Antiqua"/>
        </w:rPr>
        <w:t>Multiple</w:t>
      </w:r>
      <w:proofErr w:type="spellEnd"/>
      <w:proofErr w:type="gramEnd"/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modes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exist.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smallest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value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="00D62B54" w:rsidRPr="001F6603">
        <w:rPr>
          <w:rFonts w:ascii="Book Antiqua" w:hAnsi="Book Antiqua"/>
        </w:rPr>
        <w:t>shown.</w:t>
      </w:r>
      <w:r w:rsidR="002F0710" w:rsidRPr="001F6603">
        <w:rPr>
          <w:rFonts w:ascii="Book Antiqua" w:hAnsi="Book Antiqua"/>
          <w:b/>
          <w:bCs/>
        </w:rPr>
        <w:br w:type="page"/>
      </w:r>
    </w:p>
    <w:p w:rsidR="000D2286" w:rsidRPr="001F6603" w:rsidRDefault="000D2286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  <w:b/>
          <w:bCs/>
        </w:rPr>
        <w:lastRenderedPageBreak/>
        <w:t>Table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3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Outcome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E4199B" w:rsidRPr="001F6603">
        <w:rPr>
          <w:rFonts w:ascii="Book Antiqua" w:hAnsi="Book Antiqua"/>
          <w:b/>
          <w:bCs/>
        </w:rPr>
        <w:t xml:space="preserve">measures </w:t>
      </w:r>
      <w:r w:rsidRPr="001F6603">
        <w:rPr>
          <w:rFonts w:ascii="Book Antiqua" w:hAnsi="Book Antiqua"/>
          <w:b/>
          <w:bCs/>
        </w:rPr>
        <w:t>for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3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E4199B" w:rsidRPr="001F6603">
        <w:rPr>
          <w:rFonts w:ascii="Book Antiqua" w:hAnsi="Book Antiqua"/>
          <w:b/>
          <w:bCs/>
        </w:rPr>
        <w:t>time points pre-op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(T1),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E4199B" w:rsidRPr="001F6603">
        <w:rPr>
          <w:rFonts w:ascii="Book Antiqua" w:hAnsi="Book Antiqua"/>
          <w:b/>
          <w:bCs/>
        </w:rPr>
        <w:t xml:space="preserve">post-operative </w:t>
      </w:r>
      <w:r w:rsidRPr="001F6603">
        <w:rPr>
          <w:rFonts w:ascii="Book Antiqua" w:hAnsi="Book Antiqua"/>
          <w:b/>
          <w:bCs/>
        </w:rPr>
        <w:t>(4-8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EC2333" w:rsidRPr="001F6603">
        <w:rPr>
          <w:rFonts w:ascii="Book Antiqua" w:hAnsi="Book Antiqua"/>
          <w:b/>
          <w:bCs/>
        </w:rPr>
        <w:t>wk</w:t>
      </w:r>
      <w:r w:rsidRPr="001F6603">
        <w:rPr>
          <w:rFonts w:ascii="Book Antiqua" w:hAnsi="Book Antiqua"/>
          <w:b/>
          <w:bCs/>
        </w:rPr>
        <w:t>)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(T2),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and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E4199B" w:rsidRPr="001F6603">
        <w:rPr>
          <w:rFonts w:ascii="Book Antiqua" w:hAnsi="Book Antiqua"/>
          <w:b/>
          <w:bCs/>
        </w:rPr>
        <w:t>post-operative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(9-14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="00EC2333" w:rsidRPr="001F6603">
        <w:rPr>
          <w:rFonts w:ascii="Book Antiqua" w:hAnsi="Book Antiqua"/>
          <w:b/>
          <w:bCs/>
        </w:rPr>
        <w:t>m</w:t>
      </w:r>
      <w:r w:rsidRPr="001F6603">
        <w:rPr>
          <w:rFonts w:ascii="Book Antiqua" w:hAnsi="Book Antiqua"/>
          <w:b/>
          <w:bCs/>
        </w:rPr>
        <w:t>o)</w:t>
      </w:r>
      <w:r w:rsidR="0043237C" w:rsidRPr="001F6603">
        <w:rPr>
          <w:rFonts w:ascii="Book Antiqua" w:hAnsi="Book Antiqua"/>
          <w:b/>
          <w:bCs/>
        </w:rPr>
        <w:t xml:space="preserve"> </w:t>
      </w:r>
      <w:r w:rsidRPr="001F6603">
        <w:rPr>
          <w:rFonts w:ascii="Book Antiqua" w:hAnsi="Book Antiqua"/>
          <w:b/>
          <w:bCs/>
        </w:rPr>
        <w:t>(T3)</w:t>
      </w:r>
    </w:p>
    <w:tbl>
      <w:tblPr>
        <w:tblW w:w="14935" w:type="dxa"/>
        <w:tblInd w:w="-994" w:type="dxa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0"/>
        <w:gridCol w:w="1320"/>
        <w:gridCol w:w="440"/>
        <w:gridCol w:w="440"/>
        <w:gridCol w:w="440"/>
        <w:gridCol w:w="560"/>
        <w:gridCol w:w="560"/>
        <w:gridCol w:w="560"/>
        <w:gridCol w:w="680"/>
        <w:gridCol w:w="560"/>
        <w:gridCol w:w="440"/>
        <w:gridCol w:w="555"/>
        <w:gridCol w:w="550"/>
        <w:gridCol w:w="550"/>
        <w:gridCol w:w="550"/>
        <w:gridCol w:w="6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199B" w:rsidRPr="001F6603" w:rsidTr="002D67E8">
        <w:trPr>
          <w:trHeight w:val="206"/>
        </w:trPr>
        <w:tc>
          <w:tcPr>
            <w:tcW w:w="170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VAS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EQ5D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EQ5D-VAS</w:t>
            </w:r>
          </w:p>
        </w:tc>
        <w:tc>
          <w:tcPr>
            <w:tcW w:w="16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KOOS-pain</w:t>
            </w:r>
          </w:p>
        </w:tc>
        <w:tc>
          <w:tcPr>
            <w:tcW w:w="179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KOOS-symptom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KOOS-ADL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KOOS-sport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KOOS-QOL</w:t>
            </w:r>
          </w:p>
        </w:tc>
      </w:tr>
      <w:tr w:rsidR="00E4199B" w:rsidRPr="001F6603" w:rsidTr="002D67E8">
        <w:trPr>
          <w:trHeight w:val="195"/>
        </w:trPr>
        <w:tc>
          <w:tcPr>
            <w:tcW w:w="1700" w:type="dxa"/>
            <w:gridSpan w:val="2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T1</w:t>
            </w:r>
          </w:p>
        </w:tc>
        <w:tc>
          <w:tcPr>
            <w:tcW w:w="4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T2</w:t>
            </w:r>
          </w:p>
        </w:tc>
        <w:tc>
          <w:tcPr>
            <w:tcW w:w="4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T3</w:t>
            </w:r>
          </w:p>
        </w:tc>
        <w:tc>
          <w:tcPr>
            <w:tcW w:w="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T1</w:t>
            </w:r>
          </w:p>
        </w:tc>
        <w:tc>
          <w:tcPr>
            <w:tcW w:w="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T2</w:t>
            </w:r>
          </w:p>
        </w:tc>
        <w:tc>
          <w:tcPr>
            <w:tcW w:w="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T3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T1</w:t>
            </w:r>
          </w:p>
        </w:tc>
        <w:tc>
          <w:tcPr>
            <w:tcW w:w="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T2</w:t>
            </w:r>
          </w:p>
        </w:tc>
        <w:tc>
          <w:tcPr>
            <w:tcW w:w="4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T3</w:t>
            </w:r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T1</w:t>
            </w:r>
          </w:p>
        </w:tc>
        <w:tc>
          <w:tcPr>
            <w:tcW w:w="550" w:type="dxa"/>
            <w:tcBorders>
              <w:top w:val="single" w:sz="8" w:space="0" w:color="000000"/>
              <w:bottom w:val="single" w:sz="8" w:space="0" w:color="000000"/>
            </w:tcBorders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T2</w:t>
            </w:r>
          </w:p>
        </w:tc>
        <w:tc>
          <w:tcPr>
            <w:tcW w:w="550" w:type="dxa"/>
            <w:tcBorders>
              <w:top w:val="single" w:sz="8" w:space="0" w:color="000000"/>
              <w:bottom w:val="single" w:sz="8" w:space="0" w:color="000000"/>
            </w:tcBorders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T3</w:t>
            </w:r>
          </w:p>
        </w:tc>
        <w:tc>
          <w:tcPr>
            <w:tcW w:w="550" w:type="dxa"/>
            <w:tcBorders>
              <w:top w:val="single" w:sz="8" w:space="0" w:color="000000"/>
              <w:bottom w:val="single" w:sz="8" w:space="0" w:color="000000"/>
            </w:tcBorders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T1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T2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T3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T2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T3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T2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T3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T2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E4199B" w:rsidRPr="001F6603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6603">
              <w:rPr>
                <w:rFonts w:ascii="Book Antiqua" w:hAnsi="Book Antiqua"/>
                <w:b/>
                <w:bCs/>
              </w:rPr>
              <w:t>T3</w:t>
            </w:r>
          </w:p>
        </w:tc>
      </w:tr>
      <w:tr w:rsidR="0043237C" w:rsidRPr="001F6603" w:rsidTr="002D67E8">
        <w:trPr>
          <w:trHeight w:val="195"/>
        </w:trPr>
        <w:tc>
          <w:tcPr>
            <w:tcW w:w="1700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93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1F6603">
              <w:rPr>
                <w:rFonts w:ascii="Book Antiqua" w:hAnsi="Book Antiqua"/>
                <w:i/>
                <w:iCs/>
              </w:rPr>
              <w:t>n</w:t>
            </w:r>
          </w:p>
        </w:tc>
        <w:tc>
          <w:tcPr>
            <w:tcW w:w="440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133</w:t>
            </w:r>
          </w:p>
        </w:tc>
        <w:tc>
          <w:tcPr>
            <w:tcW w:w="440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103</w:t>
            </w:r>
          </w:p>
        </w:tc>
        <w:tc>
          <w:tcPr>
            <w:tcW w:w="440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52</w:t>
            </w: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129</w:t>
            </w: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103</w:t>
            </w: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54</w:t>
            </w:r>
          </w:p>
        </w:tc>
        <w:tc>
          <w:tcPr>
            <w:tcW w:w="680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131</w:t>
            </w: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105</w:t>
            </w:r>
          </w:p>
        </w:tc>
        <w:tc>
          <w:tcPr>
            <w:tcW w:w="440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54</w:t>
            </w:r>
          </w:p>
        </w:tc>
        <w:tc>
          <w:tcPr>
            <w:tcW w:w="555" w:type="dxa"/>
            <w:tcBorders>
              <w:top w:val="single" w:sz="8" w:space="0" w:color="000000"/>
            </w:tcBorders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130</w:t>
            </w:r>
          </w:p>
        </w:tc>
        <w:tc>
          <w:tcPr>
            <w:tcW w:w="550" w:type="dxa"/>
            <w:tcBorders>
              <w:top w:val="single" w:sz="8" w:space="0" w:color="000000"/>
            </w:tcBorders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104</w:t>
            </w:r>
          </w:p>
        </w:tc>
        <w:tc>
          <w:tcPr>
            <w:tcW w:w="550" w:type="dxa"/>
            <w:tcBorders>
              <w:top w:val="single" w:sz="8" w:space="0" w:color="000000"/>
            </w:tcBorders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54</w:t>
            </w:r>
          </w:p>
        </w:tc>
        <w:tc>
          <w:tcPr>
            <w:tcW w:w="550" w:type="dxa"/>
            <w:tcBorders>
              <w:top w:val="single" w:sz="8" w:space="0" w:color="000000"/>
            </w:tcBorders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130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105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56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129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105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130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103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55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130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104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55</w:t>
            </w:r>
          </w:p>
        </w:tc>
      </w:tr>
      <w:tr w:rsidR="0043237C" w:rsidRPr="001F6603" w:rsidTr="002D67E8">
        <w:trPr>
          <w:trHeight w:val="195"/>
        </w:trPr>
        <w:tc>
          <w:tcPr>
            <w:tcW w:w="1700" w:type="dxa"/>
            <w:gridSpan w:val="2"/>
            <w:shd w:val="clear" w:color="auto" w:fill="auto"/>
            <w:tcMar>
              <w:top w:w="10" w:type="dxa"/>
              <w:left w:w="93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Mean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7.64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4.81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4.02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0.59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0.67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0.74</w:t>
            </w:r>
          </w:p>
        </w:tc>
        <w:tc>
          <w:tcPr>
            <w:tcW w:w="6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69.31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75.52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76</w:t>
            </w:r>
          </w:p>
        </w:tc>
        <w:tc>
          <w:tcPr>
            <w:tcW w:w="555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37.30</w:t>
            </w:r>
          </w:p>
        </w:tc>
        <w:tc>
          <w:tcPr>
            <w:tcW w:w="55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56.00</w:t>
            </w:r>
          </w:p>
        </w:tc>
        <w:tc>
          <w:tcPr>
            <w:tcW w:w="55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70.87</w:t>
            </w:r>
          </w:p>
        </w:tc>
        <w:tc>
          <w:tcPr>
            <w:tcW w:w="55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40.64</w:t>
            </w:r>
          </w:p>
        </w:tc>
        <w:tc>
          <w:tcPr>
            <w:tcW w:w="68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55.19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61.54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42.22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64.42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70.70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38.61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55.16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62.29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17.17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34.31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47.29</w:t>
            </w:r>
          </w:p>
        </w:tc>
      </w:tr>
      <w:tr w:rsidR="0043237C" w:rsidRPr="001F6603" w:rsidTr="002D67E8">
        <w:trPr>
          <w:trHeight w:val="195"/>
        </w:trPr>
        <w:tc>
          <w:tcPr>
            <w:tcW w:w="1700" w:type="dxa"/>
            <w:gridSpan w:val="2"/>
            <w:shd w:val="clear" w:color="auto" w:fill="auto"/>
            <w:tcMar>
              <w:top w:w="10" w:type="dxa"/>
              <w:left w:w="93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SD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1.99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2.61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3.44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0.193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0.204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0.229</w:t>
            </w:r>
          </w:p>
        </w:tc>
        <w:tc>
          <w:tcPr>
            <w:tcW w:w="6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20.435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17.04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17.1</w:t>
            </w:r>
          </w:p>
        </w:tc>
        <w:tc>
          <w:tcPr>
            <w:tcW w:w="555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18.53</w:t>
            </w:r>
          </w:p>
        </w:tc>
        <w:tc>
          <w:tcPr>
            <w:tcW w:w="55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19.51</w:t>
            </w:r>
          </w:p>
        </w:tc>
        <w:tc>
          <w:tcPr>
            <w:tcW w:w="55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25.38</w:t>
            </w:r>
          </w:p>
        </w:tc>
        <w:tc>
          <w:tcPr>
            <w:tcW w:w="55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15.71</w:t>
            </w:r>
          </w:p>
        </w:tc>
        <w:tc>
          <w:tcPr>
            <w:tcW w:w="68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14.59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18.22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20.97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21.29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26.31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37.90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41.11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37.32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18.99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19.95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30.93</w:t>
            </w:r>
          </w:p>
        </w:tc>
      </w:tr>
      <w:tr w:rsidR="0043237C" w:rsidRPr="001F6603" w:rsidTr="002D67E8">
        <w:trPr>
          <w:trHeight w:val="372"/>
        </w:trPr>
        <w:tc>
          <w:tcPr>
            <w:tcW w:w="1700" w:type="dxa"/>
            <w:gridSpan w:val="2"/>
            <w:shd w:val="clear" w:color="auto" w:fill="auto"/>
            <w:tcMar>
              <w:top w:w="10" w:type="dxa"/>
              <w:left w:w="93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Mean </w:t>
            </w:r>
            <w:r w:rsidR="00E4199B" w:rsidRPr="001F6603">
              <w:rPr>
                <w:rFonts w:ascii="Book Antiqua" w:hAnsi="Book Antiqua"/>
              </w:rPr>
              <w:t>rank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2.71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1.93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1.36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1.59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1.91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2.5</w:t>
            </w:r>
          </w:p>
        </w:tc>
        <w:tc>
          <w:tcPr>
            <w:tcW w:w="6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1.71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1.96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2.33</w:t>
            </w:r>
          </w:p>
        </w:tc>
        <w:tc>
          <w:tcPr>
            <w:tcW w:w="555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1.3</w:t>
            </w:r>
          </w:p>
        </w:tc>
        <w:tc>
          <w:tcPr>
            <w:tcW w:w="55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1.91</w:t>
            </w:r>
          </w:p>
        </w:tc>
        <w:tc>
          <w:tcPr>
            <w:tcW w:w="55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2.79</w:t>
            </w:r>
          </w:p>
        </w:tc>
        <w:tc>
          <w:tcPr>
            <w:tcW w:w="55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1.27</w:t>
            </w:r>
          </w:p>
        </w:tc>
        <w:tc>
          <w:tcPr>
            <w:tcW w:w="68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2.14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2.59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1.32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2.04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2.64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1.51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2.49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1.34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2.02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2.64</w:t>
            </w:r>
          </w:p>
        </w:tc>
      </w:tr>
      <w:tr w:rsidR="0043237C" w:rsidRPr="001F6603" w:rsidTr="002D67E8">
        <w:trPr>
          <w:trHeight w:val="226"/>
        </w:trPr>
        <w:tc>
          <w:tcPr>
            <w:tcW w:w="380" w:type="dxa"/>
            <w:vMerge w:val="restart"/>
            <w:shd w:val="clear" w:color="auto" w:fill="auto"/>
            <w:tcMar>
              <w:top w:w="10" w:type="dxa"/>
              <w:left w:w="93" w:type="dxa"/>
              <w:bottom w:w="0" w:type="dxa"/>
              <w:right w:w="10" w:type="dxa"/>
            </w:tcMar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1F6603">
              <w:rPr>
                <w:rFonts w:ascii="Book Antiqua" w:hAnsi="Book Antiqua"/>
                <w:i/>
                <w:iCs/>
              </w:rPr>
              <w:t>P</w:t>
            </w:r>
          </w:p>
        </w:tc>
        <w:tc>
          <w:tcPr>
            <w:tcW w:w="132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1F6603">
              <w:rPr>
                <w:rFonts w:ascii="Book Antiqua" w:hAnsi="Book Antiqua"/>
              </w:rPr>
              <w:t xml:space="preserve">T2 </w:t>
            </w:r>
            <w:r w:rsidR="00EC2333" w:rsidRPr="001F6603">
              <w:rPr>
                <w:rFonts w:ascii="Book Antiqua" w:hAnsi="Book Antiqua"/>
                <w:i/>
                <w:iCs/>
              </w:rPr>
              <w:t>vs</w:t>
            </w:r>
            <w:r w:rsidRPr="001F6603">
              <w:rPr>
                <w:rFonts w:ascii="Book Antiqua" w:hAnsi="Book Antiqua"/>
              </w:rPr>
              <w:t xml:space="preserve"> T1</w:t>
            </w:r>
            <w:r w:rsidR="00E4199B" w:rsidRPr="001F6603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0.00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0.38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0.66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5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0.01</w:t>
            </w:r>
          </w:p>
        </w:tc>
        <w:tc>
          <w:tcPr>
            <w:tcW w:w="55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0.00</w:t>
            </w:r>
          </w:p>
        </w:tc>
        <w:tc>
          <w:tcPr>
            <w:tcW w:w="68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0.00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0.05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0.00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</w:tr>
      <w:tr w:rsidR="0043237C" w:rsidRPr="001F6603" w:rsidTr="002D67E8">
        <w:trPr>
          <w:trHeight w:val="226"/>
        </w:trPr>
        <w:tc>
          <w:tcPr>
            <w:tcW w:w="380" w:type="dxa"/>
            <w:vMerge/>
            <w:shd w:val="clear" w:color="auto" w:fill="auto"/>
            <w:tcMar>
              <w:top w:w="10" w:type="dxa"/>
              <w:left w:w="93" w:type="dxa"/>
              <w:bottom w:w="0" w:type="dxa"/>
              <w:right w:w="10" w:type="dxa"/>
            </w:tcMar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2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1F6603">
              <w:rPr>
                <w:rFonts w:ascii="Book Antiqua" w:hAnsi="Book Antiqua"/>
              </w:rPr>
              <w:t xml:space="preserve">T3 </w:t>
            </w:r>
            <w:r w:rsidR="00EC2333" w:rsidRPr="001F6603">
              <w:rPr>
                <w:rFonts w:ascii="Book Antiqua" w:hAnsi="Book Antiqua"/>
                <w:i/>
                <w:iCs/>
              </w:rPr>
              <w:t>vs</w:t>
            </w:r>
            <w:r w:rsidRPr="001F6603">
              <w:rPr>
                <w:rFonts w:ascii="Book Antiqua" w:hAnsi="Book Antiqua"/>
              </w:rPr>
              <w:t xml:space="preserve"> T1</w:t>
            </w:r>
            <w:r w:rsidR="00E4199B" w:rsidRPr="001F6603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0.00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0.00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0.01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5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0.00</w:t>
            </w:r>
          </w:p>
        </w:tc>
        <w:tc>
          <w:tcPr>
            <w:tcW w:w="55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0.00</w:t>
            </w:r>
          </w:p>
        </w:tc>
        <w:tc>
          <w:tcPr>
            <w:tcW w:w="68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0.00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0.00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0.00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</w:tr>
      <w:tr w:rsidR="0043237C" w:rsidRPr="001F6603" w:rsidTr="002D67E8">
        <w:trPr>
          <w:trHeight w:val="236"/>
        </w:trPr>
        <w:tc>
          <w:tcPr>
            <w:tcW w:w="380" w:type="dxa"/>
            <w:vMerge/>
            <w:shd w:val="clear" w:color="auto" w:fill="auto"/>
            <w:tcMar>
              <w:top w:w="10" w:type="dxa"/>
              <w:left w:w="93" w:type="dxa"/>
              <w:bottom w:w="0" w:type="dxa"/>
              <w:right w:w="10" w:type="dxa"/>
            </w:tcMar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2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1F6603">
              <w:rPr>
                <w:rFonts w:ascii="Book Antiqua" w:hAnsi="Book Antiqua"/>
              </w:rPr>
              <w:t xml:space="preserve">T3 </w:t>
            </w:r>
            <w:r w:rsidR="00EC2333" w:rsidRPr="001F6603">
              <w:rPr>
                <w:rFonts w:ascii="Book Antiqua" w:hAnsi="Book Antiqua"/>
                <w:i/>
                <w:iCs/>
              </w:rPr>
              <w:t>vs</w:t>
            </w:r>
            <w:r w:rsidRPr="001F6603">
              <w:rPr>
                <w:rFonts w:ascii="Book Antiqua" w:hAnsi="Book Antiqua"/>
              </w:rPr>
              <w:t xml:space="preserve"> T2</w:t>
            </w:r>
            <w:r w:rsidR="00E4199B" w:rsidRPr="001F6603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0.02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0.02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0.20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5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0.00</w:t>
            </w:r>
          </w:p>
        </w:tc>
        <w:tc>
          <w:tcPr>
            <w:tcW w:w="55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0.07</w:t>
            </w:r>
          </w:p>
        </w:tc>
        <w:tc>
          <w:tcPr>
            <w:tcW w:w="68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0.01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0.05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0.01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</w:tr>
      <w:tr w:rsidR="0043237C" w:rsidRPr="001F6603" w:rsidTr="002D67E8">
        <w:trPr>
          <w:trHeight w:val="247"/>
        </w:trPr>
        <w:tc>
          <w:tcPr>
            <w:tcW w:w="380" w:type="dxa"/>
            <w:vMerge/>
            <w:shd w:val="clear" w:color="auto" w:fill="auto"/>
            <w:tcMar>
              <w:top w:w="10" w:type="dxa"/>
              <w:left w:w="93" w:type="dxa"/>
              <w:bottom w:w="0" w:type="dxa"/>
              <w:right w:w="10" w:type="dxa"/>
            </w:tcMar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2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Overall</w:t>
            </w:r>
            <w:r w:rsidR="00E4199B" w:rsidRPr="001F6603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0.05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0.05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0.05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5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0.05</w:t>
            </w:r>
          </w:p>
        </w:tc>
        <w:tc>
          <w:tcPr>
            <w:tcW w:w="55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0.05</w:t>
            </w:r>
          </w:p>
        </w:tc>
        <w:tc>
          <w:tcPr>
            <w:tcW w:w="680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0.05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0.05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>0.05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:rsidR="0043237C" w:rsidRPr="001F6603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F6603">
              <w:rPr>
                <w:rFonts w:ascii="Book Antiqua" w:hAnsi="Book Antiqua"/>
              </w:rPr>
              <w:t xml:space="preserve"> </w:t>
            </w:r>
          </w:p>
        </w:tc>
      </w:tr>
    </w:tbl>
    <w:p w:rsidR="000D2286" w:rsidRPr="004A4CEB" w:rsidRDefault="00E4199B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1F6603">
        <w:rPr>
          <w:rFonts w:ascii="Book Antiqua" w:hAnsi="Book Antiqua"/>
          <w:vertAlign w:val="superscript"/>
        </w:rPr>
        <w:t>1</w:t>
      </w:r>
      <w:r w:rsidR="000D2286" w:rsidRPr="001F6603">
        <w:rPr>
          <w:rFonts w:ascii="Book Antiqua" w:hAnsi="Book Antiqua"/>
        </w:rPr>
        <w:t>Each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row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tests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null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hypothesis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that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 xml:space="preserve">sample </w:t>
      </w:r>
      <w:r w:rsidR="000D2286" w:rsidRPr="001F6603">
        <w:rPr>
          <w:rFonts w:ascii="Book Antiqua" w:hAnsi="Book Antiqua"/>
        </w:rPr>
        <w:t>1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and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 xml:space="preserve">sample </w:t>
      </w:r>
      <w:r w:rsidR="000D2286" w:rsidRPr="001F6603">
        <w:rPr>
          <w:rFonts w:ascii="Book Antiqua" w:hAnsi="Book Antiqua"/>
        </w:rPr>
        <w:t>2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distributions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are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same.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Asymptotic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significances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(2-sided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tests)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are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displayed.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significance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level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is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0.05.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Significance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values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have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been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adjusted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by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the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Bonferroni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correction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for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multiple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tests</w:t>
      </w:r>
      <w:r w:rsidRPr="001F6603">
        <w:rPr>
          <w:rFonts w:ascii="Book Antiqua" w:hAnsi="Book Antiqua"/>
        </w:rPr>
        <w:t xml:space="preserve">; </w:t>
      </w:r>
      <w:r w:rsidRPr="001F6603">
        <w:rPr>
          <w:rFonts w:ascii="Book Antiqua" w:hAnsi="Book Antiqua"/>
          <w:vertAlign w:val="superscript"/>
        </w:rPr>
        <w:t>2</w:t>
      </w:r>
      <w:r w:rsidR="000D2286" w:rsidRPr="001F6603">
        <w:rPr>
          <w:rFonts w:ascii="Book Antiqua" w:hAnsi="Book Antiqua"/>
        </w:rPr>
        <w:t>Related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samples</w:t>
      </w:r>
      <w:r w:rsidR="000D2286" w:rsidRPr="001F6603">
        <w:rPr>
          <w:rFonts w:ascii="Book Antiqua" w:hAnsi="Book Antiqua"/>
        </w:rPr>
        <w:t>,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Friedman’s</w:t>
      </w:r>
      <w:r w:rsidR="0043237C" w:rsidRPr="001F6603">
        <w:rPr>
          <w:rFonts w:ascii="Book Antiqua" w:hAnsi="Book Antiqua"/>
        </w:rPr>
        <w:t xml:space="preserve"> </w:t>
      </w:r>
      <w:r w:rsidRPr="001F6603">
        <w:rPr>
          <w:rFonts w:ascii="Book Antiqua" w:hAnsi="Book Antiqua"/>
        </w:rPr>
        <w:t>two</w:t>
      </w:r>
      <w:r w:rsidR="000D2286" w:rsidRPr="001F6603">
        <w:rPr>
          <w:rFonts w:ascii="Book Antiqua" w:hAnsi="Book Antiqua"/>
        </w:rPr>
        <w:t>-</w:t>
      </w:r>
      <w:r w:rsidRPr="001F6603">
        <w:rPr>
          <w:rFonts w:ascii="Book Antiqua" w:hAnsi="Book Antiqua"/>
        </w:rPr>
        <w:t xml:space="preserve">way analysis of variance </w:t>
      </w:r>
      <w:r w:rsidR="000D2286" w:rsidRPr="001F6603">
        <w:rPr>
          <w:rFonts w:ascii="Book Antiqua" w:hAnsi="Book Antiqua"/>
        </w:rPr>
        <w:t>by</w:t>
      </w:r>
      <w:r w:rsidR="0043237C" w:rsidRPr="001F6603">
        <w:rPr>
          <w:rFonts w:ascii="Book Antiqua" w:hAnsi="Book Antiqua"/>
        </w:rPr>
        <w:t xml:space="preserve"> </w:t>
      </w:r>
      <w:r w:rsidR="000D2286" w:rsidRPr="001F6603">
        <w:rPr>
          <w:rFonts w:ascii="Book Antiqua" w:hAnsi="Book Antiqua"/>
        </w:rPr>
        <w:t>Ranks</w:t>
      </w:r>
      <w:r w:rsidRPr="001F6603">
        <w:rPr>
          <w:rFonts w:ascii="Book Antiqua" w:hAnsi="Book Antiqua"/>
        </w:rPr>
        <w:t>.</w:t>
      </w:r>
      <w:bookmarkStart w:id="63" w:name="_GoBack"/>
      <w:bookmarkEnd w:id="63"/>
    </w:p>
    <w:sectPr w:rsidR="000D2286" w:rsidRPr="004A4CEB" w:rsidSect="000D2286">
      <w:pgSz w:w="15840" w:h="12240" w:orient="landscape"/>
      <w:pgMar w:top="1800" w:right="810" w:bottom="180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68" w:rsidRDefault="00925368" w:rsidP="00F55A99">
      <w:r>
        <w:separator/>
      </w:r>
    </w:p>
  </w:endnote>
  <w:endnote w:type="continuationSeparator" w:id="0">
    <w:p w:rsidR="00925368" w:rsidRDefault="00925368" w:rsidP="00F5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68" w:rsidRDefault="00925368" w:rsidP="00F55A99">
      <w:r>
        <w:separator/>
      </w:r>
    </w:p>
  </w:footnote>
  <w:footnote w:type="continuationSeparator" w:id="0">
    <w:p w:rsidR="00925368" w:rsidRDefault="00925368" w:rsidP="00F5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F8C"/>
    <w:multiLevelType w:val="multilevel"/>
    <w:tmpl w:val="2EB4F7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A0E6295"/>
    <w:multiLevelType w:val="multilevel"/>
    <w:tmpl w:val="6BB0A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CB75B04"/>
    <w:multiLevelType w:val="hybridMultilevel"/>
    <w:tmpl w:val="3E6037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14EEDEA">
      <w:start w:val="1"/>
      <w:numFmt w:val="upperLetter"/>
      <w:lvlText w:val="%2."/>
      <w:lvlJc w:val="left"/>
      <w:pPr>
        <w:ind w:left="810" w:hanging="3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1F1F96"/>
    <w:multiLevelType w:val="hybridMultilevel"/>
    <w:tmpl w:val="D264C8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B57FD0"/>
    <w:multiLevelType w:val="multilevel"/>
    <w:tmpl w:val="3AB47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4D382B"/>
    <w:multiLevelType w:val="multilevel"/>
    <w:tmpl w:val="27DEC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F5F001E"/>
    <w:multiLevelType w:val="hybridMultilevel"/>
    <w:tmpl w:val="F1003958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B151F"/>
    <w:multiLevelType w:val="multilevel"/>
    <w:tmpl w:val="DB841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7AF13E6B"/>
    <w:multiLevelType w:val="hybridMultilevel"/>
    <w:tmpl w:val="EABA6C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811"/>
    <w:rsid w:val="000005E1"/>
    <w:rsid w:val="00002413"/>
    <w:rsid w:val="00004A75"/>
    <w:rsid w:val="000743C6"/>
    <w:rsid w:val="00086491"/>
    <w:rsid w:val="000D2286"/>
    <w:rsid w:val="000D45AC"/>
    <w:rsid w:val="00100852"/>
    <w:rsid w:val="00101811"/>
    <w:rsid w:val="0011303C"/>
    <w:rsid w:val="001269FF"/>
    <w:rsid w:val="001E4A54"/>
    <w:rsid w:val="001E7DB5"/>
    <w:rsid w:val="001F6603"/>
    <w:rsid w:val="00203D94"/>
    <w:rsid w:val="002364F0"/>
    <w:rsid w:val="00257D0D"/>
    <w:rsid w:val="0028577C"/>
    <w:rsid w:val="002917D6"/>
    <w:rsid w:val="00296E17"/>
    <w:rsid w:val="002A384D"/>
    <w:rsid w:val="002B42BB"/>
    <w:rsid w:val="002C7698"/>
    <w:rsid w:val="002D67E8"/>
    <w:rsid w:val="002F0710"/>
    <w:rsid w:val="003450A6"/>
    <w:rsid w:val="00355149"/>
    <w:rsid w:val="00362BB2"/>
    <w:rsid w:val="00367ED8"/>
    <w:rsid w:val="003B4196"/>
    <w:rsid w:val="003C3090"/>
    <w:rsid w:val="003C768A"/>
    <w:rsid w:val="00400690"/>
    <w:rsid w:val="0043237C"/>
    <w:rsid w:val="00472F98"/>
    <w:rsid w:val="00496A2C"/>
    <w:rsid w:val="004A4CEB"/>
    <w:rsid w:val="004D3433"/>
    <w:rsid w:val="004E74F4"/>
    <w:rsid w:val="0052698E"/>
    <w:rsid w:val="00527DA9"/>
    <w:rsid w:val="005457ED"/>
    <w:rsid w:val="00553EAC"/>
    <w:rsid w:val="005B687E"/>
    <w:rsid w:val="005C7EB8"/>
    <w:rsid w:val="005D37EB"/>
    <w:rsid w:val="00605B1A"/>
    <w:rsid w:val="006A004B"/>
    <w:rsid w:val="006A40EC"/>
    <w:rsid w:val="006D3EE1"/>
    <w:rsid w:val="006E17B1"/>
    <w:rsid w:val="006E7B5F"/>
    <w:rsid w:val="00713795"/>
    <w:rsid w:val="0071593A"/>
    <w:rsid w:val="00730A29"/>
    <w:rsid w:val="0075586A"/>
    <w:rsid w:val="00755B90"/>
    <w:rsid w:val="007637A6"/>
    <w:rsid w:val="00791B3F"/>
    <w:rsid w:val="00796EF0"/>
    <w:rsid w:val="007C0654"/>
    <w:rsid w:val="007E1AD8"/>
    <w:rsid w:val="0081042D"/>
    <w:rsid w:val="0081060E"/>
    <w:rsid w:val="00812A4D"/>
    <w:rsid w:val="008135F5"/>
    <w:rsid w:val="00864DF0"/>
    <w:rsid w:val="00871A88"/>
    <w:rsid w:val="008A5B17"/>
    <w:rsid w:val="008C6D03"/>
    <w:rsid w:val="008F138D"/>
    <w:rsid w:val="00916AAF"/>
    <w:rsid w:val="00925368"/>
    <w:rsid w:val="00984263"/>
    <w:rsid w:val="00990725"/>
    <w:rsid w:val="009A03EC"/>
    <w:rsid w:val="009A1557"/>
    <w:rsid w:val="009E1987"/>
    <w:rsid w:val="00A3140D"/>
    <w:rsid w:val="00A34B9D"/>
    <w:rsid w:val="00A446A6"/>
    <w:rsid w:val="00AA60E5"/>
    <w:rsid w:val="00AD3B91"/>
    <w:rsid w:val="00AD470F"/>
    <w:rsid w:val="00AD5FD8"/>
    <w:rsid w:val="00B373F3"/>
    <w:rsid w:val="00B71EAA"/>
    <w:rsid w:val="00BF0446"/>
    <w:rsid w:val="00C067B9"/>
    <w:rsid w:val="00C11613"/>
    <w:rsid w:val="00C62AB7"/>
    <w:rsid w:val="00C64CFF"/>
    <w:rsid w:val="00CA1460"/>
    <w:rsid w:val="00CB3019"/>
    <w:rsid w:val="00CB5107"/>
    <w:rsid w:val="00D02176"/>
    <w:rsid w:val="00D05C8F"/>
    <w:rsid w:val="00D13B6B"/>
    <w:rsid w:val="00D559B1"/>
    <w:rsid w:val="00D62B54"/>
    <w:rsid w:val="00D86AB7"/>
    <w:rsid w:val="00D86F96"/>
    <w:rsid w:val="00DC05AA"/>
    <w:rsid w:val="00DE13DD"/>
    <w:rsid w:val="00DF22E7"/>
    <w:rsid w:val="00E4199B"/>
    <w:rsid w:val="00E65EBC"/>
    <w:rsid w:val="00E66BE3"/>
    <w:rsid w:val="00EC2333"/>
    <w:rsid w:val="00EF0125"/>
    <w:rsid w:val="00EF279B"/>
    <w:rsid w:val="00F55A99"/>
    <w:rsid w:val="00FA358C"/>
    <w:rsid w:val="00FE4896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ambria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AC"/>
  </w:style>
  <w:style w:type="paragraph" w:styleId="1">
    <w:name w:val="heading 1"/>
    <w:basedOn w:val="a"/>
    <w:next w:val="a"/>
    <w:uiPriority w:val="9"/>
    <w:qFormat/>
    <w:rsid w:val="00553E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53E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53E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53EA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553E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53E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553EA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53E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F55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55A9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55A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55A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55A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5A99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qFormat/>
    <w:rsid w:val="0075586A"/>
    <w:pPr>
      <w:widowControl w:val="0"/>
    </w:pPr>
    <w:rPr>
      <w:rFonts w:ascii="等线" w:hAnsi="等线" w:cs="Times New Roman"/>
      <w:kern w:val="2"/>
      <w:sz w:val="21"/>
      <w:szCs w:val="22"/>
    </w:rPr>
  </w:style>
  <w:style w:type="character" w:customStyle="1" w:styleId="Char2">
    <w:name w:val="批注文字 Char"/>
    <w:basedOn w:val="a0"/>
    <w:link w:val="a8"/>
    <w:uiPriority w:val="99"/>
    <w:qFormat/>
    <w:rsid w:val="0075586A"/>
    <w:rPr>
      <w:rFonts w:ascii="等线" w:hAnsi="等线" w:cs="Times New Roman"/>
      <w:kern w:val="2"/>
      <w:sz w:val="21"/>
      <w:szCs w:val="22"/>
    </w:rPr>
  </w:style>
  <w:style w:type="character" w:styleId="a9">
    <w:name w:val="annotation reference"/>
    <w:basedOn w:val="a0"/>
    <w:uiPriority w:val="99"/>
    <w:unhideWhenUsed/>
    <w:qFormat/>
    <w:rsid w:val="0075586A"/>
    <w:rPr>
      <w:sz w:val="21"/>
      <w:szCs w:val="21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713795"/>
    <w:pPr>
      <w:widowControl/>
    </w:pPr>
    <w:rPr>
      <w:rFonts w:ascii="Cambria" w:hAnsi="Cambria" w:cs="Cambria"/>
      <w:b/>
      <w:bCs/>
      <w:kern w:val="0"/>
      <w:sz w:val="24"/>
      <w:szCs w:val="24"/>
    </w:rPr>
  </w:style>
  <w:style w:type="character" w:customStyle="1" w:styleId="Char3">
    <w:name w:val="批注主题 Char"/>
    <w:basedOn w:val="Char2"/>
    <w:link w:val="aa"/>
    <w:uiPriority w:val="99"/>
    <w:semiHidden/>
    <w:rsid w:val="00713795"/>
    <w:rPr>
      <w:rFonts w:ascii="等线" w:hAnsi="等线" w:cs="Times New Roman"/>
      <w:b/>
      <w:bCs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CA1460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CA1460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A1460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074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6423</Words>
  <Characters>36613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邢燕霞</cp:lastModifiedBy>
  <cp:revision>8</cp:revision>
  <dcterms:created xsi:type="dcterms:W3CDTF">2020-04-08T23:29:00Z</dcterms:created>
  <dcterms:modified xsi:type="dcterms:W3CDTF">2020-05-18T06:28:00Z</dcterms:modified>
</cp:coreProperties>
</file>