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highlight w:val="none"/>
        </w:rPr>
      </w:pPr>
      <w:r>
        <w:rPr>
          <w:rFonts w:ascii="Book Antiqua" w:hAnsi="Book Antiqua" w:eastAsia="Book Antiqua" w:cs="Book Antiqua"/>
          <w:b/>
          <w:color w:val="000000"/>
          <w:highlight w:val="none"/>
        </w:rPr>
        <w:t xml:space="preserve">Name of Journal: </w:t>
      </w:r>
      <w:r>
        <w:rPr>
          <w:rFonts w:ascii="Book Antiqua" w:hAnsi="Book Antiqua" w:eastAsia="Book Antiqua" w:cs="Book Antiqua"/>
          <w:i/>
          <w:color w:val="000000"/>
          <w:highlight w:val="none"/>
        </w:rPr>
        <w:t>World Journal of Psychiatry</w:t>
      </w:r>
    </w:p>
    <w:p>
      <w:pPr>
        <w:spacing w:line="360" w:lineRule="auto"/>
        <w:jc w:val="both"/>
        <w:rPr>
          <w:highlight w:val="none"/>
        </w:rPr>
      </w:pPr>
      <w:r>
        <w:rPr>
          <w:rFonts w:ascii="Book Antiqua" w:hAnsi="Book Antiqua" w:eastAsia="Book Antiqua" w:cs="Book Antiqua"/>
          <w:b/>
          <w:color w:val="000000"/>
          <w:highlight w:val="none"/>
        </w:rPr>
        <w:t xml:space="preserve">Manuscript NO: </w:t>
      </w:r>
      <w:r>
        <w:rPr>
          <w:rFonts w:ascii="Book Antiqua" w:hAnsi="Book Antiqua" w:eastAsia="Book Antiqua" w:cs="Book Antiqua"/>
          <w:color w:val="000000"/>
          <w:highlight w:val="none"/>
        </w:rPr>
        <w:t>65149</w:t>
      </w:r>
    </w:p>
    <w:p>
      <w:pPr>
        <w:spacing w:line="360" w:lineRule="auto"/>
        <w:jc w:val="both"/>
        <w:rPr>
          <w:highlight w:val="none"/>
        </w:rPr>
      </w:pPr>
      <w:r>
        <w:rPr>
          <w:rFonts w:ascii="Book Antiqua" w:hAnsi="Book Antiqua" w:eastAsia="Book Antiqua" w:cs="Book Antiqua"/>
          <w:b/>
          <w:color w:val="000000"/>
          <w:highlight w:val="none"/>
        </w:rPr>
        <w:t xml:space="preserve">Manuscript Type: </w:t>
      </w:r>
      <w:bookmarkStart w:id="0" w:name="OLE_LINK36"/>
      <w:bookmarkStart w:id="1" w:name="OLE_LINK37"/>
      <w:r>
        <w:rPr>
          <w:rFonts w:ascii="Book Antiqua" w:hAnsi="Book Antiqua" w:eastAsia="Book Antiqua" w:cs="Book Antiqua"/>
          <w:color w:val="000000"/>
          <w:highlight w:val="none"/>
        </w:rPr>
        <w:t>MINIREVIEWS</w:t>
      </w:r>
      <w:bookmarkEnd w:id="0"/>
      <w:bookmarkEnd w:id="1"/>
    </w:p>
    <w:p>
      <w:pPr>
        <w:spacing w:line="360" w:lineRule="auto"/>
        <w:jc w:val="both"/>
        <w:rPr>
          <w:highlight w:val="none"/>
        </w:rPr>
      </w:pPr>
    </w:p>
    <w:p>
      <w:pPr>
        <w:spacing w:line="360" w:lineRule="auto"/>
        <w:jc w:val="both"/>
        <w:rPr>
          <w:highlight w:val="none"/>
        </w:rPr>
      </w:pPr>
      <w:bookmarkStart w:id="2" w:name="OLE_LINK34"/>
      <w:bookmarkStart w:id="3" w:name="OLE_LINK44"/>
      <w:bookmarkStart w:id="4" w:name="OLE_LINK35"/>
      <w:r>
        <w:rPr>
          <w:rFonts w:ascii="Book Antiqua" w:hAnsi="Book Antiqua" w:eastAsia="Book Antiqua" w:cs="Book Antiqua"/>
          <w:b/>
          <w:color w:val="000000"/>
          <w:highlight w:val="none"/>
        </w:rPr>
        <w:t>Metabotropic glutamate receptors and nitric oxide in dopaminergic neurotoxicity</w:t>
      </w:r>
    </w:p>
    <w:bookmarkEnd w:id="2"/>
    <w:bookmarkEnd w:id="3"/>
    <w:bookmarkEnd w:id="4"/>
    <w:p>
      <w:pPr>
        <w:spacing w:line="360" w:lineRule="auto"/>
        <w:jc w:val="both"/>
        <w:rPr>
          <w:highlight w:val="none"/>
        </w:rPr>
      </w:pPr>
    </w:p>
    <w:p>
      <w:pPr>
        <w:spacing w:line="360" w:lineRule="auto"/>
        <w:jc w:val="both"/>
        <w:rPr>
          <w:highlight w:val="none"/>
        </w:rPr>
      </w:pPr>
      <w:r>
        <w:rPr>
          <w:rFonts w:ascii="Book Antiqua" w:hAnsi="Book Antiqua" w:eastAsia="Book Antiqua" w:cs="Book Antiqua"/>
          <w:color w:val="000000"/>
          <w:highlight w:val="none"/>
        </w:rPr>
        <w:t>Bashkatova V</w:t>
      </w:r>
      <w:r>
        <w:rPr>
          <w:rFonts w:hint="eastAsia" w:ascii="Book Antiqua" w:hAnsi="Book Antiqua" w:cs="Book Antiqua"/>
          <w:color w:val="000000"/>
          <w:highlight w:val="none"/>
          <w:lang w:eastAsia="zh-CN"/>
        </w:rPr>
        <w:t>.</w:t>
      </w:r>
      <w:bookmarkStart w:id="5" w:name="OLE_LINK46"/>
      <w:bookmarkStart w:id="6" w:name="OLE_LINK45"/>
      <w:r>
        <w:rPr>
          <w:rFonts w:ascii="Book Antiqua" w:hAnsi="Book Antiqua" w:eastAsia="Book Antiqua" w:cs="Book Antiqua"/>
          <w:color w:val="000000"/>
          <w:highlight w:val="none"/>
        </w:rPr>
        <w:t xml:space="preserve"> </w:t>
      </w:r>
      <w:bookmarkStart w:id="7" w:name="OLE_LINK3"/>
      <w:bookmarkStart w:id="8" w:name="OLE_LINK6"/>
      <w:bookmarkStart w:id="9" w:name="OLE_LINK5"/>
      <w:r>
        <w:rPr>
          <w:rFonts w:ascii="Book Antiqua" w:hAnsi="Book Antiqua" w:eastAsia="Book Antiqua" w:cs="Book Antiqua"/>
          <w:color w:val="000000"/>
          <w:highlight w:val="none"/>
        </w:rPr>
        <w:t>mGluR and NO neurotoxicity</w:t>
      </w:r>
      <w:bookmarkEnd w:id="5"/>
      <w:bookmarkEnd w:id="6"/>
      <w:bookmarkEnd w:id="7"/>
      <w:bookmarkEnd w:id="8"/>
      <w:bookmarkEnd w:id="9"/>
    </w:p>
    <w:p>
      <w:pPr>
        <w:spacing w:line="360" w:lineRule="auto"/>
        <w:jc w:val="both"/>
        <w:rPr>
          <w:highlight w:val="none"/>
        </w:rPr>
      </w:pPr>
    </w:p>
    <w:p>
      <w:pPr>
        <w:spacing w:line="360" w:lineRule="auto"/>
        <w:jc w:val="both"/>
        <w:rPr>
          <w:highlight w:val="none"/>
        </w:rPr>
      </w:pPr>
      <w:r>
        <w:rPr>
          <w:rFonts w:ascii="Book Antiqua" w:hAnsi="Book Antiqua" w:eastAsia="Book Antiqua" w:cs="Book Antiqua"/>
          <w:color w:val="000000"/>
          <w:highlight w:val="none"/>
        </w:rPr>
        <w:t>Valentina Bashkatova</w:t>
      </w:r>
    </w:p>
    <w:p>
      <w:pPr>
        <w:spacing w:line="360" w:lineRule="auto"/>
        <w:jc w:val="both"/>
        <w:rPr>
          <w:highlight w:val="none"/>
        </w:rPr>
      </w:pPr>
    </w:p>
    <w:p>
      <w:pPr>
        <w:spacing w:line="360" w:lineRule="auto"/>
        <w:jc w:val="both"/>
        <w:rPr>
          <w:highlight w:val="none"/>
        </w:rPr>
      </w:pPr>
      <w:r>
        <w:rPr>
          <w:rFonts w:ascii="Book Antiqua" w:hAnsi="Book Antiqua" w:eastAsia="Book Antiqua" w:cs="Book Antiqua"/>
          <w:b/>
          <w:bCs/>
          <w:color w:val="000000"/>
          <w:highlight w:val="none"/>
        </w:rPr>
        <w:t xml:space="preserve">Valentina Bashkatova, </w:t>
      </w:r>
      <w:r>
        <w:rPr>
          <w:rFonts w:ascii="Book Antiqua" w:hAnsi="Book Antiqua" w:eastAsia="Book Antiqua" w:cs="Book Antiqua"/>
          <w:color w:val="000000"/>
          <w:highlight w:val="none"/>
        </w:rPr>
        <w:t xml:space="preserve">Laboratory of </w:t>
      </w:r>
      <w:r>
        <w:rPr>
          <w:rFonts w:hint="eastAsia" w:ascii="Book Antiqua" w:hAnsi="Book Antiqua" w:cs="Book Antiqua"/>
          <w:color w:val="000000"/>
          <w:highlight w:val="none"/>
          <w:lang w:eastAsia="zh-CN"/>
        </w:rPr>
        <w:t>P</w:t>
      </w:r>
      <w:r>
        <w:rPr>
          <w:rFonts w:ascii="Book Antiqua" w:hAnsi="Book Antiqua" w:eastAsia="Book Antiqua" w:cs="Book Antiqua"/>
          <w:color w:val="000000"/>
          <w:highlight w:val="none"/>
        </w:rPr>
        <w:t xml:space="preserve">hysiology </w:t>
      </w:r>
      <w:r>
        <w:rPr>
          <w:rFonts w:hint="eastAsia" w:ascii="Book Antiqua" w:hAnsi="Book Antiqua" w:cs="Book Antiqua"/>
          <w:color w:val="000000"/>
          <w:highlight w:val="none"/>
          <w:lang w:eastAsia="zh-CN"/>
        </w:rPr>
        <w:t>R</w:t>
      </w:r>
      <w:r>
        <w:rPr>
          <w:rFonts w:ascii="Book Antiqua" w:hAnsi="Book Antiqua" w:eastAsia="Book Antiqua" w:cs="Book Antiqua"/>
          <w:color w:val="000000"/>
          <w:highlight w:val="none"/>
        </w:rPr>
        <w:t xml:space="preserve">einforcements, Anokhin Institute of Normal Physiology, Moscow 125315, </w:t>
      </w:r>
      <w:bookmarkStart w:id="10" w:name="OLE_LINK14"/>
      <w:bookmarkStart w:id="11" w:name="OLE_LINK13"/>
      <w:r>
        <w:rPr>
          <w:rFonts w:ascii="Book Antiqua" w:hAnsi="Book Antiqua" w:eastAsia="Book Antiqua" w:cs="Book Antiqua"/>
          <w:color w:val="000000"/>
          <w:highlight w:val="none"/>
        </w:rPr>
        <w:t>Russia</w:t>
      </w:r>
      <w:bookmarkEnd w:id="10"/>
      <w:bookmarkEnd w:id="11"/>
    </w:p>
    <w:p>
      <w:pPr>
        <w:spacing w:line="360" w:lineRule="auto"/>
        <w:jc w:val="both"/>
        <w:rPr>
          <w:highlight w:val="none"/>
        </w:rPr>
      </w:pPr>
    </w:p>
    <w:p>
      <w:pPr>
        <w:spacing w:line="360" w:lineRule="auto"/>
        <w:jc w:val="both"/>
        <w:rPr>
          <w:highlight w:val="none"/>
          <w:lang w:eastAsia="zh-CN"/>
        </w:rPr>
      </w:pPr>
      <w:r>
        <w:rPr>
          <w:rFonts w:ascii="Book Antiqua" w:hAnsi="Book Antiqua" w:eastAsia="Book Antiqua" w:cs="Book Antiqua"/>
          <w:b/>
          <w:bCs/>
          <w:color w:val="000000"/>
          <w:szCs w:val="22"/>
          <w:highlight w:val="none"/>
        </w:rPr>
        <w:t xml:space="preserve">Author contributions: </w:t>
      </w:r>
      <w:r>
        <w:rPr>
          <w:rFonts w:ascii="Book Antiqua" w:hAnsi="Book Antiqua" w:eastAsia="Book Antiqua" w:cs="Book Antiqua"/>
          <w:color w:val="000000"/>
          <w:highlight w:val="none"/>
        </w:rPr>
        <w:t>Bashkatova V wrote the paper</w:t>
      </w:r>
      <w:r>
        <w:rPr>
          <w:rFonts w:hint="eastAsia" w:ascii="Book Antiqua" w:hAnsi="Book Antiqua" w:cs="Book Antiqua"/>
          <w:color w:val="000000"/>
          <w:highlight w:val="none"/>
          <w:lang w:eastAsia="zh-CN"/>
        </w:rPr>
        <w:t>.</w:t>
      </w:r>
    </w:p>
    <w:p>
      <w:pPr>
        <w:spacing w:line="360" w:lineRule="auto"/>
        <w:jc w:val="both"/>
        <w:rPr>
          <w:highlight w:val="none"/>
        </w:rPr>
      </w:pPr>
    </w:p>
    <w:p>
      <w:pPr>
        <w:spacing w:line="360" w:lineRule="auto"/>
        <w:jc w:val="both"/>
        <w:rPr>
          <w:highlight w:val="none"/>
        </w:rPr>
      </w:pPr>
      <w:r>
        <w:rPr>
          <w:rFonts w:ascii="Book Antiqua" w:hAnsi="Book Antiqua" w:eastAsia="Book Antiqua" w:cs="Book Antiqua"/>
          <w:b/>
          <w:bCs/>
          <w:color w:val="000000"/>
          <w:highlight w:val="none"/>
        </w:rPr>
        <w:t xml:space="preserve">Corresponding author: Valentina Bashkatova, PhD, Professor, </w:t>
      </w:r>
      <w:r>
        <w:rPr>
          <w:rFonts w:ascii="Book Antiqua" w:hAnsi="Book Antiqua" w:eastAsia="Book Antiqua" w:cs="Book Antiqua"/>
          <w:color w:val="000000"/>
          <w:highlight w:val="none"/>
        </w:rPr>
        <w:t xml:space="preserve">Laboratory of </w:t>
      </w:r>
      <w:r>
        <w:rPr>
          <w:rFonts w:hint="eastAsia" w:ascii="Book Antiqua" w:hAnsi="Book Antiqua" w:cs="Book Antiqua"/>
          <w:color w:val="000000"/>
          <w:highlight w:val="none"/>
          <w:lang w:eastAsia="zh-CN"/>
        </w:rPr>
        <w:t>P</w:t>
      </w:r>
      <w:r>
        <w:rPr>
          <w:rFonts w:ascii="Book Antiqua" w:hAnsi="Book Antiqua" w:eastAsia="Book Antiqua" w:cs="Book Antiqua"/>
          <w:color w:val="000000"/>
          <w:highlight w:val="none"/>
        </w:rPr>
        <w:t xml:space="preserve">hysiology </w:t>
      </w:r>
      <w:r>
        <w:rPr>
          <w:rFonts w:hint="eastAsia" w:ascii="Book Antiqua" w:hAnsi="Book Antiqua" w:cs="Book Antiqua"/>
          <w:color w:val="000000"/>
          <w:highlight w:val="none"/>
          <w:lang w:eastAsia="zh-CN"/>
        </w:rPr>
        <w:t>R</w:t>
      </w:r>
      <w:r>
        <w:rPr>
          <w:rFonts w:ascii="Book Antiqua" w:hAnsi="Book Antiqua" w:eastAsia="Book Antiqua" w:cs="Book Antiqua"/>
          <w:color w:val="000000"/>
          <w:highlight w:val="none"/>
        </w:rPr>
        <w:t>einforcements, Anokhin Institute of Normal Physiology, 8 Baltiyskaya str., Moscow 125315, Russia. v.bashkatova@nphys.ru</w:t>
      </w:r>
    </w:p>
    <w:p>
      <w:pPr>
        <w:spacing w:line="360" w:lineRule="auto"/>
        <w:jc w:val="both"/>
        <w:rPr>
          <w:highlight w:val="none"/>
        </w:rPr>
      </w:pPr>
    </w:p>
    <w:p>
      <w:pPr>
        <w:spacing w:line="360" w:lineRule="auto"/>
        <w:jc w:val="both"/>
        <w:rPr>
          <w:highlight w:val="none"/>
        </w:rPr>
      </w:pPr>
      <w:r>
        <w:rPr>
          <w:rFonts w:ascii="Book Antiqua" w:hAnsi="Book Antiqua" w:eastAsia="Book Antiqua" w:cs="Book Antiqua"/>
          <w:b/>
          <w:bCs/>
          <w:color w:val="000000"/>
          <w:highlight w:val="none"/>
        </w:rPr>
        <w:t xml:space="preserve">Received: </w:t>
      </w:r>
      <w:r>
        <w:rPr>
          <w:rFonts w:ascii="Book Antiqua" w:hAnsi="Book Antiqua" w:eastAsia="Book Antiqua" w:cs="Book Antiqua"/>
          <w:color w:val="000000"/>
          <w:highlight w:val="none"/>
        </w:rPr>
        <w:t>February 28, 2021</w:t>
      </w:r>
    </w:p>
    <w:p>
      <w:pPr>
        <w:spacing w:line="360" w:lineRule="auto"/>
        <w:jc w:val="both"/>
        <w:rPr>
          <w:highlight w:val="none"/>
          <w:lang w:eastAsia="zh-CN"/>
        </w:rPr>
      </w:pPr>
      <w:r>
        <w:rPr>
          <w:rFonts w:ascii="Book Antiqua" w:hAnsi="Book Antiqua" w:eastAsia="Book Antiqua" w:cs="Book Antiqua"/>
          <w:b/>
          <w:bCs/>
          <w:color w:val="000000"/>
          <w:highlight w:val="none"/>
        </w:rPr>
        <w:t xml:space="preserve">Revised: </w:t>
      </w:r>
      <w:r>
        <w:rPr>
          <w:rFonts w:hint="eastAsia" w:ascii="Book Antiqua" w:hAnsi="Book Antiqua" w:cs="Book Antiqua"/>
          <w:bCs/>
          <w:color w:val="000000"/>
          <w:highlight w:val="none"/>
          <w:lang w:eastAsia="zh-CN"/>
        </w:rPr>
        <w:t>April 11, 2021</w:t>
      </w:r>
    </w:p>
    <w:p>
      <w:pPr>
        <w:spacing w:line="360" w:lineRule="auto"/>
        <w:jc w:val="both"/>
        <w:rPr>
          <w:highlight w:val="none"/>
        </w:rPr>
      </w:pPr>
      <w:r>
        <w:rPr>
          <w:rFonts w:ascii="Book Antiqua" w:hAnsi="Book Antiqua" w:eastAsia="Book Antiqua" w:cs="Book Antiqua"/>
          <w:b/>
          <w:bCs/>
          <w:color w:val="000000"/>
          <w:highlight w:val="none"/>
        </w:rPr>
        <w:t xml:space="preserve">Accepted: </w:t>
      </w:r>
      <w:r>
        <w:rPr>
          <w:rFonts w:hint="eastAsia" w:ascii="Book Antiqua" w:hAnsi="Book Antiqua" w:eastAsia="宋体"/>
          <w:color w:val="000000" w:themeColor="text1"/>
          <w:highlight w:val="none"/>
        </w:rPr>
        <w:t>Au</w:t>
      </w:r>
      <w:r>
        <w:rPr>
          <w:rFonts w:ascii="Book Antiqua" w:hAnsi="Book Antiqua" w:eastAsia="宋体"/>
          <w:color w:val="000000" w:themeColor="text1"/>
          <w:highlight w:val="none"/>
        </w:rPr>
        <w:t>gust 3, 2021</w:t>
      </w:r>
    </w:p>
    <w:p>
      <w:pPr>
        <w:spacing w:line="360" w:lineRule="auto"/>
        <w:jc w:val="both"/>
        <w:rPr>
          <w:rFonts w:ascii="Book Antiqua" w:hAnsi="Book Antiqua" w:eastAsia="Book Antiqua" w:cs="Book Antiqua"/>
          <w:color w:val="000000"/>
          <w:highlight w:val="none"/>
        </w:rPr>
      </w:pPr>
      <w:r>
        <w:rPr>
          <w:rFonts w:ascii="Book Antiqua" w:hAnsi="Book Antiqua" w:eastAsia="Book Antiqua" w:cs="Book Antiqua"/>
          <w:b/>
          <w:bCs/>
          <w:color w:val="000000"/>
          <w:highlight w:val="none"/>
        </w:rPr>
        <w:t xml:space="preserve">Published online: </w:t>
      </w:r>
      <w:r>
        <w:rPr>
          <w:rFonts w:ascii="Book Antiqua" w:hAnsi="Book Antiqua" w:eastAsia="Book Antiqua" w:cs="Book Antiqua"/>
          <w:color w:val="000000"/>
          <w:highlight w:val="none"/>
        </w:rPr>
        <w:t>October 19, 2021</w:t>
      </w:r>
    </w:p>
    <w:p>
      <w:pPr>
        <w:spacing w:line="360" w:lineRule="auto"/>
        <w:jc w:val="both"/>
        <w:rPr>
          <w:highlight w:val="none"/>
        </w:rPr>
        <w:sectPr>
          <w:footerReference r:id="rId3" w:type="default"/>
          <w:pgSz w:w="12240" w:h="15840"/>
          <w:pgMar w:top="1440" w:right="1440" w:bottom="1440" w:left="1440" w:header="720" w:footer="720" w:gutter="0"/>
          <w:cols w:space="720" w:num="1"/>
          <w:docGrid w:linePitch="360" w:charSpace="0"/>
        </w:sectPr>
      </w:pPr>
    </w:p>
    <w:p>
      <w:pPr>
        <w:spacing w:line="360" w:lineRule="auto"/>
        <w:jc w:val="both"/>
        <w:rPr>
          <w:highlight w:val="none"/>
        </w:rPr>
      </w:pPr>
      <w:r>
        <w:rPr>
          <w:rFonts w:ascii="Book Antiqua" w:hAnsi="Book Antiqua" w:eastAsia="Book Antiqua" w:cs="Book Antiqua"/>
          <w:b/>
          <w:color w:val="000000"/>
          <w:highlight w:val="none"/>
        </w:rPr>
        <w:t>Abstract</w:t>
      </w:r>
    </w:p>
    <w:p>
      <w:pPr>
        <w:spacing w:line="360" w:lineRule="auto"/>
        <w:jc w:val="both"/>
        <w:rPr>
          <w:highlight w:val="none"/>
        </w:rPr>
      </w:pPr>
      <w:bookmarkStart w:id="12" w:name="OLE_LINK50"/>
      <w:bookmarkStart w:id="13" w:name="OLE_LINK51"/>
      <w:r>
        <w:rPr>
          <w:rFonts w:ascii="Book Antiqua" w:hAnsi="Book Antiqua" w:eastAsia="Book Antiqua" w:cs="Book Antiqua"/>
          <w:color w:val="000000"/>
          <w:highlight w:val="none"/>
        </w:rPr>
        <w:t xml:space="preserve">Dopaminergic neurotoxicity is characterized by damage and death of dopaminergic neurons. Parkinson's disease (PD) is a neurodegenerative disorder that primarily involves the loss of dopaminergic neurons in the substantia nigra. Therefore, the study of the mechanisms, as well as the search for new targets for the prevention and treatment of neurodegenerative diseases, is an important focus of modern neuroscience. PD is primarily caused by dysfunction of dopaminergic neurons; however, other neurotransmitter systems are also involved. Research reports have indicated that the glutamatergic system is involved in different pathological conditions, including dopaminergic neurotoxicity. Over the last two decades, the important functional interplay between dopaminergic and glutamatergic systems has stimulated interest in the possible role of </w:t>
      </w:r>
      <w:bookmarkStart w:id="14" w:name="OLE_LINK17"/>
      <w:bookmarkStart w:id="15" w:name="OLE_LINK18"/>
      <w:r>
        <w:rPr>
          <w:rFonts w:ascii="Book Antiqua" w:hAnsi="Book Antiqua" w:eastAsia="Book Antiqua" w:cs="Book Antiqua"/>
          <w:color w:val="000000"/>
          <w:highlight w:val="none"/>
        </w:rPr>
        <w:t>metabotropic glutamate receptors</w:t>
      </w:r>
      <w:bookmarkEnd w:id="14"/>
      <w:bookmarkEnd w:id="15"/>
      <w:r>
        <w:rPr>
          <w:rFonts w:ascii="Book Antiqua" w:hAnsi="Book Antiqua" w:eastAsia="Book Antiqua" w:cs="Book Antiqua"/>
          <w:color w:val="000000"/>
          <w:highlight w:val="none"/>
        </w:rPr>
        <w:t xml:space="preserve"> (mGluRs) in the development of extrapyramidal disorders. However, the specific mechanisms driving these processes are presently unclear. The participation of the universal neuronal messenger nitric oxide (NO) in the mechanisms of dopaminergic neurotoxicity has attracted increased attention. The current paper aims to review the involvement of mGluRs and the contribution of NO to dopaminergic neurotoxicity. More precisely, we focused on studies conducted on the rotenone-induced PD model. This review is also an outline of our own results obtained using the method of electron paramagnetic resonance, which allows quantitation of NO radicals in brain structures.</w:t>
      </w:r>
    </w:p>
    <w:bookmarkEnd w:id="12"/>
    <w:bookmarkEnd w:id="13"/>
    <w:p>
      <w:pPr>
        <w:spacing w:line="360" w:lineRule="auto"/>
        <w:jc w:val="both"/>
        <w:rPr>
          <w:highlight w:val="none"/>
        </w:rPr>
      </w:pPr>
    </w:p>
    <w:p>
      <w:pPr>
        <w:spacing w:line="360" w:lineRule="auto"/>
        <w:jc w:val="both"/>
        <w:rPr>
          <w:rFonts w:ascii="Book Antiqua" w:hAnsi="Book Antiqua" w:cs="Book Antiqua"/>
          <w:color w:val="000000"/>
          <w:highlight w:val="none"/>
          <w:lang w:eastAsia="zh-CN"/>
        </w:rPr>
      </w:pPr>
      <w:r>
        <w:rPr>
          <w:rFonts w:ascii="Book Antiqua" w:hAnsi="Book Antiqua" w:eastAsia="Book Antiqua" w:cs="Book Antiqua"/>
          <w:b/>
          <w:bCs/>
          <w:color w:val="000000"/>
          <w:highlight w:val="none"/>
        </w:rPr>
        <w:t xml:space="preserve">Key Words: </w:t>
      </w:r>
      <w:bookmarkStart w:id="16" w:name="OLE_LINK38"/>
      <w:bookmarkStart w:id="17" w:name="OLE_LINK39"/>
      <w:bookmarkStart w:id="18" w:name="OLE_LINK47"/>
      <w:r>
        <w:rPr>
          <w:rFonts w:hint="eastAsia" w:ascii="Book Antiqua" w:hAnsi="Book Antiqua" w:cs="Book Antiqua"/>
          <w:color w:val="000000"/>
          <w:highlight w:val="none"/>
          <w:lang w:eastAsia="zh-CN"/>
        </w:rPr>
        <w:t>D</w:t>
      </w:r>
      <w:r>
        <w:rPr>
          <w:rFonts w:ascii="Book Antiqua" w:hAnsi="Book Antiqua" w:eastAsia="Book Antiqua" w:cs="Book Antiqua"/>
          <w:color w:val="000000"/>
          <w:highlight w:val="none"/>
        </w:rPr>
        <w:t xml:space="preserve">opaminergic neurotoxicity; </w:t>
      </w:r>
      <w:r>
        <w:rPr>
          <w:rFonts w:hint="eastAsia" w:ascii="Book Antiqua" w:hAnsi="Book Antiqua" w:cs="Book Antiqua"/>
          <w:color w:val="000000"/>
          <w:highlight w:val="none"/>
          <w:lang w:eastAsia="zh-CN"/>
        </w:rPr>
        <w:t>M</w:t>
      </w:r>
      <w:r>
        <w:rPr>
          <w:rFonts w:ascii="Book Antiqua" w:hAnsi="Book Antiqua" w:eastAsia="Book Antiqua" w:cs="Book Antiqua"/>
          <w:color w:val="000000"/>
          <w:highlight w:val="none"/>
        </w:rPr>
        <w:t xml:space="preserve">etabotropic glutamate receptors; </w:t>
      </w:r>
      <w:r>
        <w:rPr>
          <w:rFonts w:hint="eastAsia" w:ascii="Book Antiqua" w:hAnsi="Book Antiqua" w:cs="Book Antiqua"/>
          <w:color w:val="000000"/>
          <w:highlight w:val="none"/>
          <w:lang w:eastAsia="zh-CN"/>
        </w:rPr>
        <w:t>N</w:t>
      </w:r>
      <w:r>
        <w:rPr>
          <w:rFonts w:ascii="Book Antiqua" w:hAnsi="Book Antiqua" w:eastAsia="Book Antiqua" w:cs="Book Antiqua"/>
          <w:color w:val="000000"/>
          <w:highlight w:val="none"/>
        </w:rPr>
        <w:t xml:space="preserve">itric oxide; </w:t>
      </w:r>
      <w:r>
        <w:rPr>
          <w:rFonts w:hint="eastAsia" w:ascii="Book Antiqua" w:hAnsi="Book Antiqua" w:cs="Book Antiqua"/>
          <w:color w:val="000000"/>
          <w:highlight w:val="none"/>
          <w:lang w:eastAsia="zh-CN"/>
        </w:rPr>
        <w:t>R</w:t>
      </w:r>
      <w:r>
        <w:rPr>
          <w:rFonts w:ascii="Book Antiqua" w:hAnsi="Book Antiqua" w:eastAsia="Book Antiqua" w:cs="Book Antiqua"/>
          <w:color w:val="000000"/>
          <w:highlight w:val="none"/>
        </w:rPr>
        <w:t>otenone; Parkinson's disease</w:t>
      </w:r>
      <w:bookmarkEnd w:id="16"/>
      <w:bookmarkEnd w:id="17"/>
      <w:bookmarkEnd w:id="18"/>
    </w:p>
    <w:p>
      <w:pPr>
        <w:spacing w:line="360" w:lineRule="auto"/>
        <w:jc w:val="both"/>
        <w:rPr>
          <w:highlight w:val="none"/>
          <w:lang w:eastAsia="zh-CN"/>
        </w:rPr>
      </w:pPr>
    </w:p>
    <w:p>
      <w:pPr>
        <w:spacing w:line="360" w:lineRule="auto"/>
        <w:jc w:val="both"/>
        <w:rPr>
          <w:rFonts w:ascii="Book Antiqua" w:hAnsi="Book Antiqua" w:eastAsia="Book Antiqua" w:cs="Book Antiqua"/>
          <w:color w:val="000000"/>
          <w:highlight w:val="none"/>
        </w:rPr>
      </w:pPr>
      <w:r>
        <w:rPr>
          <w:rFonts w:hint="eastAsia" w:ascii="Book Antiqua" w:hAnsi="Book Antiqua" w:eastAsia="Book Antiqua" w:cs="Book Antiqua"/>
          <w:b/>
          <w:color w:val="000000"/>
          <w:highlight w:val="none"/>
        </w:rPr>
        <w:t>©</w:t>
      </w:r>
      <w:r>
        <w:rPr>
          <w:rFonts w:ascii="Book Antiqua" w:hAnsi="Book Antiqua" w:eastAsia="Book Antiqua" w:cs="Book Antiqua"/>
          <w:b/>
          <w:color w:val="000000"/>
          <w:highlight w:val="none"/>
        </w:rPr>
        <w:t>The</w:t>
      </w:r>
      <w:r>
        <w:rPr>
          <w:rFonts w:ascii="Book Antiqua" w:hAnsi="Book Antiqua" w:eastAsia="Book Antiqua" w:cs="Book Antiqua"/>
          <w:color w:val="000000"/>
          <w:highlight w:val="none"/>
        </w:rPr>
        <w:t xml:space="preserve"> </w:t>
      </w:r>
      <w:r>
        <w:rPr>
          <w:rFonts w:ascii="Book Antiqua" w:hAnsi="Book Antiqua" w:eastAsia="Book Antiqua" w:cs="Book Antiqua"/>
          <w:b/>
          <w:color w:val="000000"/>
          <w:highlight w:val="none"/>
        </w:rPr>
        <w:t xml:space="preserve">Author(s) 2021. </w:t>
      </w:r>
      <w:r>
        <w:rPr>
          <w:rFonts w:ascii="Book Antiqua" w:hAnsi="Book Antiqua" w:eastAsia="Book Antiqua" w:cs="Book Antiqua"/>
          <w:color w:val="000000"/>
          <w:highlight w:val="none"/>
        </w:rPr>
        <w:t>Published by Baishideng Publishing Group Inc. All rights reserved.</w:t>
      </w:r>
    </w:p>
    <w:p>
      <w:pPr>
        <w:spacing w:line="360" w:lineRule="auto"/>
        <w:jc w:val="both"/>
        <w:rPr>
          <w:highlight w:val="none"/>
          <w:lang w:eastAsia="zh-CN"/>
        </w:rPr>
      </w:pPr>
    </w:p>
    <w:p>
      <w:pPr>
        <w:adjustRightInd w:val="0"/>
        <w:snapToGrid w:val="0"/>
        <w:spacing w:line="360" w:lineRule="auto"/>
        <w:rPr>
          <w:rFonts w:ascii="Book Antiqua" w:hAnsi="Book Antiqua" w:eastAsia="Book Antiqua" w:cs="Book Antiqua"/>
          <w:highlight w:val="none"/>
          <w:lang w:val="pt-BR"/>
        </w:rPr>
      </w:pPr>
      <w:bookmarkStart w:id="19" w:name="OLE_LINK40"/>
      <w:bookmarkStart w:id="20" w:name="OLE_LINK41"/>
      <w:r>
        <w:rPr>
          <w:rFonts w:hint="eastAsia" w:ascii="Book Antiqua" w:hAnsi="Book Antiqua" w:eastAsia="宋体" w:cs="Book Antiqua"/>
          <w:b/>
          <w:bCs/>
          <w:color w:val="000000"/>
          <w:highlight w:val="none"/>
          <w:lang w:val="en-US" w:eastAsia="zh-CN"/>
        </w:rPr>
        <w:t xml:space="preserve">Citation: </w:t>
      </w:r>
      <w:r>
        <w:rPr>
          <w:rFonts w:ascii="Book Antiqua" w:hAnsi="Book Antiqua" w:eastAsia="Book Antiqua" w:cs="Book Antiqua"/>
          <w:color w:val="000000"/>
          <w:highlight w:val="none"/>
        </w:rPr>
        <w:t xml:space="preserve">Bashkatova V. Metabotropic glutamate receptors and nitric oxide in dopaminergic neurotoxicity. </w:t>
      </w:r>
      <w:r>
        <w:rPr>
          <w:rFonts w:ascii="Book Antiqua" w:hAnsi="Book Antiqua" w:eastAsia="Book Antiqua" w:cs="Book Antiqua"/>
          <w:i/>
          <w:iCs/>
          <w:color w:val="000000"/>
          <w:highlight w:val="none"/>
        </w:rPr>
        <w:t>World J Psychiatr</w:t>
      </w:r>
      <w:r>
        <w:rPr>
          <w:rFonts w:ascii="Book Antiqua" w:hAnsi="Book Antiqua" w:eastAsia="Book Antiqua" w:cs="Book Antiqua"/>
          <w:color w:val="000000"/>
          <w:highlight w:val="none"/>
        </w:rPr>
        <w:t xml:space="preserve"> </w:t>
      </w:r>
      <w:bookmarkEnd w:id="19"/>
      <w:bookmarkEnd w:id="20"/>
      <w:r>
        <w:rPr>
          <w:rFonts w:ascii="Book Antiqua" w:hAnsi="Book Antiqua" w:eastAsia="Book Antiqua" w:cs="Book Antiqua"/>
          <w:highlight w:val="none"/>
          <w:lang w:val="pt-BR"/>
        </w:rPr>
        <w:t xml:space="preserve">2021; 11(10): </w:t>
      </w:r>
      <w:r>
        <w:rPr>
          <w:rFonts w:hint="default" w:ascii="Book Antiqua" w:hAnsi="Book Antiqua" w:eastAsia="Book Antiqua" w:cs="Book Antiqua"/>
          <w:i w:val="0"/>
          <w:iCs w:val="0"/>
          <w:color w:val="000000"/>
          <w:kern w:val="0"/>
          <w:sz w:val="24"/>
          <w:szCs w:val="24"/>
          <w:highlight w:val="none"/>
          <w:u w:val="none"/>
          <w:lang w:val="en-US" w:eastAsia="zh-CN" w:bidi="ar"/>
        </w:rPr>
        <w:t>830-840</w:t>
      </w:r>
    </w:p>
    <w:p>
      <w:pPr>
        <w:adjustRightInd w:val="0"/>
        <w:snapToGrid w:val="0"/>
        <w:spacing w:line="360" w:lineRule="auto"/>
        <w:rPr>
          <w:rFonts w:ascii="Book Antiqua" w:hAnsi="Book Antiqua" w:eastAsia="Book Antiqua" w:cs="Book Antiqua"/>
          <w:highlight w:val="none"/>
          <w:lang w:val="pt-BR"/>
        </w:rPr>
      </w:pPr>
      <w:r>
        <w:rPr>
          <w:rFonts w:ascii="Book Antiqua" w:hAnsi="Book Antiqua" w:eastAsia="Book Antiqua" w:cs="Book Antiqua"/>
          <w:b/>
          <w:bCs/>
          <w:highlight w:val="none"/>
          <w:lang w:val="pt-BR"/>
        </w:rPr>
        <w:t>URL:</w:t>
      </w:r>
      <w:r>
        <w:rPr>
          <w:rFonts w:ascii="Book Antiqua" w:hAnsi="Book Antiqua" w:eastAsia="Book Antiqua" w:cs="Book Antiqua"/>
          <w:highlight w:val="none"/>
          <w:lang w:val="pt-BR"/>
        </w:rPr>
        <w:t xml:space="preserve"> https://www.wjgnet.com/2220-3206/full/v11/i10/</w:t>
      </w:r>
      <w:r>
        <w:rPr>
          <w:rFonts w:hint="eastAsia" w:ascii="Book Antiqua" w:hAnsi="Book Antiqua" w:eastAsia="宋体" w:cs="Book Antiqua"/>
          <w:highlight w:val="none"/>
          <w:lang w:val="en-US" w:eastAsia="zh-CN"/>
        </w:rPr>
        <w:t>830</w:t>
      </w:r>
      <w:r>
        <w:rPr>
          <w:rFonts w:ascii="Book Antiqua" w:hAnsi="Book Antiqua" w:eastAsia="Book Antiqua" w:cs="Book Antiqua"/>
          <w:highlight w:val="none"/>
          <w:lang w:val="pt-BR"/>
        </w:rPr>
        <w:t xml:space="preserve">.htm </w:t>
      </w:r>
    </w:p>
    <w:p>
      <w:pPr>
        <w:adjustRightInd w:val="0"/>
        <w:snapToGrid w:val="0"/>
        <w:spacing w:line="360" w:lineRule="auto"/>
        <w:rPr>
          <w:rFonts w:hint="default" w:ascii="Book Antiqua" w:hAnsi="Book Antiqua" w:eastAsia="宋体" w:cs="Book Antiqua"/>
          <w:highlight w:val="none"/>
          <w:lang w:val="en-US" w:eastAsia="zh-CN"/>
        </w:rPr>
      </w:pPr>
      <w:r>
        <w:rPr>
          <w:rFonts w:ascii="Book Antiqua" w:hAnsi="Book Antiqua" w:eastAsia="Book Antiqua" w:cs="Book Antiqua"/>
          <w:b/>
          <w:bCs/>
          <w:highlight w:val="none"/>
          <w:lang w:val="pt-BR"/>
        </w:rPr>
        <w:t xml:space="preserve">DOI: </w:t>
      </w:r>
      <w:r>
        <w:rPr>
          <w:rFonts w:ascii="Book Antiqua" w:hAnsi="Book Antiqua" w:eastAsia="Book Antiqua" w:cs="Book Antiqua"/>
          <w:highlight w:val="none"/>
          <w:lang w:val="pt-BR"/>
        </w:rPr>
        <w:t>https://dx.doi.org/10.5498/wjp.v11.i10.</w:t>
      </w:r>
      <w:r>
        <w:rPr>
          <w:rFonts w:hint="eastAsia" w:ascii="Book Antiqua" w:hAnsi="Book Antiqua" w:eastAsia="宋体" w:cs="Book Antiqua"/>
          <w:highlight w:val="none"/>
          <w:lang w:val="en-US" w:eastAsia="zh-CN"/>
        </w:rPr>
        <w:t>830</w:t>
      </w:r>
    </w:p>
    <w:p>
      <w:pPr>
        <w:spacing w:line="360" w:lineRule="auto"/>
        <w:jc w:val="both"/>
        <w:rPr>
          <w:highlight w:val="none"/>
          <w:lang w:val="pt-BR"/>
        </w:rPr>
      </w:pPr>
    </w:p>
    <w:p>
      <w:pPr>
        <w:spacing w:line="360" w:lineRule="auto"/>
        <w:jc w:val="both"/>
        <w:rPr>
          <w:highlight w:val="none"/>
        </w:rPr>
      </w:pPr>
      <w:r>
        <w:rPr>
          <w:rFonts w:ascii="Book Antiqua" w:hAnsi="Book Antiqua" w:eastAsia="Book Antiqua" w:cs="Book Antiqua"/>
          <w:b/>
          <w:bCs/>
          <w:color w:val="000000"/>
          <w:highlight w:val="none"/>
        </w:rPr>
        <w:t xml:space="preserve">Core Tip: </w:t>
      </w:r>
      <w:bookmarkStart w:id="21" w:name="OLE_LINK48"/>
      <w:bookmarkStart w:id="22" w:name="OLE_LINK49"/>
      <w:bookmarkStart w:id="23" w:name="OLE_LINK43"/>
      <w:bookmarkStart w:id="24" w:name="OLE_LINK42"/>
      <w:r>
        <w:rPr>
          <w:rFonts w:ascii="Book Antiqua" w:hAnsi="Book Antiqua" w:eastAsia="Book Antiqua" w:cs="Book Antiqua"/>
          <w:color w:val="000000"/>
          <w:highlight w:val="none"/>
        </w:rPr>
        <w:t>Dopaminergic neurotoxicity is characterized by damage and death of dopaminergic neurons. Chronic systemic exposure to rotenone (an inhibitor of mitochondrial complex I and a commonly used pesticide) induced dopaminergic degeneration and reproduced many features of human Parkinson's disease in rats. The current paper aims to review the involvement of metabotropic glutamate receptors and the contribution nitric oxide to dopaminergic neurotoxicity.</w:t>
      </w:r>
      <w:bookmarkEnd w:id="21"/>
      <w:bookmarkEnd w:id="22"/>
    </w:p>
    <w:bookmarkEnd w:id="23"/>
    <w:bookmarkEnd w:id="24"/>
    <w:p>
      <w:pPr>
        <w:spacing w:line="360" w:lineRule="auto"/>
        <w:jc w:val="both"/>
        <w:rPr>
          <w:highlight w:val="none"/>
        </w:rPr>
      </w:pPr>
      <w:r>
        <w:rPr>
          <w:rFonts w:ascii="Book Antiqua" w:hAnsi="Book Antiqua" w:eastAsia="Book Antiqua" w:cs="Book Antiqua"/>
          <w:b/>
          <w:caps/>
          <w:color w:val="000000"/>
          <w:highlight w:val="none"/>
          <w:u w:val="single"/>
        </w:rPr>
        <w:br w:type="page"/>
      </w:r>
      <w:r>
        <w:rPr>
          <w:rFonts w:ascii="Book Antiqua" w:hAnsi="Book Antiqua" w:eastAsia="Book Antiqua" w:cs="Book Antiqua"/>
          <w:b/>
          <w:caps/>
          <w:color w:val="000000"/>
          <w:highlight w:val="none"/>
          <w:u w:val="single"/>
        </w:rPr>
        <w:t>INTRODUCTION</w:t>
      </w:r>
    </w:p>
    <w:p>
      <w:pPr>
        <w:spacing w:line="360" w:lineRule="auto"/>
        <w:jc w:val="both"/>
        <w:rPr>
          <w:highlight w:val="none"/>
        </w:rPr>
      </w:pPr>
      <w:bookmarkStart w:id="25" w:name="OLE_LINK52"/>
      <w:bookmarkStart w:id="26" w:name="OLE_LINK53"/>
      <w:r>
        <w:rPr>
          <w:rFonts w:ascii="Book Antiqua" w:hAnsi="Book Antiqua" w:eastAsia="Book Antiqua" w:cs="Book Antiqua"/>
          <w:color w:val="000000"/>
          <w:highlight w:val="none"/>
        </w:rPr>
        <w:t>The dopaminergic system is a part of the brain that plays a key role in the control of locomotor activity, stress reactions, aggressive behavior, and mechanisms of the formation of dependence in humans and animals</w:t>
      </w:r>
      <w:r>
        <w:rPr>
          <w:rFonts w:ascii="Book Antiqua" w:hAnsi="Book Antiqua" w:eastAsia="Book Antiqua" w:cs="Book Antiqua"/>
          <w:color w:val="000000"/>
          <w:szCs w:val="20"/>
          <w:highlight w:val="none"/>
          <w:vertAlign w:val="superscript"/>
        </w:rPr>
        <w:t>[1,2]</w:t>
      </w:r>
      <w:r>
        <w:rPr>
          <w:rFonts w:ascii="Book Antiqua" w:hAnsi="Book Antiqua" w:eastAsia="Book Antiqua" w:cs="Book Antiqua"/>
          <w:color w:val="000000"/>
          <w:highlight w:val="none"/>
        </w:rPr>
        <w:t>. Dopaminergic neurotoxicity is characterized by damage and death of dopaminergic neurons. The contribution of dopaminergic neurotoxicity to the pathogenesis of several disorders of the central nervous system (CNS), such as Parkinson's disease (PD)</w:t>
      </w:r>
      <w:r>
        <w:rPr>
          <w:rFonts w:ascii="Book Antiqua" w:hAnsi="Book Antiqua" w:eastAsia="Book Antiqua" w:cs="Book Antiqua"/>
          <w:color w:val="000000"/>
          <w:szCs w:val="20"/>
          <w:highlight w:val="none"/>
          <w:vertAlign w:val="superscript"/>
        </w:rPr>
        <w:t>[3,4]</w:t>
      </w:r>
      <w:r>
        <w:rPr>
          <w:rFonts w:ascii="Book Antiqua" w:hAnsi="Book Antiqua" w:eastAsia="Book Antiqua" w:cs="Book Antiqua"/>
          <w:color w:val="000000"/>
          <w:highlight w:val="none"/>
        </w:rPr>
        <w:t>, T</w:t>
      </w:r>
      <w:r>
        <w:rPr>
          <w:rFonts w:ascii="Book Antiqua" w:hAnsi="Book Antiqua" w:eastAsia="Book Antiqua" w:cs="Book Antiqua"/>
          <w:color w:val="000000"/>
          <w:highlight w:val="none"/>
          <w:shd w:val="clear" w:color="auto" w:fill="FFFFFF"/>
        </w:rPr>
        <w:t>ourette syndrome</w:t>
      </w:r>
      <w:r>
        <w:rPr>
          <w:rFonts w:ascii="Book Antiqua" w:hAnsi="Book Antiqua" w:eastAsia="Book Antiqua" w:cs="Book Antiqua"/>
          <w:color w:val="000000"/>
          <w:szCs w:val="20"/>
          <w:highlight w:val="none"/>
          <w:vertAlign w:val="superscript"/>
        </w:rPr>
        <w:t>[5]</w:t>
      </w:r>
      <w:r>
        <w:rPr>
          <w:rFonts w:ascii="Book Antiqua" w:hAnsi="Book Antiqua" w:eastAsia="Book Antiqua" w:cs="Book Antiqua"/>
          <w:color w:val="000000"/>
          <w:highlight w:val="none"/>
        </w:rPr>
        <w:t>, drug abuse</w:t>
      </w:r>
      <w:r>
        <w:rPr>
          <w:rFonts w:ascii="Book Antiqua" w:hAnsi="Book Antiqua" w:eastAsia="Book Antiqua" w:cs="Book Antiqua"/>
          <w:color w:val="000000"/>
          <w:szCs w:val="20"/>
          <w:highlight w:val="none"/>
          <w:vertAlign w:val="superscript"/>
        </w:rPr>
        <w:t>[6,7]</w:t>
      </w:r>
      <w:r>
        <w:rPr>
          <w:rFonts w:ascii="Book Antiqua" w:hAnsi="Book Antiqua" w:eastAsia="Book Antiqua" w:cs="Book Antiqua"/>
          <w:color w:val="000000"/>
          <w:highlight w:val="none"/>
        </w:rPr>
        <w:t>, and schizophrenia</w:t>
      </w:r>
      <w:r>
        <w:rPr>
          <w:rFonts w:ascii="Book Antiqua" w:hAnsi="Book Antiqua" w:eastAsia="Book Antiqua" w:cs="Book Antiqua"/>
          <w:color w:val="000000"/>
          <w:szCs w:val="20"/>
          <w:highlight w:val="none"/>
          <w:vertAlign w:val="superscript"/>
        </w:rPr>
        <w:t>[8,9]</w:t>
      </w:r>
      <w:r>
        <w:rPr>
          <w:rFonts w:ascii="Book Antiqua" w:hAnsi="Book Antiqua" w:eastAsia="Book Antiqua" w:cs="Book Antiqua"/>
          <w:color w:val="000000"/>
          <w:highlight w:val="none"/>
        </w:rPr>
        <w:t>, has been postulated. Currently, neurodegenerative diseases are a major cause of disability around the world. PD is the second-leading cause of neurodegenerative disorder after Alzheimer's disease (AD)</w:t>
      </w:r>
      <w:r>
        <w:rPr>
          <w:rFonts w:ascii="Book Antiqua" w:hAnsi="Book Antiqua" w:eastAsia="Book Antiqua" w:cs="Book Antiqua"/>
          <w:color w:val="000000"/>
          <w:szCs w:val="20"/>
          <w:highlight w:val="none"/>
          <w:vertAlign w:val="superscript"/>
        </w:rPr>
        <w:t>[4]</w:t>
      </w:r>
      <w:r>
        <w:rPr>
          <w:rFonts w:ascii="Book Antiqua" w:hAnsi="Book Antiqua" w:eastAsia="Book Antiqua" w:cs="Book Antiqua"/>
          <w:color w:val="000000"/>
          <w:highlight w:val="none"/>
        </w:rPr>
        <w:t>.</w:t>
      </w:r>
      <w:r>
        <w:rPr>
          <w:rFonts w:ascii="Book Antiqua" w:hAnsi="Book Antiqua" w:eastAsia="Book Antiqua" w:cs="Book Antiqua"/>
          <w:i/>
          <w:iCs/>
          <w:color w:val="000000"/>
          <w:highlight w:val="none"/>
        </w:rPr>
        <w:t xml:space="preserve"> </w:t>
      </w:r>
      <w:r>
        <w:rPr>
          <w:rFonts w:ascii="Book Antiqua" w:hAnsi="Book Antiqua" w:eastAsia="Book Antiqua" w:cs="Book Antiqua"/>
          <w:color w:val="000000"/>
          <w:highlight w:val="none"/>
        </w:rPr>
        <w:t>PD is manifested primarily by movement disturbances. Mental health disorders are also a serious nonmotor feature of PD</w:t>
      </w:r>
      <w:r>
        <w:rPr>
          <w:rFonts w:ascii="Book Antiqua" w:hAnsi="Book Antiqua" w:eastAsia="Book Antiqua" w:cs="Book Antiqua"/>
          <w:color w:val="000000"/>
          <w:szCs w:val="30"/>
          <w:highlight w:val="none"/>
          <w:vertAlign w:val="superscript"/>
        </w:rPr>
        <w:t>[10,11]</w:t>
      </w:r>
      <w:r>
        <w:rPr>
          <w:rFonts w:ascii="Book Antiqua" w:hAnsi="Book Antiqua" w:eastAsia="Book Antiqua" w:cs="Book Antiqua"/>
          <w:color w:val="000000"/>
          <w:highlight w:val="none"/>
        </w:rPr>
        <w:t>. Thus, psychotic symptoms are not uncommon among individuals with PD, with a prevalence rate of approximately 25%-30%</w:t>
      </w:r>
      <w:r>
        <w:rPr>
          <w:rFonts w:ascii="Book Antiqua" w:hAnsi="Book Antiqua" w:eastAsia="Book Antiqua" w:cs="Book Antiqua"/>
          <w:color w:val="000000"/>
          <w:szCs w:val="20"/>
          <w:highlight w:val="none"/>
          <w:vertAlign w:val="superscript"/>
        </w:rPr>
        <w:t>[12,13]</w:t>
      </w:r>
      <w:r>
        <w:rPr>
          <w:rFonts w:ascii="Book Antiqua" w:hAnsi="Book Antiqua" w:eastAsia="Book Antiqua" w:cs="Book Antiqua"/>
          <w:color w:val="000000"/>
          <w:highlight w:val="none"/>
        </w:rPr>
        <w:t>. In this regard, the study of mechanisms, as well as the search for ways to prevent and treat PD, is not only an important medical problem but also a social problem</w:t>
      </w:r>
      <w:r>
        <w:rPr>
          <w:rFonts w:ascii="Book Antiqua" w:hAnsi="Book Antiqua" w:eastAsia="Book Antiqua" w:cs="Book Antiqua"/>
          <w:color w:val="000000"/>
          <w:highlight w:val="none"/>
          <w:vertAlign w:val="superscript"/>
        </w:rPr>
        <w:t>[14]</w:t>
      </w:r>
      <w:r>
        <w:rPr>
          <w:rFonts w:ascii="Book Antiqua" w:hAnsi="Book Antiqua" w:eastAsia="Book Antiqua" w:cs="Book Antiqua"/>
          <w:color w:val="000000"/>
          <w:highlight w:val="none"/>
        </w:rPr>
        <w:t>.</w:t>
      </w:r>
    </w:p>
    <w:p>
      <w:pPr>
        <w:spacing w:line="360" w:lineRule="auto"/>
        <w:ind w:firstLine="240" w:firstLineChars="100"/>
        <w:jc w:val="both"/>
        <w:rPr>
          <w:rFonts w:ascii="Book Antiqua" w:hAnsi="Book Antiqua" w:cs="Book Antiqua"/>
          <w:color w:val="000000"/>
          <w:highlight w:val="none"/>
          <w:lang w:eastAsia="zh-CN"/>
        </w:rPr>
      </w:pPr>
      <w:r>
        <w:rPr>
          <w:rFonts w:ascii="Book Antiqua" w:hAnsi="Book Antiqua" w:eastAsia="Book Antiqua" w:cs="Book Antiqua"/>
          <w:color w:val="000000"/>
          <w:highlight w:val="none"/>
        </w:rPr>
        <w:t>A growing body of evidence has demonstrated that glutamatergic neurotransmission plays an important role in the mechanisms of dopaminergic brain damage</w:t>
      </w:r>
      <w:r>
        <w:rPr>
          <w:rFonts w:ascii="Book Antiqua" w:hAnsi="Book Antiqua" w:eastAsia="Book Antiqua" w:cs="Book Antiqua"/>
          <w:color w:val="000000"/>
          <w:szCs w:val="20"/>
          <w:highlight w:val="none"/>
          <w:vertAlign w:val="superscript"/>
        </w:rPr>
        <w:t>[15,16]</w:t>
      </w:r>
      <w:r>
        <w:rPr>
          <w:rFonts w:ascii="Book Antiqua" w:hAnsi="Book Antiqua" w:eastAsia="Book Antiqua" w:cs="Book Antiqua"/>
          <w:color w:val="000000"/>
          <w:highlight w:val="none"/>
        </w:rPr>
        <w:t>. Previous studies have shown that modulation of metabotropic glutamate receptors (mGluRs) may be considered a more promising way to alter the activity of the brain glutamatergic system than direct action on ionotropic glutamate receptors of the N-methyl-D-aspartate and amino</w:t>
      </w:r>
      <w:r>
        <w:rPr>
          <w:rFonts w:ascii="Book Antiqua" w:hAnsi="Book Antiqua" w:cs="Book Antiqua"/>
          <w:color w:val="000000"/>
          <w:highlight w:val="none"/>
          <w:lang w:eastAsia="zh-CN"/>
        </w:rPr>
        <w:t>-</w:t>
      </w:r>
      <w:r>
        <w:rPr>
          <w:rFonts w:ascii="Book Antiqua" w:hAnsi="Book Antiqua" w:eastAsia="Book Antiqua" w:cs="Book Antiqua"/>
          <w:color w:val="000000"/>
          <w:highlight w:val="none"/>
        </w:rPr>
        <w:t>methyl</w:t>
      </w:r>
      <w:r>
        <w:rPr>
          <w:rFonts w:ascii="Book Antiqua" w:hAnsi="Book Antiqua" w:cs="Book Antiqua"/>
          <w:color w:val="000000"/>
          <w:highlight w:val="none"/>
          <w:lang w:eastAsia="zh-CN"/>
        </w:rPr>
        <w:t>-</w:t>
      </w:r>
      <w:r>
        <w:rPr>
          <w:rFonts w:ascii="Book Antiqua" w:hAnsi="Book Antiqua" w:eastAsia="Book Antiqua" w:cs="Book Antiqua"/>
          <w:color w:val="000000"/>
          <w:highlight w:val="none"/>
        </w:rPr>
        <w:t>phosphonic acid subtypes</w:t>
      </w:r>
      <w:r>
        <w:rPr>
          <w:rFonts w:ascii="Book Antiqua" w:hAnsi="Book Antiqua" w:eastAsia="Book Antiqua" w:cs="Book Antiqua"/>
          <w:color w:val="000000"/>
          <w:szCs w:val="20"/>
          <w:highlight w:val="none"/>
          <w:vertAlign w:val="superscript"/>
        </w:rPr>
        <w:t>[17]</w:t>
      </w:r>
      <w:r>
        <w:rPr>
          <w:rFonts w:ascii="Book Antiqua" w:hAnsi="Book Antiqua" w:eastAsia="Book Antiqua" w:cs="Book Antiqua"/>
          <w:color w:val="000000"/>
          <w:highlight w:val="none"/>
        </w:rPr>
        <w:t>. However, the neurochemical and neuropsychological effects of mGluRs on dopaminergic neurotoxicity remain poorly understood.</w:t>
      </w:r>
    </w:p>
    <w:p>
      <w:pPr>
        <w:spacing w:line="360" w:lineRule="auto"/>
        <w:ind w:firstLine="240" w:firstLineChars="100"/>
        <w:jc w:val="both"/>
        <w:rPr>
          <w:highlight w:val="none"/>
        </w:rPr>
      </w:pPr>
      <w:r>
        <w:rPr>
          <w:rFonts w:ascii="Book Antiqua" w:hAnsi="Book Antiqua" w:eastAsia="Book Antiqua" w:cs="Book Antiqua"/>
          <w:color w:val="000000"/>
          <w:highlight w:val="none"/>
        </w:rPr>
        <w:t>The association between the neurotransmitter function of glutamate and the formation of neuronal messenger nitric oxide (NO) has received increased attention in recent years. NO is considered to be the first representative of a novel family of signaling molecules with neurotransmitter properties</w:t>
      </w:r>
      <w:r>
        <w:rPr>
          <w:rFonts w:ascii="Book Antiqua" w:hAnsi="Book Antiqua" w:eastAsia="Book Antiqua" w:cs="Book Antiqua"/>
          <w:color w:val="000000"/>
          <w:szCs w:val="20"/>
          <w:highlight w:val="none"/>
          <w:vertAlign w:val="superscript"/>
        </w:rPr>
        <w:t>[18,19]</w:t>
      </w:r>
      <w:r>
        <w:rPr>
          <w:rFonts w:ascii="Book Antiqua" w:hAnsi="Book Antiqua" w:eastAsia="Book Antiqua" w:cs="Book Antiqua"/>
          <w:color w:val="000000"/>
          <w:highlight w:val="none"/>
        </w:rPr>
        <w:t>. NO is a labile free radical that is involved in many physiological processes</w:t>
      </w:r>
      <w:r>
        <w:rPr>
          <w:rFonts w:ascii="Book Antiqua" w:hAnsi="Book Antiqua" w:eastAsia="Book Antiqua" w:cs="Book Antiqua"/>
          <w:color w:val="000000"/>
          <w:szCs w:val="20"/>
          <w:highlight w:val="none"/>
          <w:vertAlign w:val="superscript"/>
        </w:rPr>
        <w:t>[20]</w:t>
      </w:r>
      <w:r>
        <w:rPr>
          <w:rFonts w:ascii="Book Antiqua" w:hAnsi="Book Antiqua" w:eastAsia="Book Antiqua" w:cs="Book Antiqua"/>
          <w:color w:val="000000"/>
          <w:highlight w:val="none"/>
        </w:rPr>
        <w:t>. It is assumed that together with some important physiological functions in the CNS, NO can have either neuroprotective or neurotoxic actions, depending on its redox state</w:t>
      </w:r>
      <w:r>
        <w:rPr>
          <w:rFonts w:ascii="Book Antiqua" w:hAnsi="Book Antiqua" w:eastAsia="Book Antiqua" w:cs="Book Antiqua"/>
          <w:color w:val="000000"/>
          <w:szCs w:val="20"/>
          <w:highlight w:val="none"/>
          <w:vertAlign w:val="superscript"/>
        </w:rPr>
        <w:t>[21]</w:t>
      </w:r>
      <w:r>
        <w:rPr>
          <w:rFonts w:ascii="Book Antiqua" w:hAnsi="Book Antiqua" w:eastAsia="Book Antiqua" w:cs="Book Antiqua"/>
          <w:color w:val="000000"/>
          <w:highlight w:val="none"/>
        </w:rPr>
        <w:t>. There are growing numbers of studies concerning the involvement of NO in the mechanisms of dopaminergic neurotoxicity</w:t>
      </w:r>
      <w:r>
        <w:rPr>
          <w:rFonts w:ascii="Book Antiqua" w:hAnsi="Book Antiqua" w:eastAsia="Book Antiqua" w:cs="Book Antiqua"/>
          <w:color w:val="000000"/>
          <w:szCs w:val="20"/>
          <w:highlight w:val="none"/>
          <w:vertAlign w:val="superscript"/>
        </w:rPr>
        <w:t>[22-24]</w:t>
      </w:r>
      <w:r>
        <w:rPr>
          <w:rFonts w:ascii="Book Antiqua" w:hAnsi="Book Antiqua" w:eastAsia="Book Antiqua" w:cs="Book Antiqua"/>
          <w:color w:val="000000"/>
          <w:highlight w:val="none"/>
        </w:rPr>
        <w:t xml:space="preserve">. Measurement of NO is technically difficult due to its rapid chemical reactions with a wide range of molecules, such as free radicals, metals, thiols, </w:t>
      </w:r>
      <w:r>
        <w:rPr>
          <w:rFonts w:ascii="Book Antiqua" w:hAnsi="Book Antiqua" w:eastAsia="Book Antiqua" w:cs="Book Antiqua"/>
          <w:i/>
          <w:iCs/>
          <w:color w:val="000000"/>
          <w:highlight w:val="none"/>
        </w:rPr>
        <w:t>etc</w:t>
      </w:r>
      <w:r>
        <w:rPr>
          <w:rFonts w:ascii="Book Antiqua" w:hAnsi="Book Antiqua" w:eastAsia="Book Antiqua" w:cs="Book Antiqua"/>
          <w:color w:val="000000"/>
          <w:szCs w:val="20"/>
          <w:highlight w:val="none"/>
          <w:vertAlign w:val="superscript"/>
        </w:rPr>
        <w:t>[25]</w:t>
      </w:r>
      <w:r>
        <w:rPr>
          <w:rFonts w:ascii="Book Antiqua" w:hAnsi="Book Antiqua" w:eastAsia="Book Antiqua" w:cs="Book Antiqua"/>
          <w:color w:val="000000"/>
          <w:highlight w:val="none"/>
        </w:rPr>
        <w:t xml:space="preserve">. Thus, </w:t>
      </w:r>
      <w:r>
        <w:rPr>
          <w:rFonts w:ascii="Book Antiqua" w:hAnsi="Book Antiqua" w:eastAsia="Book Antiqua" w:cs="Book Antiqua"/>
          <w:color w:val="000000"/>
          <w:highlight w:val="none"/>
          <w:shd w:val="clear" w:color="auto" w:fill="FFFFFF"/>
        </w:rPr>
        <w:t>accurate detection and quantification are critical to understanding health and disease</w:t>
      </w:r>
      <w:r>
        <w:rPr>
          <w:rFonts w:ascii="Book Antiqua" w:hAnsi="Book Antiqua" w:eastAsia="Book Antiqua" w:cs="Book Antiqua"/>
          <w:color w:val="000000"/>
          <w:szCs w:val="20"/>
          <w:highlight w:val="none"/>
          <w:vertAlign w:val="superscript"/>
        </w:rPr>
        <w:t>[26]</w:t>
      </w:r>
      <w:r>
        <w:rPr>
          <w:rFonts w:ascii="Book Antiqua" w:hAnsi="Book Antiqua" w:eastAsia="Book Antiqua" w:cs="Book Antiqua"/>
          <w:color w:val="000000"/>
          <w:highlight w:val="none"/>
          <w:shd w:val="clear" w:color="auto" w:fill="FFFFFF"/>
        </w:rPr>
        <w:t xml:space="preserve">. </w:t>
      </w:r>
      <w:r>
        <w:rPr>
          <w:rFonts w:ascii="Book Antiqua" w:hAnsi="Book Antiqua" w:eastAsia="Book Antiqua" w:cs="Book Antiqua"/>
          <w:color w:val="000000"/>
          <w:highlight w:val="none"/>
        </w:rPr>
        <w:t>Most of the NO measurement techniques in the literature are indirect</w:t>
      </w:r>
      <w:r>
        <w:rPr>
          <w:rFonts w:ascii="Book Antiqua" w:hAnsi="Book Antiqua" w:eastAsia="Book Antiqua" w:cs="Book Antiqua"/>
          <w:color w:val="000000"/>
          <w:szCs w:val="20"/>
          <w:highlight w:val="none"/>
          <w:vertAlign w:val="superscript"/>
        </w:rPr>
        <w:t>[27,28]</w:t>
      </w:r>
      <w:r>
        <w:rPr>
          <w:rFonts w:ascii="Book Antiqua" w:hAnsi="Book Antiqua" w:eastAsia="Book Antiqua" w:cs="Book Antiqua"/>
          <w:color w:val="000000"/>
          <w:highlight w:val="none"/>
        </w:rPr>
        <w:t xml:space="preserve">. In our work, we used the direct </w:t>
      </w:r>
      <w:bookmarkStart w:id="27" w:name="OLE_LINK30"/>
      <w:bookmarkStart w:id="28" w:name="OLE_LINK31"/>
      <w:r>
        <w:rPr>
          <w:rFonts w:ascii="Book Antiqua" w:hAnsi="Book Antiqua" w:eastAsia="Book Antiqua" w:cs="Book Antiqua"/>
          <w:color w:val="000000"/>
          <w:highlight w:val="none"/>
        </w:rPr>
        <w:t>electron paramagnetic resonance</w:t>
      </w:r>
      <w:bookmarkEnd w:id="27"/>
      <w:bookmarkEnd w:id="28"/>
      <w:r>
        <w:rPr>
          <w:rFonts w:ascii="Book Antiqua" w:hAnsi="Book Antiqua" w:eastAsia="Book Antiqua" w:cs="Book Antiqua"/>
          <w:color w:val="000000"/>
          <w:highlight w:val="none"/>
        </w:rPr>
        <w:t xml:space="preserve"> (EPR) method, which allows us to estimate the generation of NO radicals directly in brain tissue</w:t>
      </w:r>
      <w:r>
        <w:rPr>
          <w:rFonts w:ascii="Book Antiqua" w:hAnsi="Book Antiqua" w:eastAsia="Book Antiqua" w:cs="Book Antiqua"/>
          <w:color w:val="000000"/>
          <w:szCs w:val="30"/>
          <w:highlight w:val="none"/>
          <w:vertAlign w:val="superscript"/>
        </w:rPr>
        <w:t>[29-</w:t>
      </w:r>
      <w:r>
        <w:rPr>
          <w:highlight w:val="none"/>
        </w:rPr>
        <w:fldChar w:fldCharType="begin"/>
      </w:r>
      <w:r>
        <w:rPr>
          <w:highlight w:val="none"/>
        </w:rPr>
        <w:instrText xml:space="preserve"> HYPERLINK "https://www.wjgnet.com/2220-3206/full/v10/i4/34.htm" \l "B23" </w:instrText>
      </w:r>
      <w:r>
        <w:rPr>
          <w:highlight w:val="none"/>
        </w:rPr>
        <w:fldChar w:fldCharType="separate"/>
      </w:r>
      <w:r>
        <w:rPr>
          <w:rFonts w:ascii="Book Antiqua" w:hAnsi="Book Antiqua" w:eastAsia="Book Antiqua" w:cs="Book Antiqua"/>
          <w:color w:val="000000"/>
          <w:highlight w:val="none"/>
          <w:vertAlign w:val="superscript"/>
        </w:rPr>
        <w:t>3</w:t>
      </w:r>
      <w:r>
        <w:rPr>
          <w:rFonts w:ascii="Book Antiqua" w:hAnsi="Book Antiqua" w:eastAsia="Book Antiqua" w:cs="Book Antiqua"/>
          <w:color w:val="000000"/>
          <w:highlight w:val="none"/>
          <w:vertAlign w:val="superscript"/>
        </w:rPr>
        <w:fldChar w:fldCharType="end"/>
      </w:r>
      <w:r>
        <w:rPr>
          <w:rStyle w:val="11"/>
          <w:rFonts w:ascii="Book Antiqua" w:hAnsi="Book Antiqua" w:eastAsia="Book Antiqua" w:cs="Book Antiqua"/>
          <w:color w:val="000000"/>
          <w:highlight w:val="none"/>
          <w:vertAlign w:val="superscript"/>
        </w:rPr>
        <w:t>1</w:t>
      </w:r>
      <w:r>
        <w:rPr>
          <w:rFonts w:ascii="Book Antiqua" w:hAnsi="Book Antiqua" w:eastAsia="Book Antiqua" w:cs="Book Antiqua"/>
          <w:color w:val="000000"/>
          <w:highlight w:val="none"/>
          <w:vertAlign w:val="superscript"/>
        </w:rPr>
        <w:t>]</w:t>
      </w:r>
      <w:r>
        <w:rPr>
          <w:rFonts w:ascii="Book Antiqua" w:hAnsi="Book Antiqua" w:eastAsia="Book Antiqua" w:cs="Book Antiqua"/>
          <w:color w:val="000000"/>
          <w:highlight w:val="none"/>
        </w:rPr>
        <w:t xml:space="preserve">. </w:t>
      </w:r>
      <w:r>
        <w:rPr>
          <w:rFonts w:ascii="Book Antiqua" w:hAnsi="Book Antiqua" w:eastAsia="Book Antiqua" w:cs="Book Antiqua"/>
          <w:color w:val="000000"/>
          <w:highlight w:val="none"/>
          <w:shd w:val="clear" w:color="auto" w:fill="FFFFFF"/>
        </w:rPr>
        <w:t xml:space="preserve">The current paper aims to review the involvement of mGluRs and the contribution of NO </w:t>
      </w:r>
      <w:r>
        <w:rPr>
          <w:rFonts w:ascii="Book Antiqua" w:hAnsi="Book Antiqua" w:eastAsia="Book Antiqua" w:cs="Book Antiqua"/>
          <w:color w:val="000000"/>
          <w:highlight w:val="none"/>
        </w:rPr>
        <w:t>to</w:t>
      </w:r>
      <w:r>
        <w:rPr>
          <w:rFonts w:ascii="Book Antiqua" w:hAnsi="Book Antiqua" w:eastAsia="Book Antiqua" w:cs="Book Antiqua"/>
          <w:color w:val="000000"/>
          <w:highlight w:val="none"/>
          <w:shd w:val="clear" w:color="auto" w:fill="FFFFFF"/>
        </w:rPr>
        <w:t xml:space="preserve"> dopaminergic neurotoxicity. More precisely, we focused on studies conducted on the </w:t>
      </w:r>
      <w:r>
        <w:rPr>
          <w:rFonts w:ascii="Book Antiqua" w:hAnsi="Book Antiqua" w:eastAsia="Book Antiqua" w:cs="Book Antiqua"/>
          <w:color w:val="000000"/>
          <w:highlight w:val="none"/>
        </w:rPr>
        <w:t>rotenone-induced Parkinson's disease model. This review is also an outline of our own results obtained using the EPR method, which allows quantitation of NO radicals in brain structures.</w:t>
      </w:r>
      <w:bookmarkEnd w:id="25"/>
      <w:bookmarkEnd w:id="26"/>
    </w:p>
    <w:p>
      <w:pPr>
        <w:spacing w:line="360" w:lineRule="auto"/>
        <w:jc w:val="both"/>
        <w:rPr>
          <w:highlight w:val="none"/>
        </w:rPr>
      </w:pPr>
    </w:p>
    <w:p>
      <w:pPr>
        <w:spacing w:line="360" w:lineRule="auto"/>
        <w:jc w:val="both"/>
        <w:rPr>
          <w:highlight w:val="none"/>
        </w:rPr>
      </w:pPr>
      <w:bookmarkStart w:id="29" w:name="OLE_LINK54"/>
      <w:bookmarkStart w:id="30" w:name="OLE_LINK55"/>
      <w:r>
        <w:rPr>
          <w:rFonts w:ascii="Book Antiqua" w:hAnsi="Book Antiqua" w:eastAsia="Book Antiqua" w:cs="Book Antiqua"/>
          <w:b/>
          <w:bCs/>
          <w:caps/>
          <w:color w:val="000000"/>
          <w:highlight w:val="none"/>
          <w:u w:val="single"/>
        </w:rPr>
        <w:t>MODELS OF DOPAMINERGIC NEUROTOXICITY</w:t>
      </w:r>
    </w:p>
    <w:bookmarkEnd w:id="29"/>
    <w:bookmarkEnd w:id="30"/>
    <w:p>
      <w:pPr>
        <w:spacing w:line="360" w:lineRule="auto"/>
        <w:jc w:val="both"/>
        <w:rPr>
          <w:highlight w:val="none"/>
        </w:rPr>
      </w:pPr>
      <w:bookmarkStart w:id="31" w:name="OLE_LINK56"/>
      <w:bookmarkStart w:id="32" w:name="OLE_LINK57"/>
      <w:r>
        <w:rPr>
          <w:rFonts w:ascii="Book Antiqua" w:hAnsi="Book Antiqua" w:eastAsia="Book Antiqua" w:cs="Book Antiqua"/>
          <w:color w:val="000000"/>
          <w:highlight w:val="none"/>
        </w:rPr>
        <w:t>The use of animal models to study neurological diseases associated with dopaminergic neurotoxicity allows for in-depth study of their neuropathophysiology</w:t>
      </w:r>
      <w:r>
        <w:rPr>
          <w:rFonts w:ascii="Book Antiqua" w:hAnsi="Book Antiqua" w:eastAsia="Book Antiqua" w:cs="Book Antiqua"/>
          <w:color w:val="000000"/>
          <w:highlight w:val="none"/>
          <w:vertAlign w:val="superscript"/>
        </w:rPr>
        <w:t>[32,33]</w:t>
      </w:r>
      <w:r>
        <w:rPr>
          <w:rFonts w:ascii="Book Antiqua" w:hAnsi="Book Antiqua" w:eastAsia="Book Antiqua" w:cs="Book Antiqua"/>
          <w:color w:val="000000"/>
          <w:highlight w:val="none"/>
        </w:rPr>
        <w:t>. Pathologically, the hallmark of idiopathic PD is the loss of dopaminergic neurons in the substantia nigra (SN). However, in the absence of nigral involvement, noncatecholaminergic neurons are also affected</w:t>
      </w:r>
      <w:r>
        <w:rPr>
          <w:rFonts w:ascii="Book Antiqua" w:hAnsi="Book Antiqua" w:eastAsia="Book Antiqua" w:cs="Book Antiqua"/>
          <w:color w:val="000000"/>
          <w:highlight w:val="none"/>
          <w:vertAlign w:val="superscript"/>
        </w:rPr>
        <w:t>[34]</w:t>
      </w:r>
      <w:r>
        <w:rPr>
          <w:rFonts w:ascii="Book Antiqua" w:hAnsi="Book Antiqua" w:eastAsia="Book Antiqua" w:cs="Book Antiqua"/>
          <w:color w:val="000000"/>
          <w:highlight w:val="none"/>
        </w:rPr>
        <w:t>. Agents that selectively damage or disrupt catecholaminergic systems, such as reserpine, methamphetamine (METH), 6-hydroxydopamine (6-OHDA), and 1-methyl-4-phenyl-1,2,3,6-tetrahydropyridine (MPTP), have been used to develop PD models of PD</w:t>
      </w:r>
      <w:r>
        <w:rPr>
          <w:rFonts w:ascii="Book Antiqua" w:hAnsi="Book Antiqua" w:eastAsia="Book Antiqua" w:cs="Book Antiqua"/>
          <w:color w:val="000000"/>
          <w:highlight w:val="none"/>
          <w:vertAlign w:val="superscript"/>
        </w:rPr>
        <w:t>[35,36]</w:t>
      </w:r>
      <w:r>
        <w:rPr>
          <w:rFonts w:ascii="Book Antiqua" w:hAnsi="Book Antiqua" w:eastAsia="Book Antiqua" w:cs="Book Antiqua"/>
          <w:color w:val="000000"/>
          <w:highlight w:val="none"/>
        </w:rPr>
        <w:t>. Based on experimental and clinical evidence, PD was the first neurological disease to be modeled and subsequently treated with neurotransmitter replacement therapy</w:t>
      </w:r>
      <w:r>
        <w:rPr>
          <w:rFonts w:ascii="Book Antiqua" w:hAnsi="Book Antiqua" w:eastAsia="Book Antiqua" w:cs="Book Antiqua"/>
          <w:color w:val="000000"/>
          <w:highlight w:val="none"/>
          <w:vertAlign w:val="superscript"/>
        </w:rPr>
        <w:t>[35]</w:t>
      </w:r>
      <w:r>
        <w:rPr>
          <w:rFonts w:ascii="Book Antiqua" w:hAnsi="Book Antiqua" w:eastAsia="Book Antiqua" w:cs="Book Antiqua"/>
          <w:color w:val="000000"/>
          <w:highlight w:val="none"/>
        </w:rPr>
        <w:t xml:space="preserve">. Recent studies have shown that nigrostriatal dopamine degeneration can be induced </w:t>
      </w:r>
      <w:r>
        <w:rPr>
          <w:rFonts w:ascii="Book Antiqua" w:hAnsi="Book Antiqua" w:eastAsia="Book Antiqua" w:cs="Book Antiqua"/>
          <w:i/>
          <w:iCs/>
          <w:color w:val="000000"/>
          <w:highlight w:val="none"/>
        </w:rPr>
        <w:t>via</w:t>
      </w:r>
      <w:r>
        <w:rPr>
          <w:rFonts w:ascii="Book Antiqua" w:hAnsi="Book Antiqua" w:eastAsia="Book Antiqua" w:cs="Book Antiqua"/>
          <w:color w:val="000000"/>
          <w:highlight w:val="none"/>
        </w:rPr>
        <w:t xml:space="preserve"> overexpression of α-synuclein using viral vectors or transgenic techniques. In addition, protein aggregation pathology can be triggered by inoculating preformed fibrils of α-synuclein in the SN or the striatum</w:t>
      </w:r>
      <w:r>
        <w:rPr>
          <w:rFonts w:ascii="Book Antiqua" w:hAnsi="Book Antiqua" w:eastAsia="Book Antiqua" w:cs="Book Antiqua"/>
          <w:color w:val="000000"/>
          <w:highlight w:val="none"/>
          <w:vertAlign w:val="superscript"/>
        </w:rPr>
        <w:t>[37,38]</w:t>
      </w:r>
      <w:r>
        <w:rPr>
          <w:rFonts w:ascii="Book Antiqua" w:hAnsi="Book Antiqua" w:eastAsia="Book Antiqua" w:cs="Book Antiqua"/>
          <w:color w:val="000000"/>
          <w:highlight w:val="none"/>
        </w:rPr>
        <w:t>. Transgenic animals that overexpress α-synuclein were used to study the role of this protein in dopaminergic degeneration</w:t>
      </w:r>
      <w:r>
        <w:rPr>
          <w:rFonts w:ascii="Book Antiqua" w:hAnsi="Book Antiqua" w:eastAsia="Book Antiqua" w:cs="Book Antiqua"/>
          <w:color w:val="000000"/>
          <w:highlight w:val="none"/>
          <w:vertAlign w:val="superscript"/>
        </w:rPr>
        <w:t>[39,40]</w:t>
      </w:r>
      <w:r>
        <w:rPr>
          <w:rFonts w:ascii="Book Antiqua" w:hAnsi="Book Antiqua" w:eastAsia="Book Antiqua" w:cs="Book Antiqua"/>
          <w:color w:val="000000"/>
          <w:highlight w:val="none"/>
        </w:rPr>
        <w:t>. Nevertheless, although transgenic models offer insight into the causes of the pathogenesis of PD or Lewy body (LB)-like formation, the lack of sequential loss of neurons in the SNc remains a major limitation for these models</w:t>
      </w:r>
      <w:r>
        <w:rPr>
          <w:rFonts w:ascii="Book Antiqua" w:hAnsi="Book Antiqua" w:eastAsia="Book Antiqua" w:cs="Book Antiqua"/>
          <w:color w:val="000000"/>
          <w:highlight w:val="none"/>
          <w:vertAlign w:val="superscript"/>
        </w:rPr>
        <w:t>[40]</w:t>
      </w:r>
      <w:r>
        <w:rPr>
          <w:rFonts w:ascii="Book Antiqua" w:hAnsi="Book Antiqua" w:eastAsia="Book Antiqua" w:cs="Book Antiqua"/>
          <w:color w:val="000000"/>
          <w:highlight w:val="none"/>
        </w:rPr>
        <w:t>. Conversely, toxin-based models recreate selective nigrostriatal cell death and show extensive motor dysfunction. However, these toxin models do not reproduce the extranigral degeneration that also occurs as part of the disease and lack the pathological hallmark of LB inclusions</w:t>
      </w:r>
      <w:r>
        <w:rPr>
          <w:rFonts w:ascii="Book Antiqua" w:hAnsi="Book Antiqua" w:eastAsia="Book Antiqua" w:cs="Book Antiqua"/>
          <w:color w:val="000000"/>
          <w:highlight w:val="none"/>
          <w:vertAlign w:val="superscript"/>
        </w:rPr>
        <w:t>[39,41]</w:t>
      </w:r>
      <w:r>
        <w:rPr>
          <w:rFonts w:ascii="Book Antiqua" w:hAnsi="Book Antiqua" w:eastAsia="Book Antiqua" w:cs="Book Antiqua"/>
          <w:color w:val="000000"/>
          <w:highlight w:val="none"/>
        </w:rPr>
        <w:t xml:space="preserve">. Betarbet </w:t>
      </w:r>
      <w:r>
        <w:rPr>
          <w:rFonts w:ascii="Book Antiqua" w:hAnsi="Book Antiqua" w:eastAsia="Book Antiqua" w:cs="Book Antiqua"/>
          <w:i/>
          <w:iCs/>
          <w:color w:val="000000"/>
          <w:highlight w:val="none"/>
        </w:rPr>
        <w:t>et al</w:t>
      </w:r>
      <w:r>
        <w:rPr>
          <w:rFonts w:ascii="Book Antiqua" w:hAnsi="Book Antiqua" w:eastAsia="Book Antiqua" w:cs="Book Antiqua"/>
          <w:color w:val="000000"/>
          <w:highlight w:val="none"/>
          <w:vertAlign w:val="superscript"/>
        </w:rPr>
        <w:t>[42]</w:t>
      </w:r>
      <w:r>
        <w:rPr>
          <w:rFonts w:ascii="Book Antiqua" w:hAnsi="Book Antiqua" w:eastAsia="Book Antiqua" w:cs="Book Antiqua"/>
          <w:color w:val="000000"/>
          <w:highlight w:val="none"/>
        </w:rPr>
        <w:t xml:space="preserve"> reported that chronic, systemic introduction of rotenone, an inhibitor of mitochondrial complex I, accurately replicates many aspects of the pathology of PD. Additionally, in rotenone-treated animals, α-synuclein-and polyubiquitin-positive aggregates were observed in dopamine neurons of the SN</w:t>
      </w:r>
      <w:r>
        <w:rPr>
          <w:rFonts w:ascii="Book Antiqua" w:hAnsi="Book Antiqua" w:eastAsia="Book Antiqua" w:cs="Book Antiqua"/>
          <w:color w:val="000000"/>
          <w:highlight w:val="none"/>
          <w:vertAlign w:val="superscript"/>
        </w:rPr>
        <w:t>[43,44]</w:t>
      </w:r>
      <w:r>
        <w:rPr>
          <w:rFonts w:ascii="Book Antiqua" w:hAnsi="Book Antiqua" w:eastAsia="Book Antiqua" w:cs="Book Antiqua"/>
          <w:color w:val="000000"/>
          <w:highlight w:val="none"/>
        </w:rPr>
        <w:t>. The advantages of this model include a slow and specific loss of DA neurons. The disadvantages of the model include the duration of drug administration, as well as sometimes high animal mortality</w:t>
      </w:r>
      <w:r>
        <w:rPr>
          <w:rFonts w:ascii="Book Antiqua" w:hAnsi="Book Antiqua" w:eastAsia="Book Antiqua" w:cs="Book Antiqua"/>
          <w:color w:val="000000"/>
          <w:szCs w:val="20"/>
          <w:highlight w:val="none"/>
          <w:vertAlign w:val="superscript"/>
        </w:rPr>
        <w:t>[36]</w:t>
      </w:r>
      <w:r>
        <w:rPr>
          <w:rFonts w:ascii="Book Antiqua" w:hAnsi="Book Antiqua" w:eastAsia="Book Antiqua" w:cs="Book Antiqua"/>
          <w:color w:val="000000"/>
          <w:highlight w:val="none"/>
        </w:rPr>
        <w:t>. Currently, several modifications of rotenone-induced Parkinson's disease models have been created. These modifications are different in the mode of administration as well as in the dosage and duration of treatment with rotenone</w:t>
      </w:r>
      <w:r>
        <w:rPr>
          <w:rFonts w:ascii="Book Antiqua" w:hAnsi="Book Antiqua" w:eastAsia="Book Antiqua" w:cs="Book Antiqua"/>
          <w:color w:val="000000"/>
          <w:szCs w:val="30"/>
          <w:highlight w:val="none"/>
          <w:vertAlign w:val="superscript"/>
        </w:rPr>
        <w:t>[44-46]</w:t>
      </w:r>
      <w:r>
        <w:rPr>
          <w:rFonts w:ascii="Book Antiqua" w:hAnsi="Book Antiqua" w:eastAsia="Book Antiqua" w:cs="Book Antiqua"/>
          <w:color w:val="000000"/>
          <w:highlight w:val="none"/>
        </w:rPr>
        <w:t>. The fact that rotenone is still widely used in agriculture as a pesticide increases the relevance of studying this model</w:t>
      </w:r>
      <w:r>
        <w:rPr>
          <w:rFonts w:ascii="Book Antiqua" w:hAnsi="Book Antiqua" w:eastAsia="Book Antiqua" w:cs="Book Antiqua"/>
          <w:color w:val="000000"/>
          <w:szCs w:val="30"/>
          <w:highlight w:val="none"/>
          <w:vertAlign w:val="superscript"/>
        </w:rPr>
        <w:t>[47-49]</w:t>
      </w:r>
      <w:r>
        <w:rPr>
          <w:rFonts w:ascii="Book Antiqua" w:hAnsi="Book Antiqua" w:eastAsia="Book Antiqua" w:cs="Book Antiqua"/>
          <w:color w:val="000000"/>
          <w:highlight w:val="none"/>
        </w:rPr>
        <w:t>. However, while the behavioral effects of rotenone administration are well characterized, the mechanisms of rotenone action are still poorly understood.</w:t>
      </w:r>
    </w:p>
    <w:bookmarkEnd w:id="31"/>
    <w:bookmarkEnd w:id="32"/>
    <w:p>
      <w:pPr>
        <w:spacing w:line="360" w:lineRule="auto"/>
        <w:jc w:val="both"/>
        <w:rPr>
          <w:highlight w:val="none"/>
        </w:rPr>
      </w:pPr>
    </w:p>
    <w:p>
      <w:pPr>
        <w:spacing w:line="360" w:lineRule="auto"/>
        <w:jc w:val="both"/>
        <w:rPr>
          <w:highlight w:val="none"/>
        </w:rPr>
      </w:pPr>
      <w:bookmarkStart w:id="33" w:name="OLE_LINK60"/>
      <w:bookmarkStart w:id="34" w:name="OLE_LINK58"/>
      <w:bookmarkStart w:id="35" w:name="OLE_LINK59"/>
      <w:r>
        <w:rPr>
          <w:rFonts w:ascii="Book Antiqua" w:hAnsi="Book Antiqua" w:eastAsia="Book Antiqua" w:cs="Book Antiqua"/>
          <w:b/>
          <w:bCs/>
          <w:caps/>
          <w:color w:val="000000"/>
          <w:highlight w:val="none"/>
          <w:u w:val="single"/>
        </w:rPr>
        <w:t>mGluRs IN MODELS OF DOPAMINERGIC NEUROTOXICITY</w:t>
      </w:r>
    </w:p>
    <w:bookmarkEnd w:id="33"/>
    <w:bookmarkEnd w:id="34"/>
    <w:bookmarkEnd w:id="35"/>
    <w:p>
      <w:pPr>
        <w:spacing w:line="360" w:lineRule="auto"/>
        <w:jc w:val="both"/>
        <w:rPr>
          <w:highlight w:val="none"/>
        </w:rPr>
      </w:pPr>
      <w:r>
        <w:rPr>
          <w:rFonts w:ascii="Book Antiqua" w:hAnsi="Book Antiqua" w:eastAsia="Book Antiqua" w:cs="Book Antiqua"/>
          <w:color w:val="000000"/>
          <w:highlight w:val="none"/>
        </w:rPr>
        <w:t>A significant number of studies have revealed that the excitotoxicity of glutamate contributes to the development of dopaminergic neurotoxicity</w:t>
      </w:r>
      <w:r>
        <w:rPr>
          <w:rFonts w:ascii="Book Antiqua" w:hAnsi="Book Antiqua" w:eastAsia="Book Antiqua" w:cs="Book Antiqua"/>
          <w:color w:val="000000"/>
          <w:highlight w:val="none"/>
          <w:vertAlign w:val="superscript"/>
        </w:rPr>
        <w:t>[50-52]</w:t>
      </w:r>
      <w:r>
        <w:rPr>
          <w:rFonts w:ascii="Book Antiqua" w:hAnsi="Book Antiqua" w:eastAsia="Book Antiqua" w:cs="Book Antiqua"/>
          <w:color w:val="000000"/>
          <w:highlight w:val="none"/>
        </w:rPr>
        <w:t xml:space="preserve">. </w:t>
      </w:r>
      <w:r>
        <w:rPr>
          <w:rFonts w:ascii="Book Antiqua" w:hAnsi="Book Antiqua" w:eastAsia="Book Antiqua" w:cs="Book Antiqua"/>
          <w:color w:val="000000"/>
          <w:highlight w:val="none"/>
          <w:shd w:val="clear" w:color="auto" w:fill="FFFFFF"/>
        </w:rPr>
        <w:t xml:space="preserve">It has been reported that </w:t>
      </w:r>
      <w:r>
        <w:rPr>
          <w:rFonts w:ascii="Book Antiqua" w:hAnsi="Book Antiqua" w:eastAsia="Book Antiqua" w:cs="Book Antiqua"/>
          <w:color w:val="000000"/>
          <w:highlight w:val="none"/>
        </w:rPr>
        <w:t>various neurotoxic agents, including rotenone and METH, can severely damage both ionotropic and metabotropic glutamate receptors, which leads to the progression of toxic effects</w:t>
      </w:r>
      <w:r>
        <w:rPr>
          <w:rFonts w:ascii="Book Antiqua" w:hAnsi="Book Antiqua" w:eastAsia="Book Antiqua" w:cs="Book Antiqua"/>
          <w:color w:val="000000"/>
          <w:highlight w:val="none"/>
          <w:vertAlign w:val="superscript"/>
        </w:rPr>
        <w:t>[53]</w:t>
      </w:r>
      <w:r>
        <w:rPr>
          <w:rFonts w:ascii="Book Antiqua" w:hAnsi="Book Antiqua" w:eastAsia="Book Antiqua" w:cs="Book Antiqua"/>
          <w:color w:val="000000"/>
          <w:highlight w:val="none"/>
        </w:rPr>
        <w:t>. An important functional interplay between the dopaminergic and glutamatergic systems has stimulated the consideration of mGluRs as potential therapeutic targets in PD</w:t>
      </w:r>
      <w:r>
        <w:rPr>
          <w:rFonts w:ascii="Book Antiqua" w:hAnsi="Book Antiqua" w:eastAsia="Book Antiqua" w:cs="Book Antiqua"/>
          <w:color w:val="000000"/>
          <w:highlight w:val="none"/>
          <w:vertAlign w:val="superscript"/>
        </w:rPr>
        <w:t>[54-56]</w:t>
      </w:r>
      <w:r>
        <w:rPr>
          <w:rFonts w:ascii="Book Antiqua" w:hAnsi="Book Antiqua" w:eastAsia="Book Antiqua" w:cs="Book Antiqua"/>
          <w:color w:val="000000"/>
          <w:highlight w:val="none"/>
        </w:rPr>
        <w:t>.</w:t>
      </w:r>
      <w:r>
        <w:rPr>
          <w:rFonts w:ascii="Book Antiqua" w:hAnsi="Book Antiqua" w:eastAsia="Book Antiqua" w:cs="Book Antiqua"/>
          <w:b/>
          <w:bCs/>
          <w:color w:val="000000"/>
          <w:highlight w:val="none"/>
        </w:rPr>
        <w:t xml:space="preserve"> </w:t>
      </w:r>
      <w:r>
        <w:rPr>
          <w:rFonts w:ascii="Book Antiqua" w:hAnsi="Book Antiqua" w:eastAsia="Book Antiqua" w:cs="Book Antiqua"/>
          <w:color w:val="000000"/>
          <w:highlight w:val="none"/>
        </w:rPr>
        <w:t>Eight mGluRs (GRM1 to GRM8) have been identified and divided into three groups based on their sequence similarity and pharmacology</w:t>
      </w:r>
      <w:r>
        <w:rPr>
          <w:rFonts w:ascii="Book Antiqua" w:hAnsi="Book Antiqua" w:eastAsia="Book Antiqua" w:cs="Book Antiqua"/>
          <w:color w:val="000000"/>
          <w:highlight w:val="none"/>
          <w:vertAlign w:val="superscript"/>
        </w:rPr>
        <w:t>[57,58]</w:t>
      </w:r>
      <w:r>
        <w:rPr>
          <w:rFonts w:ascii="Book Antiqua" w:hAnsi="Book Antiqua" w:eastAsia="Book Antiqua" w:cs="Book Antiqua"/>
          <w:color w:val="000000"/>
          <w:highlight w:val="none"/>
        </w:rPr>
        <w:t>. All mGluRs are family C G-protein-coupled receptors that participate in the modulation of synaptic transmission and neuronal excitability throughout the CNS</w:t>
      </w:r>
      <w:r>
        <w:rPr>
          <w:rFonts w:ascii="Book Antiqua" w:hAnsi="Book Antiqua" w:eastAsia="Book Antiqua" w:cs="Book Antiqua"/>
          <w:color w:val="000000"/>
          <w:highlight w:val="none"/>
          <w:vertAlign w:val="superscript"/>
        </w:rPr>
        <w:t>[59]</w:t>
      </w:r>
      <w:r>
        <w:rPr>
          <w:rFonts w:ascii="Book Antiqua" w:hAnsi="Book Antiqua" w:eastAsia="Book Antiqua" w:cs="Book Antiqua"/>
          <w:color w:val="000000"/>
          <w:highlight w:val="none"/>
        </w:rPr>
        <w:t xml:space="preserve">. </w:t>
      </w:r>
      <w:r>
        <w:rPr>
          <w:rFonts w:ascii="Book Antiqua" w:hAnsi="Book Antiqua" w:eastAsia="Book Antiqua" w:cs="Book Antiqua"/>
          <w:color w:val="000000"/>
          <w:highlight w:val="none"/>
          <w:shd w:val="clear" w:color="auto" w:fill="FFFFFF"/>
        </w:rPr>
        <w:t xml:space="preserve">Studies have shown that </w:t>
      </w:r>
      <w:r>
        <w:rPr>
          <w:rFonts w:ascii="Book Antiqua" w:hAnsi="Book Antiqua" w:eastAsia="Book Antiqua" w:cs="Book Antiqua"/>
          <w:color w:val="000000"/>
          <w:highlight w:val="none"/>
        </w:rPr>
        <w:t>mGluR-mediated mechanisms have been implicated in both neuroprotection and neurotoxicity. The involvement of mGluRs in the control of movement, spatial and olfactory memory and nociception has been demonstrated</w:t>
      </w:r>
      <w:r>
        <w:rPr>
          <w:rFonts w:ascii="Book Antiqua" w:hAnsi="Book Antiqua" w:eastAsia="Book Antiqua" w:cs="Book Antiqua"/>
          <w:color w:val="000000"/>
          <w:highlight w:val="none"/>
          <w:vertAlign w:val="superscript"/>
        </w:rPr>
        <w:t>[57,60,61]</w:t>
      </w:r>
      <w:r>
        <w:rPr>
          <w:rFonts w:ascii="Book Antiqua" w:hAnsi="Book Antiqua" w:eastAsia="Book Antiqua" w:cs="Book Antiqua"/>
          <w:color w:val="000000"/>
          <w:highlight w:val="none"/>
        </w:rPr>
        <w:t>. Studies have shown the antiparkinsonian potential of mGluR modulation in groups I, II and III in experimental MPTP and 6-OHDA models of PD</w:t>
      </w:r>
      <w:r>
        <w:rPr>
          <w:rFonts w:ascii="Book Antiqua" w:hAnsi="Book Antiqua" w:eastAsia="Book Antiqua" w:cs="Book Antiqua"/>
          <w:color w:val="000000"/>
          <w:highlight w:val="none"/>
          <w:vertAlign w:val="superscript"/>
        </w:rPr>
        <w:t>[56,62]</w:t>
      </w:r>
      <w:r>
        <w:rPr>
          <w:rFonts w:ascii="Book Antiqua" w:hAnsi="Book Antiqua" w:eastAsia="Book Antiqua" w:cs="Book Antiqua"/>
          <w:color w:val="000000"/>
          <w:highlight w:val="none"/>
        </w:rPr>
        <w:t>.</w:t>
      </w:r>
      <w:r>
        <w:rPr>
          <w:rFonts w:ascii="Book Antiqua" w:hAnsi="Book Antiqua" w:eastAsia="Book Antiqua" w:cs="Book Antiqua"/>
          <w:i/>
          <w:iCs/>
          <w:color w:val="000000"/>
          <w:highlight w:val="none"/>
        </w:rPr>
        <w:t xml:space="preserve"> </w:t>
      </w:r>
      <w:r>
        <w:rPr>
          <w:rFonts w:ascii="Book Antiqua" w:hAnsi="Book Antiqua" w:eastAsia="Book Antiqua" w:cs="Book Antiqua"/>
          <w:color w:val="000000"/>
          <w:highlight w:val="none"/>
        </w:rPr>
        <w:t>It has been reported that group I mGluR antagonism and groups II and III mGluR activation improve some motor symptoms of PD by regulating excitatory and inhibitory transmission in the basal ganglia</w:t>
      </w:r>
      <w:r>
        <w:rPr>
          <w:rFonts w:ascii="Book Antiqua" w:hAnsi="Book Antiqua" w:eastAsia="Book Antiqua" w:cs="Book Antiqua"/>
          <w:color w:val="000000"/>
          <w:highlight w:val="none"/>
          <w:vertAlign w:val="superscript"/>
        </w:rPr>
        <w:t>[55]</w:t>
      </w:r>
      <w:r>
        <w:rPr>
          <w:rFonts w:ascii="Book Antiqua" w:hAnsi="Book Antiqua" w:eastAsia="Book Antiqua" w:cs="Book Antiqua"/>
          <w:color w:val="000000"/>
          <w:highlight w:val="none"/>
        </w:rPr>
        <w:t>. However, the mechanism by which these mGluR ligands may alleviate the symptoms of parkinsonism in animal models is largely unknown.</w:t>
      </w:r>
    </w:p>
    <w:p>
      <w:pPr>
        <w:spacing w:line="360" w:lineRule="auto"/>
        <w:jc w:val="both"/>
        <w:rPr>
          <w:highlight w:val="none"/>
        </w:rPr>
      </w:pPr>
    </w:p>
    <w:p>
      <w:pPr>
        <w:spacing w:line="360" w:lineRule="auto"/>
        <w:jc w:val="both"/>
        <w:rPr>
          <w:b/>
          <w:highlight w:val="none"/>
        </w:rPr>
      </w:pPr>
      <w:r>
        <w:rPr>
          <w:rStyle w:val="12"/>
          <w:rFonts w:ascii="Book Antiqua" w:hAnsi="Book Antiqua" w:eastAsia="Book Antiqua" w:cs="Book Antiqua"/>
          <w:b/>
          <w:bCs/>
          <w:i/>
          <w:iCs/>
          <w:color w:val="000000"/>
          <w:highlight w:val="none"/>
        </w:rPr>
        <w:t>Involvement of mGluRs in neurotoxicity induced</w:t>
      </w:r>
      <w:r>
        <w:rPr>
          <w:rFonts w:ascii="Book Antiqua" w:hAnsi="Book Antiqua" w:eastAsia="Book Antiqua" w:cs="Book Antiqua"/>
          <w:b/>
          <w:bCs/>
          <w:i/>
          <w:iCs/>
          <w:caps/>
          <w:color w:val="000000"/>
          <w:highlight w:val="none"/>
        </w:rPr>
        <w:t xml:space="preserve"> </w:t>
      </w:r>
      <w:r>
        <w:rPr>
          <w:rStyle w:val="12"/>
          <w:rFonts w:ascii="Book Antiqua" w:hAnsi="Book Antiqua" w:eastAsia="Book Antiqua" w:cs="Book Antiqua"/>
          <w:b/>
          <w:bCs/>
          <w:i/>
          <w:iCs/>
          <w:color w:val="000000"/>
          <w:highlight w:val="none"/>
        </w:rPr>
        <w:t>by rotenone</w:t>
      </w:r>
    </w:p>
    <w:p>
      <w:pPr>
        <w:spacing w:line="360" w:lineRule="auto"/>
        <w:jc w:val="both"/>
        <w:rPr>
          <w:highlight w:val="none"/>
        </w:rPr>
      </w:pPr>
      <w:r>
        <w:rPr>
          <w:rFonts w:ascii="Book Antiqua" w:hAnsi="Book Antiqua" w:eastAsia="Book Antiqua" w:cs="Book Antiqua"/>
          <w:color w:val="000000"/>
          <w:highlight w:val="none"/>
        </w:rPr>
        <w:t xml:space="preserve">Because </w:t>
      </w:r>
      <w:r>
        <w:rPr>
          <w:rFonts w:ascii="Book Antiqua" w:hAnsi="Book Antiqua" w:eastAsia="Book Antiqua" w:cs="Book Antiqua"/>
          <w:color w:val="000000"/>
          <w:highlight w:val="none"/>
          <w:shd w:val="clear" w:color="auto" w:fill="FFFFFF"/>
        </w:rPr>
        <w:t>the</w:t>
      </w:r>
      <w:r>
        <w:rPr>
          <w:rFonts w:ascii="Book Antiqua" w:hAnsi="Book Antiqua" w:eastAsia="Book Antiqua" w:cs="Book Antiqua"/>
          <w:color w:val="000000"/>
          <w:highlight w:val="none"/>
        </w:rPr>
        <w:t xml:space="preserve"> </w:t>
      </w:r>
      <w:r>
        <w:rPr>
          <w:rFonts w:ascii="Book Antiqua" w:hAnsi="Book Antiqua" w:eastAsia="Book Antiqua" w:cs="Book Antiqua"/>
          <w:color w:val="000000"/>
          <w:highlight w:val="none"/>
          <w:shd w:val="clear" w:color="auto" w:fill="FFFFFF"/>
        </w:rPr>
        <w:t xml:space="preserve">rotenone model of PD has attracted much attention, we searched the PubMed and Google Scholar databases for articles concerning the effect of mGluR on the rotenone model of neurotoxicity. </w:t>
      </w:r>
      <w:r>
        <w:rPr>
          <w:rFonts w:ascii="Book Antiqua" w:hAnsi="Book Antiqua" w:eastAsia="Book Antiqua" w:cs="Book Antiqua"/>
          <w:color w:val="000000"/>
          <w:highlight w:val="none"/>
        </w:rPr>
        <w:t>In the end, by consensus, primary articles were selected as relevant to our goals (Table 1). Thus, i</w:t>
      </w:r>
      <w:r>
        <w:rPr>
          <w:rFonts w:ascii="Book Antiqua" w:hAnsi="Book Antiqua" w:eastAsia="Book Antiqua" w:cs="Book Antiqua"/>
          <w:color w:val="000000"/>
          <w:highlight w:val="none"/>
          <w:shd w:val="clear" w:color="auto" w:fill="FFFFFF"/>
        </w:rPr>
        <w:t xml:space="preserve">t has been reported that </w:t>
      </w:r>
      <w:r>
        <w:rPr>
          <w:rFonts w:ascii="Book Antiqua" w:hAnsi="Book Antiqua" w:eastAsia="Book Antiqua" w:cs="Book Antiqua"/>
          <w:color w:val="000000"/>
          <w:highlight w:val="none"/>
        </w:rPr>
        <w:t xml:space="preserve">the </w:t>
      </w:r>
      <w:r>
        <w:rPr>
          <w:rFonts w:ascii="Book Antiqua" w:hAnsi="Book Antiqua" w:eastAsia="Book Antiqua" w:cs="Book Antiqua"/>
          <w:color w:val="000000"/>
          <w:highlight w:val="none"/>
          <w:shd w:val="clear" w:color="auto" w:fill="FFFFFF"/>
        </w:rPr>
        <w:t>application</w:t>
      </w:r>
      <w:r>
        <w:rPr>
          <w:rFonts w:ascii="Book Antiqua" w:hAnsi="Book Antiqua" w:eastAsia="Book Antiqua" w:cs="Book Antiqua"/>
          <w:color w:val="000000"/>
          <w:highlight w:val="none"/>
        </w:rPr>
        <w:t xml:space="preserve"> of a group III mGluR agonist (L-AP-4) significantly reduced the toxicity of rotenone in a culture of TH+ midbrain neurons</w:t>
      </w:r>
      <w:r>
        <w:rPr>
          <w:rFonts w:ascii="Book Antiqua" w:hAnsi="Book Antiqua" w:eastAsia="Book Antiqua" w:cs="Book Antiqua"/>
          <w:color w:val="000000"/>
          <w:highlight w:val="none"/>
          <w:vertAlign w:val="superscript"/>
        </w:rPr>
        <w:t>[63]</w:t>
      </w:r>
      <w:r>
        <w:rPr>
          <w:rFonts w:ascii="Book Antiqua" w:hAnsi="Book Antiqua" w:eastAsia="Book Antiqua" w:cs="Book Antiqua"/>
          <w:color w:val="000000"/>
          <w:highlight w:val="none"/>
        </w:rPr>
        <w:t>. The authors hypothesized that activation of group III mGluR decreases the selective toxicity of rotenone to dopamine neurons by activating the MAP kinase pathway to stabilize microtubules</w:t>
      </w:r>
      <w:r>
        <w:rPr>
          <w:rFonts w:ascii="Book Antiqua" w:hAnsi="Book Antiqua" w:eastAsia="Book Antiqua" w:cs="Book Antiqua"/>
          <w:color w:val="000000"/>
          <w:highlight w:val="none"/>
          <w:vertAlign w:val="superscript"/>
        </w:rPr>
        <w:t>[63]</w:t>
      </w:r>
      <w:r>
        <w:rPr>
          <w:rFonts w:ascii="Book Antiqua" w:hAnsi="Book Antiqua" w:eastAsia="Book Antiqua" w:cs="Book Antiqua"/>
          <w:color w:val="000000"/>
          <w:highlight w:val="none"/>
        </w:rPr>
        <w:t>. In contrast, activation of group I mGluRs enhances rotenone-induced toxicity in MN9D cells</w:t>
      </w:r>
      <w:r>
        <w:rPr>
          <w:rFonts w:ascii="Book Antiqua" w:hAnsi="Book Antiqua" w:eastAsia="Book Antiqua" w:cs="Book Antiqua"/>
          <w:color w:val="000000"/>
          <w:highlight w:val="none"/>
          <w:vertAlign w:val="superscript"/>
        </w:rPr>
        <w:t>[64]</w:t>
      </w:r>
      <w:r>
        <w:rPr>
          <w:rFonts w:ascii="Book Antiqua" w:hAnsi="Book Antiqua" w:eastAsia="Book Antiqua" w:cs="Book Antiqua"/>
          <w:color w:val="000000"/>
          <w:highlight w:val="none"/>
        </w:rPr>
        <w:t>. The modulation of the mGluR5</w:t>
      </w:r>
      <w:r>
        <w:rPr>
          <w:rFonts w:ascii="Book Antiqua" w:hAnsi="Book Antiqua" w:eastAsia="Book Antiqua" w:cs="Book Antiqua"/>
          <w:color w:val="000000"/>
          <w:highlight w:val="none"/>
          <w:vertAlign w:val="superscript"/>
        </w:rPr>
        <w:t xml:space="preserve"> </w:t>
      </w:r>
      <w:r>
        <w:rPr>
          <w:rFonts w:ascii="Book Antiqua" w:hAnsi="Book Antiqua" w:eastAsia="Book Antiqua" w:cs="Book Antiqua"/>
          <w:color w:val="000000"/>
          <w:highlight w:val="none"/>
        </w:rPr>
        <w:t>type in rotenone-induced PD models has attracted much attention from researchers. Pharmacological inhibition of mGluR5 has beneficial anti-akinetic effects in animal models of PD; however, the mechanism by which these antagonists alleviate PD symptoms is largely unknown</w:t>
      </w:r>
      <w:r>
        <w:rPr>
          <w:rFonts w:ascii="Book Antiqua" w:hAnsi="Book Antiqua" w:eastAsia="Book Antiqua" w:cs="Book Antiqua"/>
          <w:color w:val="000000"/>
          <w:szCs w:val="30"/>
          <w:highlight w:val="none"/>
          <w:vertAlign w:val="superscript"/>
        </w:rPr>
        <w:t>[65]</w:t>
      </w:r>
      <w:r>
        <w:rPr>
          <w:rFonts w:ascii="Book Antiqua" w:hAnsi="Book Antiqua" w:eastAsia="Book Antiqua" w:cs="Book Antiqua"/>
          <w:color w:val="000000"/>
          <w:highlight w:val="none"/>
        </w:rPr>
        <w:t>. Previous studies have shown that downregulation of mGluR5 promotes cell apoptosis in a model of rotenone-induced cellular PD. Moreover, conditioned media derived from rotenone-treated dopaminergic MN9D neuronal cells have been found to enhance the production of reactive oxygen species (ROS), which can be further attenuated by an mGlu5 agonist</w:t>
      </w:r>
      <w:r>
        <w:rPr>
          <w:rFonts w:ascii="Book Antiqua" w:hAnsi="Book Antiqua" w:eastAsia="Book Antiqua" w:cs="Book Antiqua"/>
          <w:color w:val="000000"/>
          <w:highlight w:val="none"/>
          <w:vertAlign w:val="superscript"/>
        </w:rPr>
        <w:t>[66]</w:t>
      </w:r>
      <w:r>
        <w:rPr>
          <w:rFonts w:ascii="Book Antiqua" w:hAnsi="Book Antiqua" w:eastAsia="Book Antiqua" w:cs="Book Antiqua"/>
          <w:color w:val="000000"/>
          <w:highlight w:val="none"/>
        </w:rPr>
        <w:t xml:space="preserve">. The selective mGluR5 antagonist </w:t>
      </w:r>
      <w:bookmarkStart w:id="36" w:name="OLE_LINK19"/>
      <w:bookmarkStart w:id="37" w:name="OLE_LINK21"/>
      <w:bookmarkStart w:id="38" w:name="OLE_LINK20"/>
      <w:r>
        <w:rPr>
          <w:rFonts w:ascii="Book Antiqua" w:hAnsi="Book Antiqua" w:eastAsia="Book Antiqua" w:cs="Book Antiqua"/>
          <w:color w:val="000000"/>
          <w:highlight w:val="none"/>
        </w:rPr>
        <w:t>2</w:t>
      </w:r>
      <w:bookmarkEnd w:id="36"/>
      <w:r>
        <w:rPr>
          <w:rFonts w:ascii="Book Antiqua" w:hAnsi="Book Antiqua" w:eastAsia="Book Antiqua" w:cs="Book Antiqua"/>
          <w:color w:val="000000"/>
          <w:highlight w:val="none"/>
        </w:rPr>
        <w:t>-methyl-6-(phenylethynyl) pyridine</w:t>
      </w:r>
      <w:bookmarkEnd w:id="37"/>
      <w:bookmarkEnd w:id="38"/>
      <w:r>
        <w:rPr>
          <w:rFonts w:ascii="Book Antiqua" w:hAnsi="Book Antiqua" w:eastAsia="Book Antiqua" w:cs="Book Antiqua"/>
          <w:color w:val="000000"/>
          <w:highlight w:val="none"/>
        </w:rPr>
        <w:t xml:space="preserve"> (MPEP) prevented rotenone-induced DNA damage in MN9D dopaminergic neurons through a mechanism involving ROS-related mitochondrial dysfunction</w:t>
      </w:r>
      <w:r>
        <w:rPr>
          <w:rFonts w:ascii="Book Antiqua" w:hAnsi="Book Antiqua" w:eastAsia="Book Antiqua" w:cs="Book Antiqua"/>
          <w:color w:val="000000"/>
          <w:highlight w:val="none"/>
          <w:vertAlign w:val="superscript"/>
        </w:rPr>
        <w:t>[65]</w:t>
      </w:r>
      <w:r>
        <w:rPr>
          <w:rFonts w:ascii="Book Antiqua" w:hAnsi="Book Antiqua" w:eastAsia="Book Antiqua" w:cs="Book Antiqua"/>
          <w:color w:val="000000"/>
          <w:highlight w:val="none"/>
        </w:rPr>
        <w:t>. It has been demonstrated that mGluR5 expression is decreased in a time- and dose-dependent manner in rotenone-treated MN9D cells</w:t>
      </w:r>
      <w:r>
        <w:rPr>
          <w:rFonts w:ascii="Book Antiqua" w:hAnsi="Book Antiqua" w:eastAsia="Book Antiqua" w:cs="Book Antiqua"/>
          <w:color w:val="000000"/>
          <w:highlight w:val="none"/>
          <w:vertAlign w:val="superscript"/>
        </w:rPr>
        <w:t>[67]</w:t>
      </w:r>
      <w:r>
        <w:rPr>
          <w:rFonts w:ascii="Book Antiqua" w:hAnsi="Book Antiqua" w:eastAsia="Book Antiqua" w:cs="Book Antiqua"/>
          <w:color w:val="000000"/>
          <w:highlight w:val="none"/>
        </w:rPr>
        <w:t>. It has been reported that oxidized extracellular cysteine/cystine redox potential plays a role in mGluR5 activity in the rotenone rat model of PD</w:t>
      </w:r>
      <w:r>
        <w:rPr>
          <w:rFonts w:ascii="Book Antiqua" w:hAnsi="Book Antiqua" w:eastAsia="Book Antiqua" w:cs="Book Antiqua"/>
          <w:color w:val="000000"/>
          <w:highlight w:val="none"/>
          <w:vertAlign w:val="superscript"/>
        </w:rPr>
        <w:t>[68]</w:t>
      </w:r>
      <w:r>
        <w:rPr>
          <w:rFonts w:ascii="Book Antiqua" w:hAnsi="Book Antiqua" w:eastAsia="Book Antiqua" w:cs="Book Antiqua"/>
          <w:color w:val="000000"/>
          <w:highlight w:val="none"/>
        </w:rPr>
        <w:t>. In our studies, MPEP (3 mg/kg) reduced the intensity of catalepsy in rats after long-lasting administration of rotenone at a dose of 1.5 mg/kg</w:t>
      </w:r>
      <w:r>
        <w:rPr>
          <w:rFonts w:ascii="Book Antiqua" w:hAnsi="Book Antiqua" w:eastAsia="Book Antiqua" w:cs="Book Antiqua"/>
          <w:color w:val="000000"/>
          <w:highlight w:val="none"/>
          <w:vertAlign w:val="superscript"/>
        </w:rPr>
        <w:t>[69]</w:t>
      </w:r>
      <w:r>
        <w:rPr>
          <w:rFonts w:ascii="Book Antiqua" w:hAnsi="Book Antiqua" w:eastAsia="Book Antiqua" w:cs="Book Antiqua"/>
          <w:color w:val="000000"/>
          <w:highlight w:val="none"/>
        </w:rPr>
        <w:t>. We observed that the mGluR5 antagonist partially prevented the increase in NO generation evoked by rotenone</w:t>
      </w:r>
      <w:r>
        <w:rPr>
          <w:rFonts w:ascii="Book Antiqua" w:hAnsi="Book Antiqua" w:eastAsia="Book Antiqua" w:cs="Book Antiqua"/>
          <w:color w:val="000000"/>
          <w:highlight w:val="none"/>
          <w:vertAlign w:val="superscript"/>
        </w:rPr>
        <w:t>[69]</w:t>
      </w:r>
      <w:r>
        <w:rPr>
          <w:rFonts w:ascii="Book Antiqua" w:hAnsi="Book Antiqua" w:eastAsia="Book Antiqua" w:cs="Book Antiqua"/>
          <w:color w:val="000000"/>
          <w:highlight w:val="none"/>
        </w:rPr>
        <w:t>. In another study, it was shown that the behavioral effects of MPEP (2.5 mg/kg) were less pronounced in rats receiving a higher dose of rotenone (2.5 mg/kg) following the same duration of neurotoxin administration</w:t>
      </w:r>
      <w:r>
        <w:rPr>
          <w:rFonts w:ascii="Book Antiqua" w:hAnsi="Book Antiqua" w:eastAsia="Book Antiqua" w:cs="Book Antiqua"/>
          <w:color w:val="000000"/>
          <w:highlight w:val="none"/>
          <w:vertAlign w:val="superscript"/>
        </w:rPr>
        <w:t>[70]</w:t>
      </w:r>
      <w:r>
        <w:rPr>
          <w:rFonts w:ascii="Book Antiqua" w:hAnsi="Book Antiqua" w:eastAsia="Book Antiqua" w:cs="Book Antiqua"/>
          <w:color w:val="000000"/>
          <w:highlight w:val="none"/>
        </w:rPr>
        <w:t>. It has been reported that coadministration of MPEP with rotenone reduces the descent latency in the grid test at day 60 but does not block the decrease in DA and serotonin levels induced by treatment with this neurotoxin</w:t>
      </w:r>
      <w:r>
        <w:rPr>
          <w:rFonts w:ascii="Book Antiqua" w:hAnsi="Book Antiqua" w:eastAsia="Book Antiqua" w:cs="Book Antiqua"/>
          <w:color w:val="000000"/>
          <w:szCs w:val="30"/>
          <w:highlight w:val="none"/>
          <w:vertAlign w:val="superscript"/>
        </w:rPr>
        <w:t>[70]</w:t>
      </w:r>
      <w:r>
        <w:rPr>
          <w:rFonts w:ascii="Book Antiqua" w:hAnsi="Book Antiqua" w:eastAsia="Book Antiqua" w:cs="Book Antiqua"/>
          <w:color w:val="000000"/>
          <w:highlight w:val="none"/>
        </w:rPr>
        <w:t>. Thus, the behavioral effects of mGluR5 were notably dependent on the dose of rotenone administered. The above findings indicate that mGluR5 inhibition produces an inhibitory effect on ROS and NO activity</w:t>
      </w:r>
      <w:r>
        <w:rPr>
          <w:rFonts w:ascii="Book Antiqua" w:hAnsi="Book Antiqua" w:eastAsia="Book Antiqua" w:cs="Book Antiqua"/>
          <w:color w:val="000000"/>
          <w:szCs w:val="30"/>
          <w:highlight w:val="none"/>
          <w:vertAlign w:val="superscript"/>
        </w:rPr>
        <w:t>[65,66,69]</w:t>
      </w:r>
      <w:r>
        <w:rPr>
          <w:rFonts w:ascii="Book Antiqua" w:hAnsi="Book Antiqua" w:eastAsia="Book Antiqua" w:cs="Book Antiqua"/>
          <w:color w:val="000000"/>
          <w:highlight w:val="none"/>
        </w:rPr>
        <w:t>. In summary, an analysis of the literature data supports the notion that antagonists of mGluR5 are considered promising targets for the treatment of pathological conditions induced by dopaminergic neurotoxicity.</w:t>
      </w:r>
    </w:p>
    <w:p>
      <w:pPr>
        <w:spacing w:line="360" w:lineRule="auto"/>
        <w:jc w:val="both"/>
        <w:rPr>
          <w:highlight w:val="none"/>
        </w:rPr>
      </w:pPr>
    </w:p>
    <w:p>
      <w:pPr>
        <w:spacing w:line="360" w:lineRule="auto"/>
        <w:jc w:val="both"/>
        <w:rPr>
          <w:highlight w:val="none"/>
        </w:rPr>
      </w:pPr>
      <w:bookmarkStart w:id="39" w:name="OLE_LINK61"/>
      <w:bookmarkStart w:id="40" w:name="OLE_LINK62"/>
      <w:r>
        <w:rPr>
          <w:rStyle w:val="12"/>
          <w:rFonts w:ascii="Book Antiqua" w:hAnsi="Book Antiqua" w:eastAsia="Book Antiqua" w:cs="Book Antiqua"/>
          <w:b/>
          <w:bCs/>
          <w:caps/>
          <w:color w:val="000000"/>
          <w:highlight w:val="none"/>
          <w:u w:val="single"/>
        </w:rPr>
        <w:t>INVOLVEMENT OF NO IN DOPAMINERGIC NEUROTOXICITY</w:t>
      </w:r>
    </w:p>
    <w:bookmarkEnd w:id="39"/>
    <w:bookmarkEnd w:id="40"/>
    <w:p>
      <w:pPr>
        <w:spacing w:line="360" w:lineRule="auto"/>
        <w:jc w:val="both"/>
        <w:rPr>
          <w:highlight w:val="none"/>
        </w:rPr>
      </w:pPr>
      <w:bookmarkStart w:id="41" w:name="OLE_LINK66"/>
      <w:bookmarkStart w:id="42" w:name="OLE_LINK64"/>
      <w:bookmarkStart w:id="43" w:name="OLE_LINK65"/>
      <w:bookmarkStart w:id="44" w:name="OLE_LINK68"/>
      <w:bookmarkStart w:id="45" w:name="OLE_LINK67"/>
      <w:bookmarkStart w:id="46" w:name="OLE_LINK63"/>
      <w:r>
        <w:rPr>
          <w:rFonts w:ascii="Book Antiqua" w:hAnsi="Book Antiqua" w:eastAsia="Book Antiqua" w:cs="Book Antiqua"/>
          <w:b/>
          <w:bCs/>
          <w:i/>
          <w:iCs/>
          <w:color w:val="000000"/>
          <w:highlight w:val="none"/>
        </w:rPr>
        <w:t>N</w:t>
      </w:r>
      <w:r>
        <w:rPr>
          <w:rFonts w:hint="eastAsia" w:ascii="Book Antiqua" w:hAnsi="Book Antiqua" w:cs="Book Antiqua"/>
          <w:b/>
          <w:bCs/>
          <w:i/>
          <w:iCs/>
          <w:color w:val="000000"/>
          <w:highlight w:val="none"/>
          <w:lang w:eastAsia="zh-CN"/>
        </w:rPr>
        <w:t>O</w:t>
      </w:r>
      <w:r>
        <w:rPr>
          <w:rFonts w:ascii="Book Antiqua" w:hAnsi="Book Antiqua" w:eastAsia="Book Antiqua" w:cs="Book Antiqua"/>
          <w:b/>
          <w:bCs/>
          <w:i/>
          <w:iCs/>
          <w:color w:val="000000"/>
          <w:highlight w:val="none"/>
        </w:rPr>
        <w:t xml:space="preserve"> as neuronal messenger</w:t>
      </w:r>
    </w:p>
    <w:p>
      <w:pPr>
        <w:spacing w:line="360" w:lineRule="auto"/>
        <w:jc w:val="both"/>
        <w:rPr>
          <w:highlight w:val="none"/>
        </w:rPr>
      </w:pPr>
      <w:r>
        <w:rPr>
          <w:rFonts w:ascii="Book Antiqua" w:hAnsi="Book Antiqua" w:eastAsia="Book Antiqua" w:cs="Book Antiqua"/>
          <w:color w:val="000000"/>
          <w:highlight w:val="none"/>
        </w:rPr>
        <w:t>Currently, mitochondrial dysfunction is thought to be associated with NO pathways in glutamate neurotoxicity</w:t>
      </w:r>
      <w:r>
        <w:rPr>
          <w:rFonts w:ascii="Book Antiqua" w:hAnsi="Book Antiqua" w:eastAsia="Book Antiqua" w:cs="Book Antiqua"/>
          <w:color w:val="000000"/>
          <w:highlight w:val="none"/>
          <w:vertAlign w:val="superscript"/>
        </w:rPr>
        <w:t>[71]</w:t>
      </w:r>
      <w:r>
        <w:rPr>
          <w:rFonts w:ascii="Book Antiqua" w:hAnsi="Book Antiqua" w:eastAsia="Book Antiqua" w:cs="Book Antiqua"/>
          <w:color w:val="000000"/>
          <w:highlight w:val="none"/>
        </w:rPr>
        <w:t>. NO is a gaseous chemical messenger that modulates many functions of the nervous system, including the release of neurotransmitters, interneuronal communication, synaptic plasticity, receptor state, and intracellular signal transduction</w:t>
      </w:r>
      <w:r>
        <w:rPr>
          <w:rFonts w:ascii="Book Antiqua" w:hAnsi="Book Antiqua" w:eastAsia="Book Antiqua" w:cs="Book Antiqua"/>
          <w:color w:val="000000"/>
          <w:highlight w:val="none"/>
          <w:vertAlign w:val="superscript"/>
        </w:rPr>
        <w:t>[20,72]</w:t>
      </w:r>
      <w:r>
        <w:rPr>
          <w:rFonts w:ascii="Book Antiqua" w:hAnsi="Book Antiqua" w:eastAsia="Book Antiqua" w:cs="Book Antiqua"/>
          <w:color w:val="000000"/>
          <w:highlight w:val="none"/>
        </w:rPr>
        <w:t>. The role of NO as a biological mediator is primarily determined by its physical and chemical properties. NO is generated by the enzyme NO synthase (NOS), which is widely distributed in the brain</w:t>
      </w:r>
      <w:r>
        <w:rPr>
          <w:rFonts w:ascii="Book Antiqua" w:hAnsi="Book Antiqua" w:eastAsia="Book Antiqua" w:cs="Book Antiqua"/>
          <w:color w:val="000000"/>
          <w:highlight w:val="none"/>
          <w:vertAlign w:val="superscript"/>
        </w:rPr>
        <w:t>[19,73]</w:t>
      </w:r>
      <w:r>
        <w:rPr>
          <w:rFonts w:ascii="Book Antiqua" w:hAnsi="Book Antiqua" w:eastAsia="Book Antiqua" w:cs="Book Antiqua"/>
          <w:color w:val="000000"/>
          <w:highlight w:val="none"/>
        </w:rPr>
        <w:t>. One of the possible mechanisms of the neurotoxic effect of NO may be the reaction of NO with ROS, leading to the formation of a highly toxic product peroxynitrite</w:t>
      </w:r>
      <w:r>
        <w:rPr>
          <w:rFonts w:ascii="Book Antiqua" w:hAnsi="Book Antiqua" w:eastAsia="Book Antiqua" w:cs="Book Antiqua"/>
          <w:color w:val="000000"/>
          <w:highlight w:val="none"/>
          <w:vertAlign w:val="superscript"/>
        </w:rPr>
        <w:t>[24,74,75]</w:t>
      </w:r>
      <w:r>
        <w:rPr>
          <w:rFonts w:ascii="Book Antiqua" w:hAnsi="Book Antiqua" w:eastAsia="Book Antiqua" w:cs="Book Antiqua"/>
          <w:color w:val="000000"/>
          <w:highlight w:val="none"/>
        </w:rPr>
        <w:t>. The short half-life of the NO radical is 2-5 s</w:t>
      </w:r>
      <w:r>
        <w:rPr>
          <w:rFonts w:ascii="Book Antiqua" w:hAnsi="Book Antiqua" w:eastAsia="Book Antiqua" w:cs="Book Antiqua"/>
          <w:color w:val="000000"/>
          <w:highlight w:val="none"/>
          <w:vertAlign w:val="superscript"/>
        </w:rPr>
        <w:t>[20]</w:t>
      </w:r>
      <w:r>
        <w:rPr>
          <w:rFonts w:ascii="Book Antiqua" w:hAnsi="Book Antiqua" w:eastAsia="Book Antiqua" w:cs="Book Antiqua"/>
          <w:color w:val="000000"/>
          <w:highlight w:val="none"/>
        </w:rPr>
        <w:t>. There are several indirect methods for determining NO and its products/metabolites in biological fluids and tissues. One of the most frequently used indirect methods for the determination of NO is the measurement of nitrite and nitrate by spectroscopy using the Griess reagent</w:t>
      </w:r>
      <w:r>
        <w:rPr>
          <w:rFonts w:ascii="Book Antiqua" w:hAnsi="Book Antiqua" w:eastAsia="Book Antiqua" w:cs="Book Antiqua"/>
          <w:color w:val="000000"/>
          <w:highlight w:val="none"/>
          <w:vertAlign w:val="superscript"/>
        </w:rPr>
        <w:t>[27]</w:t>
      </w:r>
      <w:r>
        <w:rPr>
          <w:rFonts w:ascii="Book Antiqua" w:hAnsi="Book Antiqua" w:eastAsia="Book Antiqua" w:cs="Book Antiqua"/>
          <w:color w:val="000000"/>
          <w:highlight w:val="none"/>
        </w:rPr>
        <w:t>. Another well-known method for indirect measurement of NO is the quantitative determination of 3-nitrotyrosine (a product of tyrosine nitration)</w:t>
      </w:r>
      <w:r>
        <w:rPr>
          <w:rFonts w:ascii="Book Antiqua" w:hAnsi="Book Antiqua" w:eastAsia="Book Antiqua" w:cs="Book Antiqua"/>
          <w:color w:val="000000"/>
          <w:highlight w:val="none"/>
          <w:vertAlign w:val="superscript"/>
        </w:rPr>
        <w:t>[76]</w:t>
      </w:r>
      <w:r>
        <w:rPr>
          <w:rFonts w:ascii="Book Antiqua" w:hAnsi="Book Antiqua" w:eastAsia="Book Antiqua" w:cs="Book Antiqua"/>
          <w:color w:val="000000"/>
          <w:highlight w:val="none"/>
        </w:rPr>
        <w:t>. The applicability of these indirect methods seems to be problematic. Quantitative determination of nitrites by the Griess method is falsified in the presence of reducing agents as well as thiol groups</w:t>
      </w:r>
      <w:r>
        <w:rPr>
          <w:rFonts w:ascii="Book Antiqua" w:hAnsi="Book Antiqua" w:eastAsia="Book Antiqua" w:cs="Book Antiqua"/>
          <w:color w:val="000000"/>
          <w:highlight w:val="none"/>
          <w:vertAlign w:val="superscript"/>
        </w:rPr>
        <w:t>[77]</w:t>
      </w:r>
      <w:r>
        <w:rPr>
          <w:rFonts w:ascii="Book Antiqua" w:hAnsi="Book Antiqua" w:eastAsia="Book Antiqua" w:cs="Book Antiqua"/>
          <w:color w:val="000000"/>
          <w:highlight w:val="none"/>
        </w:rPr>
        <w:t>. These data are consistent with our opinion that only direct methods may be used for reliable determination of NO levels. One of the most accurate and correct ways to measure these data is through use of the EPR method</w:t>
      </w:r>
      <w:r>
        <w:rPr>
          <w:rFonts w:ascii="Book Antiqua" w:hAnsi="Book Antiqua" w:eastAsia="Book Antiqua" w:cs="Book Antiqua"/>
          <w:color w:val="000000"/>
          <w:highlight w:val="none"/>
          <w:vertAlign w:val="superscript"/>
        </w:rPr>
        <w:t>[26,31,78,79]</w:t>
      </w:r>
      <w:r>
        <w:rPr>
          <w:rFonts w:ascii="Book Antiqua" w:hAnsi="Book Antiqua" w:eastAsia="Book Antiqua" w:cs="Book Antiqua"/>
          <w:color w:val="000000"/>
          <w:highlight w:val="none"/>
        </w:rPr>
        <w:t>.</w:t>
      </w:r>
    </w:p>
    <w:p>
      <w:pPr>
        <w:spacing w:line="360" w:lineRule="auto"/>
        <w:jc w:val="both"/>
        <w:rPr>
          <w:highlight w:val="none"/>
        </w:rPr>
      </w:pPr>
    </w:p>
    <w:p>
      <w:pPr>
        <w:spacing w:line="360" w:lineRule="auto"/>
        <w:jc w:val="both"/>
        <w:rPr>
          <w:highlight w:val="none"/>
        </w:rPr>
      </w:pPr>
      <w:r>
        <w:rPr>
          <w:rFonts w:ascii="Book Antiqua" w:hAnsi="Book Antiqua" w:eastAsia="Book Antiqua" w:cs="Book Antiqua"/>
          <w:b/>
          <w:bCs/>
          <w:i/>
          <w:iCs/>
          <w:color w:val="000000"/>
          <w:highlight w:val="none"/>
        </w:rPr>
        <w:t>Participation of no in dopaminergic neurotoxicity</w:t>
      </w:r>
    </w:p>
    <w:p>
      <w:pPr>
        <w:spacing w:line="360" w:lineRule="auto"/>
        <w:jc w:val="both"/>
        <w:rPr>
          <w:highlight w:val="none"/>
        </w:rPr>
      </w:pPr>
      <w:r>
        <w:rPr>
          <w:rFonts w:ascii="Book Antiqua" w:hAnsi="Book Antiqua" w:eastAsia="Book Antiqua" w:cs="Book Antiqua"/>
          <w:color w:val="000000"/>
          <w:highlight w:val="none"/>
        </w:rPr>
        <w:t>Recent reports claim that NO is involved in neurotoxicity elicited by dopaminergic neurotoxins</w:t>
      </w:r>
      <w:r>
        <w:rPr>
          <w:rFonts w:ascii="Book Antiqua" w:hAnsi="Book Antiqua" w:eastAsia="Book Antiqua" w:cs="Book Antiqua"/>
          <w:color w:val="000000"/>
          <w:highlight w:val="none"/>
          <w:vertAlign w:val="superscript"/>
        </w:rPr>
        <w:t>[24,74,79]</w:t>
      </w:r>
      <w:r>
        <w:rPr>
          <w:rFonts w:ascii="Book Antiqua" w:hAnsi="Book Antiqua" w:eastAsia="Book Antiqua" w:cs="Book Antiqua"/>
          <w:color w:val="000000"/>
          <w:highlight w:val="none"/>
        </w:rPr>
        <w:t>.</w:t>
      </w:r>
      <w:r>
        <w:rPr>
          <w:rFonts w:ascii="Book Antiqua" w:hAnsi="Book Antiqua" w:eastAsia="Book Antiqua" w:cs="Book Antiqua"/>
          <w:color w:val="000000"/>
          <w:highlight w:val="none"/>
          <w:vertAlign w:val="superscript"/>
        </w:rPr>
        <w:t xml:space="preserve"> </w:t>
      </w:r>
      <w:r>
        <w:rPr>
          <w:rFonts w:ascii="Book Antiqua" w:hAnsi="Book Antiqua" w:eastAsia="Book Antiqua" w:cs="Book Antiqua"/>
          <w:color w:val="000000"/>
          <w:highlight w:val="none"/>
        </w:rPr>
        <w:t>Over the past two decades, significant advances have been made in improving knowledge about the role of NO in the mechanisms of PD pathogenesis</w:t>
      </w:r>
      <w:r>
        <w:rPr>
          <w:rFonts w:ascii="Book Antiqua" w:hAnsi="Book Antiqua" w:eastAsia="Book Antiqua" w:cs="Book Antiqua"/>
          <w:color w:val="000000"/>
          <w:highlight w:val="none"/>
          <w:vertAlign w:val="superscript"/>
        </w:rPr>
        <w:t>[21,80,81]</w:t>
      </w:r>
      <w:r>
        <w:rPr>
          <w:rFonts w:ascii="Book Antiqua" w:hAnsi="Book Antiqua" w:eastAsia="Book Antiqua" w:cs="Book Antiqua"/>
          <w:color w:val="000000"/>
          <w:highlight w:val="none"/>
        </w:rPr>
        <w:t>. Thus, in brains from victims of PD, a nitrosyl species, identified as nitrosyl hemoglobin, has been observed in the SN</w:t>
      </w:r>
      <w:r>
        <w:rPr>
          <w:rFonts w:ascii="Book Antiqua" w:hAnsi="Book Antiqua" w:eastAsia="Book Antiqua" w:cs="Book Antiqua"/>
          <w:color w:val="000000"/>
          <w:highlight w:val="none"/>
          <w:vertAlign w:val="superscript"/>
        </w:rPr>
        <w:t>[82]</w:t>
      </w:r>
      <w:r>
        <w:rPr>
          <w:rFonts w:ascii="Book Antiqua" w:hAnsi="Book Antiqua" w:eastAsia="Book Antiqua" w:cs="Book Antiqua"/>
          <w:color w:val="000000"/>
          <w:highlight w:val="none"/>
        </w:rPr>
        <w:t>. Previous studies have shown that neurotoxic agents such as MPTP</w:t>
      </w:r>
      <w:r>
        <w:rPr>
          <w:rFonts w:ascii="Book Antiqua" w:hAnsi="Book Antiqua" w:eastAsia="Book Antiqua" w:cs="Book Antiqua"/>
          <w:color w:val="000000"/>
          <w:highlight w:val="none"/>
          <w:vertAlign w:val="superscript"/>
        </w:rPr>
        <w:t>[83]</w:t>
      </w:r>
      <w:r>
        <w:rPr>
          <w:rFonts w:ascii="Book Antiqua" w:hAnsi="Book Antiqua" w:eastAsia="Book Antiqua" w:cs="Book Antiqua"/>
          <w:color w:val="000000"/>
          <w:highlight w:val="none"/>
        </w:rPr>
        <w:t>, 6-OHDA</w:t>
      </w:r>
      <w:r>
        <w:rPr>
          <w:rFonts w:ascii="Book Antiqua" w:hAnsi="Book Antiqua" w:eastAsia="Book Antiqua" w:cs="Book Antiqua"/>
          <w:color w:val="000000"/>
          <w:highlight w:val="none"/>
          <w:vertAlign w:val="superscript"/>
        </w:rPr>
        <w:t>[84]</w:t>
      </w:r>
      <w:r>
        <w:rPr>
          <w:rFonts w:ascii="Book Antiqua" w:hAnsi="Book Antiqua" w:eastAsia="Book Antiqua" w:cs="Book Antiqua"/>
          <w:color w:val="000000"/>
          <w:highlight w:val="none"/>
        </w:rPr>
        <w:t xml:space="preserve"> or METH</w:t>
      </w:r>
      <w:r>
        <w:rPr>
          <w:rFonts w:ascii="Book Antiqua" w:hAnsi="Book Antiqua" w:eastAsia="Book Antiqua" w:cs="Book Antiqua"/>
          <w:color w:val="000000"/>
          <w:highlight w:val="none"/>
          <w:vertAlign w:val="superscript"/>
        </w:rPr>
        <w:t>[74]</w:t>
      </w:r>
      <w:r>
        <w:rPr>
          <w:rFonts w:ascii="Book Antiqua" w:hAnsi="Book Antiqua" w:eastAsia="Book Antiqua" w:cs="Book Antiqua"/>
          <w:color w:val="000000"/>
          <w:highlight w:val="none"/>
        </w:rPr>
        <w:t xml:space="preserve"> induce a significant increase in the production of 3-nitrotyrosine in the striatum. The protective effect of neuronal NOS inhibitors has been demonstrated in the MPTP neurotoxicity model in mice</w:t>
      </w:r>
      <w:r>
        <w:rPr>
          <w:rFonts w:ascii="Book Antiqua" w:hAnsi="Book Antiqua" w:eastAsia="Book Antiqua" w:cs="Book Antiqua"/>
          <w:color w:val="000000"/>
          <w:highlight w:val="none"/>
          <w:vertAlign w:val="superscript"/>
        </w:rPr>
        <w:t>[85]</w:t>
      </w:r>
      <w:r>
        <w:rPr>
          <w:rFonts w:ascii="Book Antiqua" w:hAnsi="Book Antiqua" w:eastAsia="Book Antiqua" w:cs="Book Antiqua"/>
          <w:color w:val="000000"/>
          <w:highlight w:val="none"/>
        </w:rPr>
        <w:t>.</w:t>
      </w:r>
    </w:p>
    <w:p>
      <w:pPr>
        <w:spacing w:line="360" w:lineRule="auto"/>
        <w:jc w:val="both"/>
        <w:rPr>
          <w:highlight w:val="none"/>
        </w:rPr>
      </w:pPr>
    </w:p>
    <w:p>
      <w:pPr>
        <w:spacing w:line="360" w:lineRule="auto"/>
        <w:jc w:val="both"/>
        <w:rPr>
          <w:highlight w:val="none"/>
        </w:rPr>
      </w:pPr>
      <w:r>
        <w:rPr>
          <w:rStyle w:val="12"/>
          <w:rFonts w:ascii="Book Antiqua" w:hAnsi="Book Antiqua" w:eastAsia="Book Antiqua" w:cs="Book Antiqua"/>
          <w:b/>
          <w:bCs/>
          <w:i/>
          <w:iCs/>
          <w:color w:val="000000"/>
          <w:highlight w:val="none"/>
        </w:rPr>
        <w:t>Involvement of no in neurotoxicity induced</w:t>
      </w:r>
      <w:r>
        <w:rPr>
          <w:rFonts w:ascii="Book Antiqua" w:hAnsi="Book Antiqua" w:eastAsia="Book Antiqua" w:cs="Book Antiqua"/>
          <w:b/>
          <w:bCs/>
          <w:i/>
          <w:iCs/>
          <w:caps/>
          <w:color w:val="000000"/>
          <w:highlight w:val="none"/>
        </w:rPr>
        <w:t xml:space="preserve"> </w:t>
      </w:r>
      <w:r>
        <w:rPr>
          <w:rStyle w:val="12"/>
          <w:rFonts w:ascii="Book Antiqua" w:hAnsi="Book Antiqua" w:eastAsia="Book Antiqua" w:cs="Book Antiqua"/>
          <w:b/>
          <w:bCs/>
          <w:i/>
          <w:iCs/>
          <w:color w:val="000000"/>
          <w:highlight w:val="none"/>
        </w:rPr>
        <w:t>by rotenone</w:t>
      </w:r>
    </w:p>
    <w:p>
      <w:pPr>
        <w:spacing w:line="360" w:lineRule="auto"/>
        <w:jc w:val="both"/>
        <w:rPr>
          <w:highlight w:val="none"/>
        </w:rPr>
      </w:pPr>
      <w:r>
        <w:rPr>
          <w:rFonts w:ascii="Book Antiqua" w:hAnsi="Book Antiqua" w:eastAsia="Book Antiqua" w:cs="Book Antiqua"/>
          <w:color w:val="000000"/>
          <w:highlight w:val="none"/>
          <w:shd w:val="clear" w:color="auto" w:fill="FFFFFF"/>
        </w:rPr>
        <w:t>NO is cytotoxic, partly due to its effects on mitochondria</w:t>
      </w:r>
      <w:r>
        <w:rPr>
          <w:rFonts w:ascii="Book Antiqua" w:hAnsi="Book Antiqua" w:eastAsia="Book Antiqua" w:cs="Book Antiqua"/>
          <w:color w:val="000000"/>
          <w:highlight w:val="none"/>
          <w:vertAlign w:val="superscript"/>
        </w:rPr>
        <w:t>[86]</w:t>
      </w:r>
      <w:r>
        <w:rPr>
          <w:rFonts w:ascii="Book Antiqua" w:hAnsi="Book Antiqua" w:eastAsia="Book Antiqua" w:cs="Book Antiqua"/>
          <w:color w:val="000000"/>
          <w:highlight w:val="none"/>
          <w:shd w:val="clear" w:color="auto" w:fill="FFFFFF"/>
        </w:rPr>
        <w:t xml:space="preserve">. </w:t>
      </w:r>
      <w:r>
        <w:rPr>
          <w:rFonts w:ascii="Book Antiqua" w:hAnsi="Book Antiqua" w:eastAsia="Book Antiqua" w:cs="Book Antiqua"/>
          <w:color w:val="000000"/>
          <w:highlight w:val="none"/>
        </w:rPr>
        <w:t xml:space="preserve">Research reports have shown that NO is involved in rotenone-induced neurotoxicity </w:t>
      </w:r>
      <w:r>
        <w:rPr>
          <w:rFonts w:ascii="Book Antiqua" w:hAnsi="Book Antiqua" w:eastAsia="Book Antiqua" w:cs="Book Antiqua"/>
          <w:color w:val="000000"/>
          <w:highlight w:val="none"/>
          <w:shd w:val="clear" w:color="auto" w:fill="FFFFFF"/>
        </w:rPr>
        <w:t>(Table 2).</w:t>
      </w:r>
      <w:r>
        <w:rPr>
          <w:rFonts w:ascii="Book Antiqua" w:hAnsi="Book Antiqua" w:eastAsia="Book Antiqua" w:cs="Book Antiqua"/>
          <w:color w:val="000000"/>
          <w:highlight w:val="none"/>
        </w:rPr>
        <w:t xml:space="preserve"> H</w:t>
      </w:r>
      <w:r>
        <w:rPr>
          <w:rFonts w:ascii="Book Antiqua" w:hAnsi="Book Antiqua" w:eastAsia="Book Antiqua" w:cs="Book Antiqua"/>
          <w:color w:val="000000"/>
          <w:highlight w:val="none"/>
          <w:shd w:val="clear" w:color="auto" w:fill="FFFFFF"/>
        </w:rPr>
        <w:t xml:space="preserve">owever, the detailed mechanisms of this process are not well understood. Our data indicate that following </w:t>
      </w:r>
      <w:r>
        <w:rPr>
          <w:rFonts w:ascii="Book Antiqua" w:hAnsi="Book Antiqua" w:eastAsia="Book Antiqua" w:cs="Book Antiqua"/>
          <w:color w:val="000000"/>
          <w:highlight w:val="none"/>
        </w:rPr>
        <w:t xml:space="preserve">a </w:t>
      </w:r>
      <w:r>
        <w:rPr>
          <w:rFonts w:ascii="Book Antiqua" w:hAnsi="Book Antiqua" w:eastAsia="Book Antiqua" w:cs="Book Antiqua"/>
          <w:color w:val="000000"/>
          <w:highlight w:val="none"/>
          <w:shd w:val="clear" w:color="auto" w:fill="FFFFFF"/>
        </w:rPr>
        <w:t xml:space="preserve">single injection of rotenone (1.5 mg/kg), the levels of NO in all studied brain areas were </w:t>
      </w:r>
      <w:r>
        <w:rPr>
          <w:rFonts w:ascii="Book Antiqua" w:hAnsi="Book Antiqua" w:eastAsia="Book Antiqua" w:cs="Book Antiqua"/>
          <w:color w:val="000000"/>
          <w:highlight w:val="none"/>
        </w:rPr>
        <w:t xml:space="preserve">indistinguishable from those in </w:t>
      </w:r>
      <w:r>
        <w:rPr>
          <w:rFonts w:ascii="Book Antiqua" w:hAnsi="Book Antiqua" w:eastAsia="Book Antiqua" w:cs="Book Antiqua"/>
          <w:color w:val="000000"/>
          <w:highlight w:val="none"/>
          <w:shd w:val="clear" w:color="auto" w:fill="FFFFFF"/>
        </w:rPr>
        <w:t>control animals</w:t>
      </w:r>
      <w:r>
        <w:rPr>
          <w:rFonts w:ascii="Book Antiqua" w:hAnsi="Book Antiqua" w:eastAsia="Book Antiqua" w:cs="Book Antiqua"/>
          <w:color w:val="000000"/>
          <w:highlight w:val="none"/>
          <w:vertAlign w:val="superscript"/>
        </w:rPr>
        <w:t>[78]</w:t>
      </w:r>
      <w:r>
        <w:rPr>
          <w:rFonts w:ascii="Book Antiqua" w:hAnsi="Book Antiqua" w:eastAsia="Book Antiqua" w:cs="Book Antiqua"/>
          <w:color w:val="000000"/>
          <w:highlight w:val="none"/>
          <w:shd w:val="clear" w:color="auto" w:fill="FFFFFF"/>
        </w:rPr>
        <w:t>. The data obtained correspond with the results of other authors. Thus, acute administration of rotenone at a significantly higher dose (15 mg/kg) did not affect the level of hydroxyl radical generation</w:t>
      </w:r>
      <w:r>
        <w:rPr>
          <w:rFonts w:ascii="Book Antiqua" w:hAnsi="Book Antiqua" w:eastAsia="Book Antiqua" w:cs="Book Antiqua"/>
          <w:color w:val="000000"/>
          <w:highlight w:val="none"/>
          <w:vertAlign w:val="superscript"/>
        </w:rPr>
        <w:t>[87]</w:t>
      </w:r>
      <w:r>
        <w:rPr>
          <w:rFonts w:ascii="Book Antiqua" w:hAnsi="Book Antiqua" w:eastAsia="Book Antiqua" w:cs="Book Antiqua"/>
          <w:color w:val="000000"/>
          <w:highlight w:val="none"/>
          <w:shd w:val="clear" w:color="auto" w:fill="FFFFFF"/>
        </w:rPr>
        <w:t>. The NO level reached its maximum in dopaminergic structures,</w:t>
      </w:r>
      <w:r>
        <w:rPr>
          <w:rFonts w:ascii="Book Antiqua" w:hAnsi="Book Antiqua" w:eastAsia="Book Antiqua" w:cs="Book Antiqua"/>
          <w:color w:val="000000"/>
          <w:highlight w:val="none"/>
        </w:rPr>
        <w:t xml:space="preserve"> the</w:t>
      </w:r>
      <w:r>
        <w:rPr>
          <w:rFonts w:ascii="Book Antiqua" w:hAnsi="Book Antiqua" w:eastAsia="Book Antiqua" w:cs="Book Antiqua"/>
          <w:color w:val="000000"/>
          <w:highlight w:val="none"/>
          <w:shd w:val="clear" w:color="auto" w:fill="FFFFFF"/>
        </w:rPr>
        <w:t xml:space="preserve"> prefrontal cortex, and </w:t>
      </w:r>
      <w:r>
        <w:rPr>
          <w:rFonts w:ascii="Book Antiqua" w:hAnsi="Book Antiqua" w:eastAsia="Book Antiqua" w:cs="Book Antiqua"/>
          <w:color w:val="000000"/>
          <w:highlight w:val="none"/>
        </w:rPr>
        <w:t xml:space="preserve">the </w:t>
      </w:r>
      <w:r>
        <w:rPr>
          <w:rFonts w:ascii="Book Antiqua" w:hAnsi="Book Antiqua" w:eastAsia="Book Antiqua" w:cs="Book Antiqua"/>
          <w:color w:val="000000"/>
          <w:highlight w:val="none"/>
          <w:shd w:val="clear" w:color="auto" w:fill="FFFFFF"/>
        </w:rPr>
        <w:t>NAc 60 d after administration of rotenone</w:t>
      </w:r>
      <w:r>
        <w:rPr>
          <w:rFonts w:ascii="Book Antiqua" w:hAnsi="Book Antiqua" w:eastAsia="Book Antiqua" w:cs="Book Antiqua"/>
          <w:color w:val="000000"/>
          <w:highlight w:val="none"/>
          <w:vertAlign w:val="superscript"/>
        </w:rPr>
        <w:t>[78]</w:t>
      </w:r>
      <w:r>
        <w:rPr>
          <w:rFonts w:ascii="Book Antiqua" w:hAnsi="Book Antiqua" w:eastAsia="Book Antiqua" w:cs="Book Antiqua"/>
          <w:color w:val="000000"/>
          <w:highlight w:val="none"/>
          <w:shd w:val="clear" w:color="auto" w:fill="FFFFFF"/>
        </w:rPr>
        <w:t>. We observed a more than 2-fold elevation in NO generation in all studied brain structures of rats only after repeated injections of rotenone</w:t>
      </w:r>
      <w:r>
        <w:rPr>
          <w:rFonts w:ascii="Book Antiqua" w:hAnsi="Book Antiqua" w:eastAsia="Book Antiqua" w:cs="Book Antiqua"/>
          <w:color w:val="000000"/>
          <w:highlight w:val="none"/>
          <w:vertAlign w:val="superscript"/>
        </w:rPr>
        <w:t>[78]</w:t>
      </w:r>
      <w:r>
        <w:rPr>
          <w:rFonts w:ascii="Book Antiqua" w:hAnsi="Book Antiqua" w:eastAsia="Book Antiqua" w:cs="Book Antiqua"/>
          <w:color w:val="000000"/>
          <w:highlight w:val="none"/>
          <w:shd w:val="clear" w:color="auto" w:fill="FFFFFF"/>
        </w:rPr>
        <w:t xml:space="preserve">. These results are consistent with other studies investigating NO metabolites/products in </w:t>
      </w:r>
      <w:r>
        <w:rPr>
          <w:rFonts w:ascii="Book Antiqua" w:hAnsi="Book Antiqua" w:eastAsia="Book Antiqua" w:cs="Book Antiqua"/>
          <w:color w:val="000000"/>
          <w:highlight w:val="none"/>
        </w:rPr>
        <w:t>the brains</w:t>
      </w:r>
      <w:r>
        <w:rPr>
          <w:rFonts w:ascii="Book Antiqua" w:hAnsi="Book Antiqua" w:eastAsia="Book Antiqua" w:cs="Book Antiqua"/>
          <w:color w:val="000000"/>
          <w:highlight w:val="none"/>
          <w:shd w:val="clear" w:color="auto" w:fill="FFFFFF"/>
        </w:rPr>
        <w:t xml:space="preserve"> of rats treated with rotenone (Table 2). Thus, a significant increase (by 200.0%) in the concentration of nitrite determined by the spectrophotometric method was observed</w:t>
      </w:r>
      <w:r>
        <w:rPr>
          <w:rFonts w:ascii="Book Antiqua" w:hAnsi="Book Antiqua" w:eastAsia="Book Antiqua" w:cs="Book Antiqua"/>
          <w:color w:val="000000"/>
          <w:highlight w:val="none"/>
          <w:vertAlign w:val="superscript"/>
        </w:rPr>
        <w:t>[88]</w:t>
      </w:r>
      <w:r>
        <w:rPr>
          <w:rFonts w:ascii="Book Antiqua" w:hAnsi="Book Antiqua" w:eastAsia="Book Antiqua" w:cs="Book Antiqua"/>
          <w:color w:val="000000"/>
          <w:highlight w:val="none"/>
        </w:rPr>
        <w:t>. Authors suggest that overproduction of NO may be associated with S</w:t>
      </w:r>
      <w:r>
        <w:rPr>
          <w:rFonts w:ascii="Book Antiqua" w:hAnsi="Book Antiqua" w:eastAsia="Book Antiqua" w:cs="Book Antiqua"/>
          <w:color w:val="000000"/>
          <w:highlight w:val="none"/>
        </w:rPr>
        <w:noBreakHyphen/>
      </w:r>
      <w:r>
        <w:rPr>
          <w:rFonts w:ascii="Book Antiqua" w:hAnsi="Book Antiqua" w:eastAsia="Book Antiqua" w:cs="Book Antiqua"/>
          <w:color w:val="000000"/>
          <w:highlight w:val="none"/>
        </w:rPr>
        <w:t>nitrosylation or nitration of certain important proteins</w:t>
      </w:r>
      <w:r>
        <w:rPr>
          <w:rFonts w:ascii="Book Antiqua" w:hAnsi="Book Antiqua" w:eastAsia="Book Antiqua" w:cs="Book Antiqua"/>
          <w:color w:val="000000"/>
          <w:highlight w:val="none"/>
          <w:vertAlign w:val="superscript"/>
        </w:rPr>
        <w:t>[88]</w:t>
      </w:r>
      <w:r>
        <w:rPr>
          <w:rFonts w:ascii="Book Antiqua" w:hAnsi="Book Antiqua" w:eastAsia="Book Antiqua" w:cs="Book Antiqua"/>
          <w:color w:val="000000"/>
          <w:highlight w:val="none"/>
        </w:rPr>
        <w:t>. It was reported that the production of 3-nitrotyrosine in the brains of rats treated with rotenone for 40 d increased significantly</w:t>
      </w:r>
      <w:r>
        <w:rPr>
          <w:rFonts w:ascii="Book Antiqua" w:hAnsi="Book Antiqua" w:eastAsia="Book Antiqua" w:cs="Book Antiqua"/>
          <w:color w:val="000000"/>
          <w:highlight w:val="none"/>
          <w:vertAlign w:val="superscript"/>
        </w:rPr>
        <w:t>[76]</w:t>
      </w:r>
      <w:r>
        <w:rPr>
          <w:rFonts w:ascii="Book Antiqua" w:hAnsi="Book Antiqua" w:eastAsia="Book Antiqua" w:cs="Book Antiqua"/>
          <w:color w:val="000000"/>
          <w:highlight w:val="none"/>
        </w:rPr>
        <w:t>. In recent years, s</w:t>
      </w:r>
      <w:r>
        <w:rPr>
          <w:rFonts w:ascii="Book Antiqua" w:hAnsi="Book Antiqua" w:eastAsia="Book Antiqua" w:cs="Book Antiqua"/>
          <w:color w:val="000000"/>
          <w:highlight w:val="none"/>
          <w:shd w:val="clear" w:color="auto" w:fill="FFFFFF"/>
        </w:rPr>
        <w:t xml:space="preserve">everal studies have investigated </w:t>
      </w:r>
      <w:r>
        <w:rPr>
          <w:rFonts w:ascii="Book Antiqua" w:hAnsi="Book Antiqua" w:eastAsia="Book Antiqua" w:cs="Book Antiqua"/>
          <w:color w:val="000000"/>
          <w:highlight w:val="none"/>
        </w:rPr>
        <w:t>the potential neuroprotective properties of various plant extracts</w:t>
      </w:r>
      <w:r>
        <w:rPr>
          <w:rFonts w:ascii="Book Antiqua" w:hAnsi="Book Antiqua" w:eastAsia="Book Antiqua" w:cs="Book Antiqua"/>
          <w:color w:val="000000"/>
          <w:highlight w:val="none"/>
          <w:vertAlign w:val="superscript"/>
        </w:rPr>
        <w:t>[89-91]</w:t>
      </w:r>
      <w:r>
        <w:rPr>
          <w:rFonts w:ascii="Book Antiqua" w:hAnsi="Book Antiqua" w:eastAsia="Book Antiqua" w:cs="Book Antiqua"/>
          <w:color w:val="000000"/>
          <w:highlight w:val="none"/>
        </w:rPr>
        <w:t>, polyphenolic agents</w:t>
      </w:r>
      <w:r>
        <w:rPr>
          <w:rFonts w:ascii="Book Antiqua" w:hAnsi="Book Antiqua" w:eastAsia="Book Antiqua" w:cs="Book Antiqua"/>
          <w:color w:val="000000"/>
          <w:highlight w:val="none"/>
          <w:vertAlign w:val="superscript"/>
        </w:rPr>
        <w:t>[92]</w:t>
      </w:r>
      <w:r>
        <w:rPr>
          <w:rFonts w:ascii="Book Antiqua" w:hAnsi="Book Antiqua" w:eastAsia="Book Antiqua" w:cs="Book Antiqua"/>
          <w:color w:val="000000"/>
          <w:highlight w:val="none"/>
        </w:rPr>
        <w:t xml:space="preserve"> and flavonoids</w:t>
      </w:r>
      <w:r>
        <w:rPr>
          <w:rFonts w:ascii="Book Antiqua" w:hAnsi="Book Antiqua" w:eastAsia="Book Antiqua" w:cs="Book Antiqua"/>
          <w:color w:val="000000"/>
          <w:highlight w:val="none"/>
          <w:vertAlign w:val="superscript"/>
        </w:rPr>
        <w:t>[93]</w:t>
      </w:r>
      <w:r>
        <w:rPr>
          <w:rFonts w:ascii="Book Antiqua" w:hAnsi="Book Antiqua" w:eastAsia="Book Antiqua" w:cs="Book Antiqua"/>
          <w:color w:val="000000"/>
          <w:highlight w:val="none"/>
        </w:rPr>
        <w:t xml:space="preserve"> in a rotenone model of PD. The authors measured the level of nitrites as a marker of neurotoxicity in the dopaminergic brain structures of animals after long-lasting administration of rotenone (Table 2). The above studies indicate that the content of NO and its metabolites in the brain is currently considered one of the markers of rotenone-induced neurotoxicity.</w:t>
      </w:r>
    </w:p>
    <w:p>
      <w:pPr>
        <w:spacing w:line="360" w:lineRule="auto"/>
        <w:ind w:firstLine="240" w:firstLineChars="100"/>
        <w:jc w:val="both"/>
        <w:rPr>
          <w:highlight w:val="none"/>
        </w:rPr>
      </w:pPr>
      <w:r>
        <w:rPr>
          <w:rFonts w:ascii="Book Antiqua" w:hAnsi="Book Antiqua" w:eastAsia="Book Antiqua" w:cs="Book Antiqua"/>
          <w:color w:val="000000"/>
          <w:highlight w:val="none"/>
        </w:rPr>
        <w:t>In our opinion, it seems to be critical to study the dynamics of NO changes in various brain structures during long-term administration of rotenone. This issue is practically not studied. Our results demonstrated a significant enhancement of NO generation in the NAc after 20 d of treatment with rotenone, while the NO level was not elevated yet in the frontal cortex</w:t>
      </w:r>
      <w:r>
        <w:rPr>
          <w:rFonts w:ascii="Book Antiqua" w:hAnsi="Book Antiqua" w:eastAsia="Book Antiqua" w:cs="Book Antiqua"/>
          <w:color w:val="000000"/>
          <w:highlight w:val="none"/>
          <w:vertAlign w:val="superscript"/>
        </w:rPr>
        <w:t>[78]</w:t>
      </w:r>
      <w:r>
        <w:rPr>
          <w:rFonts w:ascii="Book Antiqua" w:hAnsi="Book Antiqua" w:eastAsia="Book Antiqua" w:cs="Book Antiqua"/>
          <w:color w:val="000000"/>
          <w:highlight w:val="none"/>
        </w:rPr>
        <w:t>. These data may indicate that dopaminergic neurons in the NAc may be intrinsically susceptible to oxidative damage compared to other neurons. Taken together, our results, as well as literature data, allow us to conclude that rotenone can produce a neurotoxic effect and cause an increased production of free radicals, including NO, only with long-lasting chronic administration. This, in turn, confirms the assumption that the cascade of biochemical reactions causing the development of neurotoxic processes can be triggered only after repeated injections of rotenone</w:t>
      </w:r>
      <w:r>
        <w:rPr>
          <w:rFonts w:ascii="Book Antiqua" w:hAnsi="Book Antiqua" w:eastAsia="Book Antiqua" w:cs="Book Antiqua"/>
          <w:color w:val="000000"/>
          <w:highlight w:val="none"/>
          <w:vertAlign w:val="superscript"/>
        </w:rPr>
        <w:t>[35,78,87,94]</w:t>
      </w:r>
      <w:r>
        <w:rPr>
          <w:rFonts w:ascii="Book Antiqua" w:hAnsi="Book Antiqua" w:eastAsia="Book Antiqua" w:cs="Book Antiqua"/>
          <w:color w:val="000000"/>
          <w:highlight w:val="none"/>
        </w:rPr>
        <w:t xml:space="preserve">. In summary, the data obtained indicate prospects for further research on the interaction of dopaminergic, mGluR and NO systems in rotenone models of PD to search for and study the mechanism of action of substances with neuroprotective properties </w:t>
      </w:r>
      <w:r>
        <w:rPr>
          <w:rFonts w:ascii="Book Antiqua" w:hAnsi="Book Antiqua" w:eastAsia="Book Antiqua" w:cs="Book Antiqua"/>
          <w:color w:val="000000"/>
          <w:szCs w:val="22"/>
          <w:highlight w:val="none"/>
        </w:rPr>
        <w:t>(Figure 1).</w:t>
      </w:r>
      <w:bookmarkEnd w:id="41"/>
      <w:bookmarkEnd w:id="42"/>
      <w:bookmarkEnd w:id="43"/>
      <w:bookmarkEnd w:id="44"/>
      <w:bookmarkEnd w:id="45"/>
      <w:bookmarkEnd w:id="46"/>
      <w:r>
        <w:rPr>
          <w:rFonts w:ascii="Book Antiqua" w:hAnsi="Book Antiqua" w:eastAsia="Book Antiqua" w:cs="Book Antiqua"/>
          <w:color w:val="000000"/>
          <w:szCs w:val="22"/>
          <w:highlight w:val="none"/>
        </w:rPr>
        <w:t xml:space="preserve"> </w:t>
      </w:r>
    </w:p>
    <w:p>
      <w:pPr>
        <w:spacing w:line="360" w:lineRule="auto"/>
        <w:jc w:val="both"/>
        <w:rPr>
          <w:highlight w:val="none"/>
        </w:rPr>
      </w:pPr>
    </w:p>
    <w:p>
      <w:pPr>
        <w:spacing w:line="360" w:lineRule="auto"/>
        <w:jc w:val="both"/>
        <w:rPr>
          <w:highlight w:val="none"/>
        </w:rPr>
      </w:pPr>
      <w:r>
        <w:rPr>
          <w:rFonts w:ascii="Book Antiqua" w:hAnsi="Book Antiqua" w:eastAsia="Book Antiqua" w:cs="Book Antiqua"/>
          <w:b/>
          <w:caps/>
          <w:color w:val="000000"/>
          <w:highlight w:val="none"/>
          <w:u w:val="single"/>
        </w:rPr>
        <w:t>CONCLUSION</w:t>
      </w:r>
    </w:p>
    <w:p>
      <w:pPr>
        <w:spacing w:line="360" w:lineRule="auto"/>
        <w:jc w:val="both"/>
        <w:rPr>
          <w:highlight w:val="none"/>
        </w:rPr>
      </w:pPr>
      <w:bookmarkStart w:id="47" w:name="OLE_LINK69"/>
      <w:bookmarkStart w:id="48" w:name="OLE_LINK70"/>
      <w:r>
        <w:rPr>
          <w:rFonts w:ascii="Book Antiqua" w:hAnsi="Book Antiqua" w:eastAsia="Book Antiqua" w:cs="Book Antiqua"/>
          <w:color w:val="000000"/>
          <w:highlight w:val="none"/>
        </w:rPr>
        <w:t xml:space="preserve">This review summarizes several newly discovered mechanisms of dopaminergic neurotoxicity (Figure 1). Current treatments for PD are mainly the administration of dopaminergic drugs. However, dopaminergic drugs are only symptomatic treatments and are limited by several side effects. Understanding the pathogenetic mechanisms of the onset and development of PD is of great clinical importance. Recent studies on drug development have focused on emerging new molecular mechanisms, including modulation of mGluRs and NO formation. Despite the growing number of studies demonstrating the positive effect of some mGluR ligands on motor symptomatology in PD models, there are still no drugs in clinical practice targeting </w:t>
      </w:r>
      <w:bookmarkStart w:id="49" w:name="OLE_LINK4"/>
      <w:r>
        <w:rPr>
          <w:rFonts w:ascii="Book Antiqua" w:hAnsi="Book Antiqua" w:eastAsia="Book Antiqua" w:cs="Book Antiqua"/>
          <w:color w:val="000000"/>
          <w:highlight w:val="none"/>
        </w:rPr>
        <w:t>mGlu</w:t>
      </w:r>
      <w:bookmarkEnd w:id="49"/>
      <w:r>
        <w:rPr>
          <w:rFonts w:hint="eastAsia" w:ascii="Book Antiqua" w:hAnsi="Book Antiqua" w:cs="Book Antiqua"/>
          <w:color w:val="000000"/>
          <w:highlight w:val="none"/>
          <w:lang w:eastAsia="zh-CN"/>
        </w:rPr>
        <w:t>R</w:t>
      </w:r>
      <w:r>
        <w:rPr>
          <w:rFonts w:ascii="Book Antiqua" w:hAnsi="Book Antiqua" w:eastAsia="Book Antiqua" w:cs="Book Antiqua"/>
          <w:color w:val="000000"/>
          <w:highlight w:val="none"/>
        </w:rPr>
        <w:t>s to restore neurological disorders of PD. Treatment with NO scavengers/NOS inhibitors may be another potential neuroprotective strategy for diseases associated with dopaminergic neurotoxicity. In addition, our preliminary results and literature data suggest that an increase in the formation of NO radicals in some brain structures may precede the onset of behavioral disorders in rats treated with rotenone. Therefore, finding a possible correlation between the generation of NO radicals and the onset of neurological disturbances during long-term application of rotenone can be an important step in understanding the pathogenesis of rotenone-induced neurotoxicity We can assume that in the future, the determination of NO generation may become a test for the early diagnosis of PD in patients who do not yet have specific symptoms of the disease.</w:t>
      </w:r>
    </w:p>
    <w:p>
      <w:pPr>
        <w:spacing w:line="360" w:lineRule="auto"/>
        <w:ind w:firstLine="240" w:firstLineChars="100"/>
        <w:jc w:val="both"/>
        <w:rPr>
          <w:highlight w:val="none"/>
        </w:rPr>
      </w:pPr>
      <w:r>
        <w:rPr>
          <w:rFonts w:ascii="Book Antiqua" w:hAnsi="Book Antiqua" w:eastAsia="Book Antiqua" w:cs="Book Antiqua"/>
          <w:color w:val="000000"/>
          <w:highlight w:val="none"/>
        </w:rPr>
        <w:t>Additionally, long-term application and widespread use of synthetic insecticides have resulted in the accumulation of their residues in food, milk, water, and soil and have adverse health effects for humans</w:t>
      </w:r>
      <w:r>
        <w:rPr>
          <w:rFonts w:ascii="Book Antiqua" w:hAnsi="Book Antiqua" w:eastAsia="Book Antiqua" w:cs="Book Antiqua"/>
          <w:color w:val="000000"/>
          <w:szCs w:val="20"/>
          <w:highlight w:val="none"/>
          <w:vertAlign w:val="superscript"/>
        </w:rPr>
        <w:t>[95]</w:t>
      </w:r>
      <w:r>
        <w:rPr>
          <w:rFonts w:ascii="Book Antiqua" w:hAnsi="Book Antiqua" w:eastAsia="Book Antiqua" w:cs="Book Antiqua"/>
          <w:color w:val="000000"/>
          <w:highlight w:val="none"/>
        </w:rPr>
        <w:t>. Although all natural insecticides are not completely safe, it seems necessary to phase out the use of rotenone pesticides in agriculture and replace them with natural (“organic”) pesticides with maximum safety.</w:t>
      </w:r>
    </w:p>
    <w:p>
      <w:pPr>
        <w:spacing w:line="360" w:lineRule="auto"/>
        <w:ind w:firstLine="240" w:firstLineChars="100"/>
        <w:jc w:val="both"/>
        <w:rPr>
          <w:highlight w:val="none"/>
        </w:rPr>
      </w:pPr>
      <w:r>
        <w:rPr>
          <w:rFonts w:ascii="Book Antiqua" w:hAnsi="Book Antiqua" w:eastAsia="Book Antiqua" w:cs="Book Antiqua"/>
          <w:color w:val="000000"/>
          <w:highlight w:val="none"/>
        </w:rPr>
        <w:t>In summary, alternative treatment strategies beyond dopaminergic drugs might be a major topic of future PD therapy. In conclusion, the findings demonstrate that modulation of mGluR and NO formation suggests the possibility of developing new treatment strategies for PD.</w:t>
      </w:r>
    </w:p>
    <w:bookmarkEnd w:id="47"/>
    <w:bookmarkEnd w:id="48"/>
    <w:p>
      <w:pPr>
        <w:spacing w:line="360" w:lineRule="auto"/>
        <w:jc w:val="both"/>
        <w:rPr>
          <w:highlight w:val="none"/>
        </w:rPr>
      </w:pPr>
    </w:p>
    <w:p>
      <w:pPr>
        <w:adjustRightInd w:val="0"/>
        <w:snapToGrid w:val="0"/>
        <w:spacing w:line="360" w:lineRule="auto"/>
        <w:jc w:val="both"/>
        <w:rPr>
          <w:rFonts w:ascii="Book Antiqua" w:hAnsi="Book Antiqua"/>
          <w:highlight w:val="none"/>
        </w:rPr>
      </w:pPr>
      <w:r>
        <w:rPr>
          <w:rFonts w:ascii="Book Antiqua" w:hAnsi="Book Antiqua" w:eastAsia="Book Antiqua" w:cs="Book Antiqua"/>
          <w:b/>
          <w:highlight w:val="none"/>
        </w:rPr>
        <w:t>REFERENCES</w:t>
      </w:r>
    </w:p>
    <w:p>
      <w:pPr>
        <w:pStyle w:val="5"/>
        <w:shd w:val="clear" w:color="auto" w:fill="FFFFFF"/>
        <w:adjustRightInd w:val="0"/>
        <w:snapToGrid w:val="0"/>
        <w:spacing w:before="0" w:beforeAutospacing="0" w:after="0" w:afterAutospacing="0" w:line="360" w:lineRule="auto"/>
        <w:jc w:val="both"/>
        <w:rPr>
          <w:rFonts w:ascii="Book Antiqua" w:hAnsi="Book Antiqua"/>
          <w:highlight w:val="none"/>
        </w:rPr>
      </w:pPr>
      <w:bookmarkStart w:id="50" w:name="OLE_LINK71"/>
      <w:bookmarkStart w:id="51" w:name="OLE_LINK72"/>
      <w:r>
        <w:rPr>
          <w:rFonts w:ascii="Book Antiqua" w:hAnsi="Book Antiqua"/>
          <w:highlight w:val="none"/>
        </w:rPr>
        <w:t>1 </w:t>
      </w:r>
      <w:r>
        <w:rPr>
          <w:rFonts w:ascii="Book Antiqua" w:hAnsi="Book Antiqua"/>
          <w:b/>
          <w:bCs/>
          <w:highlight w:val="none"/>
        </w:rPr>
        <w:t>Girault JA</w:t>
      </w:r>
      <w:r>
        <w:rPr>
          <w:rFonts w:ascii="Book Antiqua" w:hAnsi="Book Antiqua"/>
          <w:highlight w:val="none"/>
        </w:rPr>
        <w:t>, Greengard P. The neurobiology of dopamine signaling. </w:t>
      </w:r>
      <w:r>
        <w:rPr>
          <w:rFonts w:ascii="Book Antiqua" w:hAnsi="Book Antiqua"/>
          <w:i/>
          <w:iCs/>
          <w:highlight w:val="none"/>
        </w:rPr>
        <w:t>Arch Neurol</w:t>
      </w:r>
      <w:r>
        <w:rPr>
          <w:rFonts w:ascii="Book Antiqua" w:hAnsi="Book Antiqua"/>
          <w:highlight w:val="none"/>
        </w:rPr>
        <w:t> 2004; </w:t>
      </w:r>
      <w:r>
        <w:rPr>
          <w:rFonts w:ascii="Book Antiqua" w:hAnsi="Book Antiqua"/>
          <w:b/>
          <w:bCs/>
          <w:highlight w:val="none"/>
        </w:rPr>
        <w:t>61</w:t>
      </w:r>
      <w:r>
        <w:rPr>
          <w:rFonts w:ascii="Book Antiqua" w:hAnsi="Book Antiqua"/>
          <w:highlight w:val="none"/>
        </w:rPr>
        <w:t>: 641-644 [PMID: 15148138 DOI: 10.1001/archneur.61.5.641]</w:t>
      </w:r>
    </w:p>
    <w:p>
      <w:pPr>
        <w:pStyle w:val="5"/>
        <w:shd w:val="clear" w:color="auto" w:fill="FFFFFF"/>
        <w:adjustRightInd w:val="0"/>
        <w:snapToGrid w:val="0"/>
        <w:spacing w:before="0" w:beforeAutospacing="0" w:after="0" w:afterAutospacing="0" w:line="360" w:lineRule="auto"/>
        <w:jc w:val="both"/>
        <w:rPr>
          <w:rFonts w:ascii="Book Antiqua" w:hAnsi="Book Antiqua"/>
          <w:highlight w:val="none"/>
        </w:rPr>
      </w:pPr>
      <w:r>
        <w:rPr>
          <w:rFonts w:ascii="Book Antiqua" w:hAnsi="Book Antiqua"/>
          <w:highlight w:val="none"/>
        </w:rPr>
        <w:t>2 </w:t>
      </w:r>
      <w:r>
        <w:rPr>
          <w:rFonts w:ascii="Book Antiqua" w:hAnsi="Book Antiqua"/>
          <w:b/>
          <w:bCs/>
          <w:highlight w:val="none"/>
        </w:rPr>
        <w:t>Klein MO</w:t>
      </w:r>
      <w:r>
        <w:rPr>
          <w:rFonts w:ascii="Book Antiqua" w:hAnsi="Book Antiqua"/>
          <w:highlight w:val="none"/>
        </w:rPr>
        <w:t>, Battagello DS, Cardoso AR, Hauser DN, Bittencourt JC, Correa RG. Dopamine: Functions, Signaling, and Association with Neurological Diseases. </w:t>
      </w:r>
      <w:r>
        <w:rPr>
          <w:rFonts w:ascii="Book Antiqua" w:hAnsi="Book Antiqua"/>
          <w:i/>
          <w:iCs/>
          <w:highlight w:val="none"/>
        </w:rPr>
        <w:t>Cell Mol Neurobiol</w:t>
      </w:r>
      <w:r>
        <w:rPr>
          <w:rFonts w:ascii="Book Antiqua" w:hAnsi="Book Antiqua"/>
          <w:highlight w:val="none"/>
        </w:rPr>
        <w:t> 2019; </w:t>
      </w:r>
      <w:r>
        <w:rPr>
          <w:rFonts w:ascii="Book Antiqua" w:hAnsi="Book Antiqua"/>
          <w:b/>
          <w:bCs/>
          <w:highlight w:val="none"/>
        </w:rPr>
        <w:t>39</w:t>
      </w:r>
      <w:r>
        <w:rPr>
          <w:rFonts w:ascii="Book Antiqua" w:hAnsi="Book Antiqua"/>
          <w:highlight w:val="none"/>
        </w:rPr>
        <w:t>: 31-59 [PMID: 30446950 DOI: 10.1007/s10571-018-0632-3]</w:t>
      </w:r>
    </w:p>
    <w:p>
      <w:pPr>
        <w:pStyle w:val="5"/>
        <w:shd w:val="clear" w:color="auto" w:fill="FFFFFF"/>
        <w:adjustRightInd w:val="0"/>
        <w:snapToGrid w:val="0"/>
        <w:spacing w:before="0" w:beforeAutospacing="0" w:after="0" w:afterAutospacing="0" w:line="360" w:lineRule="auto"/>
        <w:jc w:val="both"/>
        <w:rPr>
          <w:rFonts w:ascii="Book Antiqua" w:hAnsi="Book Antiqua"/>
          <w:highlight w:val="none"/>
        </w:rPr>
      </w:pPr>
      <w:r>
        <w:rPr>
          <w:rFonts w:ascii="Book Antiqua" w:hAnsi="Book Antiqua"/>
          <w:highlight w:val="none"/>
        </w:rPr>
        <w:t>3 </w:t>
      </w:r>
      <w:r>
        <w:rPr>
          <w:rFonts w:ascii="Book Antiqua" w:hAnsi="Book Antiqua"/>
          <w:b/>
          <w:bCs/>
          <w:highlight w:val="none"/>
        </w:rPr>
        <w:t>Strange PG</w:t>
      </w:r>
      <w:r>
        <w:rPr>
          <w:rFonts w:ascii="Book Antiqua" w:hAnsi="Book Antiqua"/>
          <w:highlight w:val="none"/>
        </w:rPr>
        <w:t>. Dopamine receptors in the basal ganglia: relevance to Parkinson's disease. </w:t>
      </w:r>
      <w:r>
        <w:rPr>
          <w:rFonts w:ascii="Book Antiqua" w:hAnsi="Book Antiqua"/>
          <w:i/>
          <w:iCs/>
          <w:highlight w:val="none"/>
        </w:rPr>
        <w:t>Mov Disord</w:t>
      </w:r>
      <w:r>
        <w:rPr>
          <w:rFonts w:ascii="Book Antiqua" w:hAnsi="Book Antiqua"/>
          <w:highlight w:val="none"/>
        </w:rPr>
        <w:t> 1993; </w:t>
      </w:r>
      <w:r>
        <w:rPr>
          <w:rFonts w:ascii="Book Antiqua" w:hAnsi="Book Antiqua"/>
          <w:b/>
          <w:bCs/>
          <w:highlight w:val="none"/>
        </w:rPr>
        <w:t>8</w:t>
      </w:r>
      <w:r>
        <w:rPr>
          <w:rFonts w:ascii="Book Antiqua" w:hAnsi="Book Antiqua"/>
          <w:highlight w:val="none"/>
        </w:rPr>
        <w:t>: 263-270 [PMID: 8101967 DOI: 10.1002/mds.870080303]</w:t>
      </w:r>
    </w:p>
    <w:p>
      <w:pPr>
        <w:pStyle w:val="5"/>
        <w:shd w:val="clear" w:color="auto" w:fill="FFFFFF"/>
        <w:adjustRightInd w:val="0"/>
        <w:snapToGrid w:val="0"/>
        <w:spacing w:before="0" w:beforeAutospacing="0" w:after="0" w:afterAutospacing="0" w:line="360" w:lineRule="auto"/>
        <w:jc w:val="both"/>
        <w:rPr>
          <w:rFonts w:ascii="Book Antiqua" w:hAnsi="Book Antiqua"/>
          <w:highlight w:val="none"/>
        </w:rPr>
      </w:pPr>
      <w:r>
        <w:rPr>
          <w:rFonts w:ascii="Book Antiqua" w:hAnsi="Book Antiqua"/>
          <w:highlight w:val="none"/>
        </w:rPr>
        <w:t>4 </w:t>
      </w:r>
      <w:r>
        <w:rPr>
          <w:rFonts w:ascii="Book Antiqua" w:hAnsi="Book Antiqua"/>
          <w:b/>
          <w:bCs/>
          <w:highlight w:val="none"/>
        </w:rPr>
        <w:t>Marino BLB</w:t>
      </w:r>
      <w:r>
        <w:rPr>
          <w:rFonts w:ascii="Book Antiqua" w:hAnsi="Book Antiqua"/>
          <w:highlight w:val="none"/>
        </w:rPr>
        <w:t>, de Souza LR, Sousa KPA, Ferreira JV, Padilha EC, da Silva CHTP, Taft CA, Hage-Melim LIS. Parkinson's Disease: A Review from Pathophysiology to Treatment. </w:t>
      </w:r>
      <w:r>
        <w:rPr>
          <w:rFonts w:ascii="Book Antiqua" w:hAnsi="Book Antiqua"/>
          <w:i/>
          <w:iCs/>
          <w:highlight w:val="none"/>
        </w:rPr>
        <w:t>Mini Rev Med Chem</w:t>
      </w:r>
      <w:r>
        <w:rPr>
          <w:rFonts w:ascii="Book Antiqua" w:hAnsi="Book Antiqua"/>
          <w:highlight w:val="none"/>
        </w:rPr>
        <w:t> 2020; </w:t>
      </w:r>
      <w:r>
        <w:rPr>
          <w:rFonts w:ascii="Book Antiqua" w:hAnsi="Book Antiqua"/>
          <w:b/>
          <w:bCs/>
          <w:highlight w:val="none"/>
        </w:rPr>
        <w:t>20</w:t>
      </w:r>
      <w:r>
        <w:rPr>
          <w:rFonts w:ascii="Book Antiqua" w:hAnsi="Book Antiqua"/>
          <w:highlight w:val="none"/>
        </w:rPr>
        <w:t>: 754-767 [PMID: 31686637 DOI: 10.2174/1389557519666191104110908]</w:t>
      </w:r>
    </w:p>
    <w:p>
      <w:pPr>
        <w:pStyle w:val="5"/>
        <w:shd w:val="clear" w:color="auto" w:fill="FFFFFF"/>
        <w:adjustRightInd w:val="0"/>
        <w:snapToGrid w:val="0"/>
        <w:spacing w:before="0" w:beforeAutospacing="0" w:after="0" w:afterAutospacing="0" w:line="360" w:lineRule="auto"/>
        <w:jc w:val="both"/>
        <w:rPr>
          <w:rFonts w:ascii="Book Antiqua" w:hAnsi="Book Antiqua"/>
          <w:highlight w:val="none"/>
        </w:rPr>
      </w:pPr>
      <w:r>
        <w:rPr>
          <w:rFonts w:ascii="Book Antiqua" w:hAnsi="Book Antiqua"/>
          <w:highlight w:val="none"/>
        </w:rPr>
        <w:t>5 </w:t>
      </w:r>
      <w:r>
        <w:rPr>
          <w:rFonts w:ascii="Book Antiqua" w:hAnsi="Book Antiqua"/>
          <w:b/>
          <w:bCs/>
          <w:highlight w:val="none"/>
        </w:rPr>
        <w:t>Jimenez-Shahed J</w:t>
      </w:r>
      <w:r>
        <w:rPr>
          <w:rFonts w:ascii="Book Antiqua" w:hAnsi="Book Antiqua"/>
          <w:highlight w:val="none"/>
        </w:rPr>
        <w:t>. Medical and Surgical Treatments of Tourette Syndrome. </w:t>
      </w:r>
      <w:r>
        <w:rPr>
          <w:rFonts w:ascii="Book Antiqua" w:hAnsi="Book Antiqua"/>
          <w:i/>
          <w:iCs/>
          <w:highlight w:val="none"/>
        </w:rPr>
        <w:t>Neurol Clin</w:t>
      </w:r>
      <w:r>
        <w:rPr>
          <w:rFonts w:ascii="Book Antiqua" w:hAnsi="Book Antiqua"/>
          <w:highlight w:val="none"/>
        </w:rPr>
        <w:t> 2020; </w:t>
      </w:r>
      <w:r>
        <w:rPr>
          <w:rFonts w:ascii="Book Antiqua" w:hAnsi="Book Antiqua"/>
          <w:b/>
          <w:bCs/>
          <w:highlight w:val="none"/>
        </w:rPr>
        <w:t>38</w:t>
      </w:r>
      <w:r>
        <w:rPr>
          <w:rFonts w:ascii="Book Antiqua" w:hAnsi="Book Antiqua"/>
          <w:highlight w:val="none"/>
        </w:rPr>
        <w:t>: 349-366 [PMID: 32279714 DOI: 10.1016/j.ncl.2020.01.006]</w:t>
      </w:r>
    </w:p>
    <w:p>
      <w:pPr>
        <w:pStyle w:val="5"/>
        <w:shd w:val="clear" w:color="auto" w:fill="FFFFFF"/>
        <w:adjustRightInd w:val="0"/>
        <w:snapToGrid w:val="0"/>
        <w:spacing w:before="0" w:beforeAutospacing="0" w:after="0" w:afterAutospacing="0" w:line="360" w:lineRule="auto"/>
        <w:jc w:val="both"/>
        <w:rPr>
          <w:rFonts w:ascii="Book Antiqua" w:hAnsi="Book Antiqua"/>
          <w:highlight w:val="none"/>
        </w:rPr>
      </w:pPr>
      <w:r>
        <w:rPr>
          <w:rFonts w:ascii="Book Antiqua" w:hAnsi="Book Antiqua"/>
          <w:highlight w:val="none"/>
        </w:rPr>
        <w:t>6 </w:t>
      </w:r>
      <w:r>
        <w:rPr>
          <w:rFonts w:ascii="Book Antiqua" w:hAnsi="Book Antiqua"/>
          <w:b/>
          <w:bCs/>
          <w:highlight w:val="none"/>
        </w:rPr>
        <w:t>Volkow ND</w:t>
      </w:r>
      <w:r>
        <w:rPr>
          <w:rFonts w:ascii="Book Antiqua" w:hAnsi="Book Antiqua"/>
          <w:highlight w:val="none"/>
        </w:rPr>
        <w:t>, Morales M. The Brain on Drugs: From Reward to Addiction. </w:t>
      </w:r>
      <w:r>
        <w:rPr>
          <w:rFonts w:ascii="Book Antiqua" w:hAnsi="Book Antiqua"/>
          <w:i/>
          <w:iCs/>
          <w:highlight w:val="none"/>
        </w:rPr>
        <w:t>Cell</w:t>
      </w:r>
      <w:r>
        <w:rPr>
          <w:rFonts w:ascii="Book Antiqua" w:hAnsi="Book Antiqua"/>
          <w:highlight w:val="none"/>
        </w:rPr>
        <w:t> 2015; </w:t>
      </w:r>
      <w:r>
        <w:rPr>
          <w:rFonts w:ascii="Book Antiqua" w:hAnsi="Book Antiqua"/>
          <w:b/>
          <w:bCs/>
          <w:highlight w:val="none"/>
        </w:rPr>
        <w:t>162</w:t>
      </w:r>
      <w:r>
        <w:rPr>
          <w:rFonts w:ascii="Book Antiqua" w:hAnsi="Book Antiqua"/>
          <w:highlight w:val="none"/>
        </w:rPr>
        <w:t>: 712-725 [PMID: 26276628 DOI: 10.1016/j.cell.2015.07.046]</w:t>
      </w:r>
    </w:p>
    <w:p>
      <w:pPr>
        <w:pStyle w:val="5"/>
        <w:shd w:val="clear" w:color="auto" w:fill="FFFFFF"/>
        <w:adjustRightInd w:val="0"/>
        <w:snapToGrid w:val="0"/>
        <w:spacing w:before="0" w:beforeAutospacing="0" w:after="0" w:afterAutospacing="0" w:line="360" w:lineRule="auto"/>
        <w:jc w:val="both"/>
        <w:rPr>
          <w:rFonts w:ascii="Book Antiqua" w:hAnsi="Book Antiqua"/>
          <w:highlight w:val="none"/>
        </w:rPr>
      </w:pPr>
      <w:r>
        <w:rPr>
          <w:rFonts w:ascii="Book Antiqua" w:hAnsi="Book Antiqua"/>
          <w:highlight w:val="none"/>
        </w:rPr>
        <w:t>7 </w:t>
      </w:r>
      <w:r>
        <w:rPr>
          <w:rFonts w:ascii="Book Antiqua" w:hAnsi="Book Antiqua"/>
          <w:b/>
          <w:bCs/>
          <w:highlight w:val="none"/>
        </w:rPr>
        <w:t>Barenys M</w:t>
      </w:r>
      <w:r>
        <w:rPr>
          <w:rFonts w:ascii="Book Antiqua" w:hAnsi="Book Antiqua"/>
          <w:highlight w:val="none"/>
        </w:rPr>
        <w:t>, Reverte I, Masjosthusmann S, Gómez-Catalán J, Fritsche E. Developmental neurotoxicity of MDMA. A systematic literature review summarized in a putative adverse outcome pathway. </w:t>
      </w:r>
      <w:r>
        <w:rPr>
          <w:rFonts w:ascii="Book Antiqua" w:hAnsi="Book Antiqua"/>
          <w:i/>
          <w:iCs/>
          <w:highlight w:val="none"/>
        </w:rPr>
        <w:t>Neurotoxicology</w:t>
      </w:r>
      <w:r>
        <w:rPr>
          <w:rFonts w:ascii="Book Antiqua" w:hAnsi="Book Antiqua"/>
          <w:highlight w:val="none"/>
        </w:rPr>
        <w:t> 2020; </w:t>
      </w:r>
      <w:r>
        <w:rPr>
          <w:rFonts w:ascii="Book Antiqua" w:hAnsi="Book Antiqua"/>
          <w:b/>
          <w:bCs/>
          <w:highlight w:val="none"/>
        </w:rPr>
        <w:t>78</w:t>
      </w:r>
      <w:r>
        <w:rPr>
          <w:rFonts w:ascii="Book Antiqua" w:hAnsi="Book Antiqua"/>
          <w:highlight w:val="none"/>
        </w:rPr>
        <w:t>: 209-241 [PMID: 31812710 DOI: 10.1016/j.neuro.2019.12.007]</w:t>
      </w:r>
    </w:p>
    <w:p>
      <w:pPr>
        <w:pStyle w:val="5"/>
        <w:shd w:val="clear" w:color="auto" w:fill="FFFFFF"/>
        <w:adjustRightInd w:val="0"/>
        <w:snapToGrid w:val="0"/>
        <w:spacing w:before="0" w:beforeAutospacing="0" w:after="0" w:afterAutospacing="0" w:line="360" w:lineRule="auto"/>
        <w:jc w:val="both"/>
        <w:rPr>
          <w:rFonts w:ascii="Book Antiqua" w:hAnsi="Book Antiqua"/>
          <w:highlight w:val="none"/>
        </w:rPr>
      </w:pPr>
      <w:r>
        <w:rPr>
          <w:rFonts w:ascii="Book Antiqua" w:hAnsi="Book Antiqua"/>
          <w:highlight w:val="none"/>
        </w:rPr>
        <w:t>8 </w:t>
      </w:r>
      <w:r>
        <w:rPr>
          <w:rFonts w:ascii="Book Antiqua" w:hAnsi="Book Antiqua"/>
          <w:b/>
          <w:bCs/>
          <w:highlight w:val="none"/>
        </w:rPr>
        <w:t>Remington G</w:t>
      </w:r>
      <w:r>
        <w:rPr>
          <w:rFonts w:ascii="Book Antiqua" w:hAnsi="Book Antiqua"/>
          <w:highlight w:val="none"/>
        </w:rPr>
        <w:t>, Foussias G, Agid O, Fervaha G, Takeuchi H, Hahn M. The neurobiology of relapse in schizophrenia. </w:t>
      </w:r>
      <w:r>
        <w:rPr>
          <w:rFonts w:ascii="Book Antiqua" w:hAnsi="Book Antiqua"/>
          <w:i/>
          <w:iCs/>
          <w:highlight w:val="none"/>
        </w:rPr>
        <w:t>Schizophr Res</w:t>
      </w:r>
      <w:r>
        <w:rPr>
          <w:rFonts w:ascii="Book Antiqua" w:hAnsi="Book Antiqua"/>
          <w:highlight w:val="none"/>
        </w:rPr>
        <w:t> 2014; </w:t>
      </w:r>
      <w:r>
        <w:rPr>
          <w:rFonts w:ascii="Book Antiqua" w:hAnsi="Book Antiqua"/>
          <w:b/>
          <w:bCs/>
          <w:highlight w:val="none"/>
        </w:rPr>
        <w:t>152</w:t>
      </w:r>
      <w:r>
        <w:rPr>
          <w:rFonts w:ascii="Book Antiqua" w:hAnsi="Book Antiqua"/>
          <w:highlight w:val="none"/>
        </w:rPr>
        <w:t>: 381-390 [PMID: 24206930 DOI: 10.1016/j.schres.2013.10.009]</w:t>
      </w:r>
    </w:p>
    <w:p>
      <w:pPr>
        <w:pStyle w:val="5"/>
        <w:shd w:val="clear" w:color="auto" w:fill="FFFFFF"/>
        <w:adjustRightInd w:val="0"/>
        <w:snapToGrid w:val="0"/>
        <w:spacing w:before="0" w:beforeAutospacing="0" w:after="0" w:afterAutospacing="0" w:line="360" w:lineRule="auto"/>
        <w:jc w:val="both"/>
        <w:rPr>
          <w:rFonts w:ascii="Book Antiqua" w:hAnsi="Book Antiqua"/>
          <w:highlight w:val="none"/>
        </w:rPr>
      </w:pPr>
      <w:r>
        <w:rPr>
          <w:rFonts w:ascii="Book Antiqua" w:hAnsi="Book Antiqua"/>
          <w:highlight w:val="none"/>
        </w:rPr>
        <w:t>9 </w:t>
      </w:r>
      <w:r>
        <w:rPr>
          <w:rFonts w:ascii="Book Antiqua" w:hAnsi="Book Antiqua"/>
          <w:b/>
          <w:bCs/>
          <w:highlight w:val="none"/>
        </w:rPr>
        <w:t>Kostrzewa RM</w:t>
      </w:r>
      <w:r>
        <w:rPr>
          <w:rFonts w:ascii="Book Antiqua" w:hAnsi="Book Antiqua"/>
          <w:highlight w:val="none"/>
        </w:rPr>
        <w:t>, Wydra K, Filip M, Crawford CA, McDougall SA, Brown RW, Borroto-Escuela DO, Fuxe K, Gainetdinov RR. Dopamine D</w:t>
      </w:r>
      <w:r>
        <w:rPr>
          <w:rFonts w:ascii="Book Antiqua" w:hAnsi="Book Antiqua"/>
          <w:highlight w:val="none"/>
          <w:vertAlign w:val="subscript"/>
        </w:rPr>
        <w:t>2</w:t>
      </w:r>
      <w:r>
        <w:rPr>
          <w:rFonts w:ascii="Book Antiqua" w:hAnsi="Book Antiqua"/>
          <w:highlight w:val="none"/>
        </w:rPr>
        <w:t> Receptor Supersensitivity as a Spectrum of Neurotoxicity and Status in Psychiatric Disorders. </w:t>
      </w:r>
      <w:r>
        <w:rPr>
          <w:rFonts w:ascii="Book Antiqua" w:hAnsi="Book Antiqua"/>
          <w:i/>
          <w:iCs/>
          <w:highlight w:val="none"/>
        </w:rPr>
        <w:t>J Pharmacol Exp Ther</w:t>
      </w:r>
      <w:r>
        <w:rPr>
          <w:rFonts w:ascii="Book Antiqua" w:hAnsi="Book Antiqua"/>
          <w:highlight w:val="none"/>
        </w:rPr>
        <w:t> 2018; </w:t>
      </w:r>
      <w:r>
        <w:rPr>
          <w:rFonts w:ascii="Book Antiqua" w:hAnsi="Book Antiqua"/>
          <w:b/>
          <w:bCs/>
          <w:highlight w:val="none"/>
        </w:rPr>
        <w:t>366</w:t>
      </w:r>
      <w:r>
        <w:rPr>
          <w:rFonts w:ascii="Book Antiqua" w:hAnsi="Book Antiqua"/>
          <w:highlight w:val="none"/>
        </w:rPr>
        <w:t>: 519-526 [PMID: 29921706 DOI: 10.1124/jpet.118.247981]</w:t>
      </w:r>
    </w:p>
    <w:p>
      <w:pPr>
        <w:pStyle w:val="5"/>
        <w:shd w:val="clear" w:color="auto" w:fill="FFFFFF"/>
        <w:adjustRightInd w:val="0"/>
        <w:snapToGrid w:val="0"/>
        <w:spacing w:before="0" w:beforeAutospacing="0" w:after="0" w:afterAutospacing="0" w:line="360" w:lineRule="auto"/>
        <w:jc w:val="both"/>
        <w:rPr>
          <w:rFonts w:ascii="Book Antiqua" w:hAnsi="Book Antiqua"/>
          <w:highlight w:val="none"/>
        </w:rPr>
      </w:pPr>
      <w:r>
        <w:rPr>
          <w:rFonts w:ascii="Book Antiqua" w:hAnsi="Book Antiqua"/>
          <w:highlight w:val="none"/>
        </w:rPr>
        <w:t>10 </w:t>
      </w:r>
      <w:r>
        <w:rPr>
          <w:rFonts w:ascii="Book Antiqua" w:hAnsi="Book Antiqua"/>
          <w:b/>
          <w:bCs/>
          <w:highlight w:val="none"/>
        </w:rPr>
        <w:t>Fénelon G</w:t>
      </w:r>
      <w:r>
        <w:rPr>
          <w:rFonts w:ascii="Book Antiqua" w:hAnsi="Book Antiqua"/>
          <w:highlight w:val="none"/>
        </w:rPr>
        <w:t>, Alves G. Epidemiology of psychosis in Parkinson's disease. </w:t>
      </w:r>
      <w:r>
        <w:rPr>
          <w:rFonts w:ascii="Book Antiqua" w:hAnsi="Book Antiqua"/>
          <w:i/>
          <w:iCs/>
          <w:highlight w:val="none"/>
        </w:rPr>
        <w:t>J Neurol Sci</w:t>
      </w:r>
      <w:r>
        <w:rPr>
          <w:rFonts w:ascii="Book Antiqua" w:hAnsi="Book Antiqua"/>
          <w:highlight w:val="none"/>
        </w:rPr>
        <w:t> 2010; </w:t>
      </w:r>
      <w:r>
        <w:rPr>
          <w:rFonts w:ascii="Book Antiqua" w:hAnsi="Book Antiqua"/>
          <w:b/>
          <w:bCs/>
          <w:highlight w:val="none"/>
        </w:rPr>
        <w:t>289</w:t>
      </w:r>
      <w:r>
        <w:rPr>
          <w:rFonts w:ascii="Book Antiqua" w:hAnsi="Book Antiqua"/>
          <w:highlight w:val="none"/>
        </w:rPr>
        <w:t>: 12-17 [PMID: 19740486 DOI: 10.1016/j.jns.2009.08.014]</w:t>
      </w:r>
    </w:p>
    <w:p>
      <w:pPr>
        <w:pStyle w:val="5"/>
        <w:shd w:val="clear" w:color="auto" w:fill="FFFFFF"/>
        <w:adjustRightInd w:val="0"/>
        <w:snapToGrid w:val="0"/>
        <w:spacing w:before="0" w:beforeAutospacing="0" w:after="0" w:afterAutospacing="0" w:line="360" w:lineRule="auto"/>
        <w:jc w:val="both"/>
        <w:rPr>
          <w:rFonts w:ascii="Book Antiqua" w:hAnsi="Book Antiqua"/>
          <w:highlight w:val="none"/>
        </w:rPr>
      </w:pPr>
      <w:r>
        <w:rPr>
          <w:rFonts w:ascii="Book Antiqua" w:hAnsi="Book Antiqua"/>
          <w:highlight w:val="none"/>
        </w:rPr>
        <w:t>11 </w:t>
      </w:r>
      <w:r>
        <w:rPr>
          <w:rFonts w:ascii="Book Antiqua" w:hAnsi="Book Antiqua"/>
          <w:b/>
          <w:bCs/>
          <w:highlight w:val="none"/>
        </w:rPr>
        <w:t>Naasan G</w:t>
      </w:r>
      <w:r>
        <w:rPr>
          <w:rFonts w:ascii="Book Antiqua" w:hAnsi="Book Antiqua"/>
          <w:highlight w:val="none"/>
        </w:rPr>
        <w:t>, Shdo SM, Rodriguez EM, Spina S, Grinberg L, Lopez L, Karydas A, Seeley WW, Miller BL, Rankin KP. Psychosis in neurodegenerative disease: differential patterns of hallucination and delusion symptoms. </w:t>
      </w:r>
      <w:r>
        <w:rPr>
          <w:rFonts w:ascii="Book Antiqua" w:hAnsi="Book Antiqua"/>
          <w:i/>
          <w:iCs/>
          <w:highlight w:val="none"/>
        </w:rPr>
        <w:t>Brain</w:t>
      </w:r>
      <w:r>
        <w:rPr>
          <w:rFonts w:ascii="Book Antiqua" w:hAnsi="Book Antiqua"/>
          <w:highlight w:val="none"/>
        </w:rPr>
        <w:t> 2021; </w:t>
      </w:r>
      <w:r>
        <w:rPr>
          <w:rFonts w:ascii="Book Antiqua" w:hAnsi="Book Antiqua"/>
          <w:b/>
          <w:bCs/>
          <w:highlight w:val="none"/>
        </w:rPr>
        <w:t>144</w:t>
      </w:r>
      <w:r>
        <w:rPr>
          <w:rFonts w:ascii="Book Antiqua" w:hAnsi="Book Antiqua"/>
          <w:highlight w:val="none"/>
        </w:rPr>
        <w:t>: 999-1012 [PMID: 33501939 DOI: 10.1093/brain/awaa413]</w:t>
      </w:r>
    </w:p>
    <w:p>
      <w:pPr>
        <w:pStyle w:val="5"/>
        <w:shd w:val="clear" w:color="auto" w:fill="FFFFFF"/>
        <w:adjustRightInd w:val="0"/>
        <w:snapToGrid w:val="0"/>
        <w:spacing w:before="0" w:beforeAutospacing="0" w:after="0" w:afterAutospacing="0" w:line="360" w:lineRule="auto"/>
        <w:jc w:val="both"/>
        <w:rPr>
          <w:rFonts w:ascii="Book Antiqua" w:hAnsi="Book Antiqua"/>
          <w:highlight w:val="none"/>
        </w:rPr>
      </w:pPr>
      <w:r>
        <w:rPr>
          <w:rFonts w:ascii="Book Antiqua" w:hAnsi="Book Antiqua"/>
          <w:highlight w:val="none"/>
        </w:rPr>
        <w:t>12 </w:t>
      </w:r>
      <w:r>
        <w:rPr>
          <w:rFonts w:ascii="Book Antiqua" w:hAnsi="Book Antiqua"/>
          <w:b/>
          <w:bCs/>
          <w:highlight w:val="none"/>
        </w:rPr>
        <w:t>Ffytche DH</w:t>
      </w:r>
      <w:r>
        <w:rPr>
          <w:rFonts w:ascii="Book Antiqua" w:hAnsi="Book Antiqua"/>
          <w:highlight w:val="none"/>
        </w:rPr>
        <w:t>, Creese B, Politis M, Chaudhuri KR, Weintraub D, Ballard C, Aarsland D. The psychosis spectrum in Parkinson disease. </w:t>
      </w:r>
      <w:r>
        <w:rPr>
          <w:rFonts w:ascii="Book Antiqua" w:hAnsi="Book Antiqua"/>
          <w:i/>
          <w:iCs/>
          <w:highlight w:val="none"/>
        </w:rPr>
        <w:t>Nat Rev Neurol</w:t>
      </w:r>
      <w:r>
        <w:rPr>
          <w:rFonts w:ascii="Book Antiqua" w:hAnsi="Book Antiqua"/>
          <w:highlight w:val="none"/>
        </w:rPr>
        <w:t> 2017; </w:t>
      </w:r>
      <w:r>
        <w:rPr>
          <w:rFonts w:ascii="Book Antiqua" w:hAnsi="Book Antiqua"/>
          <w:b/>
          <w:bCs/>
          <w:highlight w:val="none"/>
        </w:rPr>
        <w:t>13</w:t>
      </w:r>
      <w:r>
        <w:rPr>
          <w:rFonts w:ascii="Book Antiqua" w:hAnsi="Book Antiqua"/>
          <w:highlight w:val="none"/>
        </w:rPr>
        <w:t>: 81-95 [PMID: 28106066 DOI: 10.1038/nrneurol.2016.200]</w:t>
      </w:r>
    </w:p>
    <w:p>
      <w:pPr>
        <w:pStyle w:val="5"/>
        <w:shd w:val="clear" w:color="auto" w:fill="FFFFFF"/>
        <w:adjustRightInd w:val="0"/>
        <w:snapToGrid w:val="0"/>
        <w:spacing w:before="0" w:beforeAutospacing="0" w:after="0" w:afterAutospacing="0" w:line="360" w:lineRule="auto"/>
        <w:jc w:val="both"/>
        <w:rPr>
          <w:rFonts w:ascii="Book Antiqua" w:hAnsi="Book Antiqua"/>
          <w:highlight w:val="none"/>
        </w:rPr>
      </w:pPr>
      <w:r>
        <w:rPr>
          <w:rFonts w:ascii="Book Antiqua" w:hAnsi="Book Antiqua"/>
          <w:highlight w:val="none"/>
        </w:rPr>
        <w:t>13 </w:t>
      </w:r>
      <w:r>
        <w:rPr>
          <w:rFonts w:ascii="Book Antiqua" w:hAnsi="Book Antiqua"/>
          <w:b/>
          <w:bCs/>
          <w:highlight w:val="none"/>
        </w:rPr>
        <w:t>Tampi RR</w:t>
      </w:r>
      <w:r>
        <w:rPr>
          <w:rFonts w:ascii="Book Antiqua" w:hAnsi="Book Antiqua"/>
          <w:highlight w:val="none"/>
        </w:rPr>
        <w:t>, Tampi DJ, Young JJ, Balachandran S, Hoq RA, Manikkara G. Evidence for using pimavanserin for the treatment of Parkinson's disease psychosis. </w:t>
      </w:r>
      <w:r>
        <w:rPr>
          <w:rFonts w:ascii="Book Antiqua" w:hAnsi="Book Antiqua"/>
          <w:i/>
          <w:iCs/>
          <w:highlight w:val="none"/>
        </w:rPr>
        <w:t>World J Psychiatry</w:t>
      </w:r>
      <w:r>
        <w:rPr>
          <w:rFonts w:ascii="Book Antiqua" w:hAnsi="Book Antiqua"/>
          <w:highlight w:val="none"/>
        </w:rPr>
        <w:t> 2019; </w:t>
      </w:r>
      <w:r>
        <w:rPr>
          <w:rFonts w:ascii="Book Antiqua" w:hAnsi="Book Antiqua"/>
          <w:b/>
          <w:bCs/>
          <w:highlight w:val="none"/>
        </w:rPr>
        <w:t>9</w:t>
      </w:r>
      <w:r>
        <w:rPr>
          <w:rFonts w:ascii="Book Antiqua" w:hAnsi="Book Antiqua"/>
          <w:highlight w:val="none"/>
        </w:rPr>
        <w:t>: 47-54 [PMID: 31211112 DOI: 10.5498/wjp.v9.i3.47]</w:t>
      </w:r>
    </w:p>
    <w:p>
      <w:pPr>
        <w:pStyle w:val="5"/>
        <w:shd w:val="clear" w:color="auto" w:fill="FFFFFF"/>
        <w:adjustRightInd w:val="0"/>
        <w:snapToGrid w:val="0"/>
        <w:spacing w:before="0" w:beforeAutospacing="0" w:after="0" w:afterAutospacing="0" w:line="360" w:lineRule="auto"/>
        <w:jc w:val="both"/>
        <w:rPr>
          <w:rFonts w:ascii="Book Antiqua" w:hAnsi="Book Antiqua"/>
          <w:highlight w:val="none"/>
        </w:rPr>
      </w:pPr>
      <w:r>
        <w:rPr>
          <w:rFonts w:ascii="Book Antiqua" w:hAnsi="Book Antiqua"/>
          <w:highlight w:val="none"/>
        </w:rPr>
        <w:t>14 </w:t>
      </w:r>
      <w:r>
        <w:rPr>
          <w:rFonts w:ascii="Book Antiqua" w:hAnsi="Book Antiqua"/>
          <w:b/>
          <w:bCs/>
          <w:highlight w:val="none"/>
        </w:rPr>
        <w:t>Prenger MTM</w:t>
      </w:r>
      <w:r>
        <w:rPr>
          <w:rFonts w:ascii="Book Antiqua" w:hAnsi="Book Antiqua"/>
          <w:highlight w:val="none"/>
        </w:rPr>
        <w:t>, Madray R, Van Hedger K, Anello M, MacDonald PA. Social Symptoms of Parkinson's Disease. </w:t>
      </w:r>
      <w:r>
        <w:rPr>
          <w:rFonts w:ascii="Book Antiqua" w:hAnsi="Book Antiqua"/>
          <w:i/>
          <w:iCs/>
          <w:highlight w:val="none"/>
        </w:rPr>
        <w:t>Parkinsons Dis</w:t>
      </w:r>
      <w:r>
        <w:rPr>
          <w:rFonts w:ascii="Book Antiqua" w:hAnsi="Book Antiqua"/>
          <w:highlight w:val="none"/>
        </w:rPr>
        <w:t> 2020; </w:t>
      </w:r>
      <w:r>
        <w:rPr>
          <w:rFonts w:ascii="Book Antiqua" w:hAnsi="Book Antiqua"/>
          <w:b/>
          <w:bCs/>
          <w:highlight w:val="none"/>
        </w:rPr>
        <w:t>2020</w:t>
      </w:r>
      <w:r>
        <w:rPr>
          <w:rFonts w:ascii="Book Antiqua" w:hAnsi="Book Antiqua"/>
          <w:highlight w:val="none"/>
        </w:rPr>
        <w:t>: 8846544 [PMID: 33489081 DOI: 10.1155/2020/8846544]</w:t>
      </w:r>
    </w:p>
    <w:p>
      <w:pPr>
        <w:pStyle w:val="5"/>
        <w:shd w:val="clear" w:color="auto" w:fill="FFFFFF"/>
        <w:adjustRightInd w:val="0"/>
        <w:snapToGrid w:val="0"/>
        <w:spacing w:before="0" w:beforeAutospacing="0" w:after="0" w:afterAutospacing="0" w:line="360" w:lineRule="auto"/>
        <w:jc w:val="both"/>
        <w:rPr>
          <w:rFonts w:ascii="Book Antiqua" w:hAnsi="Book Antiqua"/>
          <w:highlight w:val="none"/>
        </w:rPr>
      </w:pPr>
      <w:r>
        <w:rPr>
          <w:rFonts w:ascii="Book Antiqua" w:hAnsi="Book Antiqua"/>
          <w:highlight w:val="none"/>
        </w:rPr>
        <w:t>15 </w:t>
      </w:r>
      <w:r>
        <w:rPr>
          <w:rFonts w:ascii="Book Antiqua" w:hAnsi="Book Antiqua"/>
          <w:b/>
          <w:bCs/>
          <w:highlight w:val="none"/>
        </w:rPr>
        <w:t>Finlay C</w:t>
      </w:r>
      <w:r>
        <w:rPr>
          <w:rFonts w:ascii="Book Antiqua" w:hAnsi="Book Antiqua"/>
          <w:highlight w:val="none"/>
        </w:rPr>
        <w:t>, Duty S. Therapeutic potential of targeting glutamate receptors in Parkinson's disease. </w:t>
      </w:r>
      <w:r>
        <w:rPr>
          <w:rFonts w:ascii="Book Antiqua" w:hAnsi="Book Antiqua"/>
          <w:i/>
          <w:iCs/>
          <w:highlight w:val="none"/>
        </w:rPr>
        <w:t>J Neural Transm (Vienna)</w:t>
      </w:r>
      <w:r>
        <w:rPr>
          <w:rFonts w:ascii="Book Antiqua" w:hAnsi="Book Antiqua"/>
          <w:highlight w:val="none"/>
        </w:rPr>
        <w:t> 2014; </w:t>
      </w:r>
      <w:r>
        <w:rPr>
          <w:rFonts w:ascii="Book Antiqua" w:hAnsi="Book Antiqua"/>
          <w:b/>
          <w:bCs/>
          <w:highlight w:val="none"/>
        </w:rPr>
        <w:t>121</w:t>
      </w:r>
      <w:r>
        <w:rPr>
          <w:rFonts w:ascii="Book Antiqua" w:hAnsi="Book Antiqua"/>
          <w:highlight w:val="none"/>
        </w:rPr>
        <w:t>: 861-880 [PMID: 24557498 DOI: 10.1007/s00702-014-1176-4]</w:t>
      </w:r>
    </w:p>
    <w:p>
      <w:pPr>
        <w:pStyle w:val="5"/>
        <w:shd w:val="clear" w:color="auto" w:fill="FFFFFF"/>
        <w:adjustRightInd w:val="0"/>
        <w:snapToGrid w:val="0"/>
        <w:spacing w:before="0" w:beforeAutospacing="0" w:after="0" w:afterAutospacing="0" w:line="360" w:lineRule="auto"/>
        <w:jc w:val="both"/>
        <w:rPr>
          <w:rFonts w:ascii="Book Antiqua" w:hAnsi="Book Antiqua"/>
          <w:highlight w:val="none"/>
        </w:rPr>
      </w:pPr>
      <w:r>
        <w:rPr>
          <w:rFonts w:ascii="Book Antiqua" w:hAnsi="Book Antiqua"/>
          <w:highlight w:val="none"/>
        </w:rPr>
        <w:t>16 </w:t>
      </w:r>
      <w:r>
        <w:rPr>
          <w:rFonts w:ascii="Book Antiqua" w:hAnsi="Book Antiqua"/>
          <w:b/>
          <w:bCs/>
          <w:highlight w:val="none"/>
        </w:rPr>
        <w:t>Piccirillo S</w:t>
      </w:r>
      <w:r>
        <w:rPr>
          <w:rFonts w:ascii="Book Antiqua" w:hAnsi="Book Antiqua"/>
          <w:highlight w:val="none"/>
        </w:rPr>
        <w:t>, Magi S, Preziuso A, Castaldo P, Amoroso S, Lariccia V. Gateways for Glutamate Neuroprotection in Parkinson's Disease (PD): Essential Role of EAAT3 and NCX1 Revealed in an In Vitro Model of PD. </w:t>
      </w:r>
      <w:r>
        <w:rPr>
          <w:rFonts w:ascii="Book Antiqua" w:hAnsi="Book Antiqua"/>
          <w:i/>
          <w:iCs/>
          <w:highlight w:val="none"/>
        </w:rPr>
        <w:t>Cells</w:t>
      </w:r>
      <w:r>
        <w:rPr>
          <w:rFonts w:ascii="Book Antiqua" w:hAnsi="Book Antiqua"/>
          <w:highlight w:val="none"/>
        </w:rPr>
        <w:t> 2020; </w:t>
      </w:r>
      <w:r>
        <w:rPr>
          <w:rFonts w:ascii="Book Antiqua" w:hAnsi="Book Antiqua"/>
          <w:b/>
          <w:bCs/>
          <w:highlight w:val="none"/>
        </w:rPr>
        <w:t>9</w:t>
      </w:r>
      <w:r>
        <w:rPr>
          <w:rFonts w:ascii="Book Antiqua" w:hAnsi="Book Antiqua"/>
          <w:highlight w:val="none"/>
        </w:rPr>
        <w:t> [PMID: 32899900 DOI: 10.3390/cells9092037]</w:t>
      </w:r>
    </w:p>
    <w:p>
      <w:pPr>
        <w:pStyle w:val="5"/>
        <w:shd w:val="clear" w:color="auto" w:fill="FFFFFF"/>
        <w:adjustRightInd w:val="0"/>
        <w:snapToGrid w:val="0"/>
        <w:spacing w:before="0" w:beforeAutospacing="0" w:after="0" w:afterAutospacing="0" w:line="360" w:lineRule="auto"/>
        <w:jc w:val="both"/>
        <w:rPr>
          <w:rFonts w:ascii="Book Antiqua" w:hAnsi="Book Antiqua"/>
          <w:highlight w:val="none"/>
        </w:rPr>
      </w:pPr>
      <w:r>
        <w:rPr>
          <w:rFonts w:ascii="Book Antiqua" w:hAnsi="Book Antiqua"/>
          <w:highlight w:val="none"/>
        </w:rPr>
        <w:t>17 </w:t>
      </w:r>
      <w:r>
        <w:rPr>
          <w:rFonts w:ascii="Book Antiqua" w:hAnsi="Book Antiqua"/>
          <w:b/>
          <w:bCs/>
          <w:highlight w:val="none"/>
        </w:rPr>
        <w:t>Parsons CG</w:t>
      </w:r>
      <w:r>
        <w:rPr>
          <w:rFonts w:ascii="Book Antiqua" w:hAnsi="Book Antiqua"/>
          <w:highlight w:val="none"/>
        </w:rPr>
        <w:t>, Danysz W, Zieglgänsberger W. Excitatory amino acid neurotransmission. </w:t>
      </w:r>
      <w:r>
        <w:rPr>
          <w:rFonts w:ascii="Book Antiqua" w:hAnsi="Book Antiqua"/>
          <w:i/>
          <w:iCs/>
          <w:highlight w:val="none"/>
        </w:rPr>
        <w:t>Handb Exp Pharmacol</w:t>
      </w:r>
      <w:r>
        <w:rPr>
          <w:rFonts w:ascii="Book Antiqua" w:hAnsi="Book Antiqua"/>
          <w:highlight w:val="none"/>
        </w:rPr>
        <w:t> 2005: 249-303 [PMID: 16594262 DOI: 10.1007/3-540-28082-0_10]</w:t>
      </w:r>
    </w:p>
    <w:p>
      <w:pPr>
        <w:pStyle w:val="5"/>
        <w:shd w:val="clear" w:color="auto" w:fill="FFFFFF"/>
        <w:adjustRightInd w:val="0"/>
        <w:snapToGrid w:val="0"/>
        <w:spacing w:before="0" w:beforeAutospacing="0" w:after="0" w:afterAutospacing="0" w:line="360" w:lineRule="auto"/>
        <w:jc w:val="both"/>
        <w:rPr>
          <w:rFonts w:ascii="Book Antiqua" w:hAnsi="Book Antiqua"/>
          <w:highlight w:val="none"/>
        </w:rPr>
      </w:pPr>
      <w:r>
        <w:rPr>
          <w:rFonts w:ascii="Book Antiqua" w:hAnsi="Book Antiqua"/>
          <w:highlight w:val="none"/>
        </w:rPr>
        <w:t>18 </w:t>
      </w:r>
      <w:r>
        <w:rPr>
          <w:rFonts w:ascii="Book Antiqua" w:hAnsi="Book Antiqua"/>
          <w:b/>
          <w:bCs/>
          <w:highlight w:val="none"/>
        </w:rPr>
        <w:t>Ignarro LJ</w:t>
      </w:r>
      <w:r>
        <w:rPr>
          <w:rFonts w:ascii="Book Antiqua" w:hAnsi="Book Antiqua"/>
          <w:highlight w:val="none"/>
        </w:rPr>
        <w:t>. Nitric oxide. A novel signal transduction mechanism for transcellular communication. </w:t>
      </w:r>
      <w:r>
        <w:rPr>
          <w:rFonts w:ascii="Book Antiqua" w:hAnsi="Book Antiqua"/>
          <w:i/>
          <w:iCs/>
          <w:highlight w:val="none"/>
        </w:rPr>
        <w:t>Hypertension</w:t>
      </w:r>
      <w:r>
        <w:rPr>
          <w:rFonts w:ascii="Book Antiqua" w:hAnsi="Book Antiqua"/>
          <w:highlight w:val="none"/>
        </w:rPr>
        <w:t> 1990; </w:t>
      </w:r>
      <w:r>
        <w:rPr>
          <w:rFonts w:ascii="Book Antiqua" w:hAnsi="Book Antiqua"/>
          <w:b/>
          <w:bCs/>
          <w:highlight w:val="none"/>
        </w:rPr>
        <w:t>16</w:t>
      </w:r>
      <w:r>
        <w:rPr>
          <w:rFonts w:ascii="Book Antiqua" w:hAnsi="Book Antiqua"/>
          <w:highlight w:val="none"/>
        </w:rPr>
        <w:t>: 477-483 [PMID: 1977698 DOI: 10.1161/01.hyp.16.5.477]</w:t>
      </w:r>
    </w:p>
    <w:p>
      <w:pPr>
        <w:pStyle w:val="5"/>
        <w:shd w:val="clear" w:color="auto" w:fill="FFFFFF"/>
        <w:adjustRightInd w:val="0"/>
        <w:snapToGrid w:val="0"/>
        <w:spacing w:before="0" w:beforeAutospacing="0" w:after="0" w:afterAutospacing="0" w:line="360" w:lineRule="auto"/>
        <w:jc w:val="both"/>
        <w:rPr>
          <w:rFonts w:ascii="Book Antiqua" w:hAnsi="Book Antiqua"/>
          <w:highlight w:val="none"/>
        </w:rPr>
      </w:pPr>
      <w:r>
        <w:rPr>
          <w:rFonts w:ascii="Book Antiqua" w:hAnsi="Book Antiqua"/>
          <w:highlight w:val="none"/>
        </w:rPr>
        <w:t>19 </w:t>
      </w:r>
      <w:r>
        <w:rPr>
          <w:rFonts w:ascii="Book Antiqua" w:hAnsi="Book Antiqua"/>
          <w:b/>
          <w:bCs/>
          <w:highlight w:val="none"/>
        </w:rPr>
        <w:t>Garthwaite J</w:t>
      </w:r>
      <w:r>
        <w:rPr>
          <w:rFonts w:ascii="Book Antiqua" w:hAnsi="Book Antiqua"/>
          <w:highlight w:val="none"/>
        </w:rPr>
        <w:t>. NO as a multimodal transmitter in the brain: discovery and current status. </w:t>
      </w:r>
      <w:r>
        <w:rPr>
          <w:rFonts w:ascii="Book Antiqua" w:hAnsi="Book Antiqua"/>
          <w:i/>
          <w:iCs/>
          <w:highlight w:val="none"/>
        </w:rPr>
        <w:t>Br J Pharmacol</w:t>
      </w:r>
      <w:r>
        <w:rPr>
          <w:rFonts w:ascii="Book Antiqua" w:hAnsi="Book Antiqua"/>
          <w:highlight w:val="none"/>
        </w:rPr>
        <w:t> 2019; </w:t>
      </w:r>
      <w:r>
        <w:rPr>
          <w:rFonts w:ascii="Book Antiqua" w:hAnsi="Book Antiqua"/>
          <w:b/>
          <w:bCs/>
          <w:highlight w:val="none"/>
        </w:rPr>
        <w:t>176</w:t>
      </w:r>
      <w:r>
        <w:rPr>
          <w:rFonts w:ascii="Book Antiqua" w:hAnsi="Book Antiqua"/>
          <w:highlight w:val="none"/>
        </w:rPr>
        <w:t>: 197-211 [PMID: 30399649 DOI: 10.1111/bph.14532]</w:t>
      </w:r>
    </w:p>
    <w:p>
      <w:pPr>
        <w:pStyle w:val="5"/>
        <w:shd w:val="clear" w:color="auto" w:fill="FFFFFF"/>
        <w:adjustRightInd w:val="0"/>
        <w:snapToGrid w:val="0"/>
        <w:spacing w:before="0" w:beforeAutospacing="0" w:after="0" w:afterAutospacing="0" w:line="360" w:lineRule="auto"/>
        <w:jc w:val="both"/>
        <w:rPr>
          <w:rFonts w:ascii="Book Antiqua" w:hAnsi="Book Antiqua"/>
          <w:highlight w:val="none"/>
        </w:rPr>
      </w:pPr>
      <w:r>
        <w:rPr>
          <w:rFonts w:ascii="Book Antiqua" w:hAnsi="Book Antiqua"/>
          <w:highlight w:val="none"/>
        </w:rPr>
        <w:t>20 </w:t>
      </w:r>
      <w:r>
        <w:rPr>
          <w:rFonts w:ascii="Book Antiqua" w:hAnsi="Book Antiqua"/>
          <w:b/>
          <w:bCs/>
          <w:highlight w:val="none"/>
        </w:rPr>
        <w:t>Dawson TM</w:t>
      </w:r>
      <w:r>
        <w:rPr>
          <w:rFonts w:ascii="Book Antiqua" w:hAnsi="Book Antiqua"/>
          <w:highlight w:val="none"/>
        </w:rPr>
        <w:t>, Snyder SH. Gases as biological messengers: nitric oxide and carbon monoxide in the brain. </w:t>
      </w:r>
      <w:r>
        <w:rPr>
          <w:rFonts w:ascii="Book Antiqua" w:hAnsi="Book Antiqua"/>
          <w:i/>
          <w:iCs/>
          <w:highlight w:val="none"/>
        </w:rPr>
        <w:t>J Neurosci</w:t>
      </w:r>
      <w:r>
        <w:rPr>
          <w:rFonts w:ascii="Book Antiqua" w:hAnsi="Book Antiqua"/>
          <w:highlight w:val="none"/>
        </w:rPr>
        <w:t> 1994; </w:t>
      </w:r>
      <w:r>
        <w:rPr>
          <w:rFonts w:ascii="Book Antiqua" w:hAnsi="Book Antiqua"/>
          <w:b/>
          <w:bCs/>
          <w:highlight w:val="none"/>
        </w:rPr>
        <w:t>14</w:t>
      </w:r>
      <w:r>
        <w:rPr>
          <w:rFonts w:ascii="Book Antiqua" w:hAnsi="Book Antiqua"/>
          <w:highlight w:val="none"/>
        </w:rPr>
        <w:t>: 5147-5159 [PMID: 8083727 DOI: 10.1523/JNEUROSCI.14-09-05147.1994]</w:t>
      </w:r>
    </w:p>
    <w:p>
      <w:pPr>
        <w:pStyle w:val="5"/>
        <w:shd w:val="clear" w:color="auto" w:fill="FFFFFF"/>
        <w:adjustRightInd w:val="0"/>
        <w:snapToGrid w:val="0"/>
        <w:spacing w:before="0" w:beforeAutospacing="0" w:after="0" w:afterAutospacing="0" w:line="360" w:lineRule="auto"/>
        <w:jc w:val="both"/>
        <w:rPr>
          <w:rFonts w:ascii="Book Antiqua" w:hAnsi="Book Antiqua"/>
          <w:highlight w:val="none"/>
        </w:rPr>
      </w:pPr>
      <w:r>
        <w:rPr>
          <w:rFonts w:ascii="Book Antiqua" w:hAnsi="Book Antiqua"/>
          <w:highlight w:val="none"/>
        </w:rPr>
        <w:t>21 </w:t>
      </w:r>
      <w:r>
        <w:rPr>
          <w:rFonts w:ascii="Book Antiqua" w:hAnsi="Book Antiqua"/>
          <w:b/>
          <w:bCs/>
          <w:highlight w:val="none"/>
        </w:rPr>
        <w:t>Jiménez-Jiménez FJ</w:t>
      </w:r>
      <w:r>
        <w:rPr>
          <w:rFonts w:ascii="Book Antiqua" w:hAnsi="Book Antiqua"/>
          <w:highlight w:val="none"/>
        </w:rPr>
        <w:t>, Alonso-Navarro H, Herrero MT, García-Martín E, Agúndez JA. An Update on the Role of Nitric Oxide in the Neurodegenerative Processes of Parkinson's Disease. </w:t>
      </w:r>
      <w:r>
        <w:rPr>
          <w:rFonts w:ascii="Book Antiqua" w:hAnsi="Book Antiqua"/>
          <w:i/>
          <w:iCs/>
          <w:highlight w:val="none"/>
        </w:rPr>
        <w:t>Curr Med Chem</w:t>
      </w:r>
      <w:r>
        <w:rPr>
          <w:rFonts w:ascii="Book Antiqua" w:hAnsi="Book Antiqua"/>
          <w:highlight w:val="none"/>
        </w:rPr>
        <w:t> 2016; </w:t>
      </w:r>
      <w:r>
        <w:rPr>
          <w:rFonts w:ascii="Book Antiqua" w:hAnsi="Book Antiqua"/>
          <w:b/>
          <w:bCs/>
          <w:highlight w:val="none"/>
        </w:rPr>
        <w:t>23</w:t>
      </w:r>
      <w:r>
        <w:rPr>
          <w:rFonts w:ascii="Book Antiqua" w:hAnsi="Book Antiqua"/>
          <w:highlight w:val="none"/>
        </w:rPr>
        <w:t>: 2666-2679 [PMID: 27776473 DOI: 10.2174/0929867323666160812151356]</w:t>
      </w:r>
    </w:p>
    <w:p>
      <w:pPr>
        <w:pStyle w:val="5"/>
        <w:shd w:val="clear" w:color="auto" w:fill="FFFFFF"/>
        <w:adjustRightInd w:val="0"/>
        <w:snapToGrid w:val="0"/>
        <w:spacing w:before="0" w:beforeAutospacing="0" w:after="0" w:afterAutospacing="0" w:line="360" w:lineRule="auto"/>
        <w:jc w:val="both"/>
        <w:rPr>
          <w:rFonts w:ascii="Book Antiqua" w:hAnsi="Book Antiqua"/>
          <w:highlight w:val="none"/>
        </w:rPr>
      </w:pPr>
      <w:r>
        <w:rPr>
          <w:rFonts w:ascii="Book Antiqua" w:hAnsi="Book Antiqua"/>
          <w:highlight w:val="none"/>
        </w:rPr>
        <w:t>22 </w:t>
      </w:r>
      <w:r>
        <w:rPr>
          <w:rFonts w:ascii="Book Antiqua" w:hAnsi="Book Antiqua"/>
          <w:b/>
          <w:bCs/>
          <w:highlight w:val="none"/>
        </w:rPr>
        <w:t>Pierucci M</w:t>
      </w:r>
      <w:r>
        <w:rPr>
          <w:rFonts w:ascii="Book Antiqua" w:hAnsi="Book Antiqua"/>
          <w:highlight w:val="none"/>
        </w:rPr>
        <w:t>, Galati S, Valentino M, Di Matteo V, Benigno A, Pitruzzella A, Muscat R, Di Giovanni G. Nitric oxide modulation of the basal ganglia circuitry: therapeutic implication for Parkinson's disease and other motor disorders. </w:t>
      </w:r>
      <w:r>
        <w:rPr>
          <w:rFonts w:ascii="Book Antiqua" w:hAnsi="Book Antiqua"/>
          <w:i/>
          <w:iCs/>
          <w:highlight w:val="none"/>
        </w:rPr>
        <w:t>CNS Neurol Disord Drug Targets</w:t>
      </w:r>
      <w:r>
        <w:rPr>
          <w:rFonts w:ascii="Book Antiqua" w:hAnsi="Book Antiqua"/>
          <w:highlight w:val="none"/>
        </w:rPr>
        <w:t> 2011; </w:t>
      </w:r>
      <w:r>
        <w:rPr>
          <w:rFonts w:ascii="Book Antiqua" w:hAnsi="Book Antiqua"/>
          <w:b/>
          <w:bCs/>
          <w:highlight w:val="none"/>
        </w:rPr>
        <w:t>10</w:t>
      </w:r>
      <w:r>
        <w:rPr>
          <w:rFonts w:ascii="Book Antiqua" w:hAnsi="Book Antiqua"/>
          <w:highlight w:val="none"/>
        </w:rPr>
        <w:t>: 777-791 [PMID: 21999732 DOI: 10.2174/187152711798072329]</w:t>
      </w:r>
    </w:p>
    <w:p>
      <w:pPr>
        <w:pStyle w:val="5"/>
        <w:shd w:val="clear" w:color="auto" w:fill="FFFFFF"/>
        <w:adjustRightInd w:val="0"/>
        <w:snapToGrid w:val="0"/>
        <w:spacing w:before="0" w:beforeAutospacing="0" w:after="0" w:afterAutospacing="0" w:line="360" w:lineRule="auto"/>
        <w:jc w:val="both"/>
        <w:rPr>
          <w:rFonts w:ascii="Book Antiqua" w:hAnsi="Book Antiqua"/>
          <w:highlight w:val="none"/>
        </w:rPr>
      </w:pPr>
      <w:r>
        <w:rPr>
          <w:rFonts w:ascii="Book Antiqua" w:hAnsi="Book Antiqua"/>
          <w:highlight w:val="none"/>
        </w:rPr>
        <w:t>23 </w:t>
      </w:r>
      <w:r>
        <w:rPr>
          <w:rFonts w:ascii="Book Antiqua" w:hAnsi="Book Antiqua"/>
          <w:b/>
          <w:bCs/>
          <w:highlight w:val="none"/>
        </w:rPr>
        <w:t>Tapias V</w:t>
      </w:r>
      <w:r>
        <w:rPr>
          <w:rFonts w:ascii="Book Antiqua" w:hAnsi="Book Antiqua"/>
          <w:highlight w:val="none"/>
        </w:rPr>
        <w:t>, Cannon JR, Greenamyre JT. Pomegranate juice exacerbates oxidative stress and nigrostriatal degeneration in Parkinson's disease. </w:t>
      </w:r>
      <w:r>
        <w:rPr>
          <w:rFonts w:ascii="Book Antiqua" w:hAnsi="Book Antiqua"/>
          <w:i/>
          <w:iCs/>
          <w:highlight w:val="none"/>
        </w:rPr>
        <w:t>Neurobiol Aging</w:t>
      </w:r>
      <w:r>
        <w:rPr>
          <w:rFonts w:ascii="Book Antiqua" w:hAnsi="Book Antiqua"/>
          <w:highlight w:val="none"/>
        </w:rPr>
        <w:t> 2014; </w:t>
      </w:r>
      <w:r>
        <w:rPr>
          <w:rFonts w:ascii="Book Antiqua" w:hAnsi="Book Antiqua"/>
          <w:b/>
          <w:bCs/>
          <w:highlight w:val="none"/>
        </w:rPr>
        <w:t>35</w:t>
      </w:r>
      <w:r>
        <w:rPr>
          <w:rFonts w:ascii="Book Antiqua" w:hAnsi="Book Antiqua"/>
          <w:highlight w:val="none"/>
        </w:rPr>
        <w:t>: 1162-1176 [PMID: 24315037 DOI: 10.1016/j.neurobiolaging.2013.10.077]</w:t>
      </w:r>
    </w:p>
    <w:p>
      <w:pPr>
        <w:pStyle w:val="5"/>
        <w:shd w:val="clear" w:color="auto" w:fill="FFFFFF"/>
        <w:adjustRightInd w:val="0"/>
        <w:snapToGrid w:val="0"/>
        <w:spacing w:before="0" w:beforeAutospacing="0" w:after="0" w:afterAutospacing="0" w:line="360" w:lineRule="auto"/>
        <w:jc w:val="both"/>
        <w:rPr>
          <w:rFonts w:ascii="Book Antiqua" w:hAnsi="Book Antiqua"/>
          <w:highlight w:val="none"/>
        </w:rPr>
      </w:pPr>
      <w:r>
        <w:rPr>
          <w:rFonts w:ascii="Book Antiqua" w:hAnsi="Book Antiqua"/>
          <w:highlight w:val="none"/>
        </w:rPr>
        <w:t>24 </w:t>
      </w:r>
      <w:r>
        <w:rPr>
          <w:rFonts w:ascii="Book Antiqua" w:hAnsi="Book Antiqua"/>
          <w:b/>
          <w:bCs/>
          <w:highlight w:val="none"/>
        </w:rPr>
        <w:t>Tewari D</w:t>
      </w:r>
      <w:r>
        <w:rPr>
          <w:rFonts w:ascii="Book Antiqua" w:hAnsi="Book Antiqua"/>
          <w:highlight w:val="none"/>
        </w:rPr>
        <w:t>, Sah AN, Bawari S, Nabavi SF, Dehpour AR, Shirooie S, Braidy N, Fiebich BL, Vacca RA, Nabavi SM. Role of Nitric Oxide in Neurodegeneration: Function, Regulation, and Inhibition. </w:t>
      </w:r>
      <w:r>
        <w:rPr>
          <w:rFonts w:ascii="Book Antiqua" w:hAnsi="Book Antiqua"/>
          <w:i/>
          <w:iCs/>
          <w:highlight w:val="none"/>
        </w:rPr>
        <w:t>Curr Neuropharmacol</w:t>
      </w:r>
      <w:r>
        <w:rPr>
          <w:rFonts w:ascii="Book Antiqua" w:hAnsi="Book Antiqua"/>
          <w:highlight w:val="none"/>
        </w:rPr>
        <w:t> 2021; </w:t>
      </w:r>
      <w:r>
        <w:rPr>
          <w:rFonts w:ascii="Book Antiqua" w:hAnsi="Book Antiqua"/>
          <w:b/>
          <w:bCs/>
          <w:highlight w:val="none"/>
        </w:rPr>
        <w:t>19</w:t>
      </w:r>
      <w:r>
        <w:rPr>
          <w:rFonts w:ascii="Book Antiqua" w:hAnsi="Book Antiqua"/>
          <w:highlight w:val="none"/>
        </w:rPr>
        <w:t>: 114-126 [PMID: 32348225 DOI: 10.2174/1570159X18666200429001549]</w:t>
      </w:r>
    </w:p>
    <w:p>
      <w:pPr>
        <w:pStyle w:val="5"/>
        <w:shd w:val="clear" w:color="auto" w:fill="FFFFFF"/>
        <w:adjustRightInd w:val="0"/>
        <w:snapToGrid w:val="0"/>
        <w:spacing w:before="0" w:beforeAutospacing="0" w:after="0" w:afterAutospacing="0" w:line="360" w:lineRule="auto"/>
        <w:jc w:val="both"/>
        <w:rPr>
          <w:rFonts w:ascii="Book Antiqua" w:hAnsi="Book Antiqua"/>
          <w:highlight w:val="none"/>
        </w:rPr>
      </w:pPr>
      <w:r>
        <w:rPr>
          <w:rFonts w:ascii="Book Antiqua" w:hAnsi="Book Antiqua"/>
          <w:highlight w:val="none"/>
        </w:rPr>
        <w:t>25 </w:t>
      </w:r>
      <w:r>
        <w:rPr>
          <w:rFonts w:ascii="Book Antiqua" w:hAnsi="Book Antiqua"/>
          <w:b/>
          <w:bCs/>
          <w:highlight w:val="none"/>
        </w:rPr>
        <w:t>Csonka C</w:t>
      </w:r>
      <w:r>
        <w:rPr>
          <w:rFonts w:ascii="Book Antiqua" w:hAnsi="Book Antiqua"/>
          <w:highlight w:val="none"/>
        </w:rPr>
        <w:t>, Páli T, Bencsik P, Görbe A, Ferdinandy P, Csont T. Measurement of NO in biological samples. </w:t>
      </w:r>
      <w:r>
        <w:rPr>
          <w:rFonts w:ascii="Book Antiqua" w:hAnsi="Book Antiqua"/>
          <w:i/>
          <w:iCs/>
          <w:highlight w:val="none"/>
        </w:rPr>
        <w:t>Br J Pharmacol</w:t>
      </w:r>
      <w:r>
        <w:rPr>
          <w:rFonts w:ascii="Book Antiqua" w:hAnsi="Book Antiqua"/>
          <w:highlight w:val="none"/>
        </w:rPr>
        <w:t> 2015; </w:t>
      </w:r>
      <w:r>
        <w:rPr>
          <w:rFonts w:ascii="Book Antiqua" w:hAnsi="Book Antiqua"/>
          <w:b/>
          <w:bCs/>
          <w:highlight w:val="none"/>
        </w:rPr>
        <w:t>172</w:t>
      </w:r>
      <w:r>
        <w:rPr>
          <w:rFonts w:ascii="Book Antiqua" w:hAnsi="Book Antiqua"/>
          <w:highlight w:val="none"/>
        </w:rPr>
        <w:t>: 1620-1632 [PMID: 24990201 DOI: 10.1111/bph.12832]</w:t>
      </w:r>
    </w:p>
    <w:p>
      <w:pPr>
        <w:pStyle w:val="5"/>
        <w:shd w:val="clear" w:color="auto" w:fill="FFFFFF"/>
        <w:adjustRightInd w:val="0"/>
        <w:snapToGrid w:val="0"/>
        <w:spacing w:before="0" w:beforeAutospacing="0" w:after="0" w:afterAutospacing="0" w:line="360" w:lineRule="auto"/>
        <w:jc w:val="both"/>
        <w:rPr>
          <w:rFonts w:ascii="Book Antiqua" w:hAnsi="Book Antiqua"/>
          <w:highlight w:val="none"/>
        </w:rPr>
      </w:pPr>
      <w:r>
        <w:rPr>
          <w:rFonts w:ascii="Book Antiqua" w:hAnsi="Book Antiqua"/>
          <w:highlight w:val="none"/>
        </w:rPr>
        <w:t>26 </w:t>
      </w:r>
      <w:r>
        <w:rPr>
          <w:rFonts w:ascii="Book Antiqua" w:hAnsi="Book Antiqua"/>
          <w:b/>
          <w:bCs/>
          <w:highlight w:val="none"/>
        </w:rPr>
        <w:t>Bryan NS</w:t>
      </w:r>
      <w:r>
        <w:rPr>
          <w:rFonts w:ascii="Book Antiqua" w:hAnsi="Book Antiqua"/>
          <w:highlight w:val="none"/>
        </w:rPr>
        <w:t>, Grisham MB. Methods to detect nitric oxide and its metabolites in biological samples. </w:t>
      </w:r>
      <w:r>
        <w:rPr>
          <w:rFonts w:ascii="Book Antiqua" w:hAnsi="Book Antiqua"/>
          <w:i/>
          <w:iCs/>
          <w:highlight w:val="none"/>
        </w:rPr>
        <w:t>Free Radic Biol Med</w:t>
      </w:r>
      <w:r>
        <w:rPr>
          <w:rFonts w:ascii="Book Antiqua" w:hAnsi="Book Antiqua"/>
          <w:highlight w:val="none"/>
        </w:rPr>
        <w:t> 2007; </w:t>
      </w:r>
      <w:r>
        <w:rPr>
          <w:rFonts w:ascii="Book Antiqua" w:hAnsi="Book Antiqua"/>
          <w:b/>
          <w:bCs/>
          <w:highlight w:val="none"/>
        </w:rPr>
        <w:t>43</w:t>
      </w:r>
      <w:r>
        <w:rPr>
          <w:rFonts w:ascii="Book Antiqua" w:hAnsi="Book Antiqua"/>
          <w:highlight w:val="none"/>
        </w:rPr>
        <w:t>: 645-657 [PMID: 17664129 DOI: 10.1016/j.freeradbiomed.2007.04.026]</w:t>
      </w:r>
    </w:p>
    <w:p>
      <w:pPr>
        <w:pStyle w:val="5"/>
        <w:shd w:val="clear" w:color="auto" w:fill="FFFFFF"/>
        <w:adjustRightInd w:val="0"/>
        <w:snapToGrid w:val="0"/>
        <w:spacing w:before="0" w:beforeAutospacing="0" w:after="0" w:afterAutospacing="0" w:line="360" w:lineRule="auto"/>
        <w:jc w:val="both"/>
        <w:rPr>
          <w:rFonts w:ascii="Book Antiqua" w:hAnsi="Book Antiqua"/>
          <w:highlight w:val="none"/>
        </w:rPr>
      </w:pPr>
      <w:r>
        <w:rPr>
          <w:rFonts w:ascii="Book Antiqua" w:hAnsi="Book Antiqua"/>
          <w:highlight w:val="none"/>
        </w:rPr>
        <w:t>27 </w:t>
      </w:r>
      <w:r>
        <w:rPr>
          <w:rFonts w:ascii="Book Antiqua" w:hAnsi="Book Antiqua"/>
          <w:b/>
          <w:bCs/>
          <w:highlight w:val="none"/>
        </w:rPr>
        <w:t>Tsikas D</w:t>
      </w:r>
      <w:r>
        <w:rPr>
          <w:rFonts w:ascii="Book Antiqua" w:hAnsi="Book Antiqua"/>
          <w:highlight w:val="none"/>
        </w:rPr>
        <w:t>. Methods of quantitative analysis of the nitric oxide metabolites nitrite and nitrate in human biological fluids. </w:t>
      </w:r>
      <w:r>
        <w:rPr>
          <w:rFonts w:ascii="Book Antiqua" w:hAnsi="Book Antiqua"/>
          <w:i/>
          <w:iCs/>
          <w:highlight w:val="none"/>
        </w:rPr>
        <w:t>Free Radic Res</w:t>
      </w:r>
      <w:r>
        <w:rPr>
          <w:rFonts w:ascii="Book Antiqua" w:hAnsi="Book Antiqua"/>
          <w:highlight w:val="none"/>
        </w:rPr>
        <w:t> 2005; </w:t>
      </w:r>
      <w:r>
        <w:rPr>
          <w:rFonts w:ascii="Book Antiqua" w:hAnsi="Book Antiqua"/>
          <w:b/>
          <w:bCs/>
          <w:highlight w:val="none"/>
        </w:rPr>
        <w:t>39</w:t>
      </w:r>
      <w:r>
        <w:rPr>
          <w:rFonts w:ascii="Book Antiqua" w:hAnsi="Book Antiqua"/>
          <w:highlight w:val="none"/>
        </w:rPr>
        <w:t>: 797-815 [PMID: 16036360 DOI: 10.1080/10715760500053651]</w:t>
      </w:r>
    </w:p>
    <w:p>
      <w:pPr>
        <w:pStyle w:val="5"/>
        <w:shd w:val="clear" w:color="auto" w:fill="FFFFFF"/>
        <w:adjustRightInd w:val="0"/>
        <w:snapToGrid w:val="0"/>
        <w:spacing w:before="0" w:beforeAutospacing="0" w:after="0" w:afterAutospacing="0" w:line="360" w:lineRule="auto"/>
        <w:jc w:val="both"/>
        <w:rPr>
          <w:rFonts w:ascii="Book Antiqua" w:hAnsi="Book Antiqua"/>
          <w:highlight w:val="none"/>
        </w:rPr>
      </w:pPr>
      <w:r>
        <w:rPr>
          <w:rFonts w:ascii="Book Antiqua" w:hAnsi="Book Antiqua"/>
          <w:highlight w:val="none"/>
        </w:rPr>
        <w:t>28 </w:t>
      </w:r>
      <w:r>
        <w:rPr>
          <w:rFonts w:ascii="Book Antiqua" w:hAnsi="Book Antiqua"/>
          <w:b/>
          <w:bCs/>
          <w:highlight w:val="none"/>
        </w:rPr>
        <w:t>Li CZ</w:t>
      </w:r>
      <w:r>
        <w:rPr>
          <w:rFonts w:ascii="Book Antiqua" w:hAnsi="Book Antiqua"/>
          <w:highlight w:val="none"/>
        </w:rPr>
        <w:t>, Alwarappan S, Zhang W, Scafa N, Zhang X. Metallo Protoporphyrin Functionalized Microelectrodes for Electrocatalytic Sensing of Nitric Oxide. </w:t>
      </w:r>
      <w:r>
        <w:rPr>
          <w:rFonts w:ascii="Book Antiqua" w:hAnsi="Book Antiqua"/>
          <w:i/>
          <w:iCs/>
          <w:highlight w:val="none"/>
        </w:rPr>
        <w:t>Am J Biomed Sci</w:t>
      </w:r>
      <w:r>
        <w:rPr>
          <w:rFonts w:ascii="Book Antiqua" w:hAnsi="Book Antiqua"/>
          <w:highlight w:val="none"/>
        </w:rPr>
        <w:t> 2009; </w:t>
      </w:r>
      <w:r>
        <w:rPr>
          <w:rFonts w:ascii="Book Antiqua" w:hAnsi="Book Antiqua"/>
          <w:b/>
          <w:bCs/>
          <w:highlight w:val="none"/>
        </w:rPr>
        <w:t>1</w:t>
      </w:r>
      <w:r>
        <w:rPr>
          <w:rFonts w:ascii="Book Antiqua" w:hAnsi="Book Antiqua"/>
          <w:highlight w:val="none"/>
        </w:rPr>
        <w:t>: 274-282 [PMID: 20526418 DOI: 10.5099/aj090300274]</w:t>
      </w:r>
    </w:p>
    <w:p>
      <w:pPr>
        <w:pStyle w:val="5"/>
        <w:shd w:val="clear" w:color="auto" w:fill="FFFFFF"/>
        <w:adjustRightInd w:val="0"/>
        <w:snapToGrid w:val="0"/>
        <w:spacing w:before="0" w:beforeAutospacing="0" w:after="0" w:afterAutospacing="0" w:line="360" w:lineRule="auto"/>
        <w:jc w:val="both"/>
        <w:rPr>
          <w:rFonts w:ascii="Book Antiqua" w:hAnsi="Book Antiqua"/>
          <w:highlight w:val="none"/>
        </w:rPr>
      </w:pPr>
      <w:r>
        <w:rPr>
          <w:rFonts w:ascii="Book Antiqua" w:hAnsi="Book Antiqua"/>
          <w:highlight w:val="none"/>
        </w:rPr>
        <w:t>29 </w:t>
      </w:r>
      <w:r>
        <w:rPr>
          <w:rFonts w:ascii="Book Antiqua" w:hAnsi="Book Antiqua"/>
          <w:b/>
          <w:bCs/>
          <w:highlight w:val="none"/>
        </w:rPr>
        <w:t>Olesen SP</w:t>
      </w:r>
      <w:r>
        <w:rPr>
          <w:rFonts w:ascii="Book Antiqua" w:hAnsi="Book Antiqua"/>
          <w:highlight w:val="none"/>
        </w:rPr>
        <w:t>, Møller A, Mordvintcev PI, Busse R, Mülsch A. Regional measurements of NO formed in vivo during brain ischemia. </w:t>
      </w:r>
      <w:r>
        <w:rPr>
          <w:rFonts w:ascii="Book Antiqua" w:hAnsi="Book Antiqua"/>
          <w:i/>
          <w:iCs/>
          <w:highlight w:val="none"/>
        </w:rPr>
        <w:t>Acta Neurol Scand</w:t>
      </w:r>
      <w:r>
        <w:rPr>
          <w:rFonts w:ascii="Book Antiqua" w:hAnsi="Book Antiqua"/>
          <w:highlight w:val="none"/>
        </w:rPr>
        <w:t> 1997; </w:t>
      </w:r>
      <w:r>
        <w:rPr>
          <w:rFonts w:ascii="Book Antiqua" w:hAnsi="Book Antiqua"/>
          <w:b/>
          <w:bCs/>
          <w:highlight w:val="none"/>
        </w:rPr>
        <w:t>95</w:t>
      </w:r>
      <w:r>
        <w:rPr>
          <w:rFonts w:ascii="Book Antiqua" w:hAnsi="Book Antiqua"/>
          <w:highlight w:val="none"/>
        </w:rPr>
        <w:t>: 219-224 [PMID: 9150812 DOI: 10.1111/j.1600-0404.1997.tb00102.x]</w:t>
      </w:r>
    </w:p>
    <w:p>
      <w:pPr>
        <w:pStyle w:val="5"/>
        <w:shd w:val="clear" w:color="auto" w:fill="FFFFFF"/>
        <w:adjustRightInd w:val="0"/>
        <w:snapToGrid w:val="0"/>
        <w:spacing w:before="0" w:beforeAutospacing="0" w:after="0" w:afterAutospacing="0" w:line="360" w:lineRule="auto"/>
        <w:jc w:val="both"/>
        <w:rPr>
          <w:rFonts w:ascii="Book Antiqua" w:hAnsi="Book Antiqua"/>
          <w:highlight w:val="none"/>
        </w:rPr>
      </w:pPr>
      <w:r>
        <w:rPr>
          <w:rFonts w:ascii="Book Antiqua" w:hAnsi="Book Antiqua"/>
          <w:highlight w:val="none"/>
        </w:rPr>
        <w:t>30 </w:t>
      </w:r>
      <w:r>
        <w:rPr>
          <w:rFonts w:ascii="Book Antiqua" w:hAnsi="Book Antiqua"/>
          <w:b/>
          <w:bCs/>
          <w:highlight w:val="none"/>
        </w:rPr>
        <w:t>Bashkatova V</w:t>
      </w:r>
      <w:r>
        <w:rPr>
          <w:rFonts w:ascii="Book Antiqua" w:hAnsi="Book Antiqua"/>
          <w:highlight w:val="none"/>
        </w:rPr>
        <w:t>, Kraus M, Prast H, Vanin A, Rayevsky K, Philippu A. Influence of NOS inhibitors on changes in ACH release and NO level in the brain elicited by amphetamine neurotoxicity. </w:t>
      </w:r>
      <w:r>
        <w:rPr>
          <w:rFonts w:ascii="Book Antiqua" w:hAnsi="Book Antiqua"/>
          <w:i/>
          <w:iCs/>
          <w:highlight w:val="none"/>
        </w:rPr>
        <w:t>Neuroreport</w:t>
      </w:r>
      <w:r>
        <w:rPr>
          <w:rFonts w:ascii="Book Antiqua" w:hAnsi="Book Antiqua"/>
          <w:highlight w:val="none"/>
        </w:rPr>
        <w:t> 1999; </w:t>
      </w:r>
      <w:r>
        <w:rPr>
          <w:rFonts w:ascii="Book Antiqua" w:hAnsi="Book Antiqua"/>
          <w:b/>
          <w:bCs/>
          <w:highlight w:val="none"/>
        </w:rPr>
        <w:t>10</w:t>
      </w:r>
      <w:r>
        <w:rPr>
          <w:rFonts w:ascii="Book Antiqua" w:hAnsi="Book Antiqua"/>
          <w:highlight w:val="none"/>
        </w:rPr>
        <w:t>: 3155-3158 [PMID: 10574552 DOI: 10.1097/00001756-199910190-00006]</w:t>
      </w:r>
    </w:p>
    <w:p>
      <w:pPr>
        <w:pStyle w:val="5"/>
        <w:shd w:val="clear" w:color="auto" w:fill="FFFFFF"/>
        <w:adjustRightInd w:val="0"/>
        <w:snapToGrid w:val="0"/>
        <w:spacing w:before="0" w:beforeAutospacing="0" w:after="0" w:afterAutospacing="0" w:line="360" w:lineRule="auto"/>
        <w:jc w:val="both"/>
        <w:rPr>
          <w:rFonts w:ascii="Book Antiqua" w:hAnsi="Book Antiqua"/>
          <w:highlight w:val="none"/>
        </w:rPr>
      </w:pPr>
      <w:r>
        <w:rPr>
          <w:rFonts w:ascii="Book Antiqua" w:hAnsi="Book Antiqua"/>
          <w:highlight w:val="none"/>
        </w:rPr>
        <w:t>31 </w:t>
      </w:r>
      <w:r>
        <w:rPr>
          <w:rFonts w:ascii="Book Antiqua" w:hAnsi="Book Antiqua"/>
          <w:b/>
          <w:bCs/>
          <w:highlight w:val="none"/>
        </w:rPr>
        <w:t>Hogg N</w:t>
      </w:r>
      <w:r>
        <w:rPr>
          <w:rFonts w:ascii="Book Antiqua" w:hAnsi="Book Antiqua"/>
          <w:highlight w:val="none"/>
        </w:rPr>
        <w:t>. Detection of nitric oxide by electron paramagnetic resonance spectroscopy. </w:t>
      </w:r>
      <w:r>
        <w:rPr>
          <w:rFonts w:ascii="Book Antiqua" w:hAnsi="Book Antiqua"/>
          <w:i/>
          <w:iCs/>
          <w:highlight w:val="none"/>
        </w:rPr>
        <w:t>Free Radic Biol Med</w:t>
      </w:r>
      <w:r>
        <w:rPr>
          <w:rFonts w:ascii="Book Antiqua" w:hAnsi="Book Antiqua"/>
          <w:highlight w:val="none"/>
        </w:rPr>
        <w:t> 2010; </w:t>
      </w:r>
      <w:r>
        <w:rPr>
          <w:rFonts w:ascii="Book Antiqua" w:hAnsi="Book Antiqua"/>
          <w:b/>
          <w:bCs/>
          <w:highlight w:val="none"/>
        </w:rPr>
        <w:t>49</w:t>
      </w:r>
      <w:r>
        <w:rPr>
          <w:rFonts w:ascii="Book Antiqua" w:hAnsi="Book Antiqua"/>
          <w:highlight w:val="none"/>
        </w:rPr>
        <w:t>: 122-129 [PMID: 20304044 DOI: 10.1016/j.freeradbiomed.2010.03.009]</w:t>
      </w:r>
    </w:p>
    <w:p>
      <w:pPr>
        <w:pStyle w:val="5"/>
        <w:shd w:val="clear" w:color="auto" w:fill="FFFFFF"/>
        <w:adjustRightInd w:val="0"/>
        <w:snapToGrid w:val="0"/>
        <w:spacing w:before="0" w:beforeAutospacing="0" w:after="0" w:afterAutospacing="0" w:line="360" w:lineRule="auto"/>
        <w:jc w:val="both"/>
        <w:rPr>
          <w:rFonts w:ascii="Book Antiqua" w:hAnsi="Book Antiqua"/>
          <w:highlight w:val="none"/>
        </w:rPr>
      </w:pPr>
      <w:r>
        <w:rPr>
          <w:rFonts w:ascii="Book Antiqua" w:hAnsi="Book Antiqua"/>
          <w:highlight w:val="none"/>
        </w:rPr>
        <w:t>32 </w:t>
      </w:r>
      <w:r>
        <w:rPr>
          <w:rFonts w:ascii="Book Antiqua" w:hAnsi="Book Antiqua"/>
          <w:b/>
          <w:bCs/>
          <w:highlight w:val="none"/>
        </w:rPr>
        <w:t>Carvey PM</w:t>
      </w:r>
      <w:r>
        <w:rPr>
          <w:rFonts w:ascii="Book Antiqua" w:hAnsi="Book Antiqua"/>
          <w:highlight w:val="none"/>
        </w:rPr>
        <w:t>, Punati A, Newman MB. Progressive dopamine neuron loss in Parkinson's disease: the multiple hit hypothesis. </w:t>
      </w:r>
      <w:r>
        <w:rPr>
          <w:rFonts w:ascii="Book Antiqua" w:hAnsi="Book Antiqua"/>
          <w:i/>
          <w:iCs/>
          <w:highlight w:val="none"/>
        </w:rPr>
        <w:t>Cell Transplant</w:t>
      </w:r>
      <w:r>
        <w:rPr>
          <w:rFonts w:ascii="Book Antiqua" w:hAnsi="Book Antiqua"/>
          <w:highlight w:val="none"/>
        </w:rPr>
        <w:t> 2006; </w:t>
      </w:r>
      <w:r>
        <w:rPr>
          <w:rFonts w:ascii="Book Antiqua" w:hAnsi="Book Antiqua"/>
          <w:b/>
          <w:bCs/>
          <w:highlight w:val="none"/>
        </w:rPr>
        <w:t>15</w:t>
      </w:r>
      <w:r>
        <w:rPr>
          <w:rFonts w:ascii="Book Antiqua" w:hAnsi="Book Antiqua"/>
          <w:highlight w:val="none"/>
        </w:rPr>
        <w:t>: 239-250 [PMID: 16719059 DOI: 10.3727/000000006783981990]</w:t>
      </w:r>
    </w:p>
    <w:p>
      <w:pPr>
        <w:pStyle w:val="5"/>
        <w:shd w:val="clear" w:color="auto" w:fill="FFFFFF"/>
        <w:adjustRightInd w:val="0"/>
        <w:snapToGrid w:val="0"/>
        <w:spacing w:before="0" w:beforeAutospacing="0" w:after="0" w:afterAutospacing="0" w:line="360" w:lineRule="auto"/>
        <w:jc w:val="both"/>
        <w:rPr>
          <w:rFonts w:ascii="Book Antiqua" w:hAnsi="Book Antiqua"/>
          <w:highlight w:val="none"/>
        </w:rPr>
      </w:pPr>
      <w:r>
        <w:rPr>
          <w:rFonts w:ascii="Book Antiqua" w:hAnsi="Book Antiqua"/>
          <w:highlight w:val="none"/>
        </w:rPr>
        <w:t>33 </w:t>
      </w:r>
      <w:r>
        <w:rPr>
          <w:rFonts w:ascii="Book Antiqua" w:hAnsi="Book Antiqua"/>
          <w:b/>
          <w:bCs/>
          <w:highlight w:val="none"/>
        </w:rPr>
        <w:t>Duda J</w:t>
      </w:r>
      <w:r>
        <w:rPr>
          <w:rFonts w:ascii="Book Antiqua" w:hAnsi="Book Antiqua"/>
          <w:highlight w:val="none"/>
        </w:rPr>
        <w:t>, Pötschke C, Liss B. Converging roles of ion channels, calcium, metabolic stress, and activity pattern of Substantia nigra dopaminergic neurons in health and Parkinson's disease. </w:t>
      </w:r>
      <w:r>
        <w:rPr>
          <w:rFonts w:ascii="Book Antiqua" w:hAnsi="Book Antiqua"/>
          <w:i/>
          <w:iCs/>
          <w:highlight w:val="none"/>
        </w:rPr>
        <w:t>J Neurochem</w:t>
      </w:r>
      <w:r>
        <w:rPr>
          <w:rFonts w:ascii="Book Antiqua" w:hAnsi="Book Antiqua"/>
          <w:highlight w:val="none"/>
        </w:rPr>
        <w:t> 2016; </w:t>
      </w:r>
      <w:r>
        <w:rPr>
          <w:rFonts w:ascii="Book Antiqua" w:hAnsi="Book Antiqua"/>
          <w:b/>
          <w:bCs/>
          <w:highlight w:val="none"/>
        </w:rPr>
        <w:t>139 Suppl 1</w:t>
      </w:r>
      <w:r>
        <w:rPr>
          <w:rFonts w:ascii="Book Antiqua" w:hAnsi="Book Antiqua"/>
          <w:highlight w:val="none"/>
        </w:rPr>
        <w:t>: 156-178 [PMID: 26865375 DOI: 10.1111/jnc.13572]</w:t>
      </w:r>
    </w:p>
    <w:p>
      <w:pPr>
        <w:pStyle w:val="5"/>
        <w:shd w:val="clear" w:color="auto" w:fill="FFFFFF"/>
        <w:adjustRightInd w:val="0"/>
        <w:snapToGrid w:val="0"/>
        <w:spacing w:before="0" w:beforeAutospacing="0" w:after="0" w:afterAutospacing="0" w:line="360" w:lineRule="auto"/>
        <w:jc w:val="both"/>
        <w:rPr>
          <w:rFonts w:ascii="Book Antiqua" w:hAnsi="Book Antiqua"/>
          <w:highlight w:val="none"/>
        </w:rPr>
      </w:pPr>
      <w:r>
        <w:rPr>
          <w:rFonts w:ascii="Book Antiqua" w:hAnsi="Book Antiqua"/>
          <w:highlight w:val="none"/>
        </w:rPr>
        <w:t>34 </w:t>
      </w:r>
      <w:r>
        <w:rPr>
          <w:rFonts w:ascii="Book Antiqua" w:hAnsi="Book Antiqua"/>
          <w:b/>
          <w:bCs/>
          <w:highlight w:val="none"/>
        </w:rPr>
        <w:t>Del Tredici K</w:t>
      </w:r>
      <w:r>
        <w:rPr>
          <w:rFonts w:ascii="Book Antiqua" w:hAnsi="Book Antiqua"/>
          <w:highlight w:val="none"/>
        </w:rPr>
        <w:t>, Rüb U, De Vos RA, Bohl JR, Braak H. Where does parkinson disease pathology begin in the brain? </w:t>
      </w:r>
      <w:r>
        <w:rPr>
          <w:rFonts w:ascii="Book Antiqua" w:hAnsi="Book Antiqua"/>
          <w:i/>
          <w:iCs/>
          <w:highlight w:val="none"/>
        </w:rPr>
        <w:t>J Neuropathol Exp Neurol</w:t>
      </w:r>
      <w:r>
        <w:rPr>
          <w:rFonts w:ascii="Book Antiqua" w:hAnsi="Book Antiqua"/>
          <w:highlight w:val="none"/>
        </w:rPr>
        <w:t> 2002; </w:t>
      </w:r>
      <w:r>
        <w:rPr>
          <w:rFonts w:ascii="Book Antiqua" w:hAnsi="Book Antiqua"/>
          <w:b/>
          <w:bCs/>
          <w:highlight w:val="none"/>
        </w:rPr>
        <w:t>61</w:t>
      </w:r>
      <w:r>
        <w:rPr>
          <w:rFonts w:ascii="Book Antiqua" w:hAnsi="Book Antiqua"/>
          <w:highlight w:val="none"/>
        </w:rPr>
        <w:t>: 413-426 [PMID: 12030260 DOI: 10.1093/jnen/61.5.413]</w:t>
      </w:r>
    </w:p>
    <w:p>
      <w:pPr>
        <w:pStyle w:val="5"/>
        <w:shd w:val="clear" w:color="auto" w:fill="FFFFFF"/>
        <w:adjustRightInd w:val="0"/>
        <w:snapToGrid w:val="0"/>
        <w:spacing w:before="0" w:beforeAutospacing="0" w:after="0" w:afterAutospacing="0" w:line="360" w:lineRule="auto"/>
        <w:jc w:val="both"/>
        <w:rPr>
          <w:rFonts w:ascii="Book Antiqua" w:hAnsi="Book Antiqua"/>
          <w:highlight w:val="none"/>
        </w:rPr>
      </w:pPr>
      <w:r>
        <w:rPr>
          <w:rFonts w:ascii="Book Antiqua" w:hAnsi="Book Antiqua"/>
          <w:highlight w:val="none"/>
        </w:rPr>
        <w:t>35 </w:t>
      </w:r>
      <w:r>
        <w:rPr>
          <w:rFonts w:ascii="Book Antiqua" w:hAnsi="Book Antiqua"/>
          <w:b/>
          <w:bCs/>
          <w:highlight w:val="none"/>
        </w:rPr>
        <w:t>Betarbet R</w:t>
      </w:r>
      <w:r>
        <w:rPr>
          <w:rFonts w:ascii="Book Antiqua" w:hAnsi="Book Antiqua"/>
          <w:highlight w:val="none"/>
        </w:rPr>
        <w:t>, Sherer TB, Greenamyre JT. Animal models of Parkinson's disease. </w:t>
      </w:r>
      <w:r>
        <w:rPr>
          <w:rFonts w:ascii="Book Antiqua" w:hAnsi="Book Antiqua"/>
          <w:i/>
          <w:iCs/>
          <w:highlight w:val="none"/>
        </w:rPr>
        <w:t>Bioessays</w:t>
      </w:r>
      <w:r>
        <w:rPr>
          <w:rFonts w:ascii="Book Antiqua" w:hAnsi="Book Antiqua"/>
          <w:highlight w:val="none"/>
        </w:rPr>
        <w:t> 2002; </w:t>
      </w:r>
      <w:r>
        <w:rPr>
          <w:rFonts w:ascii="Book Antiqua" w:hAnsi="Book Antiqua"/>
          <w:b/>
          <w:bCs/>
          <w:highlight w:val="none"/>
        </w:rPr>
        <w:t>24</w:t>
      </w:r>
      <w:r>
        <w:rPr>
          <w:rFonts w:ascii="Book Antiqua" w:hAnsi="Book Antiqua"/>
          <w:highlight w:val="none"/>
        </w:rPr>
        <w:t>: 308-318 [PMID: 11948617 DOI: 10.1002/bies.10067]</w:t>
      </w:r>
    </w:p>
    <w:p>
      <w:pPr>
        <w:pStyle w:val="5"/>
        <w:shd w:val="clear" w:color="auto" w:fill="FFFFFF"/>
        <w:adjustRightInd w:val="0"/>
        <w:snapToGrid w:val="0"/>
        <w:spacing w:before="0" w:beforeAutospacing="0" w:after="0" w:afterAutospacing="0" w:line="360" w:lineRule="auto"/>
        <w:jc w:val="both"/>
        <w:rPr>
          <w:rFonts w:ascii="Book Antiqua" w:hAnsi="Book Antiqua"/>
          <w:highlight w:val="none"/>
        </w:rPr>
      </w:pPr>
      <w:r>
        <w:rPr>
          <w:rFonts w:ascii="Book Antiqua" w:hAnsi="Book Antiqua"/>
          <w:highlight w:val="none"/>
        </w:rPr>
        <w:t>36 </w:t>
      </w:r>
      <w:r>
        <w:rPr>
          <w:rFonts w:ascii="Book Antiqua" w:hAnsi="Book Antiqua"/>
          <w:b/>
          <w:bCs/>
          <w:highlight w:val="none"/>
        </w:rPr>
        <w:t>Blesa J</w:t>
      </w:r>
      <w:r>
        <w:rPr>
          <w:rFonts w:ascii="Book Antiqua" w:hAnsi="Book Antiqua"/>
          <w:highlight w:val="none"/>
        </w:rPr>
        <w:t>, Przedborski S. Parkinson's disease: animal models and dopaminergic cell vulnerability. </w:t>
      </w:r>
      <w:r>
        <w:rPr>
          <w:rFonts w:ascii="Book Antiqua" w:hAnsi="Book Antiqua"/>
          <w:i/>
          <w:iCs/>
          <w:highlight w:val="none"/>
        </w:rPr>
        <w:t>Front Neuroanat</w:t>
      </w:r>
      <w:r>
        <w:rPr>
          <w:rFonts w:ascii="Book Antiqua" w:hAnsi="Book Antiqua"/>
          <w:highlight w:val="none"/>
        </w:rPr>
        <w:t> 2014; </w:t>
      </w:r>
      <w:r>
        <w:rPr>
          <w:rFonts w:ascii="Book Antiqua" w:hAnsi="Book Antiqua"/>
          <w:b/>
          <w:bCs/>
          <w:highlight w:val="none"/>
        </w:rPr>
        <w:t>8</w:t>
      </w:r>
      <w:r>
        <w:rPr>
          <w:rFonts w:ascii="Book Antiqua" w:hAnsi="Book Antiqua"/>
          <w:highlight w:val="none"/>
        </w:rPr>
        <w:t>: 155 [PMID: 25565980 DOI: 10.3389/fnana.2014.00155]</w:t>
      </w:r>
    </w:p>
    <w:p>
      <w:pPr>
        <w:pStyle w:val="5"/>
        <w:shd w:val="clear" w:color="auto" w:fill="FFFFFF"/>
        <w:adjustRightInd w:val="0"/>
        <w:snapToGrid w:val="0"/>
        <w:spacing w:before="0" w:beforeAutospacing="0" w:after="0" w:afterAutospacing="0" w:line="360" w:lineRule="auto"/>
        <w:jc w:val="both"/>
        <w:rPr>
          <w:rFonts w:ascii="Book Antiqua" w:hAnsi="Book Antiqua"/>
          <w:highlight w:val="none"/>
        </w:rPr>
      </w:pPr>
      <w:r>
        <w:rPr>
          <w:rFonts w:ascii="Book Antiqua" w:hAnsi="Book Antiqua"/>
          <w:highlight w:val="none"/>
        </w:rPr>
        <w:t>37 </w:t>
      </w:r>
      <w:r>
        <w:rPr>
          <w:rFonts w:ascii="Book Antiqua" w:hAnsi="Book Antiqua"/>
          <w:b/>
          <w:bCs/>
          <w:highlight w:val="none"/>
        </w:rPr>
        <w:t>Chesselet MF</w:t>
      </w:r>
      <w:r>
        <w:rPr>
          <w:rFonts w:ascii="Book Antiqua" w:hAnsi="Book Antiqua"/>
          <w:highlight w:val="none"/>
        </w:rPr>
        <w:t>. In vivo alpha-synuclein overexpression in rodents: a useful model of Parkinson's disease? </w:t>
      </w:r>
      <w:r>
        <w:rPr>
          <w:rFonts w:ascii="Book Antiqua" w:hAnsi="Book Antiqua"/>
          <w:i/>
          <w:iCs/>
          <w:highlight w:val="none"/>
        </w:rPr>
        <w:t>Exp Neurol</w:t>
      </w:r>
      <w:r>
        <w:rPr>
          <w:rFonts w:ascii="Book Antiqua" w:hAnsi="Book Antiqua"/>
          <w:highlight w:val="none"/>
        </w:rPr>
        <w:t> 2008; </w:t>
      </w:r>
      <w:r>
        <w:rPr>
          <w:rFonts w:ascii="Book Antiqua" w:hAnsi="Book Antiqua"/>
          <w:b/>
          <w:bCs/>
          <w:highlight w:val="none"/>
        </w:rPr>
        <w:t>209</w:t>
      </w:r>
      <w:r>
        <w:rPr>
          <w:rFonts w:ascii="Book Antiqua" w:hAnsi="Book Antiqua"/>
          <w:highlight w:val="none"/>
        </w:rPr>
        <w:t>: 22-27 [PMID: 17949715 DOI: 10.1016/j.expneurol.2007.08.006]</w:t>
      </w:r>
    </w:p>
    <w:p>
      <w:pPr>
        <w:pStyle w:val="5"/>
        <w:shd w:val="clear" w:color="auto" w:fill="FFFFFF"/>
        <w:adjustRightInd w:val="0"/>
        <w:snapToGrid w:val="0"/>
        <w:spacing w:before="0" w:beforeAutospacing="0" w:after="0" w:afterAutospacing="0" w:line="360" w:lineRule="auto"/>
        <w:jc w:val="both"/>
        <w:rPr>
          <w:rFonts w:ascii="Book Antiqua" w:hAnsi="Book Antiqua"/>
          <w:highlight w:val="none"/>
        </w:rPr>
      </w:pPr>
      <w:r>
        <w:rPr>
          <w:rFonts w:ascii="Book Antiqua" w:hAnsi="Book Antiqua"/>
          <w:highlight w:val="none"/>
        </w:rPr>
        <w:t>38 </w:t>
      </w:r>
      <w:r>
        <w:rPr>
          <w:rFonts w:ascii="Book Antiqua" w:hAnsi="Book Antiqua"/>
          <w:b/>
          <w:bCs/>
          <w:highlight w:val="none"/>
        </w:rPr>
        <w:t>Cenci MA</w:t>
      </w:r>
      <w:r>
        <w:rPr>
          <w:rFonts w:ascii="Book Antiqua" w:hAnsi="Book Antiqua"/>
          <w:highlight w:val="none"/>
        </w:rPr>
        <w:t>, Björklund A. Animal models for preclinical Parkinson's research: An update and critical appraisal. </w:t>
      </w:r>
      <w:r>
        <w:rPr>
          <w:rFonts w:ascii="Book Antiqua" w:hAnsi="Book Antiqua"/>
          <w:i/>
          <w:iCs/>
          <w:highlight w:val="none"/>
        </w:rPr>
        <w:t>Prog Brain Res</w:t>
      </w:r>
      <w:r>
        <w:rPr>
          <w:rFonts w:ascii="Book Antiqua" w:hAnsi="Book Antiqua"/>
          <w:highlight w:val="none"/>
        </w:rPr>
        <w:t> 2020; </w:t>
      </w:r>
      <w:r>
        <w:rPr>
          <w:rFonts w:ascii="Book Antiqua" w:hAnsi="Book Antiqua"/>
          <w:b/>
          <w:bCs/>
          <w:highlight w:val="none"/>
        </w:rPr>
        <w:t>252</w:t>
      </w:r>
      <w:r>
        <w:rPr>
          <w:rFonts w:ascii="Book Antiqua" w:hAnsi="Book Antiqua"/>
          <w:highlight w:val="none"/>
        </w:rPr>
        <w:t>: 27-59 [PMID: 32247366 DOI: 10.1016/bs.pbr.2020.02.003]</w:t>
      </w:r>
    </w:p>
    <w:p>
      <w:pPr>
        <w:pStyle w:val="5"/>
        <w:shd w:val="clear" w:color="auto" w:fill="FFFFFF"/>
        <w:adjustRightInd w:val="0"/>
        <w:snapToGrid w:val="0"/>
        <w:spacing w:before="0" w:beforeAutospacing="0" w:after="0" w:afterAutospacing="0" w:line="360" w:lineRule="auto"/>
        <w:jc w:val="both"/>
        <w:rPr>
          <w:rFonts w:ascii="Book Antiqua" w:hAnsi="Book Antiqua"/>
          <w:highlight w:val="none"/>
        </w:rPr>
      </w:pPr>
      <w:r>
        <w:rPr>
          <w:rFonts w:ascii="Book Antiqua" w:hAnsi="Book Antiqua"/>
          <w:highlight w:val="none"/>
        </w:rPr>
        <w:t>39 </w:t>
      </w:r>
      <w:r>
        <w:rPr>
          <w:rFonts w:ascii="Book Antiqua" w:hAnsi="Book Antiqua"/>
          <w:b/>
          <w:bCs/>
          <w:highlight w:val="none"/>
        </w:rPr>
        <w:t>Bezard E</w:t>
      </w:r>
      <w:r>
        <w:rPr>
          <w:rFonts w:ascii="Book Antiqua" w:hAnsi="Book Antiqua"/>
          <w:highlight w:val="none"/>
        </w:rPr>
        <w:t>, Yue Z, Kirik D, Spillantini MG. Animal models of Parkinson's disease: limits and relevance to neuroprotection studies. </w:t>
      </w:r>
      <w:r>
        <w:rPr>
          <w:rFonts w:ascii="Book Antiqua" w:hAnsi="Book Antiqua"/>
          <w:i/>
          <w:iCs/>
          <w:highlight w:val="none"/>
        </w:rPr>
        <w:t>Mov Disord</w:t>
      </w:r>
      <w:r>
        <w:rPr>
          <w:rFonts w:ascii="Book Antiqua" w:hAnsi="Book Antiqua"/>
          <w:highlight w:val="none"/>
        </w:rPr>
        <w:t> 2013; </w:t>
      </w:r>
      <w:r>
        <w:rPr>
          <w:rFonts w:ascii="Book Antiqua" w:hAnsi="Book Antiqua"/>
          <w:b/>
          <w:bCs/>
          <w:highlight w:val="none"/>
        </w:rPr>
        <w:t>28</w:t>
      </w:r>
      <w:r>
        <w:rPr>
          <w:rFonts w:ascii="Book Antiqua" w:hAnsi="Book Antiqua"/>
          <w:highlight w:val="none"/>
        </w:rPr>
        <w:t>: 61-70 [PMID: 22753348 DOI: 10.1002/mds.25108]</w:t>
      </w:r>
    </w:p>
    <w:p>
      <w:pPr>
        <w:pStyle w:val="5"/>
        <w:shd w:val="clear" w:color="auto" w:fill="FFFFFF"/>
        <w:adjustRightInd w:val="0"/>
        <w:snapToGrid w:val="0"/>
        <w:spacing w:before="0" w:beforeAutospacing="0" w:after="0" w:afterAutospacing="0" w:line="360" w:lineRule="auto"/>
        <w:jc w:val="both"/>
        <w:rPr>
          <w:rFonts w:ascii="Book Antiqua" w:hAnsi="Book Antiqua"/>
          <w:highlight w:val="none"/>
        </w:rPr>
      </w:pPr>
      <w:r>
        <w:rPr>
          <w:rFonts w:ascii="Book Antiqua" w:hAnsi="Book Antiqua"/>
          <w:highlight w:val="none"/>
        </w:rPr>
        <w:t>40 </w:t>
      </w:r>
      <w:r>
        <w:rPr>
          <w:rFonts w:ascii="Book Antiqua" w:hAnsi="Book Antiqua"/>
          <w:b/>
          <w:bCs/>
          <w:highlight w:val="none"/>
        </w:rPr>
        <w:t>Visanji NP</w:t>
      </w:r>
      <w:r>
        <w:rPr>
          <w:rFonts w:ascii="Book Antiqua" w:hAnsi="Book Antiqua"/>
          <w:highlight w:val="none"/>
        </w:rPr>
        <w:t>, Brotchie JM, Kalia LV, Koprich JB, Tandon A, Watts JC, Lang AE. α-Synuclein-Based Animal Models of Parkinson's Disease: Challenges and Opportunities in a New Era. </w:t>
      </w:r>
      <w:r>
        <w:rPr>
          <w:rFonts w:ascii="Book Antiqua" w:hAnsi="Book Antiqua"/>
          <w:i/>
          <w:iCs/>
          <w:highlight w:val="none"/>
        </w:rPr>
        <w:t>Trends Neurosci</w:t>
      </w:r>
      <w:r>
        <w:rPr>
          <w:rFonts w:ascii="Book Antiqua" w:hAnsi="Book Antiqua"/>
          <w:highlight w:val="none"/>
        </w:rPr>
        <w:t> 2016; </w:t>
      </w:r>
      <w:r>
        <w:rPr>
          <w:rFonts w:ascii="Book Antiqua" w:hAnsi="Book Antiqua"/>
          <w:b/>
          <w:bCs/>
          <w:highlight w:val="none"/>
        </w:rPr>
        <w:t>39</w:t>
      </w:r>
      <w:r>
        <w:rPr>
          <w:rFonts w:ascii="Book Antiqua" w:hAnsi="Book Antiqua"/>
          <w:highlight w:val="none"/>
        </w:rPr>
        <w:t>: 750-762 [PMID: 27776749 DOI: 10.1016/j.tins.2016.09.003]</w:t>
      </w:r>
    </w:p>
    <w:p>
      <w:pPr>
        <w:pStyle w:val="5"/>
        <w:shd w:val="clear" w:color="auto" w:fill="FFFFFF"/>
        <w:adjustRightInd w:val="0"/>
        <w:snapToGrid w:val="0"/>
        <w:spacing w:before="0" w:beforeAutospacing="0" w:after="0" w:afterAutospacing="0" w:line="360" w:lineRule="auto"/>
        <w:jc w:val="both"/>
        <w:rPr>
          <w:rFonts w:ascii="Book Antiqua" w:hAnsi="Book Antiqua"/>
          <w:highlight w:val="none"/>
        </w:rPr>
      </w:pPr>
      <w:r>
        <w:rPr>
          <w:rFonts w:ascii="Book Antiqua" w:hAnsi="Book Antiqua"/>
          <w:highlight w:val="none"/>
        </w:rPr>
        <w:t>41 </w:t>
      </w:r>
      <w:r>
        <w:rPr>
          <w:rFonts w:ascii="Book Antiqua" w:hAnsi="Book Antiqua"/>
          <w:b/>
          <w:bCs/>
          <w:highlight w:val="none"/>
        </w:rPr>
        <w:t>Lane E</w:t>
      </w:r>
      <w:r>
        <w:rPr>
          <w:rFonts w:ascii="Book Antiqua" w:hAnsi="Book Antiqua"/>
          <w:highlight w:val="none"/>
        </w:rPr>
        <w:t>, Dunnett S. Animal models of Parkinson's disease and L-dopa induced dyskinesia: how close are we to the clinic? </w:t>
      </w:r>
      <w:r>
        <w:rPr>
          <w:rFonts w:ascii="Book Antiqua" w:hAnsi="Book Antiqua"/>
          <w:i/>
          <w:iCs/>
          <w:highlight w:val="none"/>
        </w:rPr>
        <w:t>Psychopharmacology (Berl)</w:t>
      </w:r>
      <w:r>
        <w:rPr>
          <w:rFonts w:ascii="Book Antiqua" w:hAnsi="Book Antiqua"/>
          <w:highlight w:val="none"/>
        </w:rPr>
        <w:t> 2008; </w:t>
      </w:r>
      <w:r>
        <w:rPr>
          <w:rFonts w:ascii="Book Antiqua" w:hAnsi="Book Antiqua"/>
          <w:b/>
          <w:bCs/>
          <w:highlight w:val="none"/>
        </w:rPr>
        <w:t>199</w:t>
      </w:r>
      <w:r>
        <w:rPr>
          <w:rFonts w:ascii="Book Antiqua" w:hAnsi="Book Antiqua"/>
          <w:highlight w:val="none"/>
        </w:rPr>
        <w:t>: 303-312 [PMID: 17899020 DOI: 10.1007/s00213-007-0931-8]</w:t>
      </w:r>
    </w:p>
    <w:p>
      <w:pPr>
        <w:pStyle w:val="5"/>
        <w:shd w:val="clear" w:color="auto" w:fill="FFFFFF"/>
        <w:adjustRightInd w:val="0"/>
        <w:snapToGrid w:val="0"/>
        <w:spacing w:before="0" w:beforeAutospacing="0" w:after="0" w:afterAutospacing="0" w:line="360" w:lineRule="auto"/>
        <w:jc w:val="both"/>
        <w:rPr>
          <w:rFonts w:ascii="Book Antiqua" w:hAnsi="Book Antiqua"/>
          <w:highlight w:val="none"/>
        </w:rPr>
      </w:pPr>
      <w:r>
        <w:rPr>
          <w:rFonts w:ascii="Book Antiqua" w:hAnsi="Book Antiqua"/>
          <w:highlight w:val="none"/>
        </w:rPr>
        <w:t>42 </w:t>
      </w:r>
      <w:r>
        <w:rPr>
          <w:rFonts w:ascii="Book Antiqua" w:hAnsi="Book Antiqua"/>
          <w:b/>
          <w:bCs/>
          <w:highlight w:val="none"/>
        </w:rPr>
        <w:t>Betarbet R</w:t>
      </w:r>
      <w:r>
        <w:rPr>
          <w:rFonts w:ascii="Book Antiqua" w:hAnsi="Book Antiqua"/>
          <w:highlight w:val="none"/>
        </w:rPr>
        <w:t>, Sherer TB, MacKenzie G, Garcia-Osuna M, Panov AV, Greenamyre JT. Chronic systemic pesticide exposure reproduces features of Parkinson's disease. </w:t>
      </w:r>
      <w:r>
        <w:rPr>
          <w:rFonts w:ascii="Book Antiqua" w:hAnsi="Book Antiqua"/>
          <w:i/>
          <w:iCs/>
          <w:highlight w:val="none"/>
        </w:rPr>
        <w:t>Nat Neurosci</w:t>
      </w:r>
      <w:r>
        <w:rPr>
          <w:rFonts w:ascii="Book Antiqua" w:hAnsi="Book Antiqua"/>
          <w:highlight w:val="none"/>
        </w:rPr>
        <w:t> 2000; </w:t>
      </w:r>
      <w:r>
        <w:rPr>
          <w:rFonts w:ascii="Book Antiqua" w:hAnsi="Book Antiqua"/>
          <w:b/>
          <w:bCs/>
          <w:highlight w:val="none"/>
        </w:rPr>
        <w:t>3</w:t>
      </w:r>
      <w:r>
        <w:rPr>
          <w:rFonts w:ascii="Book Antiqua" w:hAnsi="Book Antiqua"/>
          <w:highlight w:val="none"/>
        </w:rPr>
        <w:t>: 1301-1306 [PMID: 11100151 DOI: 10.1038/81834]</w:t>
      </w:r>
    </w:p>
    <w:p>
      <w:pPr>
        <w:pStyle w:val="5"/>
        <w:shd w:val="clear" w:color="auto" w:fill="FFFFFF"/>
        <w:adjustRightInd w:val="0"/>
        <w:snapToGrid w:val="0"/>
        <w:spacing w:before="0" w:beforeAutospacing="0" w:after="0" w:afterAutospacing="0" w:line="360" w:lineRule="auto"/>
        <w:jc w:val="both"/>
        <w:rPr>
          <w:rFonts w:ascii="Book Antiqua" w:hAnsi="Book Antiqua"/>
          <w:highlight w:val="none"/>
        </w:rPr>
      </w:pPr>
      <w:r>
        <w:rPr>
          <w:rFonts w:ascii="Book Antiqua" w:hAnsi="Book Antiqua"/>
          <w:highlight w:val="none"/>
        </w:rPr>
        <w:t>43 </w:t>
      </w:r>
      <w:r>
        <w:rPr>
          <w:rFonts w:ascii="Book Antiqua" w:hAnsi="Book Antiqua"/>
          <w:b/>
          <w:bCs/>
          <w:highlight w:val="none"/>
        </w:rPr>
        <w:t>Sherer TB</w:t>
      </w:r>
      <w:r>
        <w:rPr>
          <w:rFonts w:ascii="Book Antiqua" w:hAnsi="Book Antiqua"/>
          <w:highlight w:val="none"/>
        </w:rPr>
        <w:t>, Kim JH, Betarbet R, Greenamyre JT. Subcutaneous rotenone exposure causes highly selective dopaminergic degeneration and alpha-synuclein aggregation. </w:t>
      </w:r>
      <w:r>
        <w:rPr>
          <w:rFonts w:ascii="Book Antiqua" w:hAnsi="Book Antiqua"/>
          <w:i/>
          <w:iCs/>
          <w:highlight w:val="none"/>
        </w:rPr>
        <w:t>Exp Neurol</w:t>
      </w:r>
      <w:r>
        <w:rPr>
          <w:rFonts w:ascii="Book Antiqua" w:hAnsi="Book Antiqua"/>
          <w:highlight w:val="none"/>
        </w:rPr>
        <w:t> 2003; </w:t>
      </w:r>
      <w:r>
        <w:rPr>
          <w:rFonts w:ascii="Book Antiqua" w:hAnsi="Book Antiqua"/>
          <w:b/>
          <w:bCs/>
          <w:highlight w:val="none"/>
        </w:rPr>
        <w:t>179</w:t>
      </w:r>
      <w:r>
        <w:rPr>
          <w:rFonts w:ascii="Book Antiqua" w:hAnsi="Book Antiqua"/>
          <w:highlight w:val="none"/>
        </w:rPr>
        <w:t>: 9-16 [PMID: 12504863 DOI: 10.1006/exnr.2002.8072]</w:t>
      </w:r>
    </w:p>
    <w:p>
      <w:pPr>
        <w:pStyle w:val="5"/>
        <w:shd w:val="clear" w:color="auto" w:fill="FFFFFF"/>
        <w:adjustRightInd w:val="0"/>
        <w:snapToGrid w:val="0"/>
        <w:spacing w:before="0" w:beforeAutospacing="0" w:after="0" w:afterAutospacing="0" w:line="360" w:lineRule="auto"/>
        <w:jc w:val="both"/>
        <w:rPr>
          <w:rFonts w:ascii="Book Antiqua" w:hAnsi="Book Antiqua"/>
          <w:highlight w:val="none"/>
        </w:rPr>
      </w:pPr>
      <w:r>
        <w:rPr>
          <w:rFonts w:ascii="Book Antiqua" w:hAnsi="Book Antiqua"/>
          <w:highlight w:val="none"/>
        </w:rPr>
        <w:t>44 </w:t>
      </w:r>
      <w:r>
        <w:rPr>
          <w:rFonts w:ascii="Book Antiqua" w:hAnsi="Book Antiqua"/>
          <w:b/>
          <w:bCs/>
          <w:highlight w:val="none"/>
        </w:rPr>
        <w:t>Cannon JR</w:t>
      </w:r>
      <w:r>
        <w:rPr>
          <w:rFonts w:ascii="Book Antiqua" w:hAnsi="Book Antiqua"/>
          <w:highlight w:val="none"/>
        </w:rPr>
        <w:t>, Tapias V, Na HM, Honick AS, Drolet RE, Greenamyre JT. A highly reproducible rotenone model of Parkinson's disease. </w:t>
      </w:r>
      <w:r>
        <w:rPr>
          <w:rFonts w:ascii="Book Antiqua" w:hAnsi="Book Antiqua"/>
          <w:i/>
          <w:iCs/>
          <w:highlight w:val="none"/>
        </w:rPr>
        <w:t>Neurobiol Dis</w:t>
      </w:r>
      <w:r>
        <w:rPr>
          <w:rFonts w:ascii="Book Antiqua" w:hAnsi="Book Antiqua"/>
          <w:highlight w:val="none"/>
        </w:rPr>
        <w:t> 2009; </w:t>
      </w:r>
      <w:r>
        <w:rPr>
          <w:rFonts w:ascii="Book Antiqua" w:hAnsi="Book Antiqua"/>
          <w:b/>
          <w:bCs/>
          <w:highlight w:val="none"/>
        </w:rPr>
        <w:t>34</w:t>
      </w:r>
      <w:r>
        <w:rPr>
          <w:rFonts w:ascii="Book Antiqua" w:hAnsi="Book Antiqua"/>
          <w:highlight w:val="none"/>
        </w:rPr>
        <w:t>: 279-290 [PMID: 19385059 DOI: 10.1016/j.nbd.2009.01.016]</w:t>
      </w:r>
    </w:p>
    <w:p>
      <w:pPr>
        <w:pStyle w:val="5"/>
        <w:shd w:val="clear" w:color="auto" w:fill="FFFFFF"/>
        <w:adjustRightInd w:val="0"/>
        <w:snapToGrid w:val="0"/>
        <w:spacing w:before="0" w:beforeAutospacing="0" w:after="0" w:afterAutospacing="0" w:line="360" w:lineRule="auto"/>
        <w:jc w:val="both"/>
        <w:rPr>
          <w:rFonts w:ascii="Book Antiqua" w:hAnsi="Book Antiqua"/>
          <w:highlight w:val="none"/>
        </w:rPr>
      </w:pPr>
      <w:r>
        <w:rPr>
          <w:rFonts w:ascii="Book Antiqua" w:hAnsi="Book Antiqua"/>
          <w:highlight w:val="none"/>
        </w:rPr>
        <w:t>45 </w:t>
      </w:r>
      <w:r>
        <w:rPr>
          <w:rFonts w:ascii="Book Antiqua" w:hAnsi="Book Antiqua"/>
          <w:b/>
          <w:bCs/>
          <w:highlight w:val="none"/>
        </w:rPr>
        <w:t>Alam M</w:t>
      </w:r>
      <w:r>
        <w:rPr>
          <w:rFonts w:ascii="Book Antiqua" w:hAnsi="Book Antiqua"/>
          <w:highlight w:val="none"/>
        </w:rPr>
        <w:t>, Mayerhofer A, Schmidt WJ. The neurobehavioral changes induced by bilateral rotenone lesion in medial forebrain bundle of rats are reversed by L-DOPA. </w:t>
      </w:r>
      <w:r>
        <w:rPr>
          <w:rFonts w:ascii="Book Antiqua" w:hAnsi="Book Antiqua"/>
          <w:i/>
          <w:iCs/>
          <w:highlight w:val="none"/>
        </w:rPr>
        <w:t>Behav Brain Res</w:t>
      </w:r>
      <w:r>
        <w:rPr>
          <w:rFonts w:ascii="Book Antiqua" w:hAnsi="Book Antiqua"/>
          <w:highlight w:val="none"/>
        </w:rPr>
        <w:t> 2004; </w:t>
      </w:r>
      <w:r>
        <w:rPr>
          <w:rFonts w:ascii="Book Antiqua" w:hAnsi="Book Antiqua"/>
          <w:b/>
          <w:bCs/>
          <w:highlight w:val="none"/>
        </w:rPr>
        <w:t>151</w:t>
      </w:r>
      <w:r>
        <w:rPr>
          <w:rFonts w:ascii="Book Antiqua" w:hAnsi="Book Antiqua"/>
          <w:highlight w:val="none"/>
        </w:rPr>
        <w:t>: 117-124 [PMID: 15084427 DOI: 10.1016/j.bbr.2003.08.014]</w:t>
      </w:r>
    </w:p>
    <w:p>
      <w:pPr>
        <w:pStyle w:val="5"/>
        <w:shd w:val="clear" w:color="auto" w:fill="FFFFFF"/>
        <w:adjustRightInd w:val="0"/>
        <w:snapToGrid w:val="0"/>
        <w:spacing w:before="0" w:beforeAutospacing="0" w:after="0" w:afterAutospacing="0" w:line="360" w:lineRule="auto"/>
        <w:jc w:val="both"/>
        <w:rPr>
          <w:rFonts w:ascii="Book Antiqua" w:hAnsi="Book Antiqua"/>
          <w:highlight w:val="none"/>
        </w:rPr>
      </w:pPr>
      <w:r>
        <w:rPr>
          <w:rFonts w:ascii="Book Antiqua" w:hAnsi="Book Antiqua"/>
          <w:highlight w:val="none"/>
        </w:rPr>
        <w:t>46 </w:t>
      </w:r>
      <w:r>
        <w:rPr>
          <w:rFonts w:ascii="Book Antiqua" w:hAnsi="Book Antiqua"/>
          <w:b/>
          <w:bCs/>
          <w:highlight w:val="none"/>
        </w:rPr>
        <w:t>Fleming SM</w:t>
      </w:r>
      <w:r>
        <w:rPr>
          <w:rFonts w:ascii="Book Antiqua" w:hAnsi="Book Antiqua"/>
          <w:highlight w:val="none"/>
        </w:rPr>
        <w:t>, Zhu C, Fernagut PO, Mehta A, DiCarlo CD, Seaman RL, Chesselet MF. Behavioral and immunohistochemical effects of chronic intravenous and subcutaneous infusions of varying doses of rotenone. </w:t>
      </w:r>
      <w:r>
        <w:rPr>
          <w:rFonts w:ascii="Book Antiqua" w:hAnsi="Book Antiqua"/>
          <w:i/>
          <w:iCs/>
          <w:highlight w:val="none"/>
        </w:rPr>
        <w:t>Exp Neurol</w:t>
      </w:r>
      <w:r>
        <w:rPr>
          <w:rFonts w:ascii="Book Antiqua" w:hAnsi="Book Antiqua"/>
          <w:highlight w:val="none"/>
        </w:rPr>
        <w:t> 2004; </w:t>
      </w:r>
      <w:r>
        <w:rPr>
          <w:rFonts w:ascii="Book Antiqua" w:hAnsi="Book Antiqua"/>
          <w:b/>
          <w:bCs/>
          <w:highlight w:val="none"/>
        </w:rPr>
        <w:t>187</w:t>
      </w:r>
      <w:r>
        <w:rPr>
          <w:rFonts w:ascii="Book Antiqua" w:hAnsi="Book Antiqua"/>
          <w:highlight w:val="none"/>
        </w:rPr>
        <w:t>: 418-429 [PMID: 15144868 DOI: 10.1016/j.expneurol.2004.01.023]</w:t>
      </w:r>
    </w:p>
    <w:p>
      <w:pPr>
        <w:pStyle w:val="5"/>
        <w:shd w:val="clear" w:color="auto" w:fill="FFFFFF"/>
        <w:adjustRightInd w:val="0"/>
        <w:snapToGrid w:val="0"/>
        <w:spacing w:before="0" w:beforeAutospacing="0" w:after="0" w:afterAutospacing="0" w:line="360" w:lineRule="auto"/>
        <w:jc w:val="both"/>
        <w:rPr>
          <w:rFonts w:ascii="Book Antiqua" w:hAnsi="Book Antiqua"/>
          <w:highlight w:val="none"/>
        </w:rPr>
      </w:pPr>
      <w:r>
        <w:rPr>
          <w:rFonts w:ascii="Book Antiqua" w:hAnsi="Book Antiqua"/>
          <w:highlight w:val="none"/>
        </w:rPr>
        <w:t>47 </w:t>
      </w:r>
      <w:r>
        <w:rPr>
          <w:rFonts w:ascii="Book Antiqua" w:hAnsi="Book Antiqua"/>
          <w:b/>
          <w:bCs/>
          <w:highlight w:val="none"/>
        </w:rPr>
        <w:t>Tanner CM</w:t>
      </w:r>
      <w:r>
        <w:rPr>
          <w:rFonts w:ascii="Book Antiqua" w:hAnsi="Book Antiqua"/>
          <w:highlight w:val="none"/>
        </w:rPr>
        <w:t>, Kamel F, Ross GW, Hoppin JA, Goldman SM, Korell M, Marras C, Bhudhikanok GS, Kasten M, Chade AR, Comyns K, Richards MB, Meng C, Priestley B, Fernandez HH, Cambi F, Umbach DM, Blair A, Sandler DP, Langston JW. Rotenone, paraquat, and Parkinson's disease. </w:t>
      </w:r>
      <w:r>
        <w:rPr>
          <w:rFonts w:ascii="Book Antiqua" w:hAnsi="Book Antiqua"/>
          <w:i/>
          <w:iCs/>
          <w:highlight w:val="none"/>
        </w:rPr>
        <w:t>Environ Health Perspect</w:t>
      </w:r>
      <w:r>
        <w:rPr>
          <w:rFonts w:ascii="Book Antiqua" w:hAnsi="Book Antiqua"/>
          <w:highlight w:val="none"/>
        </w:rPr>
        <w:t> 2011; </w:t>
      </w:r>
      <w:r>
        <w:rPr>
          <w:rFonts w:ascii="Book Antiqua" w:hAnsi="Book Antiqua"/>
          <w:b/>
          <w:bCs/>
          <w:highlight w:val="none"/>
        </w:rPr>
        <w:t>119</w:t>
      </w:r>
      <w:r>
        <w:rPr>
          <w:rFonts w:ascii="Book Antiqua" w:hAnsi="Book Antiqua"/>
          <w:highlight w:val="none"/>
        </w:rPr>
        <w:t>: 866-872 [PMID: 21269927 DOI: 10.1289/ehp.1002839]</w:t>
      </w:r>
    </w:p>
    <w:p>
      <w:pPr>
        <w:pStyle w:val="5"/>
        <w:shd w:val="clear" w:color="auto" w:fill="FFFFFF"/>
        <w:adjustRightInd w:val="0"/>
        <w:snapToGrid w:val="0"/>
        <w:spacing w:before="0" w:beforeAutospacing="0" w:after="0" w:afterAutospacing="0" w:line="360" w:lineRule="auto"/>
        <w:jc w:val="both"/>
        <w:rPr>
          <w:rFonts w:ascii="Book Antiqua" w:hAnsi="Book Antiqua"/>
          <w:highlight w:val="none"/>
        </w:rPr>
      </w:pPr>
      <w:r>
        <w:rPr>
          <w:rFonts w:ascii="Book Antiqua" w:hAnsi="Book Antiqua"/>
          <w:highlight w:val="none"/>
        </w:rPr>
        <w:t>48 </w:t>
      </w:r>
      <w:r>
        <w:rPr>
          <w:rFonts w:ascii="Book Antiqua" w:hAnsi="Book Antiqua"/>
          <w:b/>
          <w:bCs/>
          <w:highlight w:val="none"/>
        </w:rPr>
        <w:t>Pouchieu C</w:t>
      </w:r>
      <w:r>
        <w:rPr>
          <w:rFonts w:ascii="Book Antiqua" w:hAnsi="Book Antiqua"/>
          <w:highlight w:val="none"/>
        </w:rPr>
        <w:t>, Piel C, Carles C, Gruber A, Helmer C, Tual S, Marcotullio E, Lebailly P, Baldi I. Pesticide use in agriculture and Parkinson's disease in the AGRICAN cohort study. </w:t>
      </w:r>
      <w:r>
        <w:rPr>
          <w:rFonts w:ascii="Book Antiqua" w:hAnsi="Book Antiqua"/>
          <w:i/>
          <w:iCs/>
          <w:highlight w:val="none"/>
        </w:rPr>
        <w:t>Int J Epidemiol</w:t>
      </w:r>
      <w:r>
        <w:rPr>
          <w:rFonts w:ascii="Book Antiqua" w:hAnsi="Book Antiqua"/>
          <w:highlight w:val="none"/>
        </w:rPr>
        <w:t> 2018; </w:t>
      </w:r>
      <w:r>
        <w:rPr>
          <w:rFonts w:ascii="Book Antiqua" w:hAnsi="Book Antiqua"/>
          <w:b/>
          <w:bCs/>
          <w:highlight w:val="none"/>
        </w:rPr>
        <w:t>47</w:t>
      </w:r>
      <w:r>
        <w:rPr>
          <w:rFonts w:ascii="Book Antiqua" w:hAnsi="Book Antiqua"/>
          <w:highlight w:val="none"/>
        </w:rPr>
        <w:t>: 299-310 [PMID: 29136149 DOI: 10.1093/ije/dyx225]</w:t>
      </w:r>
    </w:p>
    <w:p>
      <w:pPr>
        <w:pStyle w:val="5"/>
        <w:shd w:val="clear" w:color="auto" w:fill="FFFFFF"/>
        <w:adjustRightInd w:val="0"/>
        <w:snapToGrid w:val="0"/>
        <w:spacing w:before="0" w:beforeAutospacing="0" w:after="0" w:afterAutospacing="0" w:line="360" w:lineRule="auto"/>
        <w:jc w:val="both"/>
        <w:rPr>
          <w:rFonts w:ascii="Book Antiqua" w:hAnsi="Book Antiqua"/>
          <w:highlight w:val="none"/>
        </w:rPr>
      </w:pPr>
      <w:r>
        <w:rPr>
          <w:rFonts w:ascii="Book Antiqua" w:hAnsi="Book Antiqua"/>
          <w:highlight w:val="none"/>
        </w:rPr>
        <w:t>49 </w:t>
      </w:r>
      <w:r>
        <w:rPr>
          <w:rFonts w:ascii="Book Antiqua" w:hAnsi="Book Antiqua"/>
          <w:b/>
          <w:bCs/>
          <w:highlight w:val="none"/>
        </w:rPr>
        <w:t>Wu AP</w:t>
      </w:r>
      <w:r>
        <w:rPr>
          <w:rFonts w:ascii="Book Antiqua" w:hAnsi="Book Antiqua"/>
          <w:highlight w:val="none"/>
        </w:rPr>
        <w:t>, He Y, Ye SY, Qi LY, Liu L, Zhong W, Wang YH, Fu H. Negative effects of a piscicide, rotenone, on the growth and metabolism of three submerged macophytes. </w:t>
      </w:r>
      <w:r>
        <w:rPr>
          <w:rFonts w:ascii="Book Antiqua" w:hAnsi="Book Antiqua"/>
          <w:i/>
          <w:iCs/>
          <w:highlight w:val="none"/>
        </w:rPr>
        <w:t>Chemosphere</w:t>
      </w:r>
      <w:r>
        <w:rPr>
          <w:rFonts w:ascii="Book Antiqua" w:hAnsi="Book Antiqua"/>
          <w:highlight w:val="none"/>
        </w:rPr>
        <w:t> 2020; </w:t>
      </w:r>
      <w:r>
        <w:rPr>
          <w:rFonts w:ascii="Book Antiqua" w:hAnsi="Book Antiqua"/>
          <w:b/>
          <w:bCs/>
          <w:highlight w:val="none"/>
        </w:rPr>
        <w:t>250</w:t>
      </w:r>
      <w:r>
        <w:rPr>
          <w:rFonts w:ascii="Book Antiqua" w:hAnsi="Book Antiqua"/>
          <w:highlight w:val="none"/>
        </w:rPr>
        <w:t>: 126246 [PMID: 32097811 DOI: 10.1016/j.chemosphere.2020.126246]</w:t>
      </w:r>
    </w:p>
    <w:p>
      <w:pPr>
        <w:pStyle w:val="5"/>
        <w:shd w:val="clear" w:color="auto" w:fill="FFFFFF"/>
        <w:adjustRightInd w:val="0"/>
        <w:snapToGrid w:val="0"/>
        <w:spacing w:before="0" w:beforeAutospacing="0" w:after="0" w:afterAutospacing="0" w:line="360" w:lineRule="auto"/>
        <w:jc w:val="both"/>
        <w:rPr>
          <w:rFonts w:ascii="Book Antiqua" w:hAnsi="Book Antiqua"/>
          <w:highlight w:val="none"/>
        </w:rPr>
      </w:pPr>
      <w:r>
        <w:rPr>
          <w:rFonts w:ascii="Book Antiqua" w:hAnsi="Book Antiqua"/>
          <w:highlight w:val="none"/>
        </w:rPr>
        <w:t>50 </w:t>
      </w:r>
      <w:r>
        <w:rPr>
          <w:rFonts w:ascii="Book Antiqua" w:hAnsi="Book Antiqua"/>
          <w:b/>
          <w:bCs/>
          <w:highlight w:val="none"/>
        </w:rPr>
        <w:t>Difazio MC</w:t>
      </w:r>
      <w:r>
        <w:rPr>
          <w:rFonts w:ascii="Book Antiqua" w:hAnsi="Book Antiqua"/>
          <w:highlight w:val="none"/>
        </w:rPr>
        <w:t>, Hollingsworth Z, Young AB, Penney JB Jr. Glutamate receptors in the substantia nigra of Parkinson's disease brains. </w:t>
      </w:r>
      <w:r>
        <w:rPr>
          <w:rFonts w:ascii="Book Antiqua" w:hAnsi="Book Antiqua"/>
          <w:i/>
          <w:iCs/>
          <w:highlight w:val="none"/>
        </w:rPr>
        <w:t>Neurology</w:t>
      </w:r>
      <w:r>
        <w:rPr>
          <w:rFonts w:ascii="Book Antiqua" w:hAnsi="Book Antiqua"/>
          <w:highlight w:val="none"/>
        </w:rPr>
        <w:t> 1992; </w:t>
      </w:r>
      <w:r>
        <w:rPr>
          <w:rFonts w:ascii="Book Antiqua" w:hAnsi="Book Antiqua"/>
          <w:b/>
          <w:bCs/>
          <w:highlight w:val="none"/>
        </w:rPr>
        <w:t>42</w:t>
      </w:r>
      <w:r>
        <w:rPr>
          <w:rFonts w:ascii="Book Antiqua" w:hAnsi="Book Antiqua"/>
          <w:highlight w:val="none"/>
        </w:rPr>
        <w:t>: 402-406 [PMID: 1346548 DOI: 10.1212/wnl.42.2.402]</w:t>
      </w:r>
    </w:p>
    <w:p>
      <w:pPr>
        <w:pStyle w:val="5"/>
        <w:shd w:val="clear" w:color="auto" w:fill="FFFFFF"/>
        <w:adjustRightInd w:val="0"/>
        <w:snapToGrid w:val="0"/>
        <w:spacing w:before="0" w:beforeAutospacing="0" w:after="0" w:afterAutospacing="0" w:line="360" w:lineRule="auto"/>
        <w:jc w:val="both"/>
        <w:rPr>
          <w:rFonts w:ascii="Book Antiqua" w:hAnsi="Book Antiqua"/>
          <w:highlight w:val="none"/>
        </w:rPr>
      </w:pPr>
      <w:r>
        <w:rPr>
          <w:rFonts w:ascii="Book Antiqua" w:hAnsi="Book Antiqua"/>
          <w:highlight w:val="none"/>
        </w:rPr>
        <w:t>51 </w:t>
      </w:r>
      <w:r>
        <w:rPr>
          <w:rFonts w:ascii="Book Antiqua" w:hAnsi="Book Antiqua"/>
          <w:b/>
          <w:bCs/>
          <w:highlight w:val="none"/>
        </w:rPr>
        <w:t>Iovino L</w:t>
      </w:r>
      <w:r>
        <w:rPr>
          <w:rFonts w:ascii="Book Antiqua" w:hAnsi="Book Antiqua"/>
          <w:highlight w:val="none"/>
        </w:rPr>
        <w:t>, Tremblay ME, Civiero L. Glutamate-induced excitotoxicity in Parkinson's disease: The role of glial cells. </w:t>
      </w:r>
      <w:r>
        <w:rPr>
          <w:rFonts w:ascii="Book Antiqua" w:hAnsi="Book Antiqua"/>
          <w:i/>
          <w:iCs/>
          <w:highlight w:val="none"/>
        </w:rPr>
        <w:t>J Pharmacol Sci</w:t>
      </w:r>
      <w:r>
        <w:rPr>
          <w:rFonts w:ascii="Book Antiqua" w:hAnsi="Book Antiqua"/>
          <w:highlight w:val="none"/>
        </w:rPr>
        <w:t> 2020; </w:t>
      </w:r>
      <w:r>
        <w:rPr>
          <w:rFonts w:ascii="Book Antiqua" w:hAnsi="Book Antiqua"/>
          <w:b/>
          <w:bCs/>
          <w:highlight w:val="none"/>
        </w:rPr>
        <w:t>144</w:t>
      </w:r>
      <w:r>
        <w:rPr>
          <w:rFonts w:ascii="Book Antiqua" w:hAnsi="Book Antiqua"/>
          <w:highlight w:val="none"/>
        </w:rPr>
        <w:t>: 151-164 [PMID: 32807662 DOI: 10.1016/j.jphs.2020.07.011]</w:t>
      </w:r>
    </w:p>
    <w:p>
      <w:pPr>
        <w:pStyle w:val="5"/>
        <w:shd w:val="clear" w:color="auto" w:fill="FFFFFF"/>
        <w:adjustRightInd w:val="0"/>
        <w:snapToGrid w:val="0"/>
        <w:spacing w:before="0" w:beforeAutospacing="0" w:after="0" w:afterAutospacing="0" w:line="360" w:lineRule="auto"/>
        <w:jc w:val="both"/>
        <w:rPr>
          <w:rFonts w:ascii="Book Antiqua" w:hAnsi="Book Antiqua"/>
          <w:highlight w:val="none"/>
        </w:rPr>
      </w:pPr>
      <w:r>
        <w:rPr>
          <w:rFonts w:ascii="Book Antiqua" w:hAnsi="Book Antiqua"/>
          <w:highlight w:val="none"/>
        </w:rPr>
        <w:t>52 </w:t>
      </w:r>
      <w:r>
        <w:rPr>
          <w:rFonts w:ascii="Book Antiqua" w:hAnsi="Book Antiqua"/>
          <w:b/>
          <w:bCs/>
          <w:highlight w:val="none"/>
        </w:rPr>
        <w:t>Wang J</w:t>
      </w:r>
      <w:r>
        <w:rPr>
          <w:rFonts w:ascii="Book Antiqua" w:hAnsi="Book Antiqua"/>
          <w:highlight w:val="none"/>
        </w:rPr>
        <w:t>, Wang F, Mai D, Qu S. Molecular Mechanisms of Glutamate Toxicity in Parkinson's Disease. </w:t>
      </w:r>
      <w:r>
        <w:rPr>
          <w:rFonts w:ascii="Book Antiqua" w:hAnsi="Book Antiqua"/>
          <w:i/>
          <w:iCs/>
          <w:highlight w:val="none"/>
        </w:rPr>
        <w:t>Front Neurosci</w:t>
      </w:r>
      <w:r>
        <w:rPr>
          <w:rFonts w:ascii="Book Antiqua" w:hAnsi="Book Antiqua"/>
          <w:highlight w:val="none"/>
        </w:rPr>
        <w:t> 2020; </w:t>
      </w:r>
      <w:r>
        <w:rPr>
          <w:rFonts w:ascii="Book Antiqua" w:hAnsi="Book Antiqua"/>
          <w:b/>
          <w:bCs/>
          <w:highlight w:val="none"/>
        </w:rPr>
        <w:t>14</w:t>
      </w:r>
      <w:r>
        <w:rPr>
          <w:rFonts w:ascii="Book Antiqua" w:hAnsi="Book Antiqua"/>
          <w:highlight w:val="none"/>
        </w:rPr>
        <w:t>: 585584 [PMID: 33324150 DOI: 10.3389/fnins.2020.585584]</w:t>
      </w:r>
    </w:p>
    <w:p>
      <w:pPr>
        <w:pStyle w:val="5"/>
        <w:shd w:val="clear" w:color="auto" w:fill="FFFFFF"/>
        <w:adjustRightInd w:val="0"/>
        <w:snapToGrid w:val="0"/>
        <w:spacing w:before="0" w:beforeAutospacing="0" w:after="0" w:afterAutospacing="0" w:line="360" w:lineRule="auto"/>
        <w:jc w:val="both"/>
        <w:rPr>
          <w:rFonts w:ascii="Book Antiqua" w:hAnsi="Book Antiqua"/>
          <w:highlight w:val="none"/>
        </w:rPr>
      </w:pPr>
      <w:r>
        <w:rPr>
          <w:rFonts w:ascii="Book Antiqua" w:hAnsi="Book Antiqua"/>
          <w:highlight w:val="none"/>
        </w:rPr>
        <w:t>53 </w:t>
      </w:r>
      <w:r>
        <w:rPr>
          <w:rFonts w:ascii="Book Antiqua" w:hAnsi="Book Antiqua"/>
          <w:b/>
          <w:bCs/>
          <w:highlight w:val="none"/>
        </w:rPr>
        <w:t>Jakaria M</w:t>
      </w:r>
      <w:r>
        <w:rPr>
          <w:rFonts w:ascii="Book Antiqua" w:hAnsi="Book Antiqua"/>
          <w:highlight w:val="none"/>
        </w:rPr>
        <w:t>, Park SY, Haque ME, Karthivashan G, Kim IS, Ganesan P, Choi DK. Neurotoxic Agent-Induced Injury in Neurodegenerative Disease Model: Focus on Involvement of Glutamate Receptors. </w:t>
      </w:r>
      <w:r>
        <w:rPr>
          <w:rFonts w:ascii="Book Antiqua" w:hAnsi="Book Antiqua"/>
          <w:i/>
          <w:iCs/>
          <w:highlight w:val="none"/>
        </w:rPr>
        <w:t>Front Mol Neurosci</w:t>
      </w:r>
      <w:r>
        <w:rPr>
          <w:rFonts w:ascii="Book Antiqua" w:hAnsi="Book Antiqua"/>
          <w:highlight w:val="none"/>
        </w:rPr>
        <w:t> 2018; </w:t>
      </w:r>
      <w:r>
        <w:rPr>
          <w:rFonts w:ascii="Book Antiqua" w:hAnsi="Book Antiqua"/>
          <w:b/>
          <w:bCs/>
          <w:highlight w:val="none"/>
        </w:rPr>
        <w:t>11</w:t>
      </w:r>
      <w:r>
        <w:rPr>
          <w:rFonts w:ascii="Book Antiqua" w:hAnsi="Book Antiqua"/>
          <w:highlight w:val="none"/>
        </w:rPr>
        <w:t>: 307 [PMID: 30210294 DOI: 10.3389/fnmol.2018.00307]</w:t>
      </w:r>
    </w:p>
    <w:p>
      <w:pPr>
        <w:pStyle w:val="5"/>
        <w:shd w:val="clear" w:color="auto" w:fill="FFFFFF"/>
        <w:adjustRightInd w:val="0"/>
        <w:snapToGrid w:val="0"/>
        <w:spacing w:before="0" w:beforeAutospacing="0" w:after="0" w:afterAutospacing="0" w:line="360" w:lineRule="auto"/>
        <w:jc w:val="both"/>
        <w:rPr>
          <w:rFonts w:ascii="Book Antiqua" w:hAnsi="Book Antiqua"/>
          <w:highlight w:val="none"/>
        </w:rPr>
      </w:pPr>
      <w:r>
        <w:rPr>
          <w:rFonts w:ascii="Book Antiqua" w:hAnsi="Book Antiqua"/>
          <w:highlight w:val="none"/>
        </w:rPr>
        <w:t>54 </w:t>
      </w:r>
      <w:r>
        <w:rPr>
          <w:rFonts w:ascii="Book Antiqua" w:hAnsi="Book Antiqua"/>
          <w:b/>
          <w:bCs/>
          <w:highlight w:val="none"/>
        </w:rPr>
        <w:t>Dekundy A</w:t>
      </w:r>
      <w:r>
        <w:rPr>
          <w:rFonts w:ascii="Book Antiqua" w:hAnsi="Book Antiqua"/>
          <w:highlight w:val="none"/>
        </w:rPr>
        <w:t>, Pietraszek M, Schaefer D, Cenci MA, Danysz W. Effects of group I metabotropic glutamate receptors blockade in experimental models of Parkinson's disease. </w:t>
      </w:r>
      <w:r>
        <w:rPr>
          <w:rFonts w:ascii="Book Antiqua" w:hAnsi="Book Antiqua"/>
          <w:i/>
          <w:iCs/>
          <w:highlight w:val="none"/>
        </w:rPr>
        <w:t>Brain Res Bull</w:t>
      </w:r>
      <w:r>
        <w:rPr>
          <w:rFonts w:ascii="Book Antiqua" w:hAnsi="Book Antiqua"/>
          <w:highlight w:val="none"/>
        </w:rPr>
        <w:t> 2006; </w:t>
      </w:r>
      <w:r>
        <w:rPr>
          <w:rFonts w:ascii="Book Antiqua" w:hAnsi="Book Antiqua"/>
          <w:b/>
          <w:bCs/>
          <w:highlight w:val="none"/>
        </w:rPr>
        <w:t>69</w:t>
      </w:r>
      <w:r>
        <w:rPr>
          <w:rFonts w:ascii="Book Antiqua" w:hAnsi="Book Antiqua"/>
          <w:highlight w:val="none"/>
        </w:rPr>
        <w:t>: 318-326 [PMID: 16564428 DOI: 10.1016/j.brainresbull.2005.12.009]</w:t>
      </w:r>
    </w:p>
    <w:p>
      <w:pPr>
        <w:pStyle w:val="5"/>
        <w:shd w:val="clear" w:color="auto" w:fill="FFFFFF"/>
        <w:adjustRightInd w:val="0"/>
        <w:snapToGrid w:val="0"/>
        <w:spacing w:before="0" w:beforeAutospacing="0" w:after="0" w:afterAutospacing="0" w:line="360" w:lineRule="auto"/>
        <w:jc w:val="both"/>
        <w:rPr>
          <w:rFonts w:ascii="Book Antiqua" w:hAnsi="Book Antiqua"/>
          <w:highlight w:val="none"/>
        </w:rPr>
      </w:pPr>
      <w:r>
        <w:rPr>
          <w:rFonts w:ascii="Book Antiqua" w:hAnsi="Book Antiqua"/>
          <w:highlight w:val="none"/>
        </w:rPr>
        <w:t>55 </w:t>
      </w:r>
      <w:r>
        <w:rPr>
          <w:rFonts w:ascii="Book Antiqua" w:hAnsi="Book Antiqua"/>
          <w:b/>
          <w:bCs/>
          <w:highlight w:val="none"/>
        </w:rPr>
        <w:t>Amalric M</w:t>
      </w:r>
      <w:r>
        <w:rPr>
          <w:rFonts w:ascii="Book Antiqua" w:hAnsi="Book Antiqua"/>
          <w:highlight w:val="none"/>
        </w:rPr>
        <w:t>. Targeting metabotropic glutamate receptors (mGluRs) in Parkinson's disease. </w:t>
      </w:r>
      <w:r>
        <w:rPr>
          <w:rFonts w:ascii="Book Antiqua" w:hAnsi="Book Antiqua"/>
          <w:i/>
          <w:iCs/>
          <w:highlight w:val="none"/>
        </w:rPr>
        <w:t>Curr Opin Pharmacol</w:t>
      </w:r>
      <w:r>
        <w:rPr>
          <w:rFonts w:ascii="Book Antiqua" w:hAnsi="Book Antiqua"/>
          <w:highlight w:val="none"/>
        </w:rPr>
        <w:t> 2015; </w:t>
      </w:r>
      <w:r>
        <w:rPr>
          <w:rFonts w:ascii="Book Antiqua" w:hAnsi="Book Antiqua"/>
          <w:b/>
          <w:bCs/>
          <w:highlight w:val="none"/>
        </w:rPr>
        <w:t>20</w:t>
      </w:r>
      <w:r>
        <w:rPr>
          <w:rFonts w:ascii="Book Antiqua" w:hAnsi="Book Antiqua"/>
          <w:highlight w:val="none"/>
        </w:rPr>
        <w:t>: 29-34 [PMID: 25462289 DOI: 10.1016/j.coph.2014.11.001]</w:t>
      </w:r>
    </w:p>
    <w:p>
      <w:pPr>
        <w:pStyle w:val="5"/>
        <w:shd w:val="clear" w:color="auto" w:fill="FFFFFF"/>
        <w:adjustRightInd w:val="0"/>
        <w:snapToGrid w:val="0"/>
        <w:spacing w:before="0" w:beforeAutospacing="0" w:after="0" w:afterAutospacing="0" w:line="360" w:lineRule="auto"/>
        <w:jc w:val="both"/>
        <w:rPr>
          <w:rFonts w:ascii="Book Antiqua" w:hAnsi="Book Antiqua"/>
          <w:highlight w:val="none"/>
        </w:rPr>
      </w:pPr>
      <w:r>
        <w:rPr>
          <w:rFonts w:ascii="Book Antiqua" w:hAnsi="Book Antiqua"/>
          <w:highlight w:val="none"/>
        </w:rPr>
        <w:t>56 </w:t>
      </w:r>
      <w:r>
        <w:rPr>
          <w:rFonts w:ascii="Book Antiqua" w:hAnsi="Book Antiqua"/>
          <w:b/>
          <w:bCs/>
          <w:highlight w:val="none"/>
        </w:rPr>
        <w:t>Sebastianutto I</w:t>
      </w:r>
      <w:r>
        <w:rPr>
          <w:rFonts w:ascii="Book Antiqua" w:hAnsi="Book Antiqua"/>
          <w:highlight w:val="none"/>
        </w:rPr>
        <w:t>, Cenci MA. mGlu receptors in the treatment of Parkinson's disease and L-DOPA-induced dyskinesia. </w:t>
      </w:r>
      <w:r>
        <w:rPr>
          <w:rFonts w:ascii="Book Antiqua" w:hAnsi="Book Antiqua"/>
          <w:i/>
          <w:iCs/>
          <w:highlight w:val="none"/>
        </w:rPr>
        <w:t>Curr Opin Pharmacol</w:t>
      </w:r>
      <w:r>
        <w:rPr>
          <w:rFonts w:ascii="Book Antiqua" w:hAnsi="Book Antiqua"/>
          <w:highlight w:val="none"/>
        </w:rPr>
        <w:t> 2018; </w:t>
      </w:r>
      <w:r>
        <w:rPr>
          <w:rFonts w:ascii="Book Antiqua" w:hAnsi="Book Antiqua"/>
          <w:b/>
          <w:bCs/>
          <w:highlight w:val="none"/>
        </w:rPr>
        <w:t>38</w:t>
      </w:r>
      <w:r>
        <w:rPr>
          <w:rFonts w:ascii="Book Antiqua" w:hAnsi="Book Antiqua"/>
          <w:highlight w:val="none"/>
        </w:rPr>
        <w:t>: 81-89 [PMID: 29625424 DOI: 10.1016/j.coph.2018.03.003]</w:t>
      </w:r>
    </w:p>
    <w:p>
      <w:pPr>
        <w:pStyle w:val="5"/>
        <w:shd w:val="clear" w:color="auto" w:fill="FFFFFF"/>
        <w:adjustRightInd w:val="0"/>
        <w:snapToGrid w:val="0"/>
        <w:spacing w:before="0" w:beforeAutospacing="0" w:after="0" w:afterAutospacing="0" w:line="360" w:lineRule="auto"/>
        <w:jc w:val="both"/>
        <w:rPr>
          <w:rFonts w:ascii="Book Antiqua" w:hAnsi="Book Antiqua"/>
          <w:highlight w:val="none"/>
        </w:rPr>
      </w:pPr>
      <w:r>
        <w:rPr>
          <w:rFonts w:ascii="Book Antiqua" w:hAnsi="Book Antiqua"/>
          <w:highlight w:val="none"/>
        </w:rPr>
        <w:t>57 </w:t>
      </w:r>
      <w:r>
        <w:rPr>
          <w:rFonts w:ascii="Book Antiqua" w:hAnsi="Book Antiqua"/>
          <w:b/>
          <w:bCs/>
          <w:highlight w:val="none"/>
        </w:rPr>
        <w:t>Pin JP</w:t>
      </w:r>
      <w:r>
        <w:rPr>
          <w:rFonts w:ascii="Book Antiqua" w:hAnsi="Book Antiqua"/>
          <w:highlight w:val="none"/>
        </w:rPr>
        <w:t>, Bockaert J. Get receptive to metabotropic glutamate receptors. </w:t>
      </w:r>
      <w:r>
        <w:rPr>
          <w:rFonts w:ascii="Book Antiqua" w:hAnsi="Book Antiqua"/>
          <w:i/>
          <w:iCs/>
          <w:highlight w:val="none"/>
        </w:rPr>
        <w:t>Curr Opin Neurobiol</w:t>
      </w:r>
      <w:r>
        <w:rPr>
          <w:rFonts w:ascii="Book Antiqua" w:hAnsi="Book Antiqua"/>
          <w:highlight w:val="none"/>
        </w:rPr>
        <w:t> 1995; </w:t>
      </w:r>
      <w:r>
        <w:rPr>
          <w:rFonts w:ascii="Book Antiqua" w:hAnsi="Book Antiqua"/>
          <w:b/>
          <w:bCs/>
          <w:highlight w:val="none"/>
        </w:rPr>
        <w:t>5</w:t>
      </w:r>
      <w:r>
        <w:rPr>
          <w:rFonts w:ascii="Book Antiqua" w:hAnsi="Book Antiqua"/>
          <w:highlight w:val="none"/>
        </w:rPr>
        <w:t>: 342-349 [PMID: 7580157 DOI: 10.1016/0959-4388(95)80047-6]</w:t>
      </w:r>
    </w:p>
    <w:p>
      <w:pPr>
        <w:pStyle w:val="5"/>
        <w:shd w:val="clear" w:color="auto" w:fill="FFFFFF"/>
        <w:adjustRightInd w:val="0"/>
        <w:snapToGrid w:val="0"/>
        <w:spacing w:before="0" w:beforeAutospacing="0" w:after="0" w:afterAutospacing="0" w:line="360" w:lineRule="auto"/>
        <w:jc w:val="both"/>
        <w:rPr>
          <w:rFonts w:ascii="Book Antiqua" w:hAnsi="Book Antiqua"/>
          <w:highlight w:val="none"/>
        </w:rPr>
      </w:pPr>
      <w:r>
        <w:rPr>
          <w:rFonts w:ascii="Book Antiqua" w:hAnsi="Book Antiqua"/>
          <w:highlight w:val="none"/>
        </w:rPr>
        <w:t>58 </w:t>
      </w:r>
      <w:r>
        <w:rPr>
          <w:rFonts w:ascii="Book Antiqua" w:hAnsi="Book Antiqua"/>
          <w:b/>
          <w:bCs/>
          <w:highlight w:val="none"/>
        </w:rPr>
        <w:t>Nicoletti F</w:t>
      </w:r>
      <w:r>
        <w:rPr>
          <w:rFonts w:ascii="Book Antiqua" w:hAnsi="Book Antiqua"/>
          <w:highlight w:val="none"/>
        </w:rPr>
        <w:t>, Bockaert J, Collingridge GL, Conn PJ, Ferraguti F, Schoepp DD, Wroblewski JT, Pin JP. Metabotropic glutamate receptors: from the workbench to the bedside. </w:t>
      </w:r>
      <w:r>
        <w:rPr>
          <w:rFonts w:ascii="Book Antiqua" w:hAnsi="Book Antiqua"/>
          <w:i/>
          <w:iCs/>
          <w:highlight w:val="none"/>
        </w:rPr>
        <w:t>Neuropharmacology</w:t>
      </w:r>
      <w:r>
        <w:rPr>
          <w:rFonts w:ascii="Book Antiqua" w:hAnsi="Book Antiqua"/>
          <w:highlight w:val="none"/>
        </w:rPr>
        <w:t> 2011; </w:t>
      </w:r>
      <w:r>
        <w:rPr>
          <w:rFonts w:ascii="Book Antiqua" w:hAnsi="Book Antiqua"/>
          <w:b/>
          <w:bCs/>
          <w:highlight w:val="none"/>
        </w:rPr>
        <w:t>60</w:t>
      </w:r>
      <w:r>
        <w:rPr>
          <w:rFonts w:ascii="Book Antiqua" w:hAnsi="Book Antiqua"/>
          <w:highlight w:val="none"/>
        </w:rPr>
        <w:t>: 1017-1041 [PMID: 21036182 DOI: 10.1016/j.neuropharm.2010.10.022]</w:t>
      </w:r>
    </w:p>
    <w:p>
      <w:pPr>
        <w:pStyle w:val="5"/>
        <w:shd w:val="clear" w:color="auto" w:fill="FFFFFF"/>
        <w:adjustRightInd w:val="0"/>
        <w:snapToGrid w:val="0"/>
        <w:spacing w:before="0" w:beforeAutospacing="0" w:after="0" w:afterAutospacing="0" w:line="360" w:lineRule="auto"/>
        <w:jc w:val="both"/>
        <w:rPr>
          <w:rFonts w:ascii="Book Antiqua" w:hAnsi="Book Antiqua"/>
          <w:highlight w:val="none"/>
        </w:rPr>
      </w:pPr>
      <w:r>
        <w:rPr>
          <w:rFonts w:ascii="Book Antiqua" w:hAnsi="Book Antiqua"/>
          <w:highlight w:val="none"/>
        </w:rPr>
        <w:t>59 </w:t>
      </w:r>
      <w:r>
        <w:rPr>
          <w:rFonts w:ascii="Book Antiqua" w:hAnsi="Book Antiqua"/>
          <w:b/>
          <w:bCs/>
          <w:highlight w:val="none"/>
        </w:rPr>
        <w:t>Endoh T</w:t>
      </w:r>
      <w:r>
        <w:rPr>
          <w:rFonts w:ascii="Book Antiqua" w:hAnsi="Book Antiqua"/>
          <w:highlight w:val="none"/>
        </w:rPr>
        <w:t>. Characterization of modulatory effects of postsynaptic metabotropic glutamate receptors on calcium currents in rat nucleus tractus solitarius. </w:t>
      </w:r>
      <w:r>
        <w:rPr>
          <w:rFonts w:ascii="Book Antiqua" w:hAnsi="Book Antiqua"/>
          <w:i/>
          <w:iCs/>
          <w:highlight w:val="none"/>
        </w:rPr>
        <w:t>Brain Res</w:t>
      </w:r>
      <w:r>
        <w:rPr>
          <w:rFonts w:ascii="Book Antiqua" w:hAnsi="Book Antiqua"/>
          <w:highlight w:val="none"/>
        </w:rPr>
        <w:t> 2004; </w:t>
      </w:r>
      <w:r>
        <w:rPr>
          <w:rFonts w:ascii="Book Antiqua" w:hAnsi="Book Antiqua"/>
          <w:b/>
          <w:bCs/>
          <w:highlight w:val="none"/>
        </w:rPr>
        <w:t>1024</w:t>
      </w:r>
      <w:r>
        <w:rPr>
          <w:rFonts w:ascii="Book Antiqua" w:hAnsi="Book Antiqua"/>
          <w:highlight w:val="none"/>
        </w:rPr>
        <w:t>: 212-224 [PMID: 15451384 DOI: 10.1016/j.brainres.2004.07.074]</w:t>
      </w:r>
    </w:p>
    <w:p>
      <w:pPr>
        <w:pStyle w:val="5"/>
        <w:shd w:val="clear" w:color="auto" w:fill="FFFFFF"/>
        <w:adjustRightInd w:val="0"/>
        <w:snapToGrid w:val="0"/>
        <w:spacing w:before="0" w:beforeAutospacing="0" w:after="0" w:afterAutospacing="0" w:line="360" w:lineRule="auto"/>
        <w:jc w:val="both"/>
        <w:rPr>
          <w:rFonts w:ascii="Book Antiqua" w:hAnsi="Book Antiqua"/>
          <w:highlight w:val="none"/>
        </w:rPr>
      </w:pPr>
      <w:r>
        <w:rPr>
          <w:rFonts w:ascii="Book Antiqua" w:hAnsi="Book Antiqua"/>
          <w:highlight w:val="none"/>
        </w:rPr>
        <w:t>60 </w:t>
      </w:r>
      <w:r>
        <w:rPr>
          <w:rFonts w:ascii="Book Antiqua" w:hAnsi="Book Antiqua"/>
          <w:b/>
          <w:bCs/>
          <w:highlight w:val="none"/>
        </w:rPr>
        <w:t>Rouse ST</w:t>
      </w:r>
      <w:r>
        <w:rPr>
          <w:rFonts w:ascii="Book Antiqua" w:hAnsi="Book Antiqua"/>
          <w:highlight w:val="none"/>
        </w:rPr>
        <w:t>, Marino MJ, Bradley SR, Awad H, Wittmann M, Conn PJ. Distribution and roles of metabotropic glutamate receptors in the basal ganglia motor circuit: implications for treatment of Parkinson's disease and related disorders. </w:t>
      </w:r>
      <w:r>
        <w:rPr>
          <w:rFonts w:ascii="Book Antiqua" w:hAnsi="Book Antiqua"/>
          <w:i/>
          <w:iCs/>
          <w:highlight w:val="none"/>
        </w:rPr>
        <w:t>Pharmacol Ther</w:t>
      </w:r>
      <w:r>
        <w:rPr>
          <w:rFonts w:ascii="Book Antiqua" w:hAnsi="Book Antiqua"/>
          <w:highlight w:val="none"/>
        </w:rPr>
        <w:t> 2000; </w:t>
      </w:r>
      <w:r>
        <w:rPr>
          <w:rFonts w:ascii="Book Antiqua" w:hAnsi="Book Antiqua"/>
          <w:b/>
          <w:bCs/>
          <w:highlight w:val="none"/>
        </w:rPr>
        <w:t>88</w:t>
      </w:r>
      <w:r>
        <w:rPr>
          <w:rFonts w:ascii="Book Antiqua" w:hAnsi="Book Antiqua"/>
          <w:highlight w:val="none"/>
        </w:rPr>
        <w:t>: 427-435 [PMID: 11337032 DOI: 10.1016/s0163-7258(00)00098-x]</w:t>
      </w:r>
    </w:p>
    <w:p>
      <w:pPr>
        <w:pStyle w:val="5"/>
        <w:shd w:val="clear" w:color="auto" w:fill="FFFFFF"/>
        <w:adjustRightInd w:val="0"/>
        <w:snapToGrid w:val="0"/>
        <w:spacing w:before="0" w:beforeAutospacing="0" w:after="0" w:afterAutospacing="0" w:line="360" w:lineRule="auto"/>
        <w:jc w:val="both"/>
        <w:rPr>
          <w:rFonts w:ascii="Book Antiqua" w:hAnsi="Book Antiqua"/>
          <w:highlight w:val="none"/>
        </w:rPr>
      </w:pPr>
      <w:r>
        <w:rPr>
          <w:rFonts w:ascii="Book Antiqua" w:hAnsi="Book Antiqua"/>
          <w:highlight w:val="none"/>
        </w:rPr>
        <w:t>61 </w:t>
      </w:r>
      <w:r>
        <w:rPr>
          <w:rFonts w:ascii="Book Antiqua" w:hAnsi="Book Antiqua"/>
          <w:b/>
          <w:bCs/>
          <w:highlight w:val="none"/>
        </w:rPr>
        <w:t>Boccella S</w:t>
      </w:r>
      <w:r>
        <w:rPr>
          <w:rFonts w:ascii="Book Antiqua" w:hAnsi="Book Antiqua"/>
          <w:highlight w:val="none"/>
        </w:rPr>
        <w:t>, Marabese I, Guida F, Luongo L, Maione S, Palazzo E. The Modulation of Pain by Metabotropic Glutamate Receptors 7 and 8 in the Dorsal Striatum. </w:t>
      </w:r>
      <w:r>
        <w:rPr>
          <w:rFonts w:ascii="Book Antiqua" w:hAnsi="Book Antiqua"/>
          <w:i/>
          <w:iCs/>
          <w:highlight w:val="none"/>
        </w:rPr>
        <w:t>Curr Neuropharmacol</w:t>
      </w:r>
      <w:r>
        <w:rPr>
          <w:rFonts w:ascii="Book Antiqua" w:hAnsi="Book Antiqua"/>
          <w:highlight w:val="none"/>
        </w:rPr>
        <w:t> 2020; </w:t>
      </w:r>
      <w:r>
        <w:rPr>
          <w:rFonts w:ascii="Book Antiqua" w:hAnsi="Book Antiqua"/>
          <w:b/>
          <w:bCs/>
          <w:highlight w:val="none"/>
        </w:rPr>
        <w:t>18</w:t>
      </w:r>
      <w:r>
        <w:rPr>
          <w:rFonts w:ascii="Book Antiqua" w:hAnsi="Book Antiqua"/>
          <w:highlight w:val="none"/>
        </w:rPr>
        <w:t>: 34-50 [PMID: 31210112 DOI: 10.2174/1570159X17666190618121859]</w:t>
      </w:r>
    </w:p>
    <w:p>
      <w:pPr>
        <w:pStyle w:val="5"/>
        <w:shd w:val="clear" w:color="auto" w:fill="FFFFFF"/>
        <w:adjustRightInd w:val="0"/>
        <w:snapToGrid w:val="0"/>
        <w:spacing w:before="0" w:beforeAutospacing="0" w:after="0" w:afterAutospacing="0" w:line="360" w:lineRule="auto"/>
        <w:jc w:val="both"/>
        <w:rPr>
          <w:rFonts w:ascii="Book Antiqua" w:hAnsi="Book Antiqua"/>
          <w:highlight w:val="none"/>
        </w:rPr>
      </w:pPr>
      <w:r>
        <w:rPr>
          <w:rFonts w:ascii="Book Antiqua" w:hAnsi="Book Antiqua"/>
          <w:highlight w:val="none"/>
        </w:rPr>
        <w:t>62 </w:t>
      </w:r>
      <w:r>
        <w:rPr>
          <w:rFonts w:ascii="Book Antiqua" w:hAnsi="Book Antiqua"/>
          <w:b/>
          <w:bCs/>
          <w:highlight w:val="none"/>
        </w:rPr>
        <w:t>Matarredona ER</w:t>
      </w:r>
      <w:r>
        <w:rPr>
          <w:rFonts w:ascii="Book Antiqua" w:hAnsi="Book Antiqua"/>
          <w:highlight w:val="none"/>
        </w:rPr>
        <w:t>, Santiago M, Venero JL, Cano J, Machado A. Group II metabotropic glutamate receptor activation protects striatal dopaminergic nerve terminals against MPP+-induced neurotoxicity along with brain-derived neurotrophic factor induction. </w:t>
      </w:r>
      <w:r>
        <w:rPr>
          <w:rFonts w:ascii="Book Antiqua" w:hAnsi="Book Antiqua"/>
          <w:i/>
          <w:iCs/>
          <w:highlight w:val="none"/>
        </w:rPr>
        <w:t>J Neurochem</w:t>
      </w:r>
      <w:r>
        <w:rPr>
          <w:rFonts w:ascii="Book Antiqua" w:hAnsi="Book Antiqua"/>
          <w:highlight w:val="none"/>
        </w:rPr>
        <w:t> 2001; </w:t>
      </w:r>
      <w:r>
        <w:rPr>
          <w:rFonts w:ascii="Book Antiqua" w:hAnsi="Book Antiqua"/>
          <w:b/>
          <w:bCs/>
          <w:highlight w:val="none"/>
        </w:rPr>
        <w:t>76</w:t>
      </w:r>
      <w:r>
        <w:rPr>
          <w:rFonts w:ascii="Book Antiqua" w:hAnsi="Book Antiqua"/>
          <w:highlight w:val="none"/>
        </w:rPr>
        <w:t>: 351-360 [PMID: 11208898 DOI: 10.1046/j.1471-4159.2001.00056.x]</w:t>
      </w:r>
    </w:p>
    <w:p>
      <w:pPr>
        <w:pStyle w:val="5"/>
        <w:shd w:val="clear" w:color="auto" w:fill="FFFFFF"/>
        <w:adjustRightInd w:val="0"/>
        <w:snapToGrid w:val="0"/>
        <w:spacing w:before="0" w:beforeAutospacing="0" w:after="0" w:afterAutospacing="0" w:line="360" w:lineRule="auto"/>
        <w:jc w:val="both"/>
        <w:rPr>
          <w:rFonts w:ascii="Book Antiqua" w:hAnsi="Book Antiqua"/>
          <w:highlight w:val="none"/>
        </w:rPr>
      </w:pPr>
      <w:r>
        <w:rPr>
          <w:rFonts w:ascii="Book Antiqua" w:hAnsi="Book Antiqua"/>
          <w:highlight w:val="none"/>
        </w:rPr>
        <w:t>63 </w:t>
      </w:r>
      <w:r>
        <w:rPr>
          <w:rFonts w:ascii="Book Antiqua" w:hAnsi="Book Antiqua"/>
          <w:b/>
          <w:bCs/>
          <w:highlight w:val="none"/>
        </w:rPr>
        <w:t>Jiang Q</w:t>
      </w:r>
      <w:r>
        <w:rPr>
          <w:rFonts w:ascii="Book Antiqua" w:hAnsi="Book Antiqua"/>
          <w:highlight w:val="none"/>
        </w:rPr>
        <w:t>, Yan Z, Feng J. Activation of group III metabotropic glutamate receptors attenuates rotenone toxicity on dopaminergic neurons through a microtubule-dependent mechanism. </w:t>
      </w:r>
      <w:r>
        <w:rPr>
          <w:rFonts w:ascii="Book Antiqua" w:hAnsi="Book Antiqua"/>
          <w:i/>
          <w:iCs/>
          <w:highlight w:val="none"/>
        </w:rPr>
        <w:t>J Neurosci</w:t>
      </w:r>
      <w:r>
        <w:rPr>
          <w:rFonts w:ascii="Book Antiqua" w:hAnsi="Book Antiqua"/>
          <w:highlight w:val="none"/>
        </w:rPr>
        <w:t> 2006; </w:t>
      </w:r>
      <w:r>
        <w:rPr>
          <w:rFonts w:ascii="Book Antiqua" w:hAnsi="Book Antiqua"/>
          <w:b/>
          <w:bCs/>
          <w:highlight w:val="none"/>
        </w:rPr>
        <w:t>26</w:t>
      </w:r>
      <w:r>
        <w:rPr>
          <w:rFonts w:ascii="Book Antiqua" w:hAnsi="Book Antiqua"/>
          <w:highlight w:val="none"/>
        </w:rPr>
        <w:t>: 4318-4328 [PMID: 16624952 DOI: 10.1523/JNEUROSCI.0118-06.2006]</w:t>
      </w:r>
    </w:p>
    <w:p>
      <w:pPr>
        <w:pStyle w:val="5"/>
        <w:shd w:val="clear" w:color="auto" w:fill="FFFFFF"/>
        <w:adjustRightInd w:val="0"/>
        <w:snapToGrid w:val="0"/>
        <w:spacing w:before="0" w:beforeAutospacing="0" w:after="0" w:afterAutospacing="0" w:line="360" w:lineRule="auto"/>
        <w:jc w:val="both"/>
        <w:rPr>
          <w:rFonts w:ascii="Book Antiqua" w:hAnsi="Book Antiqua"/>
          <w:highlight w:val="none"/>
        </w:rPr>
      </w:pPr>
      <w:r>
        <w:rPr>
          <w:rFonts w:ascii="Book Antiqua" w:hAnsi="Book Antiqua"/>
          <w:highlight w:val="none"/>
        </w:rPr>
        <w:t>64 </w:t>
      </w:r>
      <w:r>
        <w:rPr>
          <w:rFonts w:ascii="Book Antiqua" w:hAnsi="Book Antiqua"/>
          <w:b/>
          <w:bCs/>
          <w:highlight w:val="none"/>
        </w:rPr>
        <w:t>Sun L</w:t>
      </w:r>
      <w:r>
        <w:rPr>
          <w:rFonts w:ascii="Book Antiqua" w:hAnsi="Book Antiqua"/>
          <w:highlight w:val="none"/>
        </w:rPr>
        <w:t>, Gu L, Wang S, Yuan J, Yang H, Zhu J, Zhang H. N-acetylcysteine protects against apoptosis through modulation of group I metabotropic glutamate receptor activity. </w:t>
      </w:r>
      <w:r>
        <w:rPr>
          <w:rFonts w:ascii="Book Antiqua" w:hAnsi="Book Antiqua"/>
          <w:i/>
          <w:iCs/>
          <w:highlight w:val="none"/>
        </w:rPr>
        <w:t>PLoS One</w:t>
      </w:r>
      <w:r>
        <w:rPr>
          <w:rFonts w:ascii="Book Antiqua" w:hAnsi="Book Antiqua"/>
          <w:highlight w:val="none"/>
        </w:rPr>
        <w:t> 2012; </w:t>
      </w:r>
      <w:r>
        <w:rPr>
          <w:rFonts w:ascii="Book Antiqua" w:hAnsi="Book Antiqua"/>
          <w:b/>
          <w:bCs/>
          <w:highlight w:val="none"/>
        </w:rPr>
        <w:t>7</w:t>
      </w:r>
      <w:r>
        <w:rPr>
          <w:rFonts w:ascii="Book Antiqua" w:hAnsi="Book Antiqua"/>
          <w:highlight w:val="none"/>
        </w:rPr>
        <w:t>: e32503 [PMID: 22442667 DOI: 10.1371/journal.pone.0032503]</w:t>
      </w:r>
    </w:p>
    <w:p>
      <w:pPr>
        <w:pStyle w:val="5"/>
        <w:shd w:val="clear" w:color="auto" w:fill="FFFFFF"/>
        <w:adjustRightInd w:val="0"/>
        <w:snapToGrid w:val="0"/>
        <w:spacing w:before="0" w:beforeAutospacing="0" w:after="0" w:afterAutospacing="0" w:line="360" w:lineRule="auto"/>
        <w:jc w:val="both"/>
        <w:rPr>
          <w:rFonts w:ascii="Book Antiqua" w:hAnsi="Book Antiqua"/>
          <w:highlight w:val="none"/>
        </w:rPr>
      </w:pPr>
      <w:r>
        <w:rPr>
          <w:rFonts w:ascii="Book Antiqua" w:hAnsi="Book Antiqua"/>
          <w:highlight w:val="none"/>
        </w:rPr>
        <w:t>65 </w:t>
      </w:r>
      <w:r>
        <w:rPr>
          <w:rFonts w:ascii="Book Antiqua" w:hAnsi="Book Antiqua"/>
          <w:b/>
          <w:bCs/>
          <w:highlight w:val="none"/>
        </w:rPr>
        <w:t>Xia N</w:t>
      </w:r>
      <w:r>
        <w:rPr>
          <w:rFonts w:ascii="Book Antiqua" w:hAnsi="Book Antiqua"/>
          <w:highlight w:val="none"/>
        </w:rPr>
        <w:t>, Zhang Q, Wang ST, Gu L, Yang HM, Liu L, Bakshi R, Yang H, Zhang H. Blockade of metabotropic glutamate receptor 5 protects against DNA damage in a rotenone-induced Parkinson's disease model. </w:t>
      </w:r>
      <w:r>
        <w:rPr>
          <w:rFonts w:ascii="Book Antiqua" w:hAnsi="Book Antiqua"/>
          <w:i/>
          <w:iCs/>
          <w:highlight w:val="none"/>
        </w:rPr>
        <w:t>Free Radic Biol Med</w:t>
      </w:r>
      <w:r>
        <w:rPr>
          <w:rFonts w:ascii="Book Antiqua" w:hAnsi="Book Antiqua"/>
          <w:highlight w:val="none"/>
        </w:rPr>
        <w:t> 2015; </w:t>
      </w:r>
      <w:r>
        <w:rPr>
          <w:rFonts w:ascii="Book Antiqua" w:hAnsi="Book Antiqua"/>
          <w:b/>
          <w:bCs/>
          <w:highlight w:val="none"/>
        </w:rPr>
        <w:t>89</w:t>
      </w:r>
      <w:r>
        <w:rPr>
          <w:rFonts w:ascii="Book Antiqua" w:hAnsi="Book Antiqua"/>
          <w:highlight w:val="none"/>
        </w:rPr>
        <w:t>: 567-580 [PMID: 26454081 DOI: 10.1016/j.freeradbiomed.2015.09.017]</w:t>
      </w:r>
    </w:p>
    <w:p>
      <w:pPr>
        <w:pStyle w:val="5"/>
        <w:shd w:val="clear" w:color="auto" w:fill="FFFFFF"/>
        <w:adjustRightInd w:val="0"/>
        <w:snapToGrid w:val="0"/>
        <w:spacing w:before="0" w:beforeAutospacing="0" w:after="0" w:afterAutospacing="0" w:line="360" w:lineRule="auto"/>
        <w:jc w:val="both"/>
        <w:rPr>
          <w:rFonts w:ascii="Book Antiqua" w:hAnsi="Book Antiqua"/>
          <w:highlight w:val="none"/>
        </w:rPr>
      </w:pPr>
      <w:r>
        <w:rPr>
          <w:rFonts w:ascii="Book Antiqua" w:hAnsi="Book Antiqua"/>
          <w:highlight w:val="none"/>
        </w:rPr>
        <w:t>66 </w:t>
      </w:r>
      <w:r>
        <w:rPr>
          <w:rFonts w:ascii="Book Antiqua" w:hAnsi="Book Antiqua"/>
          <w:b/>
          <w:bCs/>
          <w:highlight w:val="none"/>
        </w:rPr>
        <w:t>Bai XX</w:t>
      </w:r>
      <w:r>
        <w:rPr>
          <w:rFonts w:ascii="Book Antiqua" w:hAnsi="Book Antiqua"/>
          <w:highlight w:val="none"/>
        </w:rPr>
        <w:t>, Gu L, Yang HM, Xi SS, Xia N, Zhang S, Zhang H. Downregulation of metabotropic glutamate receptor 5 inhibits hepatoma development in a neurotoxin rotenone-induced Parkinson's disease model. </w:t>
      </w:r>
      <w:r>
        <w:rPr>
          <w:rFonts w:ascii="Book Antiqua" w:hAnsi="Book Antiqua"/>
          <w:i/>
          <w:iCs/>
          <w:highlight w:val="none"/>
        </w:rPr>
        <w:t>Toxicol Lett</w:t>
      </w:r>
      <w:r>
        <w:rPr>
          <w:rFonts w:ascii="Book Antiqua" w:hAnsi="Book Antiqua"/>
          <w:highlight w:val="none"/>
        </w:rPr>
        <w:t> 2018; </w:t>
      </w:r>
      <w:r>
        <w:rPr>
          <w:rFonts w:ascii="Book Antiqua" w:hAnsi="Book Antiqua"/>
          <w:b/>
          <w:bCs/>
          <w:highlight w:val="none"/>
        </w:rPr>
        <w:t>288</w:t>
      </w:r>
      <w:r>
        <w:rPr>
          <w:rFonts w:ascii="Book Antiqua" w:hAnsi="Book Antiqua"/>
          <w:highlight w:val="none"/>
        </w:rPr>
        <w:t>: 71-81 [PMID: 29458170 DOI: 10.1016/j.toxlet.2018.02.019]</w:t>
      </w:r>
    </w:p>
    <w:p>
      <w:pPr>
        <w:pStyle w:val="5"/>
        <w:shd w:val="clear" w:color="auto" w:fill="FFFFFF"/>
        <w:adjustRightInd w:val="0"/>
        <w:snapToGrid w:val="0"/>
        <w:spacing w:before="0" w:beforeAutospacing="0" w:after="0" w:afterAutospacing="0" w:line="360" w:lineRule="auto"/>
        <w:jc w:val="both"/>
        <w:rPr>
          <w:rFonts w:ascii="Book Antiqua" w:hAnsi="Book Antiqua"/>
          <w:highlight w:val="none"/>
        </w:rPr>
      </w:pPr>
      <w:r>
        <w:rPr>
          <w:rFonts w:ascii="Book Antiqua" w:hAnsi="Book Antiqua"/>
          <w:highlight w:val="none"/>
        </w:rPr>
        <w:t>67 </w:t>
      </w:r>
      <w:r>
        <w:rPr>
          <w:rFonts w:ascii="Book Antiqua" w:hAnsi="Book Antiqua"/>
          <w:b/>
          <w:bCs/>
          <w:highlight w:val="none"/>
        </w:rPr>
        <w:t>Luo WY</w:t>
      </w:r>
      <w:r>
        <w:rPr>
          <w:rFonts w:ascii="Book Antiqua" w:hAnsi="Book Antiqua"/>
          <w:highlight w:val="none"/>
        </w:rPr>
        <w:t>, Xing SQ, Zhu P, Zhang CG, Yang HM, Van Halm-Lutterodt N, Gu L, Zhang H. PDZ Scaffold Protein CAL Couples with Metabotropic Glutamate Receptor 5 to Protect Against Cell Apoptosis and Is a Potential Target in the Treatment of Parkinson's Disease. </w:t>
      </w:r>
      <w:r>
        <w:rPr>
          <w:rFonts w:ascii="Book Antiqua" w:hAnsi="Book Antiqua"/>
          <w:i/>
          <w:iCs/>
          <w:highlight w:val="none"/>
        </w:rPr>
        <w:t>Neurotherapeutics</w:t>
      </w:r>
      <w:r>
        <w:rPr>
          <w:rFonts w:ascii="Book Antiqua" w:hAnsi="Book Antiqua"/>
          <w:highlight w:val="none"/>
        </w:rPr>
        <w:t> 2019; </w:t>
      </w:r>
      <w:r>
        <w:rPr>
          <w:rFonts w:ascii="Book Antiqua" w:hAnsi="Book Antiqua"/>
          <w:b/>
          <w:bCs/>
          <w:highlight w:val="none"/>
        </w:rPr>
        <w:t>16</w:t>
      </w:r>
      <w:r>
        <w:rPr>
          <w:rFonts w:ascii="Book Antiqua" w:hAnsi="Book Antiqua"/>
          <w:highlight w:val="none"/>
        </w:rPr>
        <w:t>: 761-783 [PMID: 31073978 DOI: 10.1007/s13311-019-00730-7]</w:t>
      </w:r>
    </w:p>
    <w:p>
      <w:pPr>
        <w:pStyle w:val="5"/>
        <w:shd w:val="clear" w:color="auto" w:fill="FFFFFF"/>
        <w:adjustRightInd w:val="0"/>
        <w:snapToGrid w:val="0"/>
        <w:spacing w:before="0" w:beforeAutospacing="0" w:after="0" w:afterAutospacing="0" w:line="360" w:lineRule="auto"/>
        <w:jc w:val="both"/>
        <w:rPr>
          <w:rFonts w:ascii="Book Antiqua" w:hAnsi="Book Antiqua"/>
          <w:highlight w:val="none"/>
        </w:rPr>
      </w:pPr>
      <w:r>
        <w:rPr>
          <w:rFonts w:ascii="Book Antiqua" w:hAnsi="Book Antiqua"/>
          <w:highlight w:val="none"/>
        </w:rPr>
        <w:t>68 </w:t>
      </w:r>
      <w:r>
        <w:rPr>
          <w:rFonts w:ascii="Book Antiqua" w:hAnsi="Book Antiqua"/>
          <w:b/>
          <w:bCs/>
          <w:highlight w:val="none"/>
        </w:rPr>
        <w:t>Zhu JW</w:t>
      </w:r>
      <w:r>
        <w:rPr>
          <w:rFonts w:ascii="Book Antiqua" w:hAnsi="Book Antiqua"/>
          <w:highlight w:val="none"/>
        </w:rPr>
        <w:t>, Yuan JF, Yang HM, Wang ST, Zhang CG, Sun LL, Yang H, Zhang H. Extracellular cysteine (Cys)/cystine (CySS) redox regulates metabotropic glutamate receptor 5 activity. </w:t>
      </w:r>
      <w:r>
        <w:rPr>
          <w:rFonts w:ascii="Book Antiqua" w:hAnsi="Book Antiqua"/>
          <w:i/>
          <w:iCs/>
          <w:highlight w:val="none"/>
        </w:rPr>
        <w:t>Biochimie</w:t>
      </w:r>
      <w:r>
        <w:rPr>
          <w:rFonts w:ascii="Book Antiqua" w:hAnsi="Book Antiqua"/>
          <w:highlight w:val="none"/>
        </w:rPr>
        <w:t> 2012; </w:t>
      </w:r>
      <w:r>
        <w:rPr>
          <w:rFonts w:ascii="Book Antiqua" w:hAnsi="Book Antiqua"/>
          <w:b/>
          <w:bCs/>
          <w:highlight w:val="none"/>
        </w:rPr>
        <w:t>94</w:t>
      </w:r>
      <w:r>
        <w:rPr>
          <w:rFonts w:ascii="Book Antiqua" w:hAnsi="Book Antiqua"/>
          <w:highlight w:val="none"/>
        </w:rPr>
        <w:t>: 617-627 [PMID: 21964032 DOI: 10.1016/j.biochi.2011.09.013]</w:t>
      </w:r>
    </w:p>
    <w:p>
      <w:pPr>
        <w:pStyle w:val="5"/>
        <w:shd w:val="clear" w:color="auto" w:fill="FFFFFF"/>
        <w:adjustRightInd w:val="0"/>
        <w:snapToGrid w:val="0"/>
        <w:spacing w:before="0" w:beforeAutospacing="0" w:after="0" w:afterAutospacing="0" w:line="360" w:lineRule="auto"/>
        <w:jc w:val="both"/>
        <w:rPr>
          <w:rFonts w:ascii="Book Antiqua" w:hAnsi="Book Antiqua"/>
          <w:highlight w:val="none"/>
        </w:rPr>
      </w:pPr>
      <w:r>
        <w:rPr>
          <w:rFonts w:ascii="Book Antiqua" w:hAnsi="Book Antiqua"/>
          <w:highlight w:val="none"/>
        </w:rPr>
        <w:t>69 </w:t>
      </w:r>
      <w:r>
        <w:rPr>
          <w:rFonts w:ascii="Book Antiqua" w:hAnsi="Book Antiqua"/>
          <w:b/>
          <w:bCs/>
          <w:highlight w:val="none"/>
        </w:rPr>
        <w:t>Bashkatova VG</w:t>
      </w:r>
      <w:r>
        <w:rPr>
          <w:rFonts w:ascii="Book Antiqua" w:hAnsi="Book Antiqua"/>
          <w:highlight w:val="none"/>
        </w:rPr>
        <w:t>, Sudakov SK. Role of metabotropic glutamate receptors in the mechanisms of experimental parkinsonism development. </w:t>
      </w:r>
      <w:r>
        <w:rPr>
          <w:rFonts w:ascii="Book Antiqua" w:hAnsi="Book Antiqua"/>
          <w:i/>
          <w:iCs/>
          <w:highlight w:val="none"/>
        </w:rPr>
        <w:t>Bull Exp Biol Med</w:t>
      </w:r>
      <w:r>
        <w:rPr>
          <w:rFonts w:ascii="Book Antiqua" w:hAnsi="Book Antiqua"/>
          <w:highlight w:val="none"/>
        </w:rPr>
        <w:t> 2012; </w:t>
      </w:r>
      <w:r>
        <w:rPr>
          <w:rFonts w:ascii="Book Antiqua" w:hAnsi="Book Antiqua"/>
          <w:b/>
          <w:bCs/>
          <w:highlight w:val="none"/>
        </w:rPr>
        <w:t>153</w:t>
      </w:r>
      <w:r>
        <w:rPr>
          <w:rFonts w:ascii="Book Antiqua" w:hAnsi="Book Antiqua"/>
          <w:highlight w:val="none"/>
        </w:rPr>
        <w:t>: 655-657 [PMID: 23113249 DOI: 10.1007/s10517-012-1790-9]</w:t>
      </w:r>
    </w:p>
    <w:p>
      <w:pPr>
        <w:pStyle w:val="5"/>
        <w:shd w:val="clear" w:color="auto" w:fill="FFFFFF"/>
        <w:adjustRightInd w:val="0"/>
        <w:snapToGrid w:val="0"/>
        <w:spacing w:before="0" w:beforeAutospacing="0" w:after="0" w:afterAutospacing="0" w:line="360" w:lineRule="auto"/>
        <w:jc w:val="both"/>
        <w:rPr>
          <w:rFonts w:ascii="Book Antiqua" w:hAnsi="Book Antiqua"/>
          <w:highlight w:val="none"/>
        </w:rPr>
      </w:pPr>
      <w:r>
        <w:rPr>
          <w:rFonts w:ascii="Book Antiqua" w:hAnsi="Book Antiqua"/>
          <w:highlight w:val="none"/>
        </w:rPr>
        <w:t>70 </w:t>
      </w:r>
      <w:r>
        <w:rPr>
          <w:rFonts w:ascii="Book Antiqua" w:hAnsi="Book Antiqua"/>
          <w:b/>
          <w:bCs/>
          <w:highlight w:val="none"/>
        </w:rPr>
        <w:t>Alam M</w:t>
      </w:r>
      <w:r>
        <w:rPr>
          <w:rFonts w:ascii="Book Antiqua" w:hAnsi="Book Antiqua"/>
          <w:highlight w:val="none"/>
        </w:rPr>
        <w:t>, Danysz W, Schmidt WJ, Dekundy A. Effects of glutamate and alpha2-noradrenergic receptor antagonists on the development of neurotoxicity produced by chronic rotenone in rats. </w:t>
      </w:r>
      <w:r>
        <w:rPr>
          <w:rFonts w:ascii="Book Antiqua" w:hAnsi="Book Antiqua"/>
          <w:i/>
          <w:iCs/>
          <w:highlight w:val="none"/>
        </w:rPr>
        <w:t>Toxicol Appl Pharmacol</w:t>
      </w:r>
      <w:r>
        <w:rPr>
          <w:rFonts w:ascii="Book Antiqua" w:hAnsi="Book Antiqua"/>
          <w:highlight w:val="none"/>
        </w:rPr>
        <w:t> 2009; </w:t>
      </w:r>
      <w:r>
        <w:rPr>
          <w:rFonts w:ascii="Book Antiqua" w:hAnsi="Book Antiqua"/>
          <w:b/>
          <w:bCs/>
          <w:highlight w:val="none"/>
        </w:rPr>
        <w:t>240</w:t>
      </w:r>
      <w:r>
        <w:rPr>
          <w:rFonts w:ascii="Book Antiqua" w:hAnsi="Book Antiqua"/>
          <w:highlight w:val="none"/>
        </w:rPr>
        <w:t>: 198-207 [PMID: 19616571 DOI: 10.1016/j.taap.2009.07.010]</w:t>
      </w:r>
    </w:p>
    <w:p>
      <w:pPr>
        <w:pStyle w:val="5"/>
        <w:shd w:val="clear" w:color="auto" w:fill="FFFFFF"/>
        <w:adjustRightInd w:val="0"/>
        <w:snapToGrid w:val="0"/>
        <w:spacing w:before="0" w:beforeAutospacing="0" w:after="0" w:afterAutospacing="0" w:line="360" w:lineRule="auto"/>
        <w:jc w:val="both"/>
        <w:rPr>
          <w:rFonts w:ascii="Book Antiqua" w:hAnsi="Book Antiqua"/>
          <w:highlight w:val="none"/>
        </w:rPr>
      </w:pPr>
      <w:r>
        <w:rPr>
          <w:rFonts w:ascii="Book Antiqua" w:hAnsi="Book Antiqua"/>
          <w:highlight w:val="none"/>
        </w:rPr>
        <w:t>71 </w:t>
      </w:r>
      <w:r>
        <w:rPr>
          <w:rFonts w:ascii="Book Antiqua" w:hAnsi="Book Antiqua"/>
          <w:b/>
          <w:bCs/>
          <w:highlight w:val="none"/>
        </w:rPr>
        <w:t>Manucha W</w:t>
      </w:r>
      <w:r>
        <w:rPr>
          <w:rFonts w:ascii="Book Antiqua" w:hAnsi="Book Antiqua"/>
          <w:highlight w:val="none"/>
        </w:rPr>
        <w:t>. Mitochondrial dysfunction associated with nitric oxide pathways in glutamate neurotoxicity. </w:t>
      </w:r>
      <w:r>
        <w:rPr>
          <w:rFonts w:ascii="Book Antiqua" w:hAnsi="Book Antiqua"/>
          <w:i/>
          <w:iCs/>
          <w:highlight w:val="none"/>
        </w:rPr>
        <w:t>Clin Investig Arterioscler</w:t>
      </w:r>
      <w:r>
        <w:rPr>
          <w:rFonts w:ascii="Book Antiqua" w:hAnsi="Book Antiqua"/>
          <w:highlight w:val="none"/>
        </w:rPr>
        <w:t> 2017; </w:t>
      </w:r>
      <w:r>
        <w:rPr>
          <w:rFonts w:ascii="Book Antiqua" w:hAnsi="Book Antiqua"/>
          <w:b/>
          <w:bCs/>
          <w:highlight w:val="none"/>
        </w:rPr>
        <w:t>29</w:t>
      </w:r>
      <w:r>
        <w:rPr>
          <w:rFonts w:ascii="Book Antiqua" w:hAnsi="Book Antiqua"/>
          <w:highlight w:val="none"/>
        </w:rPr>
        <w:t>: 92-97 [PMID: 27240721 DOI: 10.1016/j.arteri.2016.04.002]</w:t>
      </w:r>
    </w:p>
    <w:p>
      <w:pPr>
        <w:pStyle w:val="5"/>
        <w:shd w:val="clear" w:color="auto" w:fill="FFFFFF"/>
        <w:adjustRightInd w:val="0"/>
        <w:snapToGrid w:val="0"/>
        <w:spacing w:before="0" w:beforeAutospacing="0" w:after="0" w:afterAutospacing="0" w:line="360" w:lineRule="auto"/>
        <w:jc w:val="both"/>
        <w:rPr>
          <w:rFonts w:ascii="Book Antiqua" w:hAnsi="Book Antiqua"/>
          <w:highlight w:val="none"/>
        </w:rPr>
      </w:pPr>
      <w:r>
        <w:rPr>
          <w:rFonts w:ascii="Book Antiqua" w:hAnsi="Book Antiqua"/>
          <w:highlight w:val="none"/>
        </w:rPr>
        <w:t>72 </w:t>
      </w:r>
      <w:r>
        <w:rPr>
          <w:rFonts w:ascii="Book Antiqua" w:hAnsi="Book Antiqua"/>
          <w:b/>
          <w:bCs/>
          <w:highlight w:val="none"/>
        </w:rPr>
        <w:t>Moncada S</w:t>
      </w:r>
      <w:r>
        <w:rPr>
          <w:rFonts w:ascii="Book Antiqua" w:hAnsi="Book Antiqua"/>
          <w:bCs/>
          <w:highlight w:val="none"/>
        </w:rPr>
        <w:t xml:space="preserve">, Bolaños JP. Nitric oxide, cell bioenergetics and neurodegeneration. </w:t>
      </w:r>
      <w:r>
        <w:rPr>
          <w:rFonts w:ascii="Book Antiqua" w:hAnsi="Book Antiqua"/>
          <w:bCs/>
          <w:i/>
          <w:highlight w:val="none"/>
        </w:rPr>
        <w:t>J Neurochem</w:t>
      </w:r>
      <w:r>
        <w:rPr>
          <w:rFonts w:ascii="Book Antiqua" w:hAnsi="Book Antiqua"/>
          <w:bCs/>
          <w:highlight w:val="none"/>
        </w:rPr>
        <w:t xml:space="preserve"> 2006;</w:t>
      </w:r>
      <w:r>
        <w:rPr>
          <w:rFonts w:hint="eastAsia" w:ascii="Book Antiqua" w:hAnsi="Book Antiqua"/>
          <w:bCs/>
          <w:highlight w:val="none"/>
        </w:rPr>
        <w:t xml:space="preserve"> </w:t>
      </w:r>
      <w:r>
        <w:rPr>
          <w:rFonts w:ascii="Book Antiqua" w:hAnsi="Book Antiqua"/>
          <w:b/>
          <w:bCs/>
          <w:highlight w:val="none"/>
        </w:rPr>
        <w:t>97</w:t>
      </w:r>
      <w:r>
        <w:rPr>
          <w:rFonts w:ascii="Book Antiqua" w:hAnsi="Book Antiqua"/>
          <w:bCs/>
          <w:highlight w:val="none"/>
        </w:rPr>
        <w:t>:</w:t>
      </w:r>
      <w:r>
        <w:rPr>
          <w:rFonts w:hint="eastAsia" w:ascii="Book Antiqua" w:hAnsi="Book Antiqua"/>
          <w:bCs/>
          <w:highlight w:val="none"/>
        </w:rPr>
        <w:t xml:space="preserve"> </w:t>
      </w:r>
      <w:r>
        <w:rPr>
          <w:rFonts w:ascii="Book Antiqua" w:hAnsi="Book Antiqua"/>
          <w:bCs/>
          <w:highlight w:val="none"/>
        </w:rPr>
        <w:t>1676-</w:t>
      </w:r>
      <w:r>
        <w:rPr>
          <w:rFonts w:hint="eastAsia" w:ascii="Book Antiqua" w:hAnsi="Book Antiqua"/>
          <w:bCs/>
          <w:highlight w:val="none"/>
        </w:rPr>
        <w:t>16</w:t>
      </w:r>
      <w:r>
        <w:rPr>
          <w:rFonts w:ascii="Book Antiqua" w:hAnsi="Book Antiqua"/>
          <w:bCs/>
          <w:highlight w:val="none"/>
        </w:rPr>
        <w:t xml:space="preserve">89 </w:t>
      </w:r>
      <w:r>
        <w:rPr>
          <w:rFonts w:hint="eastAsia" w:ascii="Book Antiqua" w:hAnsi="Book Antiqua"/>
          <w:bCs/>
          <w:highlight w:val="none"/>
        </w:rPr>
        <w:t>[</w:t>
      </w:r>
      <w:r>
        <w:rPr>
          <w:rFonts w:ascii="Book Antiqua" w:hAnsi="Book Antiqua"/>
          <w:bCs/>
          <w:highlight w:val="none"/>
        </w:rPr>
        <w:t>PMID: 16805776</w:t>
      </w:r>
      <w:r>
        <w:rPr>
          <w:rFonts w:hint="eastAsia" w:ascii="Book Antiqua" w:hAnsi="Book Antiqua"/>
          <w:bCs/>
          <w:highlight w:val="none"/>
        </w:rPr>
        <w:t xml:space="preserve"> DOI</w:t>
      </w:r>
      <w:r>
        <w:rPr>
          <w:rFonts w:ascii="Book Antiqua" w:hAnsi="Book Antiqua"/>
          <w:bCs/>
          <w:highlight w:val="none"/>
        </w:rPr>
        <w:t>: 10.1111/j.1471-4159.2006.03988.x</w:t>
      </w:r>
      <w:r>
        <w:rPr>
          <w:rFonts w:hint="eastAsia" w:ascii="Book Antiqua" w:hAnsi="Book Antiqua"/>
          <w:bCs/>
          <w:highlight w:val="none"/>
        </w:rPr>
        <w:t>]</w:t>
      </w:r>
    </w:p>
    <w:p>
      <w:pPr>
        <w:pStyle w:val="5"/>
        <w:shd w:val="clear" w:color="auto" w:fill="FFFFFF"/>
        <w:adjustRightInd w:val="0"/>
        <w:snapToGrid w:val="0"/>
        <w:spacing w:before="0" w:beforeAutospacing="0" w:after="0" w:afterAutospacing="0" w:line="360" w:lineRule="auto"/>
        <w:jc w:val="both"/>
        <w:rPr>
          <w:rFonts w:ascii="Book Antiqua" w:hAnsi="Book Antiqua"/>
          <w:highlight w:val="none"/>
        </w:rPr>
      </w:pPr>
      <w:r>
        <w:rPr>
          <w:rFonts w:ascii="Book Antiqua" w:hAnsi="Book Antiqua"/>
          <w:highlight w:val="none"/>
        </w:rPr>
        <w:t>73 </w:t>
      </w:r>
      <w:r>
        <w:rPr>
          <w:rFonts w:ascii="Book Antiqua" w:hAnsi="Book Antiqua"/>
          <w:b/>
          <w:bCs/>
          <w:highlight w:val="none"/>
        </w:rPr>
        <w:t>Dawson VL</w:t>
      </w:r>
      <w:r>
        <w:rPr>
          <w:rFonts w:ascii="Book Antiqua" w:hAnsi="Book Antiqua"/>
          <w:highlight w:val="none"/>
        </w:rPr>
        <w:t>. Nitric oxide: role in neurotoxicity. </w:t>
      </w:r>
      <w:r>
        <w:rPr>
          <w:rFonts w:ascii="Book Antiqua" w:hAnsi="Book Antiqua"/>
          <w:i/>
          <w:iCs/>
          <w:highlight w:val="none"/>
        </w:rPr>
        <w:t>Clin Exp Pharmacol Physiol</w:t>
      </w:r>
      <w:r>
        <w:rPr>
          <w:rFonts w:ascii="Book Antiqua" w:hAnsi="Book Antiqua"/>
          <w:highlight w:val="none"/>
        </w:rPr>
        <w:t> 1995; </w:t>
      </w:r>
      <w:r>
        <w:rPr>
          <w:rFonts w:ascii="Book Antiqua" w:hAnsi="Book Antiqua"/>
          <w:b/>
          <w:bCs/>
          <w:highlight w:val="none"/>
        </w:rPr>
        <w:t>22</w:t>
      </w:r>
      <w:r>
        <w:rPr>
          <w:rFonts w:ascii="Book Antiqua" w:hAnsi="Book Antiqua"/>
          <w:highlight w:val="none"/>
        </w:rPr>
        <w:t>: 305-308 [PMID: 7545561 DOI: 10.1111/j.1440-1681.1995.tb02005.x]</w:t>
      </w:r>
    </w:p>
    <w:p>
      <w:pPr>
        <w:pStyle w:val="5"/>
        <w:shd w:val="clear" w:color="auto" w:fill="FFFFFF"/>
        <w:adjustRightInd w:val="0"/>
        <w:snapToGrid w:val="0"/>
        <w:spacing w:before="0" w:beforeAutospacing="0" w:after="0" w:afterAutospacing="0" w:line="360" w:lineRule="auto"/>
        <w:jc w:val="both"/>
        <w:rPr>
          <w:rFonts w:ascii="Book Antiqua" w:hAnsi="Book Antiqua"/>
          <w:highlight w:val="none"/>
        </w:rPr>
      </w:pPr>
      <w:r>
        <w:rPr>
          <w:rFonts w:ascii="Book Antiqua" w:hAnsi="Book Antiqua"/>
          <w:highlight w:val="none"/>
        </w:rPr>
        <w:t>74 </w:t>
      </w:r>
      <w:r>
        <w:rPr>
          <w:rFonts w:ascii="Book Antiqua" w:hAnsi="Book Antiqua"/>
          <w:b/>
          <w:bCs/>
          <w:highlight w:val="none"/>
        </w:rPr>
        <w:t>Imam SZ</w:t>
      </w:r>
      <w:r>
        <w:rPr>
          <w:rFonts w:ascii="Book Antiqua" w:hAnsi="Book Antiqua"/>
          <w:highlight w:val="none"/>
        </w:rPr>
        <w:t>, Newport GD, Itzhak Y, Cadet JL, Islam F, Slikker W Jr, Ali SF. Peroxynitrite plays a role in methamphetamine-induced dopaminergic neurotoxicity: evidence from mice lacking neuronal nitric oxide synthase gene or overexpressing copper-zinc superoxide dismutase. </w:t>
      </w:r>
      <w:r>
        <w:rPr>
          <w:rFonts w:ascii="Book Antiqua" w:hAnsi="Book Antiqua"/>
          <w:i/>
          <w:iCs/>
          <w:highlight w:val="none"/>
        </w:rPr>
        <w:t>J Neurochem</w:t>
      </w:r>
      <w:r>
        <w:rPr>
          <w:rFonts w:ascii="Book Antiqua" w:hAnsi="Book Antiqua"/>
          <w:highlight w:val="none"/>
        </w:rPr>
        <w:t> 2001; </w:t>
      </w:r>
      <w:r>
        <w:rPr>
          <w:rFonts w:ascii="Book Antiqua" w:hAnsi="Book Antiqua"/>
          <w:b/>
          <w:bCs/>
          <w:highlight w:val="none"/>
        </w:rPr>
        <w:t>76</w:t>
      </w:r>
      <w:r>
        <w:rPr>
          <w:rFonts w:ascii="Book Antiqua" w:hAnsi="Book Antiqua"/>
          <w:highlight w:val="none"/>
        </w:rPr>
        <w:t>: 745-749 [PMID: 11158245 DOI: 10.1046/j.1471-4159.2001.00029.x]</w:t>
      </w:r>
    </w:p>
    <w:p>
      <w:pPr>
        <w:pStyle w:val="5"/>
        <w:shd w:val="clear" w:color="auto" w:fill="FFFFFF"/>
        <w:adjustRightInd w:val="0"/>
        <w:snapToGrid w:val="0"/>
        <w:spacing w:before="0" w:beforeAutospacing="0" w:after="0" w:afterAutospacing="0" w:line="360" w:lineRule="auto"/>
        <w:jc w:val="both"/>
        <w:rPr>
          <w:rFonts w:ascii="Book Antiqua" w:hAnsi="Book Antiqua"/>
          <w:highlight w:val="none"/>
        </w:rPr>
      </w:pPr>
      <w:r>
        <w:rPr>
          <w:rFonts w:ascii="Book Antiqua" w:hAnsi="Book Antiqua"/>
          <w:highlight w:val="none"/>
        </w:rPr>
        <w:t>75 </w:t>
      </w:r>
      <w:r>
        <w:rPr>
          <w:rFonts w:ascii="Book Antiqua" w:hAnsi="Book Antiqua"/>
          <w:b/>
          <w:bCs/>
          <w:highlight w:val="none"/>
        </w:rPr>
        <w:t>Ramdial K</w:t>
      </w:r>
      <w:r>
        <w:rPr>
          <w:rFonts w:ascii="Book Antiqua" w:hAnsi="Book Antiqua"/>
          <w:highlight w:val="none"/>
        </w:rPr>
        <w:t>, Franco MC, Estevez AG. Cellular mechanisms of peroxynitrite-induced neuronal death. </w:t>
      </w:r>
      <w:r>
        <w:rPr>
          <w:rFonts w:ascii="Book Antiqua" w:hAnsi="Book Antiqua"/>
          <w:i/>
          <w:iCs/>
          <w:highlight w:val="none"/>
        </w:rPr>
        <w:t>Brain Res Bull</w:t>
      </w:r>
      <w:r>
        <w:rPr>
          <w:rFonts w:ascii="Book Antiqua" w:hAnsi="Book Antiqua"/>
          <w:highlight w:val="none"/>
        </w:rPr>
        <w:t> 2017; </w:t>
      </w:r>
      <w:r>
        <w:rPr>
          <w:rFonts w:ascii="Book Antiqua" w:hAnsi="Book Antiqua"/>
          <w:b/>
          <w:bCs/>
          <w:highlight w:val="none"/>
        </w:rPr>
        <w:t>133</w:t>
      </w:r>
      <w:r>
        <w:rPr>
          <w:rFonts w:ascii="Book Antiqua" w:hAnsi="Book Antiqua"/>
          <w:highlight w:val="none"/>
        </w:rPr>
        <w:t>: 4-11 [PMID: 28655600 DOI: 10.1016/j.brainresbull.2017.05.008]</w:t>
      </w:r>
    </w:p>
    <w:p>
      <w:pPr>
        <w:pStyle w:val="5"/>
        <w:shd w:val="clear" w:color="auto" w:fill="FFFFFF"/>
        <w:adjustRightInd w:val="0"/>
        <w:snapToGrid w:val="0"/>
        <w:spacing w:before="0" w:beforeAutospacing="0" w:after="0" w:afterAutospacing="0" w:line="360" w:lineRule="auto"/>
        <w:jc w:val="both"/>
        <w:rPr>
          <w:rFonts w:ascii="Book Antiqua" w:hAnsi="Book Antiqua"/>
          <w:highlight w:val="none"/>
        </w:rPr>
      </w:pPr>
      <w:r>
        <w:rPr>
          <w:rFonts w:ascii="Book Antiqua" w:hAnsi="Book Antiqua"/>
          <w:highlight w:val="none"/>
        </w:rPr>
        <w:t>76 </w:t>
      </w:r>
      <w:r>
        <w:rPr>
          <w:rFonts w:ascii="Book Antiqua" w:hAnsi="Book Antiqua"/>
          <w:b/>
          <w:bCs/>
          <w:highlight w:val="none"/>
        </w:rPr>
        <w:t>He Y</w:t>
      </w:r>
      <w:r>
        <w:rPr>
          <w:rFonts w:ascii="Book Antiqua" w:hAnsi="Book Antiqua"/>
          <w:highlight w:val="none"/>
        </w:rPr>
        <w:t>, Imam SZ, Dong Z, Jankovic J, Ali SF, Appel SH, Le W. Role of nitric oxide in rotenone-induced nigro-striatal injury. </w:t>
      </w:r>
      <w:r>
        <w:rPr>
          <w:rFonts w:ascii="Book Antiqua" w:hAnsi="Book Antiqua"/>
          <w:i/>
          <w:iCs/>
          <w:highlight w:val="none"/>
        </w:rPr>
        <w:t>J Neurochem</w:t>
      </w:r>
      <w:r>
        <w:rPr>
          <w:rFonts w:ascii="Book Antiqua" w:hAnsi="Book Antiqua"/>
          <w:highlight w:val="none"/>
        </w:rPr>
        <w:t> 2003; </w:t>
      </w:r>
      <w:r>
        <w:rPr>
          <w:rFonts w:ascii="Book Antiqua" w:hAnsi="Book Antiqua"/>
          <w:b/>
          <w:bCs/>
          <w:highlight w:val="none"/>
        </w:rPr>
        <w:t>86</w:t>
      </w:r>
      <w:r>
        <w:rPr>
          <w:rFonts w:ascii="Book Antiqua" w:hAnsi="Book Antiqua"/>
          <w:highlight w:val="none"/>
        </w:rPr>
        <w:t>: 1338-1345 [PMID: 12950443 DOI: 10.1046/j.1471-4159.2003.01938.x]</w:t>
      </w:r>
    </w:p>
    <w:p>
      <w:pPr>
        <w:pStyle w:val="5"/>
        <w:shd w:val="clear" w:color="auto" w:fill="FFFFFF"/>
        <w:adjustRightInd w:val="0"/>
        <w:snapToGrid w:val="0"/>
        <w:spacing w:before="0" w:beforeAutospacing="0" w:after="0" w:afterAutospacing="0" w:line="360" w:lineRule="auto"/>
        <w:jc w:val="both"/>
        <w:rPr>
          <w:rFonts w:ascii="Book Antiqua" w:hAnsi="Book Antiqua"/>
          <w:highlight w:val="none"/>
        </w:rPr>
      </w:pPr>
      <w:r>
        <w:rPr>
          <w:rFonts w:ascii="Book Antiqua" w:hAnsi="Book Antiqua"/>
          <w:highlight w:val="none"/>
        </w:rPr>
        <w:t>77 </w:t>
      </w:r>
      <w:r>
        <w:rPr>
          <w:rFonts w:ascii="Book Antiqua" w:hAnsi="Book Antiqua"/>
          <w:b/>
          <w:bCs/>
          <w:highlight w:val="none"/>
        </w:rPr>
        <w:t>Tsikas D</w:t>
      </w:r>
      <w:r>
        <w:rPr>
          <w:rFonts w:ascii="Book Antiqua" w:hAnsi="Book Antiqua"/>
          <w:highlight w:val="none"/>
        </w:rPr>
        <w:t>. Analysis of nitrite and nitrate in biological fluids by assays based on the Griess reaction: appraisal of the Griess reaction in the L-arginine/nitric oxide area of research. </w:t>
      </w:r>
      <w:r>
        <w:rPr>
          <w:rFonts w:ascii="Book Antiqua" w:hAnsi="Book Antiqua"/>
          <w:i/>
          <w:iCs/>
          <w:highlight w:val="none"/>
        </w:rPr>
        <w:t>J Chromatogr B Analyt Technol Biomed Life Sci</w:t>
      </w:r>
      <w:r>
        <w:rPr>
          <w:rFonts w:ascii="Book Antiqua" w:hAnsi="Book Antiqua"/>
          <w:highlight w:val="none"/>
        </w:rPr>
        <w:t> 2007; </w:t>
      </w:r>
      <w:r>
        <w:rPr>
          <w:rFonts w:ascii="Book Antiqua" w:hAnsi="Book Antiqua"/>
          <w:b/>
          <w:bCs/>
          <w:highlight w:val="none"/>
        </w:rPr>
        <w:t>851</w:t>
      </w:r>
      <w:r>
        <w:rPr>
          <w:rFonts w:ascii="Book Antiqua" w:hAnsi="Book Antiqua"/>
          <w:highlight w:val="none"/>
        </w:rPr>
        <w:t>: 51-70 [PMID: 16950667 DOI: 10.1016/j.jchromb.2006.07.054]</w:t>
      </w:r>
    </w:p>
    <w:p>
      <w:pPr>
        <w:pStyle w:val="5"/>
        <w:shd w:val="clear" w:color="auto" w:fill="FFFFFF"/>
        <w:adjustRightInd w:val="0"/>
        <w:snapToGrid w:val="0"/>
        <w:spacing w:before="0" w:beforeAutospacing="0" w:after="0" w:afterAutospacing="0" w:line="360" w:lineRule="auto"/>
        <w:jc w:val="both"/>
        <w:rPr>
          <w:rFonts w:ascii="Book Antiqua" w:hAnsi="Book Antiqua"/>
          <w:highlight w:val="none"/>
        </w:rPr>
      </w:pPr>
      <w:r>
        <w:rPr>
          <w:rFonts w:ascii="Book Antiqua" w:hAnsi="Book Antiqua"/>
          <w:highlight w:val="none"/>
        </w:rPr>
        <w:t>78 </w:t>
      </w:r>
      <w:r>
        <w:rPr>
          <w:rFonts w:ascii="Book Antiqua" w:hAnsi="Book Antiqua"/>
          <w:b/>
          <w:bCs/>
          <w:highlight w:val="none"/>
        </w:rPr>
        <w:t>Bashkatova V</w:t>
      </w:r>
      <w:r>
        <w:rPr>
          <w:rFonts w:ascii="Book Antiqua" w:hAnsi="Book Antiqua"/>
          <w:highlight w:val="none"/>
        </w:rPr>
        <w:t>, Alam M, Vanin A, Schmidt WJ. Chronic administration of rotenone increases levels of nitric oxide and lipid peroxidation products in rat brain. </w:t>
      </w:r>
      <w:r>
        <w:rPr>
          <w:rFonts w:ascii="Book Antiqua" w:hAnsi="Book Antiqua"/>
          <w:i/>
          <w:iCs/>
          <w:highlight w:val="none"/>
        </w:rPr>
        <w:t>Exp Neurol</w:t>
      </w:r>
      <w:r>
        <w:rPr>
          <w:rFonts w:ascii="Book Antiqua" w:hAnsi="Book Antiqua"/>
          <w:highlight w:val="none"/>
        </w:rPr>
        <w:t> 2004; </w:t>
      </w:r>
      <w:r>
        <w:rPr>
          <w:rFonts w:ascii="Book Antiqua" w:hAnsi="Book Antiqua"/>
          <w:b/>
          <w:bCs/>
          <w:highlight w:val="none"/>
        </w:rPr>
        <w:t>186</w:t>
      </w:r>
      <w:r>
        <w:rPr>
          <w:rFonts w:ascii="Book Antiqua" w:hAnsi="Book Antiqua"/>
          <w:highlight w:val="none"/>
        </w:rPr>
        <w:t>: 235-241 [PMID: 15026259 DOI: 10.1016/j.expneurol.2003.12.005]</w:t>
      </w:r>
    </w:p>
    <w:p>
      <w:pPr>
        <w:pStyle w:val="5"/>
        <w:shd w:val="clear" w:color="auto" w:fill="FFFFFF"/>
        <w:adjustRightInd w:val="0"/>
        <w:snapToGrid w:val="0"/>
        <w:spacing w:before="0" w:beforeAutospacing="0" w:after="0" w:afterAutospacing="0" w:line="360" w:lineRule="auto"/>
        <w:jc w:val="both"/>
        <w:rPr>
          <w:rFonts w:ascii="Book Antiqua" w:hAnsi="Book Antiqua"/>
          <w:highlight w:val="none"/>
        </w:rPr>
      </w:pPr>
      <w:r>
        <w:rPr>
          <w:rFonts w:ascii="Book Antiqua" w:hAnsi="Book Antiqua"/>
          <w:highlight w:val="none"/>
        </w:rPr>
        <w:t>79 </w:t>
      </w:r>
      <w:r>
        <w:rPr>
          <w:rFonts w:ascii="Book Antiqua" w:hAnsi="Book Antiqua"/>
          <w:b/>
          <w:bCs/>
          <w:highlight w:val="none"/>
        </w:rPr>
        <w:t>Bashkatova V</w:t>
      </w:r>
      <w:r>
        <w:rPr>
          <w:rFonts w:ascii="Book Antiqua" w:hAnsi="Book Antiqua"/>
          <w:highlight w:val="none"/>
        </w:rPr>
        <w:t>, Philippu A. Role of nitric oxide in psychostimulant-induced neurotoxicity. </w:t>
      </w:r>
      <w:r>
        <w:rPr>
          <w:rFonts w:ascii="Book Antiqua" w:hAnsi="Book Antiqua"/>
          <w:i/>
          <w:iCs/>
          <w:highlight w:val="none"/>
        </w:rPr>
        <w:t>AIMS Neurosci</w:t>
      </w:r>
      <w:r>
        <w:rPr>
          <w:rFonts w:ascii="Book Antiqua" w:hAnsi="Book Antiqua"/>
          <w:highlight w:val="none"/>
        </w:rPr>
        <w:t> 2019; </w:t>
      </w:r>
      <w:r>
        <w:rPr>
          <w:rFonts w:ascii="Book Antiqua" w:hAnsi="Book Antiqua"/>
          <w:b/>
          <w:bCs/>
          <w:highlight w:val="none"/>
        </w:rPr>
        <w:t>6</w:t>
      </w:r>
      <w:r>
        <w:rPr>
          <w:rFonts w:ascii="Book Antiqua" w:hAnsi="Book Antiqua"/>
          <w:highlight w:val="none"/>
        </w:rPr>
        <w:t>: 191-203 [PMID: 32341976 DOI: 10.3934/Neuroscience.2019.3.191]</w:t>
      </w:r>
    </w:p>
    <w:p>
      <w:pPr>
        <w:pStyle w:val="5"/>
        <w:shd w:val="clear" w:color="auto" w:fill="FFFFFF"/>
        <w:adjustRightInd w:val="0"/>
        <w:snapToGrid w:val="0"/>
        <w:spacing w:before="0" w:beforeAutospacing="0" w:after="0" w:afterAutospacing="0" w:line="360" w:lineRule="auto"/>
        <w:jc w:val="both"/>
        <w:rPr>
          <w:rFonts w:ascii="Book Antiqua" w:hAnsi="Book Antiqua"/>
          <w:highlight w:val="none"/>
        </w:rPr>
      </w:pPr>
      <w:r>
        <w:rPr>
          <w:rFonts w:ascii="Book Antiqua" w:hAnsi="Book Antiqua"/>
          <w:highlight w:val="none"/>
        </w:rPr>
        <w:t>80 </w:t>
      </w:r>
      <w:r>
        <w:rPr>
          <w:rFonts w:ascii="Book Antiqua" w:hAnsi="Book Antiqua"/>
          <w:b/>
          <w:bCs/>
          <w:highlight w:val="none"/>
        </w:rPr>
        <w:t>Sun C</w:t>
      </w:r>
      <w:r>
        <w:rPr>
          <w:rFonts w:ascii="Book Antiqua" w:hAnsi="Book Antiqua"/>
          <w:highlight w:val="none"/>
        </w:rPr>
        <w:t>, Wang Y, Mo M, Song C, Wang X, Chen S, Liu Y. Minocycline Protects against Rotenone-Induced Neurotoxicity Correlating with Upregulation of Nurr1 in a Parkinson's Disease Rat Model. </w:t>
      </w:r>
      <w:r>
        <w:rPr>
          <w:rFonts w:ascii="Book Antiqua" w:hAnsi="Book Antiqua"/>
          <w:i/>
          <w:iCs/>
          <w:highlight w:val="none"/>
        </w:rPr>
        <w:t>Biomed Res Int</w:t>
      </w:r>
      <w:r>
        <w:rPr>
          <w:rFonts w:ascii="Book Antiqua" w:hAnsi="Book Antiqua"/>
          <w:highlight w:val="none"/>
        </w:rPr>
        <w:t> 2019; </w:t>
      </w:r>
      <w:r>
        <w:rPr>
          <w:rFonts w:ascii="Book Antiqua" w:hAnsi="Book Antiqua"/>
          <w:b/>
          <w:bCs/>
          <w:highlight w:val="none"/>
        </w:rPr>
        <w:t>2019</w:t>
      </w:r>
      <w:r>
        <w:rPr>
          <w:rFonts w:ascii="Book Antiqua" w:hAnsi="Book Antiqua"/>
          <w:highlight w:val="none"/>
        </w:rPr>
        <w:t>: 6843265 [PMID: 30949504 DOI: 10.1155/2019/6843265]</w:t>
      </w:r>
    </w:p>
    <w:p>
      <w:pPr>
        <w:pStyle w:val="5"/>
        <w:shd w:val="clear" w:color="auto" w:fill="FFFFFF"/>
        <w:adjustRightInd w:val="0"/>
        <w:snapToGrid w:val="0"/>
        <w:spacing w:before="0" w:beforeAutospacing="0" w:after="0" w:afterAutospacing="0" w:line="360" w:lineRule="auto"/>
        <w:jc w:val="both"/>
        <w:rPr>
          <w:rFonts w:ascii="Book Antiqua" w:hAnsi="Book Antiqua"/>
          <w:highlight w:val="none"/>
        </w:rPr>
      </w:pPr>
      <w:r>
        <w:rPr>
          <w:rFonts w:ascii="Book Antiqua" w:hAnsi="Book Antiqua"/>
          <w:highlight w:val="none"/>
        </w:rPr>
        <w:t>81 </w:t>
      </w:r>
      <w:r>
        <w:rPr>
          <w:rFonts w:ascii="Book Antiqua" w:hAnsi="Book Antiqua"/>
          <w:b/>
          <w:bCs/>
          <w:highlight w:val="none"/>
        </w:rPr>
        <w:t>Ardah MT</w:t>
      </w:r>
      <w:r>
        <w:rPr>
          <w:rFonts w:ascii="Book Antiqua" w:hAnsi="Book Antiqua"/>
          <w:highlight w:val="none"/>
        </w:rPr>
        <w:t>, Bharathan G, Kitada T, Haque ME. Ellagic Acid Prevents Dopamine Neuron Degeneration from Oxidative Stress and Neuroinflammation in MPTP Model of Parkinson's Disease. </w:t>
      </w:r>
      <w:r>
        <w:rPr>
          <w:rFonts w:ascii="Book Antiqua" w:hAnsi="Book Antiqua"/>
          <w:i/>
          <w:iCs/>
          <w:highlight w:val="none"/>
        </w:rPr>
        <w:t>Biomolecules</w:t>
      </w:r>
      <w:r>
        <w:rPr>
          <w:rFonts w:ascii="Book Antiqua" w:hAnsi="Book Antiqua"/>
          <w:highlight w:val="none"/>
        </w:rPr>
        <w:t> 2020; </w:t>
      </w:r>
      <w:r>
        <w:rPr>
          <w:rFonts w:ascii="Book Antiqua" w:hAnsi="Book Antiqua"/>
          <w:b/>
          <w:bCs/>
          <w:highlight w:val="none"/>
        </w:rPr>
        <w:t>10</w:t>
      </w:r>
      <w:r>
        <w:rPr>
          <w:rFonts w:ascii="Book Antiqua" w:hAnsi="Book Antiqua"/>
          <w:highlight w:val="none"/>
        </w:rPr>
        <w:t> [PMID: 33172035 DOI: 10.3390/biom10111519]</w:t>
      </w:r>
    </w:p>
    <w:p>
      <w:pPr>
        <w:pStyle w:val="5"/>
        <w:shd w:val="clear" w:color="auto" w:fill="FFFFFF"/>
        <w:adjustRightInd w:val="0"/>
        <w:snapToGrid w:val="0"/>
        <w:spacing w:before="0" w:beforeAutospacing="0" w:after="0" w:afterAutospacing="0" w:line="360" w:lineRule="auto"/>
        <w:jc w:val="both"/>
        <w:rPr>
          <w:rFonts w:ascii="Book Antiqua" w:hAnsi="Book Antiqua"/>
          <w:highlight w:val="none"/>
        </w:rPr>
      </w:pPr>
      <w:r>
        <w:rPr>
          <w:rFonts w:ascii="Book Antiqua" w:hAnsi="Book Antiqua"/>
          <w:highlight w:val="none"/>
        </w:rPr>
        <w:t>82 </w:t>
      </w:r>
      <w:r>
        <w:rPr>
          <w:rFonts w:ascii="Book Antiqua" w:hAnsi="Book Antiqua"/>
          <w:b/>
          <w:bCs/>
          <w:highlight w:val="none"/>
        </w:rPr>
        <w:t>Cammack R</w:t>
      </w:r>
      <w:r>
        <w:rPr>
          <w:rFonts w:ascii="Book Antiqua" w:hAnsi="Book Antiqua"/>
          <w:highlight w:val="none"/>
        </w:rPr>
        <w:t>, Shergill JK, Ananda Inalsingh V, Hughes MN. Applications of electron paramagnetic resonance spectroscopy to study interactions of iron proteins in cells with nitric oxide. </w:t>
      </w:r>
      <w:r>
        <w:rPr>
          <w:rFonts w:ascii="Book Antiqua" w:hAnsi="Book Antiqua"/>
          <w:i/>
          <w:iCs/>
          <w:highlight w:val="none"/>
        </w:rPr>
        <w:t>Spectrochim Acta A Mol Biomol Spectrosc</w:t>
      </w:r>
      <w:r>
        <w:rPr>
          <w:rFonts w:ascii="Book Antiqua" w:hAnsi="Book Antiqua"/>
          <w:highlight w:val="none"/>
        </w:rPr>
        <w:t> 1998; </w:t>
      </w:r>
      <w:r>
        <w:rPr>
          <w:rFonts w:ascii="Book Antiqua" w:hAnsi="Book Antiqua"/>
          <w:b/>
          <w:bCs/>
          <w:highlight w:val="none"/>
        </w:rPr>
        <w:t>54A</w:t>
      </w:r>
      <w:r>
        <w:rPr>
          <w:rFonts w:ascii="Book Antiqua" w:hAnsi="Book Antiqua"/>
          <w:highlight w:val="none"/>
        </w:rPr>
        <w:t>: 2393-2402 [PMID: 9974226 DOI: 10.1016/s1386-1425(98)00219-4]</w:t>
      </w:r>
    </w:p>
    <w:p>
      <w:pPr>
        <w:pStyle w:val="5"/>
        <w:shd w:val="clear" w:color="auto" w:fill="FFFFFF"/>
        <w:adjustRightInd w:val="0"/>
        <w:snapToGrid w:val="0"/>
        <w:spacing w:before="0" w:beforeAutospacing="0" w:after="0" w:afterAutospacing="0" w:line="360" w:lineRule="auto"/>
        <w:jc w:val="both"/>
        <w:rPr>
          <w:rFonts w:ascii="Book Antiqua" w:hAnsi="Book Antiqua"/>
          <w:highlight w:val="none"/>
        </w:rPr>
      </w:pPr>
      <w:r>
        <w:rPr>
          <w:rFonts w:ascii="Book Antiqua" w:hAnsi="Book Antiqua"/>
          <w:highlight w:val="none"/>
        </w:rPr>
        <w:t>83 </w:t>
      </w:r>
      <w:r>
        <w:rPr>
          <w:rFonts w:ascii="Book Antiqua" w:hAnsi="Book Antiqua"/>
          <w:b/>
          <w:bCs/>
          <w:highlight w:val="none"/>
        </w:rPr>
        <w:t>Pennathur S</w:t>
      </w:r>
      <w:r>
        <w:rPr>
          <w:rFonts w:ascii="Book Antiqua" w:hAnsi="Book Antiqua"/>
          <w:highlight w:val="none"/>
        </w:rPr>
        <w:t>, Jackson-Lewis V, Przedborski S, Heinecke JW. Mass spectrometric quantification of 3-nitrotyrosine, ortho-tyrosine, and o,o'-dityrosine in brain tissue of 1-methyl-4-phenyl-1,2,3, 6-tetrahydropyridine-treated mice, a model of oxidative stress in Parkinson's disease. </w:t>
      </w:r>
      <w:r>
        <w:rPr>
          <w:rFonts w:ascii="Book Antiqua" w:hAnsi="Book Antiqua"/>
          <w:i/>
          <w:iCs/>
          <w:highlight w:val="none"/>
        </w:rPr>
        <w:t>J Biol Chem</w:t>
      </w:r>
      <w:r>
        <w:rPr>
          <w:rFonts w:ascii="Book Antiqua" w:hAnsi="Book Antiqua"/>
          <w:highlight w:val="none"/>
        </w:rPr>
        <w:t> 1999; </w:t>
      </w:r>
      <w:r>
        <w:rPr>
          <w:rFonts w:ascii="Book Antiqua" w:hAnsi="Book Antiqua"/>
          <w:b/>
          <w:bCs/>
          <w:highlight w:val="none"/>
        </w:rPr>
        <w:t>274</w:t>
      </w:r>
      <w:r>
        <w:rPr>
          <w:rFonts w:ascii="Book Antiqua" w:hAnsi="Book Antiqua"/>
          <w:highlight w:val="none"/>
        </w:rPr>
        <w:t>: 34621-34628 [PMID: 10574926 DOI: 10.1074/jbc.274.49.34621]</w:t>
      </w:r>
    </w:p>
    <w:p>
      <w:pPr>
        <w:pStyle w:val="5"/>
        <w:shd w:val="clear" w:color="auto" w:fill="FFFFFF"/>
        <w:adjustRightInd w:val="0"/>
        <w:snapToGrid w:val="0"/>
        <w:spacing w:before="0" w:beforeAutospacing="0" w:after="0" w:afterAutospacing="0" w:line="360" w:lineRule="auto"/>
        <w:jc w:val="both"/>
        <w:rPr>
          <w:rFonts w:ascii="Book Antiqua" w:hAnsi="Book Antiqua"/>
          <w:highlight w:val="none"/>
        </w:rPr>
      </w:pPr>
      <w:r>
        <w:rPr>
          <w:rFonts w:ascii="Book Antiqua" w:hAnsi="Book Antiqua"/>
          <w:highlight w:val="none"/>
        </w:rPr>
        <w:t>84 </w:t>
      </w:r>
      <w:r>
        <w:rPr>
          <w:rFonts w:ascii="Book Antiqua" w:hAnsi="Book Antiqua"/>
          <w:b/>
          <w:bCs/>
          <w:highlight w:val="none"/>
        </w:rPr>
        <w:t>Ferger B</w:t>
      </w:r>
      <w:r>
        <w:rPr>
          <w:rFonts w:ascii="Book Antiqua" w:hAnsi="Book Antiqua"/>
          <w:highlight w:val="none"/>
        </w:rPr>
        <w:t>, Themann C, Rose S, Halliwell B, Jenner P. 6-hydroxydopamine increases the hydroxylation and nitration of phenylalanine in vivo: implication of peroxynitrite formation. </w:t>
      </w:r>
      <w:r>
        <w:rPr>
          <w:rFonts w:ascii="Book Antiqua" w:hAnsi="Book Antiqua"/>
          <w:i/>
          <w:iCs/>
          <w:highlight w:val="none"/>
        </w:rPr>
        <w:t>J Neurochem</w:t>
      </w:r>
      <w:r>
        <w:rPr>
          <w:rFonts w:ascii="Book Antiqua" w:hAnsi="Book Antiqua"/>
          <w:highlight w:val="none"/>
        </w:rPr>
        <w:t> 2001; </w:t>
      </w:r>
      <w:r>
        <w:rPr>
          <w:rFonts w:ascii="Book Antiqua" w:hAnsi="Book Antiqua"/>
          <w:b/>
          <w:bCs/>
          <w:highlight w:val="none"/>
        </w:rPr>
        <w:t>78</w:t>
      </w:r>
      <w:r>
        <w:rPr>
          <w:rFonts w:ascii="Book Antiqua" w:hAnsi="Book Antiqua"/>
          <w:highlight w:val="none"/>
        </w:rPr>
        <w:t>: 509-514 [PMID: 11483653 DOI: 10.1046/j.1471-4159.2001.00429.x]</w:t>
      </w:r>
    </w:p>
    <w:p>
      <w:pPr>
        <w:pStyle w:val="5"/>
        <w:shd w:val="clear" w:color="auto" w:fill="FFFFFF"/>
        <w:adjustRightInd w:val="0"/>
        <w:snapToGrid w:val="0"/>
        <w:spacing w:before="0" w:beforeAutospacing="0" w:after="0" w:afterAutospacing="0" w:line="360" w:lineRule="auto"/>
        <w:jc w:val="both"/>
        <w:rPr>
          <w:rFonts w:ascii="Book Antiqua" w:hAnsi="Book Antiqua"/>
          <w:highlight w:val="none"/>
        </w:rPr>
      </w:pPr>
      <w:r>
        <w:rPr>
          <w:rFonts w:ascii="Book Antiqua" w:hAnsi="Book Antiqua"/>
          <w:highlight w:val="none"/>
        </w:rPr>
        <w:t>85 </w:t>
      </w:r>
      <w:r>
        <w:rPr>
          <w:rFonts w:ascii="Book Antiqua" w:hAnsi="Book Antiqua"/>
          <w:b/>
          <w:bCs/>
          <w:highlight w:val="none"/>
        </w:rPr>
        <w:t>Aras S</w:t>
      </w:r>
      <w:r>
        <w:rPr>
          <w:rFonts w:ascii="Book Antiqua" w:hAnsi="Book Antiqua"/>
          <w:highlight w:val="none"/>
        </w:rPr>
        <w:t>, Tanriover G, Aslan M, Yargicoglu P, Agar A. The role of nitric oxide on visual-evoked potentials in MPTP-induced Parkinsonism in mice. </w:t>
      </w:r>
      <w:r>
        <w:rPr>
          <w:rFonts w:ascii="Book Antiqua" w:hAnsi="Book Antiqua"/>
          <w:i/>
          <w:iCs/>
          <w:highlight w:val="none"/>
        </w:rPr>
        <w:t>Neurochem Int</w:t>
      </w:r>
      <w:r>
        <w:rPr>
          <w:rFonts w:ascii="Book Antiqua" w:hAnsi="Book Antiqua"/>
          <w:highlight w:val="none"/>
        </w:rPr>
        <w:t> 2014; </w:t>
      </w:r>
      <w:r>
        <w:rPr>
          <w:rFonts w:ascii="Book Antiqua" w:hAnsi="Book Antiqua"/>
          <w:b/>
          <w:bCs/>
          <w:highlight w:val="none"/>
        </w:rPr>
        <w:t>72</w:t>
      </w:r>
      <w:r>
        <w:rPr>
          <w:rFonts w:ascii="Book Antiqua" w:hAnsi="Book Antiqua"/>
          <w:highlight w:val="none"/>
        </w:rPr>
        <w:t>: 48-57 [PMID: 24795109 DOI: 10.1016/j.neuint.2014.04.014]</w:t>
      </w:r>
    </w:p>
    <w:p>
      <w:pPr>
        <w:pStyle w:val="5"/>
        <w:shd w:val="clear" w:color="auto" w:fill="FFFFFF"/>
        <w:adjustRightInd w:val="0"/>
        <w:snapToGrid w:val="0"/>
        <w:spacing w:before="0" w:beforeAutospacing="0" w:after="0" w:afterAutospacing="0" w:line="360" w:lineRule="auto"/>
        <w:jc w:val="both"/>
        <w:rPr>
          <w:rFonts w:ascii="Book Antiqua" w:hAnsi="Book Antiqua"/>
          <w:highlight w:val="none"/>
        </w:rPr>
      </w:pPr>
      <w:r>
        <w:rPr>
          <w:rFonts w:ascii="Book Antiqua" w:hAnsi="Book Antiqua"/>
          <w:highlight w:val="none"/>
        </w:rPr>
        <w:t>86 </w:t>
      </w:r>
      <w:r>
        <w:rPr>
          <w:rFonts w:ascii="Book Antiqua" w:hAnsi="Book Antiqua"/>
          <w:b/>
          <w:bCs/>
          <w:highlight w:val="none"/>
        </w:rPr>
        <w:t>Prentice H</w:t>
      </w:r>
      <w:r>
        <w:rPr>
          <w:rFonts w:ascii="Book Antiqua" w:hAnsi="Book Antiqua"/>
          <w:highlight w:val="none"/>
        </w:rPr>
        <w:t>, Modi JP, Wu JY. Mechanisms of Neuronal Protection against Excitotoxicity, Endoplasmic Reticulum Stress, and Mitochondrial Dysfunction in Stroke and Neurodegenerative Diseases. </w:t>
      </w:r>
      <w:r>
        <w:rPr>
          <w:rFonts w:ascii="Book Antiqua" w:hAnsi="Book Antiqua"/>
          <w:i/>
          <w:iCs/>
          <w:highlight w:val="none"/>
        </w:rPr>
        <w:t>Oxid Med Cell Longev</w:t>
      </w:r>
      <w:r>
        <w:rPr>
          <w:rFonts w:ascii="Book Antiqua" w:hAnsi="Book Antiqua"/>
          <w:highlight w:val="none"/>
        </w:rPr>
        <w:t> 2015; </w:t>
      </w:r>
      <w:r>
        <w:rPr>
          <w:rFonts w:ascii="Book Antiqua" w:hAnsi="Book Antiqua"/>
          <w:b/>
          <w:bCs/>
          <w:highlight w:val="none"/>
        </w:rPr>
        <w:t>2015</w:t>
      </w:r>
      <w:r>
        <w:rPr>
          <w:rFonts w:ascii="Book Antiqua" w:hAnsi="Book Antiqua"/>
          <w:highlight w:val="none"/>
        </w:rPr>
        <w:t>: 964518 [PMID: 26576229 DOI: 10.1155/2015/964518]</w:t>
      </w:r>
    </w:p>
    <w:p>
      <w:pPr>
        <w:pStyle w:val="5"/>
        <w:shd w:val="clear" w:color="auto" w:fill="FFFFFF"/>
        <w:adjustRightInd w:val="0"/>
        <w:snapToGrid w:val="0"/>
        <w:spacing w:before="0" w:beforeAutospacing="0" w:after="0" w:afterAutospacing="0" w:line="360" w:lineRule="auto"/>
        <w:jc w:val="both"/>
        <w:rPr>
          <w:rFonts w:ascii="Book Antiqua" w:hAnsi="Book Antiqua"/>
          <w:highlight w:val="none"/>
        </w:rPr>
      </w:pPr>
      <w:r>
        <w:rPr>
          <w:rFonts w:ascii="Book Antiqua" w:hAnsi="Book Antiqua"/>
          <w:highlight w:val="none"/>
        </w:rPr>
        <w:t>87 </w:t>
      </w:r>
      <w:r>
        <w:rPr>
          <w:rFonts w:ascii="Book Antiqua" w:hAnsi="Book Antiqua"/>
          <w:b/>
          <w:bCs/>
          <w:highlight w:val="none"/>
        </w:rPr>
        <w:t>Leng A</w:t>
      </w:r>
      <w:r>
        <w:rPr>
          <w:rFonts w:ascii="Book Antiqua" w:hAnsi="Book Antiqua"/>
          <w:highlight w:val="none"/>
        </w:rPr>
        <w:t>, Feldon J, Ferger B. Rotenone increases glutamate-induced dopamine release but does not affect hydroxyl-free radical formation in rat striatum. </w:t>
      </w:r>
      <w:r>
        <w:rPr>
          <w:rFonts w:ascii="Book Antiqua" w:hAnsi="Book Antiqua"/>
          <w:i/>
          <w:iCs/>
          <w:highlight w:val="none"/>
        </w:rPr>
        <w:t>Synapse</w:t>
      </w:r>
      <w:r>
        <w:rPr>
          <w:rFonts w:ascii="Book Antiqua" w:hAnsi="Book Antiqua"/>
          <w:highlight w:val="none"/>
        </w:rPr>
        <w:t> 2003; </w:t>
      </w:r>
      <w:r>
        <w:rPr>
          <w:rFonts w:ascii="Book Antiqua" w:hAnsi="Book Antiqua"/>
          <w:b/>
          <w:bCs/>
          <w:highlight w:val="none"/>
        </w:rPr>
        <w:t>50</w:t>
      </w:r>
      <w:r>
        <w:rPr>
          <w:rFonts w:ascii="Book Antiqua" w:hAnsi="Book Antiqua"/>
          <w:highlight w:val="none"/>
        </w:rPr>
        <w:t>: 240-250 [PMID: 14515342 DOI: 10.1002/syn.10260]</w:t>
      </w:r>
    </w:p>
    <w:p>
      <w:pPr>
        <w:pStyle w:val="5"/>
        <w:shd w:val="clear" w:color="auto" w:fill="FFFFFF"/>
        <w:adjustRightInd w:val="0"/>
        <w:snapToGrid w:val="0"/>
        <w:spacing w:before="0" w:beforeAutospacing="0" w:after="0" w:afterAutospacing="0" w:line="360" w:lineRule="auto"/>
        <w:jc w:val="both"/>
        <w:rPr>
          <w:rFonts w:ascii="Book Antiqua" w:hAnsi="Book Antiqua"/>
          <w:highlight w:val="none"/>
        </w:rPr>
      </w:pPr>
      <w:r>
        <w:rPr>
          <w:rFonts w:ascii="Book Antiqua" w:hAnsi="Book Antiqua"/>
          <w:highlight w:val="none"/>
        </w:rPr>
        <w:t>88 </w:t>
      </w:r>
      <w:r>
        <w:rPr>
          <w:rFonts w:ascii="Book Antiqua" w:hAnsi="Book Antiqua"/>
          <w:b/>
          <w:bCs/>
          <w:highlight w:val="none"/>
        </w:rPr>
        <w:t>Xiong ZK</w:t>
      </w:r>
      <w:r>
        <w:rPr>
          <w:rFonts w:ascii="Book Antiqua" w:hAnsi="Book Antiqua"/>
          <w:highlight w:val="none"/>
        </w:rPr>
        <w:t>, Lang J, Xu G, Li HY, Zhang Y, Wang L, Su Y, Sun AJ. Excessive levels of nitric oxide in rat model of Parkinson's disease induced by rotenone. </w:t>
      </w:r>
      <w:r>
        <w:rPr>
          <w:rFonts w:ascii="Book Antiqua" w:hAnsi="Book Antiqua"/>
          <w:i/>
          <w:iCs/>
          <w:highlight w:val="none"/>
        </w:rPr>
        <w:t>Exp Ther Med</w:t>
      </w:r>
      <w:r>
        <w:rPr>
          <w:rFonts w:ascii="Book Antiqua" w:hAnsi="Book Antiqua"/>
          <w:highlight w:val="none"/>
        </w:rPr>
        <w:t> 2015; </w:t>
      </w:r>
      <w:r>
        <w:rPr>
          <w:rFonts w:ascii="Book Antiqua" w:hAnsi="Book Antiqua"/>
          <w:b/>
          <w:bCs/>
          <w:highlight w:val="none"/>
        </w:rPr>
        <w:t>9</w:t>
      </w:r>
      <w:r>
        <w:rPr>
          <w:rFonts w:ascii="Book Antiqua" w:hAnsi="Book Antiqua"/>
          <w:highlight w:val="none"/>
        </w:rPr>
        <w:t>: 553-558 [PMID: 25574233 DOI: 10.3892/etm.2014.2099]</w:t>
      </w:r>
    </w:p>
    <w:p>
      <w:pPr>
        <w:pStyle w:val="5"/>
        <w:shd w:val="clear" w:color="auto" w:fill="FFFFFF"/>
        <w:adjustRightInd w:val="0"/>
        <w:snapToGrid w:val="0"/>
        <w:spacing w:before="0" w:beforeAutospacing="0" w:after="0" w:afterAutospacing="0" w:line="360" w:lineRule="auto"/>
        <w:jc w:val="both"/>
        <w:rPr>
          <w:rFonts w:ascii="Book Antiqua" w:hAnsi="Book Antiqua"/>
          <w:highlight w:val="none"/>
        </w:rPr>
      </w:pPr>
      <w:r>
        <w:rPr>
          <w:rFonts w:ascii="Book Antiqua" w:hAnsi="Book Antiqua"/>
          <w:highlight w:val="none"/>
        </w:rPr>
        <w:t>89 </w:t>
      </w:r>
      <w:r>
        <w:rPr>
          <w:rFonts w:ascii="Book Antiqua" w:hAnsi="Book Antiqua"/>
          <w:b/>
          <w:bCs/>
          <w:highlight w:val="none"/>
        </w:rPr>
        <w:t>Abdel-Salam OME</w:t>
      </w:r>
      <w:r>
        <w:rPr>
          <w:rFonts w:ascii="Book Antiqua" w:hAnsi="Book Antiqua"/>
          <w:highlight w:val="none"/>
        </w:rPr>
        <w:t>, Youness ER, Ahmed NA, El-Toumy SA, Souleman AMA, Shaffie N, Abouelfadl DM. Bougainvillea spectabilis flowers extract protects against the rotenone-induced toxicity. </w:t>
      </w:r>
      <w:r>
        <w:rPr>
          <w:rFonts w:ascii="Book Antiqua" w:hAnsi="Book Antiqua"/>
          <w:i/>
          <w:iCs/>
          <w:highlight w:val="none"/>
        </w:rPr>
        <w:t>Asian Pac J Trop Med</w:t>
      </w:r>
      <w:r>
        <w:rPr>
          <w:rFonts w:ascii="Book Antiqua" w:hAnsi="Book Antiqua"/>
          <w:highlight w:val="none"/>
        </w:rPr>
        <w:t> 2017; </w:t>
      </w:r>
      <w:r>
        <w:rPr>
          <w:rFonts w:ascii="Book Antiqua" w:hAnsi="Book Antiqua"/>
          <w:b/>
          <w:bCs/>
          <w:highlight w:val="none"/>
        </w:rPr>
        <w:t>10</w:t>
      </w:r>
      <w:r>
        <w:rPr>
          <w:rFonts w:ascii="Book Antiqua" w:hAnsi="Book Antiqua"/>
          <w:highlight w:val="none"/>
        </w:rPr>
        <w:t>: 478-490 [PMID: 28647186 DOI: 10.1016/j.apjtm.2017.05.013]</w:t>
      </w:r>
    </w:p>
    <w:p>
      <w:pPr>
        <w:pStyle w:val="5"/>
        <w:shd w:val="clear" w:color="auto" w:fill="FFFFFF"/>
        <w:adjustRightInd w:val="0"/>
        <w:snapToGrid w:val="0"/>
        <w:spacing w:before="0" w:beforeAutospacing="0" w:after="0" w:afterAutospacing="0" w:line="360" w:lineRule="auto"/>
        <w:jc w:val="both"/>
        <w:rPr>
          <w:rFonts w:ascii="Book Antiqua" w:hAnsi="Book Antiqua"/>
          <w:highlight w:val="none"/>
        </w:rPr>
      </w:pPr>
      <w:r>
        <w:rPr>
          <w:rFonts w:ascii="Book Antiqua" w:hAnsi="Book Antiqua"/>
          <w:highlight w:val="none"/>
        </w:rPr>
        <w:t>90 </w:t>
      </w:r>
      <w:r>
        <w:rPr>
          <w:rFonts w:ascii="Book Antiqua" w:hAnsi="Book Antiqua"/>
          <w:b/>
          <w:bCs/>
          <w:highlight w:val="none"/>
        </w:rPr>
        <w:t>Jayaraj RL</w:t>
      </w:r>
      <w:r>
        <w:rPr>
          <w:rFonts w:ascii="Book Antiqua" w:hAnsi="Book Antiqua"/>
          <w:highlight w:val="none"/>
        </w:rPr>
        <w:t>, Beiram R, Azimullah S, Meeran MFN, Ojha SK, Adem A, Jalal FY. Lycopodium Attenuates Loss of Dopaminergic Neurons by Suppressing Oxidative Stress and Neuroinflammation in a Rat Model of Parkinson's Disease. </w:t>
      </w:r>
      <w:r>
        <w:rPr>
          <w:rFonts w:ascii="Book Antiqua" w:hAnsi="Book Antiqua"/>
          <w:i/>
          <w:iCs/>
          <w:highlight w:val="none"/>
        </w:rPr>
        <w:t>Molecules</w:t>
      </w:r>
      <w:r>
        <w:rPr>
          <w:rFonts w:ascii="Book Antiqua" w:hAnsi="Book Antiqua"/>
          <w:highlight w:val="none"/>
        </w:rPr>
        <w:t> 2019; </w:t>
      </w:r>
      <w:r>
        <w:rPr>
          <w:rFonts w:ascii="Book Antiqua" w:hAnsi="Book Antiqua"/>
          <w:b/>
          <w:bCs/>
          <w:highlight w:val="none"/>
        </w:rPr>
        <w:t>24</w:t>
      </w:r>
      <w:r>
        <w:rPr>
          <w:rFonts w:ascii="Book Antiqua" w:hAnsi="Book Antiqua"/>
          <w:highlight w:val="none"/>
        </w:rPr>
        <w:t> [PMID: 31185705 DOI: 10.3390/molecules24112182]</w:t>
      </w:r>
    </w:p>
    <w:p>
      <w:pPr>
        <w:pStyle w:val="5"/>
        <w:shd w:val="clear" w:color="auto" w:fill="FFFFFF"/>
        <w:adjustRightInd w:val="0"/>
        <w:snapToGrid w:val="0"/>
        <w:spacing w:before="0" w:beforeAutospacing="0" w:after="0" w:afterAutospacing="0" w:line="360" w:lineRule="auto"/>
        <w:jc w:val="both"/>
        <w:rPr>
          <w:rFonts w:ascii="Book Antiqua" w:hAnsi="Book Antiqua"/>
          <w:highlight w:val="none"/>
        </w:rPr>
      </w:pPr>
      <w:r>
        <w:rPr>
          <w:rFonts w:ascii="Book Antiqua" w:hAnsi="Book Antiqua"/>
          <w:highlight w:val="none"/>
        </w:rPr>
        <w:t>91 </w:t>
      </w:r>
      <w:r>
        <w:rPr>
          <w:rFonts w:ascii="Book Antiqua" w:hAnsi="Book Antiqua"/>
          <w:b/>
          <w:bCs/>
          <w:highlight w:val="none"/>
        </w:rPr>
        <w:t>Kumar S</w:t>
      </w:r>
      <w:r>
        <w:rPr>
          <w:rFonts w:ascii="Book Antiqua" w:hAnsi="Book Antiqua"/>
          <w:highlight w:val="none"/>
        </w:rPr>
        <w:t>, Kumar P. The Beneficial effect of rice bran extract against rotenone-induced experimental Parkinson's disease in rats. </w:t>
      </w:r>
      <w:r>
        <w:rPr>
          <w:rFonts w:ascii="Book Antiqua" w:hAnsi="Book Antiqua"/>
          <w:i/>
          <w:iCs/>
          <w:highlight w:val="none"/>
        </w:rPr>
        <w:t>Curr Mol Pharmacol</w:t>
      </w:r>
      <w:r>
        <w:rPr>
          <w:rFonts w:ascii="Book Antiqua" w:hAnsi="Book Antiqua"/>
          <w:highlight w:val="none"/>
        </w:rPr>
        <w:t xml:space="preserve"> 2021; </w:t>
      </w:r>
      <w:r>
        <w:rPr>
          <w:rFonts w:ascii="Book Antiqua" w:hAnsi="Book Antiqua"/>
          <w:b/>
          <w:bCs/>
          <w:highlight w:val="none"/>
        </w:rPr>
        <w:t>14</w:t>
      </w:r>
      <w:r>
        <w:rPr>
          <w:rFonts w:ascii="Book Antiqua" w:hAnsi="Book Antiqua"/>
          <w:highlight w:val="none"/>
        </w:rPr>
        <w:t>: 428-438 [PMID: 33573588 DOI: 10.2174/1874467214666210126113324]</w:t>
      </w:r>
    </w:p>
    <w:p>
      <w:pPr>
        <w:pStyle w:val="5"/>
        <w:shd w:val="clear" w:color="auto" w:fill="FFFFFF"/>
        <w:adjustRightInd w:val="0"/>
        <w:snapToGrid w:val="0"/>
        <w:spacing w:before="0" w:beforeAutospacing="0" w:after="0" w:afterAutospacing="0" w:line="360" w:lineRule="auto"/>
        <w:jc w:val="both"/>
        <w:rPr>
          <w:rFonts w:ascii="Book Antiqua" w:hAnsi="Book Antiqua"/>
          <w:highlight w:val="none"/>
        </w:rPr>
      </w:pPr>
      <w:r>
        <w:rPr>
          <w:rFonts w:ascii="Book Antiqua" w:hAnsi="Book Antiqua"/>
          <w:highlight w:val="none"/>
        </w:rPr>
        <w:t>92 </w:t>
      </w:r>
      <w:r>
        <w:rPr>
          <w:rFonts w:ascii="Book Antiqua" w:hAnsi="Book Antiqua"/>
          <w:b/>
          <w:bCs/>
          <w:highlight w:val="none"/>
        </w:rPr>
        <w:t>Parkhe A</w:t>
      </w:r>
      <w:r>
        <w:rPr>
          <w:rFonts w:ascii="Book Antiqua" w:hAnsi="Book Antiqua"/>
          <w:highlight w:val="none"/>
        </w:rPr>
        <w:t>, Parekh P, Nalla LV, Sharma N, Sharma M, Gadepalli A, Kate A, Khairnar A. Protective effect of alpha mangostin on rotenone induced toxicity in rat model of Parkinson's disease. </w:t>
      </w:r>
      <w:r>
        <w:rPr>
          <w:rFonts w:ascii="Book Antiqua" w:hAnsi="Book Antiqua"/>
          <w:i/>
          <w:iCs/>
          <w:highlight w:val="none"/>
        </w:rPr>
        <w:t>Neurosci Lett</w:t>
      </w:r>
      <w:r>
        <w:rPr>
          <w:rFonts w:ascii="Book Antiqua" w:hAnsi="Book Antiqua"/>
          <w:highlight w:val="none"/>
        </w:rPr>
        <w:t> 2020; </w:t>
      </w:r>
      <w:r>
        <w:rPr>
          <w:rFonts w:ascii="Book Antiqua" w:hAnsi="Book Antiqua"/>
          <w:b/>
          <w:bCs/>
          <w:highlight w:val="none"/>
        </w:rPr>
        <w:t>716</w:t>
      </w:r>
      <w:r>
        <w:rPr>
          <w:rFonts w:ascii="Book Antiqua" w:hAnsi="Book Antiqua"/>
          <w:highlight w:val="none"/>
        </w:rPr>
        <w:t>: 134652 [PMID: 31778768 DOI: 10.1016/j.neulet.2019.134652]</w:t>
      </w:r>
    </w:p>
    <w:p>
      <w:pPr>
        <w:pStyle w:val="5"/>
        <w:shd w:val="clear" w:color="auto" w:fill="FFFFFF"/>
        <w:adjustRightInd w:val="0"/>
        <w:snapToGrid w:val="0"/>
        <w:spacing w:before="0" w:beforeAutospacing="0" w:after="0" w:afterAutospacing="0" w:line="360" w:lineRule="auto"/>
        <w:jc w:val="both"/>
        <w:rPr>
          <w:rFonts w:ascii="Book Antiqua" w:hAnsi="Book Antiqua"/>
          <w:highlight w:val="none"/>
        </w:rPr>
      </w:pPr>
      <w:r>
        <w:rPr>
          <w:rFonts w:ascii="Book Antiqua" w:hAnsi="Book Antiqua"/>
          <w:highlight w:val="none"/>
        </w:rPr>
        <w:t>93 </w:t>
      </w:r>
      <w:r>
        <w:rPr>
          <w:rFonts w:ascii="Book Antiqua" w:hAnsi="Book Antiqua"/>
          <w:b/>
          <w:bCs/>
          <w:highlight w:val="none"/>
        </w:rPr>
        <w:t>Sharma S</w:t>
      </w:r>
      <w:r>
        <w:rPr>
          <w:rFonts w:ascii="Book Antiqua" w:hAnsi="Book Antiqua"/>
          <w:highlight w:val="none"/>
        </w:rPr>
        <w:t>, Raj K, Singh S. Neuroprotective Effect of Quercetin in Combination with Piperine Against Rotenone- and Iron Supplement-Induced Parkinson's Disease in Experimental Rats. </w:t>
      </w:r>
      <w:r>
        <w:rPr>
          <w:rFonts w:ascii="Book Antiqua" w:hAnsi="Book Antiqua"/>
          <w:i/>
          <w:iCs/>
          <w:highlight w:val="none"/>
        </w:rPr>
        <w:t>Neurotox Res</w:t>
      </w:r>
      <w:r>
        <w:rPr>
          <w:rFonts w:ascii="Book Antiqua" w:hAnsi="Book Antiqua"/>
          <w:highlight w:val="none"/>
        </w:rPr>
        <w:t> 2020; </w:t>
      </w:r>
      <w:r>
        <w:rPr>
          <w:rFonts w:ascii="Book Antiqua" w:hAnsi="Book Antiqua"/>
          <w:b/>
          <w:bCs/>
          <w:highlight w:val="none"/>
        </w:rPr>
        <w:t>37</w:t>
      </w:r>
      <w:r>
        <w:rPr>
          <w:rFonts w:ascii="Book Antiqua" w:hAnsi="Book Antiqua"/>
          <w:highlight w:val="none"/>
        </w:rPr>
        <w:t>: 198-209 [PMID: 31654381 DOI: 10.1007/s12640-019-00120-z]</w:t>
      </w:r>
    </w:p>
    <w:p>
      <w:pPr>
        <w:pStyle w:val="5"/>
        <w:shd w:val="clear" w:color="auto" w:fill="FFFFFF"/>
        <w:adjustRightInd w:val="0"/>
        <w:snapToGrid w:val="0"/>
        <w:spacing w:before="0" w:beforeAutospacing="0" w:after="0" w:afterAutospacing="0" w:line="360" w:lineRule="auto"/>
        <w:jc w:val="both"/>
        <w:rPr>
          <w:rFonts w:ascii="Book Antiqua" w:hAnsi="Book Antiqua"/>
          <w:highlight w:val="none"/>
        </w:rPr>
      </w:pPr>
      <w:r>
        <w:rPr>
          <w:rFonts w:ascii="Book Antiqua" w:hAnsi="Book Antiqua"/>
          <w:highlight w:val="none"/>
        </w:rPr>
        <w:t>94 </w:t>
      </w:r>
      <w:r>
        <w:rPr>
          <w:rFonts w:ascii="Book Antiqua" w:hAnsi="Book Antiqua"/>
          <w:b/>
          <w:bCs/>
          <w:highlight w:val="none"/>
        </w:rPr>
        <w:t>Javed H</w:t>
      </w:r>
      <w:r>
        <w:rPr>
          <w:rFonts w:ascii="Book Antiqua" w:hAnsi="Book Antiqua"/>
          <w:highlight w:val="none"/>
        </w:rPr>
        <w:t>, Azimullah S, Haque ME, Ojha SK. Cannabinoid Type 2 (CB2) Receptors Activation Protects against Oxidative Stress and Neuroinflammation Associated Dopaminergic Neurodegeneration in Rotenone Model of Parkinson's Disease. </w:t>
      </w:r>
      <w:r>
        <w:rPr>
          <w:rFonts w:ascii="Book Antiqua" w:hAnsi="Book Antiqua"/>
          <w:i/>
          <w:iCs/>
          <w:highlight w:val="none"/>
        </w:rPr>
        <w:t>Front Neurosci</w:t>
      </w:r>
      <w:r>
        <w:rPr>
          <w:rFonts w:ascii="Book Antiqua" w:hAnsi="Book Antiqua"/>
          <w:highlight w:val="none"/>
        </w:rPr>
        <w:t> 2016; </w:t>
      </w:r>
      <w:r>
        <w:rPr>
          <w:rFonts w:ascii="Book Antiqua" w:hAnsi="Book Antiqua"/>
          <w:b/>
          <w:bCs/>
          <w:highlight w:val="none"/>
        </w:rPr>
        <w:t>10</w:t>
      </w:r>
      <w:r>
        <w:rPr>
          <w:rFonts w:ascii="Book Antiqua" w:hAnsi="Book Antiqua"/>
          <w:highlight w:val="none"/>
        </w:rPr>
        <w:t>: 321 [PMID: 27531971 DOI: 10.3389/fnins.2016.00321]</w:t>
      </w:r>
    </w:p>
    <w:p>
      <w:pPr>
        <w:pStyle w:val="5"/>
        <w:shd w:val="clear" w:color="auto" w:fill="FFFFFF"/>
        <w:adjustRightInd w:val="0"/>
        <w:snapToGrid w:val="0"/>
        <w:spacing w:before="0" w:beforeAutospacing="0" w:after="0" w:afterAutospacing="0" w:line="360" w:lineRule="auto"/>
        <w:jc w:val="both"/>
        <w:rPr>
          <w:rFonts w:ascii="Book Antiqua" w:hAnsi="Book Antiqua"/>
          <w:highlight w:val="none"/>
        </w:rPr>
      </w:pPr>
      <w:r>
        <w:rPr>
          <w:rFonts w:ascii="Book Antiqua" w:hAnsi="Book Antiqua"/>
          <w:highlight w:val="none"/>
        </w:rPr>
        <w:t>95 </w:t>
      </w:r>
      <w:r>
        <w:rPr>
          <w:rFonts w:ascii="Book Antiqua" w:hAnsi="Book Antiqua"/>
          <w:b/>
          <w:bCs/>
          <w:highlight w:val="none"/>
        </w:rPr>
        <w:t>Mossa AH</w:t>
      </w:r>
      <w:r>
        <w:rPr>
          <w:rFonts w:ascii="Book Antiqua" w:hAnsi="Book Antiqua"/>
          <w:highlight w:val="none"/>
        </w:rPr>
        <w:t>, Mohafrash SMM, Chandrasekaran N. Safety of Natural Insecticides: Toxic Effects on Experimental Animals. </w:t>
      </w:r>
      <w:r>
        <w:rPr>
          <w:rFonts w:ascii="Book Antiqua" w:hAnsi="Book Antiqua"/>
          <w:i/>
          <w:iCs/>
          <w:highlight w:val="none"/>
        </w:rPr>
        <w:t>Biomed Res Int</w:t>
      </w:r>
      <w:r>
        <w:rPr>
          <w:rFonts w:ascii="Book Antiqua" w:hAnsi="Book Antiqua"/>
          <w:highlight w:val="none"/>
        </w:rPr>
        <w:t> 2018; </w:t>
      </w:r>
      <w:r>
        <w:rPr>
          <w:rFonts w:ascii="Book Antiqua" w:hAnsi="Book Antiqua"/>
          <w:b/>
          <w:bCs/>
          <w:highlight w:val="none"/>
        </w:rPr>
        <w:t>2018</w:t>
      </w:r>
      <w:r>
        <w:rPr>
          <w:rFonts w:ascii="Book Antiqua" w:hAnsi="Book Antiqua"/>
          <w:highlight w:val="none"/>
        </w:rPr>
        <w:t>: 4308054 [PMID: 30410930 DOI: 10.1155/2018/4308054]</w:t>
      </w:r>
    </w:p>
    <w:bookmarkEnd w:id="50"/>
    <w:bookmarkEnd w:id="51"/>
    <w:p>
      <w:pPr>
        <w:spacing w:line="360" w:lineRule="auto"/>
        <w:jc w:val="both"/>
        <w:rPr>
          <w:highlight w:val="none"/>
        </w:rPr>
        <w:sectPr>
          <w:pgSz w:w="12240" w:h="15840"/>
          <w:pgMar w:top="1440" w:right="1440" w:bottom="1440" w:left="1440" w:header="720" w:footer="720" w:gutter="0"/>
          <w:cols w:space="720" w:num="1"/>
          <w:docGrid w:linePitch="360" w:charSpace="0"/>
        </w:sectPr>
      </w:pPr>
    </w:p>
    <w:p>
      <w:pPr>
        <w:spacing w:line="360" w:lineRule="auto"/>
        <w:jc w:val="both"/>
        <w:rPr>
          <w:highlight w:val="none"/>
        </w:rPr>
      </w:pPr>
      <w:r>
        <w:rPr>
          <w:rFonts w:ascii="Book Antiqua" w:hAnsi="Book Antiqua" w:eastAsia="Book Antiqua" w:cs="Book Antiqua"/>
          <w:b/>
          <w:color w:val="000000"/>
          <w:highlight w:val="none"/>
        </w:rPr>
        <w:t>Footnotes</w:t>
      </w:r>
    </w:p>
    <w:p>
      <w:pPr>
        <w:spacing w:line="360" w:lineRule="auto"/>
        <w:jc w:val="both"/>
        <w:rPr>
          <w:highlight w:val="none"/>
        </w:rPr>
      </w:pPr>
      <w:r>
        <w:rPr>
          <w:rFonts w:ascii="Book Antiqua" w:hAnsi="Book Antiqua" w:eastAsia="Book Antiqua" w:cs="Book Antiqua"/>
          <w:b/>
          <w:bCs/>
          <w:iCs/>
          <w:color w:val="000000"/>
          <w:highlight w:val="none"/>
        </w:rPr>
        <w:t xml:space="preserve">Conflict-of-interest statement: </w:t>
      </w:r>
      <w:bookmarkStart w:id="52" w:name="OLE_LINK75"/>
      <w:bookmarkStart w:id="53" w:name="OLE_LINK76"/>
      <w:r>
        <w:rPr>
          <w:rFonts w:ascii="Book Antiqua" w:hAnsi="Book Antiqua" w:eastAsia="Book Antiqua" w:cs="Book Antiqua"/>
          <w:bCs/>
          <w:color w:val="000000"/>
          <w:highlight w:val="none"/>
        </w:rPr>
        <w:t>Authors declare no conflict of interests for this article.</w:t>
      </w:r>
      <w:bookmarkEnd w:id="52"/>
      <w:bookmarkEnd w:id="53"/>
    </w:p>
    <w:p>
      <w:pPr>
        <w:spacing w:line="360" w:lineRule="auto"/>
        <w:jc w:val="both"/>
        <w:rPr>
          <w:highlight w:val="none"/>
        </w:rPr>
      </w:pPr>
    </w:p>
    <w:p>
      <w:pPr>
        <w:spacing w:line="360" w:lineRule="auto"/>
        <w:jc w:val="both"/>
        <w:rPr>
          <w:highlight w:val="none"/>
        </w:rPr>
      </w:pPr>
      <w:r>
        <w:rPr>
          <w:rFonts w:ascii="Book Antiqua" w:hAnsi="Book Antiqua" w:eastAsia="Book Antiqua" w:cs="Book Antiqua"/>
          <w:b/>
          <w:bCs/>
          <w:color w:val="000000"/>
          <w:highlight w:val="none"/>
        </w:rPr>
        <w:t xml:space="preserve">Open-Access: </w:t>
      </w:r>
      <w:r>
        <w:rPr>
          <w:rFonts w:ascii="Book Antiqua" w:hAnsi="Book Antiqua" w:eastAsia="Book Antiqua" w:cs="Book Antiqua"/>
          <w:color w:val="000000"/>
          <w:highlight w:val="none"/>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pPr>
        <w:spacing w:line="360" w:lineRule="auto"/>
        <w:jc w:val="both"/>
        <w:rPr>
          <w:highlight w:val="none"/>
        </w:rPr>
      </w:pPr>
    </w:p>
    <w:p>
      <w:pPr>
        <w:spacing w:line="360" w:lineRule="auto"/>
        <w:jc w:val="both"/>
        <w:rPr>
          <w:highlight w:val="none"/>
        </w:rPr>
      </w:pPr>
      <w:r>
        <w:rPr>
          <w:rFonts w:ascii="Book Antiqua" w:hAnsi="Book Antiqua" w:eastAsia="Book Antiqua" w:cs="Book Antiqua"/>
          <w:b/>
          <w:color w:val="000000"/>
          <w:highlight w:val="none"/>
        </w:rPr>
        <w:t xml:space="preserve">Manuscript source: </w:t>
      </w:r>
      <w:r>
        <w:rPr>
          <w:rFonts w:ascii="Book Antiqua" w:hAnsi="Book Antiqua" w:eastAsia="Book Antiqua" w:cs="Book Antiqua"/>
          <w:color w:val="000000"/>
          <w:highlight w:val="none"/>
        </w:rPr>
        <w:t xml:space="preserve">Invited </w:t>
      </w:r>
      <w:r>
        <w:rPr>
          <w:rFonts w:hint="eastAsia" w:ascii="Book Antiqua" w:hAnsi="Book Antiqua" w:cs="Book Antiqua"/>
          <w:color w:val="000000"/>
          <w:highlight w:val="none"/>
          <w:lang w:eastAsia="zh-CN"/>
        </w:rPr>
        <w:t>m</w:t>
      </w:r>
      <w:r>
        <w:rPr>
          <w:rFonts w:ascii="Book Antiqua" w:hAnsi="Book Antiqua" w:eastAsia="Book Antiqua" w:cs="Book Antiqua"/>
          <w:color w:val="000000"/>
          <w:highlight w:val="none"/>
        </w:rPr>
        <w:t>anuscript</w:t>
      </w:r>
    </w:p>
    <w:p>
      <w:pPr>
        <w:spacing w:line="360" w:lineRule="auto"/>
        <w:jc w:val="both"/>
        <w:rPr>
          <w:highlight w:val="none"/>
        </w:rPr>
      </w:pPr>
    </w:p>
    <w:p>
      <w:pPr>
        <w:spacing w:line="360" w:lineRule="auto"/>
        <w:jc w:val="both"/>
        <w:rPr>
          <w:highlight w:val="none"/>
        </w:rPr>
      </w:pPr>
      <w:r>
        <w:rPr>
          <w:rFonts w:ascii="Book Antiqua" w:hAnsi="Book Antiqua" w:eastAsia="Book Antiqua" w:cs="Book Antiqua"/>
          <w:b/>
          <w:color w:val="000000"/>
          <w:highlight w:val="none"/>
        </w:rPr>
        <w:t xml:space="preserve">Peer-review started: </w:t>
      </w:r>
      <w:r>
        <w:rPr>
          <w:rFonts w:ascii="Book Antiqua" w:hAnsi="Book Antiqua" w:eastAsia="Book Antiqua" w:cs="Book Antiqua"/>
          <w:color w:val="000000"/>
          <w:highlight w:val="none"/>
        </w:rPr>
        <w:t>February 28, 2021</w:t>
      </w:r>
    </w:p>
    <w:p>
      <w:pPr>
        <w:spacing w:line="360" w:lineRule="auto"/>
        <w:jc w:val="both"/>
        <w:rPr>
          <w:highlight w:val="none"/>
        </w:rPr>
      </w:pPr>
      <w:r>
        <w:rPr>
          <w:rFonts w:ascii="Book Antiqua" w:hAnsi="Book Antiqua" w:eastAsia="Book Antiqua" w:cs="Book Antiqua"/>
          <w:b/>
          <w:color w:val="000000"/>
          <w:highlight w:val="none"/>
        </w:rPr>
        <w:t xml:space="preserve">First decision: </w:t>
      </w:r>
      <w:r>
        <w:rPr>
          <w:rFonts w:ascii="Book Antiqua" w:hAnsi="Book Antiqua" w:eastAsia="Book Antiqua" w:cs="Book Antiqua"/>
          <w:color w:val="000000"/>
          <w:highlight w:val="none"/>
        </w:rPr>
        <w:t>March 30, 2021</w:t>
      </w:r>
    </w:p>
    <w:p>
      <w:pPr>
        <w:spacing w:line="360" w:lineRule="auto"/>
        <w:jc w:val="both"/>
        <w:rPr>
          <w:highlight w:val="none"/>
        </w:rPr>
      </w:pPr>
      <w:r>
        <w:rPr>
          <w:rFonts w:ascii="Book Antiqua" w:hAnsi="Book Antiqua" w:eastAsia="Book Antiqua" w:cs="Book Antiqua"/>
          <w:b/>
          <w:color w:val="000000"/>
          <w:highlight w:val="none"/>
        </w:rPr>
        <w:t xml:space="preserve">Article in press: </w:t>
      </w:r>
      <w:r>
        <w:rPr>
          <w:rFonts w:hint="eastAsia" w:ascii="Book Antiqua" w:hAnsi="Book Antiqua" w:eastAsia="宋体"/>
          <w:color w:val="000000" w:themeColor="text1"/>
          <w:highlight w:val="none"/>
        </w:rPr>
        <w:t>Au</w:t>
      </w:r>
      <w:r>
        <w:rPr>
          <w:rFonts w:ascii="Book Antiqua" w:hAnsi="Book Antiqua" w:eastAsia="宋体"/>
          <w:color w:val="000000" w:themeColor="text1"/>
          <w:highlight w:val="none"/>
        </w:rPr>
        <w:t>gust 3, 2021</w:t>
      </w:r>
    </w:p>
    <w:p>
      <w:pPr>
        <w:spacing w:line="360" w:lineRule="auto"/>
        <w:jc w:val="both"/>
        <w:rPr>
          <w:highlight w:val="none"/>
        </w:rPr>
      </w:pPr>
    </w:p>
    <w:p>
      <w:pPr>
        <w:spacing w:line="360" w:lineRule="auto"/>
        <w:jc w:val="both"/>
        <w:rPr>
          <w:highlight w:val="none"/>
        </w:rPr>
      </w:pPr>
      <w:r>
        <w:rPr>
          <w:rFonts w:ascii="Book Antiqua" w:hAnsi="Book Antiqua" w:eastAsia="Book Antiqua" w:cs="Book Antiqua"/>
          <w:b/>
          <w:color w:val="000000"/>
          <w:highlight w:val="none"/>
        </w:rPr>
        <w:t xml:space="preserve">Specialty type: </w:t>
      </w:r>
      <w:r>
        <w:rPr>
          <w:rFonts w:ascii="Book Antiqua" w:hAnsi="Book Antiqua" w:eastAsia="Book Antiqua" w:cs="Book Antiqua"/>
          <w:color w:val="000000"/>
          <w:highlight w:val="none"/>
        </w:rPr>
        <w:t>Neurosciences</w:t>
      </w:r>
    </w:p>
    <w:p>
      <w:pPr>
        <w:spacing w:line="360" w:lineRule="auto"/>
        <w:jc w:val="both"/>
        <w:rPr>
          <w:highlight w:val="none"/>
        </w:rPr>
      </w:pPr>
      <w:r>
        <w:rPr>
          <w:rFonts w:ascii="Book Antiqua" w:hAnsi="Book Antiqua" w:eastAsia="Book Antiqua" w:cs="Book Antiqua"/>
          <w:b/>
          <w:color w:val="000000"/>
          <w:highlight w:val="none"/>
        </w:rPr>
        <w:t xml:space="preserve">Country/Territory of origin: </w:t>
      </w:r>
      <w:r>
        <w:rPr>
          <w:rFonts w:ascii="Book Antiqua" w:hAnsi="Book Antiqua" w:eastAsia="Book Antiqua" w:cs="Book Antiqua"/>
          <w:color w:val="000000"/>
          <w:highlight w:val="none"/>
        </w:rPr>
        <w:t>Russia</w:t>
      </w:r>
    </w:p>
    <w:p>
      <w:pPr>
        <w:spacing w:line="360" w:lineRule="auto"/>
        <w:jc w:val="both"/>
        <w:rPr>
          <w:highlight w:val="none"/>
        </w:rPr>
      </w:pPr>
      <w:r>
        <w:rPr>
          <w:rFonts w:ascii="Book Antiqua" w:hAnsi="Book Antiqua" w:eastAsia="Book Antiqua" w:cs="Book Antiqua"/>
          <w:b/>
          <w:color w:val="000000"/>
          <w:highlight w:val="none"/>
        </w:rPr>
        <w:t>Peer-review report’s scientific quality classification</w:t>
      </w:r>
    </w:p>
    <w:p>
      <w:pPr>
        <w:spacing w:line="360" w:lineRule="auto"/>
        <w:jc w:val="both"/>
        <w:rPr>
          <w:highlight w:val="none"/>
        </w:rPr>
      </w:pPr>
      <w:r>
        <w:rPr>
          <w:rFonts w:ascii="Book Antiqua" w:hAnsi="Book Antiqua" w:eastAsia="Book Antiqua" w:cs="Book Antiqua"/>
          <w:color w:val="000000"/>
          <w:highlight w:val="none"/>
        </w:rPr>
        <w:t>Grade A (Excellent): 0</w:t>
      </w:r>
    </w:p>
    <w:p>
      <w:pPr>
        <w:spacing w:line="360" w:lineRule="auto"/>
        <w:jc w:val="both"/>
        <w:rPr>
          <w:highlight w:val="none"/>
        </w:rPr>
      </w:pPr>
      <w:r>
        <w:rPr>
          <w:rFonts w:ascii="Book Antiqua" w:hAnsi="Book Antiqua" w:eastAsia="Book Antiqua" w:cs="Book Antiqua"/>
          <w:color w:val="000000"/>
          <w:highlight w:val="none"/>
        </w:rPr>
        <w:t>Grade B (Very good): B</w:t>
      </w:r>
    </w:p>
    <w:p>
      <w:pPr>
        <w:spacing w:line="360" w:lineRule="auto"/>
        <w:jc w:val="both"/>
        <w:rPr>
          <w:highlight w:val="none"/>
        </w:rPr>
      </w:pPr>
      <w:r>
        <w:rPr>
          <w:rFonts w:ascii="Book Antiqua" w:hAnsi="Book Antiqua" w:eastAsia="Book Antiqua" w:cs="Book Antiqua"/>
          <w:color w:val="000000"/>
          <w:highlight w:val="none"/>
        </w:rPr>
        <w:t>Grade C (Good): 0</w:t>
      </w:r>
    </w:p>
    <w:p>
      <w:pPr>
        <w:spacing w:line="360" w:lineRule="auto"/>
        <w:jc w:val="both"/>
        <w:rPr>
          <w:highlight w:val="none"/>
        </w:rPr>
      </w:pPr>
      <w:r>
        <w:rPr>
          <w:rFonts w:ascii="Book Antiqua" w:hAnsi="Book Antiqua" w:eastAsia="Book Antiqua" w:cs="Book Antiqua"/>
          <w:color w:val="000000"/>
          <w:highlight w:val="none"/>
        </w:rPr>
        <w:t>Grade D (Fair): 0</w:t>
      </w:r>
    </w:p>
    <w:p>
      <w:pPr>
        <w:spacing w:line="360" w:lineRule="auto"/>
        <w:jc w:val="both"/>
        <w:rPr>
          <w:highlight w:val="none"/>
        </w:rPr>
      </w:pPr>
      <w:r>
        <w:rPr>
          <w:rFonts w:ascii="Book Antiqua" w:hAnsi="Book Antiqua" w:eastAsia="Book Antiqua" w:cs="Book Antiqua"/>
          <w:color w:val="000000"/>
          <w:highlight w:val="none"/>
        </w:rPr>
        <w:t>Grade E (Poor): 0</w:t>
      </w:r>
    </w:p>
    <w:p>
      <w:pPr>
        <w:spacing w:line="360" w:lineRule="auto"/>
        <w:jc w:val="both"/>
        <w:rPr>
          <w:highlight w:val="none"/>
        </w:rPr>
      </w:pPr>
    </w:p>
    <w:p>
      <w:pPr>
        <w:spacing w:line="360" w:lineRule="auto"/>
        <w:jc w:val="both"/>
        <w:rPr>
          <w:highlight w:val="none"/>
        </w:rPr>
        <w:sectPr>
          <w:pgSz w:w="12240" w:h="15840"/>
          <w:pgMar w:top="1440" w:right="1440" w:bottom="1440" w:left="1440" w:header="720" w:footer="720" w:gutter="0"/>
          <w:cols w:space="720" w:num="1"/>
          <w:docGrid w:linePitch="360" w:charSpace="0"/>
        </w:sectPr>
      </w:pPr>
      <w:r>
        <w:rPr>
          <w:rFonts w:ascii="Book Antiqua" w:hAnsi="Book Antiqua" w:eastAsia="Book Antiqua" w:cs="Book Antiqua"/>
          <w:b/>
          <w:color w:val="000000"/>
          <w:highlight w:val="none"/>
        </w:rPr>
        <w:t xml:space="preserve">P-Reviewer: </w:t>
      </w:r>
      <w:r>
        <w:rPr>
          <w:rFonts w:ascii="Book Antiqua" w:hAnsi="Book Antiqua" w:eastAsia="Book Antiqua" w:cs="Book Antiqua"/>
          <w:color w:val="000000"/>
          <w:highlight w:val="none"/>
        </w:rPr>
        <w:t>Xu WX</w:t>
      </w:r>
      <w:r>
        <w:rPr>
          <w:rFonts w:ascii="Book Antiqua" w:hAnsi="Book Antiqua" w:eastAsia="Book Antiqua" w:cs="Book Antiqua"/>
          <w:b/>
          <w:color w:val="000000"/>
          <w:highlight w:val="none"/>
        </w:rPr>
        <w:t xml:space="preserve"> S-Editor: </w:t>
      </w:r>
      <w:r>
        <w:rPr>
          <w:rFonts w:hint="eastAsia" w:ascii="Book Antiqua" w:hAnsi="Book Antiqua" w:cs="Book Antiqua"/>
          <w:color w:val="000000"/>
          <w:highlight w:val="none"/>
          <w:lang w:eastAsia="zh-CN"/>
        </w:rPr>
        <w:t>Zhang H</w:t>
      </w:r>
      <w:r>
        <w:rPr>
          <w:rFonts w:ascii="Book Antiqua" w:hAnsi="Book Antiqua" w:eastAsia="Book Antiqua" w:cs="Book Antiqua"/>
          <w:b/>
          <w:color w:val="000000"/>
          <w:highlight w:val="none"/>
        </w:rPr>
        <w:t xml:space="preserve"> L-Editor: </w:t>
      </w:r>
      <w:r>
        <w:rPr>
          <w:rFonts w:ascii="Book Antiqua" w:hAnsi="Book Antiqua" w:eastAsia="Book Antiqua" w:cs="Book Antiqua"/>
          <w:bCs/>
          <w:color w:val="000000"/>
          <w:highlight w:val="none"/>
        </w:rPr>
        <w:t>A</w:t>
      </w:r>
      <w:r>
        <w:rPr>
          <w:rFonts w:ascii="Book Antiqua" w:hAnsi="Book Antiqua" w:eastAsia="Book Antiqua" w:cs="Book Antiqua"/>
          <w:b/>
          <w:color w:val="000000"/>
          <w:highlight w:val="none"/>
        </w:rPr>
        <w:t xml:space="preserve"> P-Editor: </w:t>
      </w:r>
      <w:r>
        <w:rPr>
          <w:rFonts w:ascii="Book Antiqua" w:hAnsi="Book Antiqua" w:eastAsia="Book Antiqua" w:cs="Book Antiqua"/>
          <w:bCs/>
          <w:color w:val="000000" w:themeColor="text1"/>
          <w:highlight w:val="none"/>
        </w:rPr>
        <w:t>Wang LYT</w:t>
      </w:r>
    </w:p>
    <w:p>
      <w:pPr>
        <w:spacing w:line="360" w:lineRule="auto"/>
        <w:jc w:val="both"/>
        <w:rPr>
          <w:highlight w:val="none"/>
        </w:rPr>
      </w:pPr>
      <w:r>
        <w:rPr>
          <w:rFonts w:ascii="Book Antiqua" w:hAnsi="Book Antiqua" w:eastAsia="Book Antiqua" w:cs="Book Antiqua"/>
          <w:b/>
          <w:color w:val="000000"/>
          <w:highlight w:val="none"/>
        </w:rPr>
        <w:t>Figure Legends</w:t>
      </w:r>
    </w:p>
    <w:p>
      <w:pPr>
        <w:spacing w:line="360" w:lineRule="auto"/>
        <w:jc w:val="both"/>
        <w:rPr>
          <w:rFonts w:ascii="Book Antiqua" w:hAnsi="Book Antiqua" w:cs="Book Antiqua"/>
          <w:b/>
          <w:bCs/>
          <w:color w:val="000000"/>
          <w:highlight w:val="none"/>
          <w:lang w:eastAsia="zh-CN"/>
        </w:rPr>
      </w:pPr>
      <w:r>
        <w:rPr>
          <w:rFonts w:ascii="Book Antiqua" w:hAnsi="Book Antiqua" w:cs="Book Antiqua"/>
          <w:b/>
          <w:bCs/>
          <w:color w:val="000000"/>
          <w:highlight w:val="none"/>
          <w:lang w:eastAsia="zh-CN"/>
        </w:rPr>
        <w:drawing>
          <wp:inline distT="0" distB="0" distL="0" distR="0">
            <wp:extent cx="5875020" cy="32385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5879924" cy="3240856"/>
                    </a:xfrm>
                    <a:prstGeom prst="rect">
                      <a:avLst/>
                    </a:prstGeom>
                    <a:noFill/>
                  </pic:spPr>
                </pic:pic>
              </a:graphicData>
            </a:graphic>
          </wp:inline>
        </w:drawing>
      </w:r>
    </w:p>
    <w:p>
      <w:pPr>
        <w:spacing w:line="360" w:lineRule="auto"/>
        <w:jc w:val="both"/>
        <w:rPr>
          <w:rFonts w:ascii="Book Antiqua" w:hAnsi="Book Antiqua" w:cs="Book Antiqua"/>
          <w:bCs/>
          <w:color w:val="000000"/>
          <w:highlight w:val="none"/>
          <w:lang w:eastAsia="zh-CN"/>
        </w:rPr>
      </w:pPr>
      <w:bookmarkStart w:id="54" w:name="OLE_LINK73"/>
      <w:bookmarkStart w:id="55" w:name="OLE_LINK74"/>
      <w:r>
        <w:rPr>
          <w:rFonts w:ascii="Book Antiqua" w:hAnsi="Book Antiqua" w:eastAsia="Book Antiqua" w:cs="Book Antiqua"/>
          <w:b/>
          <w:bCs/>
          <w:color w:val="000000"/>
          <w:highlight w:val="none"/>
        </w:rPr>
        <w:t>Figure 1 Proposed scheme for the involvement of nitric oxide and metabotropic glutamate receptor subtype 5 in rotenone-induced dopaminergic neurotoxicity.</w:t>
      </w:r>
      <w:r>
        <w:rPr>
          <w:rFonts w:ascii="Book Antiqua" w:hAnsi="Book Antiqua" w:eastAsia="Book Antiqua" w:cs="Book Antiqua"/>
          <w:bCs/>
          <w:color w:val="000000"/>
          <w:highlight w:val="none"/>
        </w:rPr>
        <w:t xml:space="preserve"> It is now generally accepted that rotenone in low doses of rotenone specifically binds complex I and induces mitochondrial dysfunction. The action of rotenone can be mediated by an increase in the </w:t>
      </w:r>
      <w:bookmarkStart w:id="56" w:name="OLE_LINK2"/>
      <w:bookmarkStart w:id="57" w:name="OLE_LINK1"/>
      <w:r>
        <w:rPr>
          <w:rFonts w:ascii="Book Antiqua" w:hAnsi="Book Antiqua" w:eastAsia="Book Antiqua" w:cs="Book Antiqua"/>
          <w:bCs/>
          <w:color w:val="000000"/>
          <w:highlight w:val="none"/>
        </w:rPr>
        <w:t>N-methyl-D-aspartate</w:t>
      </w:r>
      <w:bookmarkEnd w:id="56"/>
      <w:bookmarkEnd w:id="57"/>
      <w:r>
        <w:rPr>
          <w:rFonts w:ascii="Book Antiqua" w:hAnsi="Book Antiqua" w:eastAsia="Book Antiqua" w:cs="Book Antiqua"/>
          <w:bCs/>
          <w:color w:val="000000"/>
          <w:highlight w:val="none"/>
        </w:rPr>
        <w:t xml:space="preserve"> current, which leads to the activation of </w:t>
      </w:r>
      <w:bookmarkStart w:id="58" w:name="OLE_LINK9"/>
      <w:r>
        <w:rPr>
          <w:rFonts w:ascii="Book Antiqua" w:hAnsi="Book Antiqua" w:eastAsia="Book Antiqua" w:cs="Book Antiqua"/>
          <w:bCs/>
          <w:color w:val="000000"/>
          <w:highlight w:val="none"/>
        </w:rPr>
        <w:t>metabotropic glutamate receptor subtype 5</w:t>
      </w:r>
      <w:bookmarkEnd w:id="58"/>
      <w:r>
        <w:rPr>
          <w:rFonts w:ascii="Book Antiqua" w:hAnsi="Book Antiqua" w:eastAsia="Book Antiqua" w:cs="Book Antiqua"/>
          <w:bCs/>
          <w:color w:val="000000"/>
          <w:highlight w:val="none"/>
        </w:rPr>
        <w:t xml:space="preserve">. Complex I, in combination with excitation of glutamate receptors, induces the generation of </w:t>
      </w:r>
      <w:bookmarkStart w:id="59" w:name="OLE_LINK10"/>
      <w:bookmarkStart w:id="60" w:name="OLE_LINK11"/>
      <w:r>
        <w:rPr>
          <w:rFonts w:ascii="Book Antiqua" w:hAnsi="Book Antiqua" w:eastAsia="Book Antiqua" w:cs="Book Antiqua"/>
          <w:bCs/>
          <w:color w:val="000000"/>
          <w:highlight w:val="none"/>
        </w:rPr>
        <w:t>reactive oxygen species</w:t>
      </w:r>
      <w:bookmarkEnd w:id="59"/>
      <w:bookmarkEnd w:id="60"/>
      <w:r>
        <w:rPr>
          <w:rFonts w:ascii="Book Antiqua" w:hAnsi="Book Antiqua" w:eastAsia="Book Antiqua" w:cs="Book Antiqua"/>
          <w:bCs/>
          <w:color w:val="000000"/>
          <w:highlight w:val="none"/>
        </w:rPr>
        <w:t xml:space="preserve"> and </w:t>
      </w:r>
      <w:bookmarkStart w:id="61" w:name="OLE_LINK7"/>
      <w:bookmarkStart w:id="62" w:name="OLE_LINK8"/>
      <w:bookmarkStart w:id="63" w:name="OLE_LINK12"/>
      <w:r>
        <w:rPr>
          <w:rFonts w:ascii="Book Antiqua" w:hAnsi="Book Antiqua" w:eastAsia="Book Antiqua" w:cs="Book Antiqua"/>
          <w:bCs/>
          <w:color w:val="000000"/>
          <w:highlight w:val="none"/>
        </w:rPr>
        <w:t>nitric oxide</w:t>
      </w:r>
      <w:bookmarkEnd w:id="61"/>
      <w:bookmarkEnd w:id="62"/>
      <w:bookmarkEnd w:id="63"/>
      <w:r>
        <w:rPr>
          <w:rFonts w:ascii="Book Antiqua" w:hAnsi="Book Antiqua" w:eastAsia="Book Antiqua" w:cs="Book Antiqua"/>
          <w:bCs/>
          <w:color w:val="000000"/>
          <w:highlight w:val="none"/>
        </w:rPr>
        <w:t xml:space="preserve">. In summary, these key cellular events induce progressive death of dopaminergic neurons in the substantia nigra pars compacta </w:t>
      </w:r>
      <w:r>
        <w:rPr>
          <w:rFonts w:ascii="Book Antiqua" w:hAnsi="Book Antiqua" w:eastAsia="Book Antiqua" w:cs="Book Antiqua"/>
          <w:bCs/>
          <w:i/>
          <w:iCs/>
          <w:color w:val="000000"/>
          <w:highlight w:val="none"/>
        </w:rPr>
        <w:t>via</w:t>
      </w:r>
      <w:r>
        <w:rPr>
          <w:rFonts w:ascii="Book Antiqua" w:hAnsi="Book Antiqua" w:eastAsia="Book Antiqua" w:cs="Book Antiqua"/>
          <w:bCs/>
          <w:color w:val="000000"/>
          <w:highlight w:val="none"/>
        </w:rPr>
        <w:t xml:space="preserve"> apoptosis and necrosis. It is important to note that at each stage, the action of rotenone becomes regionally limited so that inhibition of complex I ultimately lead to highly selective degeneration and loss of dopaminergic neurons of the nigrostriatal pathway.</w:t>
      </w:r>
      <w:r>
        <w:rPr>
          <w:rFonts w:hint="eastAsia" w:ascii="Book Antiqua" w:hAnsi="Book Antiqua" w:cs="Book Antiqua"/>
          <w:bCs/>
          <w:color w:val="000000"/>
          <w:highlight w:val="none"/>
          <w:lang w:eastAsia="zh-CN"/>
        </w:rPr>
        <w:t xml:space="preserve"> NO: </w:t>
      </w:r>
      <w:bookmarkStart w:id="64" w:name="OLE_LINK26"/>
      <w:bookmarkStart w:id="65" w:name="OLE_LINK29"/>
      <w:r>
        <w:rPr>
          <w:rFonts w:hint="eastAsia" w:ascii="Book Antiqua" w:hAnsi="Book Antiqua" w:cs="Book Antiqua"/>
          <w:bCs/>
          <w:color w:val="000000"/>
          <w:highlight w:val="none"/>
          <w:lang w:eastAsia="zh-CN"/>
        </w:rPr>
        <w:t>N</w:t>
      </w:r>
      <w:r>
        <w:rPr>
          <w:rFonts w:ascii="Book Antiqua" w:hAnsi="Book Antiqua" w:eastAsia="Book Antiqua" w:cs="Book Antiqua"/>
          <w:bCs/>
          <w:color w:val="000000"/>
          <w:highlight w:val="none"/>
        </w:rPr>
        <w:t>itric oxide</w:t>
      </w:r>
      <w:bookmarkEnd w:id="64"/>
      <w:bookmarkEnd w:id="65"/>
      <w:r>
        <w:rPr>
          <w:rFonts w:hint="eastAsia" w:ascii="Book Antiqua" w:hAnsi="Book Antiqua" w:cs="Book Antiqua"/>
          <w:bCs/>
          <w:color w:val="000000"/>
          <w:highlight w:val="none"/>
          <w:lang w:eastAsia="zh-CN"/>
        </w:rPr>
        <w:t>; ROS: R</w:t>
      </w:r>
      <w:r>
        <w:rPr>
          <w:rFonts w:ascii="Book Antiqua" w:hAnsi="Book Antiqua" w:eastAsia="Book Antiqua" w:cs="Book Antiqua"/>
          <w:bCs/>
          <w:color w:val="000000"/>
          <w:highlight w:val="none"/>
        </w:rPr>
        <w:t>eactive oxygen species</w:t>
      </w:r>
      <w:r>
        <w:rPr>
          <w:rFonts w:hint="eastAsia" w:ascii="Book Antiqua" w:hAnsi="Book Antiqua" w:cs="Book Antiqua"/>
          <w:bCs/>
          <w:color w:val="000000"/>
          <w:highlight w:val="none"/>
          <w:lang w:eastAsia="zh-CN"/>
        </w:rPr>
        <w:t>.</w:t>
      </w:r>
    </w:p>
    <w:bookmarkEnd w:id="54"/>
    <w:bookmarkEnd w:id="55"/>
    <w:p>
      <w:pPr>
        <w:pStyle w:val="14"/>
        <w:snapToGrid w:val="0"/>
        <w:spacing w:line="360" w:lineRule="auto"/>
        <w:rPr>
          <w:rFonts w:ascii="Book Antiqua" w:hAnsi="Book Antiqua"/>
          <w:b/>
          <w:i w:val="0"/>
          <w:highlight w:val="none"/>
        </w:rPr>
      </w:pPr>
      <w:r>
        <w:rPr>
          <w:rFonts w:ascii="Book Antiqua" w:hAnsi="Book Antiqua" w:cs="Book Antiqua"/>
          <w:bCs/>
          <w:color w:val="000000"/>
          <w:highlight w:val="none"/>
          <w:lang w:eastAsia="zh-CN"/>
        </w:rPr>
        <w:br w:type="page"/>
      </w:r>
      <w:r>
        <w:rPr>
          <w:rFonts w:ascii="Book Antiqua" w:hAnsi="Book Antiqua"/>
          <w:b/>
          <w:i w:val="0"/>
          <w:highlight w:val="none"/>
        </w:rPr>
        <w:t xml:space="preserve">Table 1 Main findings on </w:t>
      </w:r>
      <w:r>
        <w:rPr>
          <w:rFonts w:hint="eastAsia" w:ascii="Book Antiqua" w:hAnsi="Book Antiqua" w:eastAsiaTheme="minorEastAsia"/>
          <w:b/>
          <w:i w:val="0"/>
          <w:highlight w:val="none"/>
          <w:lang w:eastAsia="zh-CN"/>
        </w:rPr>
        <w:t>m</w:t>
      </w:r>
      <w:r>
        <w:rPr>
          <w:rFonts w:ascii="Book Antiqua" w:hAnsi="Book Antiqua"/>
          <w:b/>
          <w:i w:val="0"/>
          <w:highlight w:val="none"/>
        </w:rPr>
        <w:t xml:space="preserve">etabotropic glutamate receptors involvement in </w:t>
      </w:r>
      <w:r>
        <w:rPr>
          <w:rStyle w:val="9"/>
          <w:rFonts w:ascii="Book Antiqua" w:hAnsi="Book Antiqua"/>
          <w:b/>
          <w:bCs/>
          <w:i w:val="0"/>
          <w:iCs w:val="0"/>
          <w:highlight w:val="none"/>
          <w:shd w:val="clear" w:color="auto" w:fill="FFFFFF"/>
        </w:rPr>
        <w:t>rotenone</w:t>
      </w:r>
      <w:r>
        <w:rPr>
          <w:rFonts w:ascii="Book Antiqua" w:hAnsi="Book Antiqua"/>
          <w:b/>
          <w:i w:val="0"/>
          <w:highlight w:val="none"/>
          <w:shd w:val="clear" w:color="auto" w:fill="FFFFFF"/>
        </w:rPr>
        <w:t>-induced neurotoxicity</w:t>
      </w:r>
      <w:r>
        <w:rPr>
          <w:rFonts w:ascii="Book Antiqua" w:hAnsi="Book Antiqua"/>
          <w:b/>
          <w:i w:val="0"/>
          <w:highlight w:val="none"/>
        </w:rPr>
        <w:t xml:space="preserve"> </w:t>
      </w:r>
    </w:p>
    <w:tbl>
      <w:tblPr>
        <w:tblStyle w:val="6"/>
        <w:tblW w:w="9640" w:type="dxa"/>
        <w:tblInd w:w="-292" w:type="dxa"/>
        <w:tblBorders>
          <w:top w:val="single" w:color="000000" w:sz="6" w:space="0"/>
          <w:left w:val="none" w:color="auto" w:sz="0" w:space="0"/>
          <w:bottom w:val="single" w:color="000000" w:sz="6"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836"/>
        <w:gridCol w:w="2126"/>
        <w:gridCol w:w="2268"/>
        <w:gridCol w:w="2410"/>
      </w:tblGrid>
      <w:tr>
        <w:tblPrEx>
          <w:tblBorders>
            <w:top w:val="single" w:color="000000" w:sz="6" w:space="0"/>
            <w:left w:val="none" w:color="auto" w:sz="0" w:space="0"/>
            <w:bottom w:val="single" w:color="000000" w:sz="6"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Pr>
        <w:tc>
          <w:tcPr>
            <w:tcW w:w="2836" w:type="dxa"/>
            <w:tcBorders>
              <w:top w:val="single" w:color="000000" w:sz="6" w:space="0"/>
              <w:bottom w:val="single" w:color="000000" w:sz="6" w:space="0"/>
            </w:tcBorders>
          </w:tcPr>
          <w:p>
            <w:pPr>
              <w:adjustRightInd w:val="0"/>
              <w:snapToGrid w:val="0"/>
              <w:spacing w:line="360" w:lineRule="auto"/>
              <w:jc w:val="both"/>
              <w:rPr>
                <w:rFonts w:ascii="Book Antiqua" w:hAnsi="Book Antiqua"/>
                <w:highlight w:val="none"/>
                <w:lang w:eastAsia="zh-CN"/>
              </w:rPr>
            </w:pPr>
            <w:r>
              <w:rPr>
                <w:rFonts w:ascii="Book Antiqua" w:hAnsi="Book Antiqua"/>
                <w:b/>
                <w:bCs/>
                <w:highlight w:val="none"/>
              </w:rPr>
              <w:t>Ref</w:t>
            </w:r>
            <w:r>
              <w:rPr>
                <w:rFonts w:hint="eastAsia" w:ascii="Book Antiqua" w:hAnsi="Book Antiqua"/>
                <w:b/>
                <w:bCs/>
                <w:highlight w:val="none"/>
                <w:lang w:eastAsia="zh-CN"/>
              </w:rPr>
              <w:t>.</w:t>
            </w:r>
          </w:p>
        </w:tc>
        <w:tc>
          <w:tcPr>
            <w:tcW w:w="2126" w:type="dxa"/>
            <w:tcBorders>
              <w:top w:val="single" w:color="000000" w:sz="6" w:space="0"/>
              <w:bottom w:val="single" w:color="000000" w:sz="6" w:space="0"/>
            </w:tcBorders>
          </w:tcPr>
          <w:p>
            <w:pPr>
              <w:adjustRightInd w:val="0"/>
              <w:snapToGrid w:val="0"/>
              <w:spacing w:line="360" w:lineRule="auto"/>
              <w:jc w:val="both"/>
              <w:rPr>
                <w:rFonts w:ascii="Book Antiqua" w:hAnsi="Book Antiqua"/>
                <w:b/>
                <w:highlight w:val="none"/>
              </w:rPr>
            </w:pPr>
            <w:r>
              <w:rPr>
                <w:rFonts w:ascii="Book Antiqua" w:hAnsi="Book Antiqua"/>
                <w:b/>
                <w:highlight w:val="none"/>
              </w:rPr>
              <w:t>Object of study</w:t>
            </w:r>
          </w:p>
        </w:tc>
        <w:tc>
          <w:tcPr>
            <w:tcW w:w="2268" w:type="dxa"/>
            <w:tcBorders>
              <w:top w:val="single" w:color="000000" w:sz="6" w:space="0"/>
              <w:bottom w:val="single" w:color="000000" w:sz="6" w:space="0"/>
            </w:tcBorders>
          </w:tcPr>
          <w:p>
            <w:pPr>
              <w:adjustRightInd w:val="0"/>
              <w:snapToGrid w:val="0"/>
              <w:spacing w:line="360" w:lineRule="auto"/>
              <w:jc w:val="both"/>
              <w:rPr>
                <w:rFonts w:ascii="Book Antiqua" w:hAnsi="Book Antiqua"/>
                <w:b/>
                <w:highlight w:val="none"/>
              </w:rPr>
            </w:pPr>
            <w:r>
              <w:rPr>
                <w:rFonts w:ascii="Book Antiqua" w:hAnsi="Book Antiqua"/>
                <w:b/>
                <w:highlight w:val="none"/>
              </w:rPr>
              <w:t xml:space="preserve">mGluR type </w:t>
            </w:r>
          </w:p>
        </w:tc>
        <w:tc>
          <w:tcPr>
            <w:tcW w:w="2410" w:type="dxa"/>
            <w:tcBorders>
              <w:top w:val="single" w:color="000000" w:sz="6" w:space="0"/>
              <w:bottom w:val="single" w:color="000000" w:sz="6" w:space="0"/>
            </w:tcBorders>
          </w:tcPr>
          <w:p>
            <w:pPr>
              <w:adjustRightInd w:val="0"/>
              <w:snapToGrid w:val="0"/>
              <w:spacing w:line="360" w:lineRule="auto"/>
              <w:jc w:val="both"/>
              <w:rPr>
                <w:rFonts w:ascii="Book Antiqua" w:hAnsi="Book Antiqua"/>
                <w:b/>
                <w:highlight w:val="none"/>
              </w:rPr>
            </w:pPr>
            <w:r>
              <w:rPr>
                <w:rFonts w:ascii="Book Antiqua" w:hAnsi="Book Antiqua"/>
                <w:b/>
                <w:highlight w:val="none"/>
              </w:rPr>
              <w:t>Ligand</w:t>
            </w:r>
          </w:p>
        </w:tc>
      </w:tr>
      <w:tr>
        <w:tblPrEx>
          <w:tblBorders>
            <w:top w:val="single" w:color="000000" w:sz="6" w:space="0"/>
            <w:left w:val="none" w:color="auto" w:sz="0" w:space="0"/>
            <w:bottom w:val="single" w:color="000000" w:sz="6"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Pr>
        <w:tc>
          <w:tcPr>
            <w:tcW w:w="2836" w:type="dxa"/>
            <w:tcBorders>
              <w:top w:val="single" w:color="000000" w:sz="6" w:space="0"/>
            </w:tcBorders>
          </w:tcPr>
          <w:p>
            <w:pPr>
              <w:adjustRightInd w:val="0"/>
              <w:snapToGrid w:val="0"/>
              <w:spacing w:line="360" w:lineRule="auto"/>
              <w:jc w:val="both"/>
              <w:rPr>
                <w:rFonts w:ascii="Book Antiqua" w:hAnsi="Book Antiqua"/>
                <w:highlight w:val="none"/>
              </w:rPr>
            </w:pPr>
            <w:r>
              <w:rPr>
                <w:rFonts w:ascii="Book Antiqua" w:hAnsi="Book Antiqua"/>
                <w:bCs/>
                <w:highlight w:val="none"/>
              </w:rPr>
              <w:t>Luo</w:t>
            </w:r>
            <w:r>
              <w:rPr>
                <w:rFonts w:ascii="Book Antiqua" w:hAnsi="Book Antiqua"/>
                <w:highlight w:val="none"/>
                <w:lang w:eastAsia="ja-JP"/>
              </w:rPr>
              <w:t xml:space="preserve"> </w:t>
            </w:r>
            <w:r>
              <w:rPr>
                <w:rFonts w:ascii="Book Antiqua" w:hAnsi="Book Antiqua"/>
                <w:i/>
                <w:iCs/>
                <w:highlight w:val="none"/>
              </w:rPr>
              <w:t>et al</w:t>
            </w:r>
            <w:r>
              <w:rPr>
                <w:rFonts w:ascii="Book Antiqua" w:hAnsi="Book Antiqua"/>
                <w:highlight w:val="none"/>
                <w:vertAlign w:val="superscript"/>
              </w:rPr>
              <w:t>[67]</w:t>
            </w:r>
            <w:r>
              <w:rPr>
                <w:rFonts w:ascii="Book Antiqua" w:hAnsi="Book Antiqua"/>
                <w:highlight w:val="none"/>
              </w:rPr>
              <w:t>, 2019</w:t>
            </w:r>
            <w:r>
              <w:rPr>
                <w:rFonts w:ascii="Book Antiqua" w:hAnsi="Book Antiqua"/>
                <w:highlight w:val="none"/>
                <w:lang w:eastAsia="ja-JP"/>
              </w:rPr>
              <w:t xml:space="preserve"> </w:t>
            </w:r>
          </w:p>
        </w:tc>
        <w:tc>
          <w:tcPr>
            <w:tcW w:w="2126" w:type="dxa"/>
            <w:tcBorders>
              <w:top w:val="single" w:color="000000" w:sz="6" w:space="0"/>
            </w:tcBorders>
          </w:tcPr>
          <w:p>
            <w:pPr>
              <w:adjustRightInd w:val="0"/>
              <w:snapToGrid w:val="0"/>
              <w:spacing w:line="360" w:lineRule="auto"/>
              <w:jc w:val="both"/>
              <w:rPr>
                <w:rFonts w:ascii="Book Antiqua" w:hAnsi="Book Antiqua"/>
                <w:highlight w:val="none"/>
              </w:rPr>
            </w:pPr>
            <w:r>
              <w:rPr>
                <w:rFonts w:ascii="Book Antiqua" w:hAnsi="Book Antiqua"/>
                <w:highlight w:val="none"/>
              </w:rPr>
              <w:t>cell culture; rats</w:t>
            </w:r>
          </w:p>
        </w:tc>
        <w:tc>
          <w:tcPr>
            <w:tcW w:w="2268" w:type="dxa"/>
            <w:tcBorders>
              <w:top w:val="single" w:color="000000" w:sz="6" w:space="0"/>
            </w:tcBorders>
          </w:tcPr>
          <w:p>
            <w:pPr>
              <w:adjustRightInd w:val="0"/>
              <w:snapToGrid w:val="0"/>
              <w:spacing w:line="360" w:lineRule="auto"/>
              <w:jc w:val="both"/>
              <w:rPr>
                <w:rFonts w:ascii="Book Antiqua" w:hAnsi="Book Antiqua"/>
                <w:highlight w:val="none"/>
              </w:rPr>
            </w:pPr>
            <w:bookmarkStart w:id="66" w:name="OLE_LINK15"/>
            <w:bookmarkStart w:id="67" w:name="OLE_LINK16"/>
            <w:r>
              <w:rPr>
                <w:rFonts w:ascii="Book Antiqua" w:hAnsi="Book Antiqua"/>
                <w:highlight w:val="none"/>
              </w:rPr>
              <w:t>mGluR</w:t>
            </w:r>
            <w:bookmarkEnd w:id="66"/>
            <w:bookmarkEnd w:id="67"/>
            <w:r>
              <w:rPr>
                <w:rFonts w:ascii="Book Antiqua" w:hAnsi="Book Antiqua"/>
                <w:highlight w:val="none"/>
              </w:rPr>
              <w:t>5</w:t>
            </w:r>
          </w:p>
        </w:tc>
        <w:tc>
          <w:tcPr>
            <w:tcW w:w="2410" w:type="dxa"/>
            <w:tcBorders>
              <w:top w:val="single" w:color="000000" w:sz="6" w:space="0"/>
            </w:tcBorders>
          </w:tcPr>
          <w:p>
            <w:pPr>
              <w:adjustRightInd w:val="0"/>
              <w:snapToGrid w:val="0"/>
              <w:spacing w:line="360" w:lineRule="auto"/>
              <w:jc w:val="both"/>
              <w:rPr>
                <w:rFonts w:ascii="Book Antiqua" w:hAnsi="Book Antiqua"/>
                <w:highlight w:val="none"/>
              </w:rPr>
            </w:pPr>
            <w:r>
              <w:rPr>
                <w:rFonts w:ascii="Book Antiqua" w:hAnsi="Book Antiqua"/>
                <w:highlight w:val="none"/>
              </w:rPr>
              <w:t xml:space="preserve">Antagonist MPEP </w:t>
            </w:r>
          </w:p>
        </w:tc>
      </w:tr>
      <w:tr>
        <w:tblPrEx>
          <w:tblBorders>
            <w:top w:val="single" w:color="000000" w:sz="6" w:space="0"/>
            <w:left w:val="none" w:color="auto" w:sz="0" w:space="0"/>
            <w:bottom w:val="single" w:color="000000" w:sz="6"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Pr>
        <w:tc>
          <w:tcPr>
            <w:tcW w:w="2836" w:type="dxa"/>
          </w:tcPr>
          <w:p>
            <w:pPr>
              <w:adjustRightInd w:val="0"/>
              <w:snapToGrid w:val="0"/>
              <w:spacing w:line="360" w:lineRule="auto"/>
              <w:jc w:val="both"/>
              <w:rPr>
                <w:rFonts w:ascii="Book Antiqua" w:hAnsi="Book Antiqua"/>
                <w:i/>
                <w:iCs/>
                <w:highlight w:val="none"/>
              </w:rPr>
            </w:pPr>
            <w:r>
              <w:rPr>
                <w:rFonts w:ascii="Book Antiqua" w:hAnsi="Book Antiqua"/>
                <w:bCs/>
                <w:highlight w:val="none"/>
              </w:rPr>
              <w:t xml:space="preserve">Bai </w:t>
            </w:r>
            <w:r>
              <w:rPr>
                <w:rFonts w:ascii="Book Antiqua" w:hAnsi="Book Antiqua"/>
                <w:i/>
                <w:iCs/>
                <w:highlight w:val="none"/>
              </w:rPr>
              <w:t>et al</w:t>
            </w:r>
            <w:r>
              <w:rPr>
                <w:rFonts w:ascii="Book Antiqua" w:hAnsi="Book Antiqua"/>
                <w:highlight w:val="none"/>
                <w:vertAlign w:val="superscript"/>
              </w:rPr>
              <w:t>[</w:t>
            </w:r>
            <w:r>
              <w:rPr>
                <w:highlight w:val="none"/>
              </w:rPr>
              <w:fldChar w:fldCharType="begin"/>
            </w:r>
            <w:r>
              <w:rPr>
                <w:highlight w:val="none"/>
              </w:rPr>
              <w:instrText xml:space="preserve"> HYPERLINK "https://www.wjgnet.com/2220-3206/full/v10/i10/223.htm" \l "B42" </w:instrText>
            </w:r>
            <w:r>
              <w:rPr>
                <w:highlight w:val="none"/>
              </w:rPr>
              <w:fldChar w:fldCharType="separate"/>
            </w:r>
            <w:r>
              <w:rPr>
                <w:rStyle w:val="10"/>
                <w:rFonts w:ascii="Book Antiqua" w:hAnsi="Book Antiqua"/>
                <w:color w:val="auto"/>
                <w:highlight w:val="none"/>
                <w:u w:val="none"/>
                <w:vertAlign w:val="superscript"/>
              </w:rPr>
              <w:t>66</w:t>
            </w:r>
            <w:r>
              <w:rPr>
                <w:rStyle w:val="10"/>
                <w:rFonts w:ascii="Book Antiqua" w:hAnsi="Book Antiqua"/>
                <w:color w:val="auto"/>
                <w:highlight w:val="none"/>
                <w:u w:val="none"/>
                <w:vertAlign w:val="superscript"/>
              </w:rPr>
              <w:fldChar w:fldCharType="end"/>
            </w:r>
            <w:r>
              <w:rPr>
                <w:rFonts w:ascii="Book Antiqua" w:hAnsi="Book Antiqua"/>
                <w:highlight w:val="none"/>
                <w:vertAlign w:val="superscript"/>
              </w:rPr>
              <w:t>]</w:t>
            </w:r>
            <w:r>
              <w:rPr>
                <w:rFonts w:ascii="Book Antiqua" w:hAnsi="Book Antiqua"/>
                <w:highlight w:val="none"/>
              </w:rPr>
              <w:t>, 2018</w:t>
            </w:r>
          </w:p>
        </w:tc>
        <w:tc>
          <w:tcPr>
            <w:tcW w:w="2126" w:type="dxa"/>
          </w:tcPr>
          <w:p>
            <w:pPr>
              <w:adjustRightInd w:val="0"/>
              <w:snapToGrid w:val="0"/>
              <w:spacing w:line="360" w:lineRule="auto"/>
              <w:jc w:val="both"/>
              <w:rPr>
                <w:rFonts w:ascii="Book Antiqua" w:hAnsi="Book Antiqua"/>
                <w:highlight w:val="none"/>
              </w:rPr>
            </w:pPr>
            <w:r>
              <w:rPr>
                <w:rFonts w:ascii="Book Antiqua" w:hAnsi="Book Antiqua"/>
                <w:highlight w:val="none"/>
              </w:rPr>
              <w:t>cell culture</w:t>
            </w:r>
          </w:p>
        </w:tc>
        <w:tc>
          <w:tcPr>
            <w:tcW w:w="2268" w:type="dxa"/>
          </w:tcPr>
          <w:p>
            <w:pPr>
              <w:adjustRightInd w:val="0"/>
              <w:snapToGrid w:val="0"/>
              <w:spacing w:line="360" w:lineRule="auto"/>
              <w:jc w:val="both"/>
              <w:rPr>
                <w:rFonts w:ascii="Book Antiqua" w:hAnsi="Book Antiqua"/>
                <w:highlight w:val="none"/>
              </w:rPr>
            </w:pPr>
            <w:r>
              <w:rPr>
                <w:rFonts w:ascii="Book Antiqua" w:hAnsi="Book Antiqua"/>
                <w:highlight w:val="none"/>
              </w:rPr>
              <w:t>mGluR5</w:t>
            </w:r>
          </w:p>
        </w:tc>
        <w:tc>
          <w:tcPr>
            <w:tcW w:w="2410" w:type="dxa"/>
          </w:tcPr>
          <w:p>
            <w:pPr>
              <w:adjustRightInd w:val="0"/>
              <w:snapToGrid w:val="0"/>
              <w:spacing w:line="360" w:lineRule="auto"/>
              <w:jc w:val="both"/>
              <w:rPr>
                <w:rFonts w:ascii="Book Antiqua" w:hAnsi="Book Antiqua"/>
                <w:highlight w:val="none"/>
              </w:rPr>
            </w:pPr>
            <w:r>
              <w:rPr>
                <w:rFonts w:hint="eastAsia" w:ascii="Book Antiqua" w:hAnsi="Book Antiqua"/>
                <w:highlight w:val="none"/>
                <w:lang w:eastAsia="zh-CN"/>
              </w:rPr>
              <w:t>A</w:t>
            </w:r>
            <w:r>
              <w:rPr>
                <w:rFonts w:ascii="Book Antiqua" w:hAnsi="Book Antiqua"/>
                <w:highlight w:val="none"/>
              </w:rPr>
              <w:t>gonist CHPG; antagonist MPEP</w:t>
            </w:r>
          </w:p>
        </w:tc>
      </w:tr>
      <w:tr>
        <w:tblPrEx>
          <w:tblBorders>
            <w:top w:val="single" w:color="000000" w:sz="6" w:space="0"/>
            <w:left w:val="none" w:color="auto" w:sz="0" w:space="0"/>
            <w:bottom w:val="single" w:color="000000" w:sz="6"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Pr>
        <w:tc>
          <w:tcPr>
            <w:tcW w:w="2836" w:type="dxa"/>
          </w:tcPr>
          <w:p>
            <w:pPr>
              <w:adjustRightInd w:val="0"/>
              <w:snapToGrid w:val="0"/>
              <w:spacing w:line="360" w:lineRule="auto"/>
              <w:jc w:val="both"/>
              <w:rPr>
                <w:rFonts w:ascii="Book Antiqua" w:hAnsi="Book Antiqua"/>
                <w:highlight w:val="none"/>
              </w:rPr>
            </w:pPr>
            <w:r>
              <w:rPr>
                <w:rFonts w:ascii="Book Antiqua" w:hAnsi="Book Antiqua"/>
                <w:bCs/>
                <w:highlight w:val="none"/>
              </w:rPr>
              <w:t>Xia</w:t>
            </w:r>
            <w:r>
              <w:rPr>
                <w:rFonts w:ascii="Book Antiqua" w:hAnsi="Book Antiqua"/>
                <w:i/>
                <w:iCs/>
                <w:highlight w:val="none"/>
              </w:rPr>
              <w:t xml:space="preserve"> et al</w:t>
            </w:r>
            <w:r>
              <w:rPr>
                <w:rFonts w:ascii="Book Antiqua" w:hAnsi="Book Antiqua"/>
                <w:highlight w:val="none"/>
                <w:vertAlign w:val="superscript"/>
              </w:rPr>
              <w:t>[65]</w:t>
            </w:r>
            <w:r>
              <w:rPr>
                <w:rFonts w:ascii="Book Antiqua" w:hAnsi="Book Antiqua"/>
                <w:highlight w:val="none"/>
              </w:rPr>
              <w:t>, 2015</w:t>
            </w:r>
          </w:p>
        </w:tc>
        <w:tc>
          <w:tcPr>
            <w:tcW w:w="2126" w:type="dxa"/>
          </w:tcPr>
          <w:p>
            <w:pPr>
              <w:adjustRightInd w:val="0"/>
              <w:snapToGrid w:val="0"/>
              <w:spacing w:line="360" w:lineRule="auto"/>
              <w:jc w:val="both"/>
              <w:rPr>
                <w:rFonts w:ascii="Book Antiqua" w:hAnsi="Book Antiqua"/>
                <w:highlight w:val="none"/>
              </w:rPr>
            </w:pPr>
            <w:r>
              <w:rPr>
                <w:rFonts w:ascii="Book Antiqua" w:hAnsi="Book Antiqua"/>
                <w:highlight w:val="none"/>
              </w:rPr>
              <w:t>cell culture, rats</w:t>
            </w:r>
          </w:p>
        </w:tc>
        <w:tc>
          <w:tcPr>
            <w:tcW w:w="2268" w:type="dxa"/>
          </w:tcPr>
          <w:p>
            <w:pPr>
              <w:adjustRightInd w:val="0"/>
              <w:snapToGrid w:val="0"/>
              <w:spacing w:line="360" w:lineRule="auto"/>
              <w:jc w:val="both"/>
              <w:rPr>
                <w:rFonts w:ascii="Book Antiqua" w:hAnsi="Book Antiqua"/>
                <w:highlight w:val="none"/>
              </w:rPr>
            </w:pPr>
            <w:r>
              <w:rPr>
                <w:rFonts w:ascii="Book Antiqua" w:hAnsi="Book Antiqua"/>
                <w:highlight w:val="none"/>
              </w:rPr>
              <w:t>mGluR5</w:t>
            </w:r>
          </w:p>
        </w:tc>
        <w:tc>
          <w:tcPr>
            <w:tcW w:w="2410" w:type="dxa"/>
          </w:tcPr>
          <w:p>
            <w:pPr>
              <w:adjustRightInd w:val="0"/>
              <w:snapToGrid w:val="0"/>
              <w:spacing w:line="360" w:lineRule="auto"/>
              <w:jc w:val="both"/>
              <w:rPr>
                <w:rFonts w:ascii="Book Antiqua" w:hAnsi="Book Antiqua"/>
                <w:highlight w:val="none"/>
              </w:rPr>
            </w:pPr>
            <w:r>
              <w:rPr>
                <w:rFonts w:hint="eastAsia" w:ascii="Book Antiqua" w:hAnsi="Book Antiqua"/>
                <w:highlight w:val="none"/>
                <w:lang w:eastAsia="zh-CN"/>
              </w:rPr>
              <w:t>A</w:t>
            </w:r>
            <w:r>
              <w:rPr>
                <w:rFonts w:ascii="Book Antiqua" w:hAnsi="Book Antiqua"/>
                <w:highlight w:val="none"/>
              </w:rPr>
              <w:t>ntagonist MPEP</w:t>
            </w:r>
          </w:p>
        </w:tc>
      </w:tr>
      <w:tr>
        <w:tblPrEx>
          <w:tblBorders>
            <w:top w:val="single" w:color="000000" w:sz="6" w:space="0"/>
            <w:left w:val="none" w:color="auto" w:sz="0" w:space="0"/>
            <w:bottom w:val="single" w:color="000000" w:sz="6"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Pr>
        <w:tc>
          <w:tcPr>
            <w:tcW w:w="2836" w:type="dxa"/>
          </w:tcPr>
          <w:p>
            <w:pPr>
              <w:adjustRightInd w:val="0"/>
              <w:snapToGrid w:val="0"/>
              <w:spacing w:line="360" w:lineRule="auto"/>
              <w:jc w:val="both"/>
              <w:rPr>
                <w:rFonts w:ascii="Book Antiqua" w:hAnsi="Book Antiqua"/>
                <w:highlight w:val="none"/>
              </w:rPr>
            </w:pPr>
            <w:r>
              <w:rPr>
                <w:rFonts w:ascii="Book Antiqua" w:hAnsi="Book Antiqua"/>
                <w:bCs/>
                <w:highlight w:val="none"/>
              </w:rPr>
              <w:t>Bashkatova</w:t>
            </w:r>
            <w:r>
              <w:rPr>
                <w:rFonts w:ascii="Book Antiqua" w:hAnsi="Book Antiqua"/>
                <w:i/>
                <w:iCs/>
                <w:highlight w:val="none"/>
              </w:rPr>
              <w:t xml:space="preserve"> et al</w:t>
            </w:r>
            <w:r>
              <w:rPr>
                <w:rFonts w:ascii="Book Antiqua" w:hAnsi="Book Antiqua"/>
                <w:highlight w:val="none"/>
                <w:vertAlign w:val="superscript"/>
              </w:rPr>
              <w:t>[</w:t>
            </w:r>
            <w:r>
              <w:rPr>
                <w:highlight w:val="none"/>
              </w:rPr>
              <w:fldChar w:fldCharType="begin"/>
            </w:r>
            <w:r>
              <w:rPr>
                <w:highlight w:val="none"/>
              </w:rPr>
              <w:instrText xml:space="preserve"> HYPERLINK "https://www.wjgnet.com/2220-3206/full/v10/i10/223.htm" \l "B42" </w:instrText>
            </w:r>
            <w:r>
              <w:rPr>
                <w:highlight w:val="none"/>
              </w:rPr>
              <w:fldChar w:fldCharType="separate"/>
            </w:r>
            <w:r>
              <w:rPr>
                <w:rStyle w:val="10"/>
                <w:rFonts w:ascii="Book Antiqua" w:hAnsi="Book Antiqua"/>
                <w:color w:val="auto"/>
                <w:highlight w:val="none"/>
                <w:u w:val="none"/>
                <w:vertAlign w:val="superscript"/>
              </w:rPr>
              <w:t>69</w:t>
            </w:r>
            <w:r>
              <w:rPr>
                <w:rStyle w:val="10"/>
                <w:rFonts w:ascii="Book Antiqua" w:hAnsi="Book Antiqua"/>
                <w:color w:val="auto"/>
                <w:highlight w:val="none"/>
                <w:u w:val="none"/>
                <w:vertAlign w:val="superscript"/>
              </w:rPr>
              <w:fldChar w:fldCharType="end"/>
            </w:r>
            <w:r>
              <w:rPr>
                <w:rFonts w:ascii="Book Antiqua" w:hAnsi="Book Antiqua"/>
                <w:highlight w:val="none"/>
                <w:vertAlign w:val="superscript"/>
              </w:rPr>
              <w:t>]</w:t>
            </w:r>
            <w:r>
              <w:rPr>
                <w:rFonts w:ascii="Book Antiqua" w:hAnsi="Book Antiqua"/>
                <w:highlight w:val="none"/>
              </w:rPr>
              <w:t>, 2012</w:t>
            </w:r>
          </w:p>
        </w:tc>
        <w:tc>
          <w:tcPr>
            <w:tcW w:w="2126" w:type="dxa"/>
          </w:tcPr>
          <w:p>
            <w:pPr>
              <w:adjustRightInd w:val="0"/>
              <w:snapToGrid w:val="0"/>
              <w:spacing w:line="360" w:lineRule="auto"/>
              <w:jc w:val="both"/>
              <w:rPr>
                <w:rFonts w:ascii="Book Antiqua" w:hAnsi="Book Antiqua"/>
                <w:highlight w:val="none"/>
              </w:rPr>
            </w:pPr>
            <w:r>
              <w:rPr>
                <w:rFonts w:ascii="Book Antiqua" w:hAnsi="Book Antiqua"/>
                <w:highlight w:val="none"/>
              </w:rPr>
              <w:t>rats</w:t>
            </w:r>
          </w:p>
        </w:tc>
        <w:tc>
          <w:tcPr>
            <w:tcW w:w="2268" w:type="dxa"/>
          </w:tcPr>
          <w:p>
            <w:pPr>
              <w:adjustRightInd w:val="0"/>
              <w:snapToGrid w:val="0"/>
              <w:spacing w:line="360" w:lineRule="auto"/>
              <w:jc w:val="both"/>
              <w:rPr>
                <w:rFonts w:ascii="Book Antiqua" w:hAnsi="Book Antiqua"/>
                <w:highlight w:val="none"/>
              </w:rPr>
            </w:pPr>
            <w:r>
              <w:rPr>
                <w:rFonts w:ascii="Book Antiqua" w:hAnsi="Book Antiqua"/>
                <w:highlight w:val="none"/>
              </w:rPr>
              <w:t>mGluR5</w:t>
            </w:r>
          </w:p>
        </w:tc>
        <w:tc>
          <w:tcPr>
            <w:tcW w:w="2410" w:type="dxa"/>
          </w:tcPr>
          <w:p>
            <w:pPr>
              <w:adjustRightInd w:val="0"/>
              <w:snapToGrid w:val="0"/>
              <w:spacing w:line="360" w:lineRule="auto"/>
              <w:jc w:val="both"/>
              <w:rPr>
                <w:rFonts w:ascii="Book Antiqua" w:hAnsi="Book Antiqua"/>
                <w:highlight w:val="none"/>
              </w:rPr>
            </w:pPr>
            <w:r>
              <w:rPr>
                <w:rFonts w:hint="eastAsia" w:ascii="Book Antiqua" w:hAnsi="Book Antiqua"/>
                <w:highlight w:val="none"/>
                <w:lang w:eastAsia="zh-CN"/>
              </w:rPr>
              <w:t>A</w:t>
            </w:r>
            <w:r>
              <w:rPr>
                <w:rFonts w:ascii="Book Antiqua" w:hAnsi="Book Antiqua"/>
                <w:highlight w:val="none"/>
              </w:rPr>
              <w:t xml:space="preserve">ntagonist MPEP </w:t>
            </w:r>
          </w:p>
        </w:tc>
      </w:tr>
      <w:tr>
        <w:tblPrEx>
          <w:tblBorders>
            <w:top w:val="single" w:color="000000" w:sz="6" w:space="0"/>
            <w:left w:val="none" w:color="auto" w:sz="0" w:space="0"/>
            <w:bottom w:val="single" w:color="000000" w:sz="6"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Pr>
        <w:tc>
          <w:tcPr>
            <w:tcW w:w="2836" w:type="dxa"/>
          </w:tcPr>
          <w:p>
            <w:pPr>
              <w:adjustRightInd w:val="0"/>
              <w:snapToGrid w:val="0"/>
              <w:spacing w:line="360" w:lineRule="auto"/>
              <w:jc w:val="both"/>
              <w:rPr>
                <w:rFonts w:ascii="Book Antiqua" w:hAnsi="Book Antiqua"/>
                <w:i/>
                <w:iCs/>
                <w:highlight w:val="none"/>
              </w:rPr>
            </w:pPr>
            <w:r>
              <w:rPr>
                <w:rFonts w:ascii="Book Antiqua" w:hAnsi="Book Antiqua"/>
                <w:iCs/>
                <w:highlight w:val="none"/>
              </w:rPr>
              <w:t xml:space="preserve">Sun </w:t>
            </w:r>
            <w:r>
              <w:rPr>
                <w:rFonts w:ascii="Book Antiqua" w:hAnsi="Book Antiqua"/>
                <w:i/>
                <w:iCs/>
                <w:highlight w:val="none"/>
              </w:rPr>
              <w:t>et al</w:t>
            </w:r>
            <w:r>
              <w:rPr>
                <w:rFonts w:ascii="Book Antiqua" w:hAnsi="Book Antiqua"/>
                <w:highlight w:val="none"/>
                <w:vertAlign w:val="superscript"/>
              </w:rPr>
              <w:t>[64]</w:t>
            </w:r>
            <w:r>
              <w:rPr>
                <w:rFonts w:ascii="Book Antiqua" w:hAnsi="Book Antiqua"/>
                <w:highlight w:val="none"/>
              </w:rPr>
              <w:t>, 2012</w:t>
            </w:r>
          </w:p>
        </w:tc>
        <w:tc>
          <w:tcPr>
            <w:tcW w:w="2126" w:type="dxa"/>
          </w:tcPr>
          <w:p>
            <w:pPr>
              <w:adjustRightInd w:val="0"/>
              <w:snapToGrid w:val="0"/>
              <w:spacing w:line="360" w:lineRule="auto"/>
              <w:jc w:val="both"/>
              <w:rPr>
                <w:rFonts w:ascii="Book Antiqua" w:hAnsi="Book Antiqua"/>
                <w:highlight w:val="none"/>
              </w:rPr>
            </w:pPr>
            <w:r>
              <w:rPr>
                <w:rFonts w:ascii="Book Antiqua" w:hAnsi="Book Antiqua"/>
                <w:highlight w:val="none"/>
              </w:rPr>
              <w:t>cell culture, rats</w:t>
            </w:r>
          </w:p>
        </w:tc>
        <w:tc>
          <w:tcPr>
            <w:tcW w:w="2268" w:type="dxa"/>
          </w:tcPr>
          <w:p>
            <w:pPr>
              <w:adjustRightInd w:val="0"/>
              <w:snapToGrid w:val="0"/>
              <w:spacing w:line="360" w:lineRule="auto"/>
              <w:jc w:val="both"/>
              <w:rPr>
                <w:rFonts w:ascii="Book Antiqua" w:hAnsi="Book Antiqua"/>
                <w:highlight w:val="none"/>
              </w:rPr>
            </w:pPr>
            <w:r>
              <w:rPr>
                <w:rFonts w:ascii="Book Antiqua" w:hAnsi="Book Antiqua"/>
                <w:highlight w:val="none"/>
              </w:rPr>
              <w:t>group I mGluR</w:t>
            </w:r>
          </w:p>
        </w:tc>
        <w:tc>
          <w:tcPr>
            <w:tcW w:w="2410" w:type="dxa"/>
          </w:tcPr>
          <w:p>
            <w:pPr>
              <w:adjustRightInd w:val="0"/>
              <w:snapToGrid w:val="0"/>
              <w:spacing w:line="360" w:lineRule="auto"/>
              <w:jc w:val="both"/>
              <w:rPr>
                <w:rFonts w:ascii="Book Antiqua" w:hAnsi="Book Antiqua"/>
                <w:highlight w:val="none"/>
                <w:lang w:eastAsia="zh-CN"/>
              </w:rPr>
            </w:pPr>
            <w:r>
              <w:rPr>
                <w:rFonts w:hint="eastAsia" w:ascii="Book Antiqua" w:hAnsi="Book Antiqua"/>
                <w:highlight w:val="none"/>
                <w:lang w:eastAsia="zh-CN"/>
              </w:rPr>
              <w:t>A</w:t>
            </w:r>
            <w:r>
              <w:rPr>
                <w:rFonts w:ascii="Book Antiqua" w:hAnsi="Book Antiqua"/>
                <w:highlight w:val="none"/>
              </w:rPr>
              <w:t>gonist DHPG</w:t>
            </w:r>
          </w:p>
        </w:tc>
      </w:tr>
      <w:tr>
        <w:tblPrEx>
          <w:tblBorders>
            <w:top w:val="single" w:color="000000" w:sz="6" w:space="0"/>
            <w:left w:val="none" w:color="auto" w:sz="0" w:space="0"/>
            <w:bottom w:val="single" w:color="000000" w:sz="6"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Pr>
        <w:tc>
          <w:tcPr>
            <w:tcW w:w="2836" w:type="dxa"/>
          </w:tcPr>
          <w:p>
            <w:pPr>
              <w:adjustRightInd w:val="0"/>
              <w:snapToGrid w:val="0"/>
              <w:spacing w:line="360" w:lineRule="auto"/>
              <w:jc w:val="both"/>
              <w:rPr>
                <w:rFonts w:ascii="Book Antiqua" w:hAnsi="Book Antiqua"/>
                <w:i/>
                <w:iCs/>
                <w:highlight w:val="none"/>
              </w:rPr>
            </w:pPr>
            <w:r>
              <w:rPr>
                <w:rFonts w:ascii="Book Antiqua" w:hAnsi="Book Antiqua"/>
                <w:highlight w:val="none"/>
                <w:lang w:eastAsia="ja-JP"/>
              </w:rPr>
              <w:t>Zhu</w:t>
            </w:r>
            <w:r>
              <w:rPr>
                <w:rFonts w:ascii="Book Antiqua" w:hAnsi="Book Antiqua"/>
                <w:b/>
                <w:bCs/>
                <w:highlight w:val="none"/>
              </w:rPr>
              <w:t xml:space="preserve"> </w:t>
            </w:r>
            <w:r>
              <w:rPr>
                <w:rFonts w:ascii="Book Antiqua" w:hAnsi="Book Antiqua"/>
                <w:i/>
                <w:iCs/>
                <w:highlight w:val="none"/>
              </w:rPr>
              <w:t>et al</w:t>
            </w:r>
            <w:r>
              <w:rPr>
                <w:rFonts w:ascii="Book Antiqua" w:hAnsi="Book Antiqua"/>
                <w:highlight w:val="none"/>
                <w:vertAlign w:val="superscript"/>
              </w:rPr>
              <w:t>[68]</w:t>
            </w:r>
            <w:r>
              <w:rPr>
                <w:rFonts w:ascii="Book Antiqua" w:hAnsi="Book Antiqua"/>
                <w:highlight w:val="none"/>
              </w:rPr>
              <w:t>, 2012</w:t>
            </w:r>
          </w:p>
        </w:tc>
        <w:tc>
          <w:tcPr>
            <w:tcW w:w="2126" w:type="dxa"/>
          </w:tcPr>
          <w:p>
            <w:pPr>
              <w:adjustRightInd w:val="0"/>
              <w:snapToGrid w:val="0"/>
              <w:spacing w:line="360" w:lineRule="auto"/>
              <w:jc w:val="both"/>
              <w:rPr>
                <w:rFonts w:ascii="Book Antiqua" w:hAnsi="Book Antiqua"/>
                <w:highlight w:val="none"/>
              </w:rPr>
            </w:pPr>
            <w:r>
              <w:rPr>
                <w:rFonts w:ascii="Book Antiqua" w:hAnsi="Book Antiqua"/>
                <w:highlight w:val="none"/>
              </w:rPr>
              <w:t>cell culture, rats</w:t>
            </w:r>
          </w:p>
        </w:tc>
        <w:tc>
          <w:tcPr>
            <w:tcW w:w="2268" w:type="dxa"/>
          </w:tcPr>
          <w:p>
            <w:pPr>
              <w:adjustRightInd w:val="0"/>
              <w:snapToGrid w:val="0"/>
              <w:spacing w:line="360" w:lineRule="auto"/>
              <w:jc w:val="both"/>
              <w:rPr>
                <w:rFonts w:ascii="Book Antiqua" w:hAnsi="Book Antiqua"/>
                <w:highlight w:val="none"/>
              </w:rPr>
            </w:pPr>
            <w:r>
              <w:rPr>
                <w:rFonts w:ascii="Book Antiqua" w:hAnsi="Book Antiqua"/>
                <w:highlight w:val="none"/>
              </w:rPr>
              <w:t>mGluR5</w:t>
            </w:r>
          </w:p>
        </w:tc>
        <w:tc>
          <w:tcPr>
            <w:tcW w:w="2410" w:type="dxa"/>
          </w:tcPr>
          <w:p>
            <w:pPr>
              <w:adjustRightInd w:val="0"/>
              <w:snapToGrid w:val="0"/>
              <w:spacing w:line="360" w:lineRule="auto"/>
              <w:jc w:val="both"/>
              <w:rPr>
                <w:rFonts w:ascii="Book Antiqua" w:hAnsi="Book Antiqua"/>
                <w:highlight w:val="none"/>
              </w:rPr>
            </w:pPr>
            <w:r>
              <w:rPr>
                <w:rFonts w:hint="eastAsia" w:ascii="Book Antiqua" w:hAnsi="Book Antiqua"/>
                <w:highlight w:val="none"/>
                <w:lang w:eastAsia="zh-CN"/>
              </w:rPr>
              <w:t>A</w:t>
            </w:r>
            <w:r>
              <w:rPr>
                <w:rFonts w:ascii="Book Antiqua" w:hAnsi="Book Antiqua"/>
                <w:highlight w:val="none"/>
              </w:rPr>
              <w:t>ntagonist MPEP</w:t>
            </w:r>
          </w:p>
        </w:tc>
      </w:tr>
      <w:tr>
        <w:tblPrEx>
          <w:tblBorders>
            <w:top w:val="single" w:color="000000" w:sz="6" w:space="0"/>
            <w:left w:val="none" w:color="auto" w:sz="0" w:space="0"/>
            <w:bottom w:val="single" w:color="000000" w:sz="6"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Pr>
        <w:tc>
          <w:tcPr>
            <w:tcW w:w="2836" w:type="dxa"/>
          </w:tcPr>
          <w:p>
            <w:pPr>
              <w:adjustRightInd w:val="0"/>
              <w:snapToGrid w:val="0"/>
              <w:spacing w:line="360" w:lineRule="auto"/>
              <w:jc w:val="both"/>
              <w:rPr>
                <w:rFonts w:ascii="Book Antiqua" w:hAnsi="Book Antiqua"/>
                <w:highlight w:val="none"/>
              </w:rPr>
            </w:pPr>
            <w:r>
              <w:rPr>
                <w:rFonts w:ascii="Book Antiqua" w:hAnsi="Book Antiqua"/>
                <w:bCs/>
                <w:highlight w:val="none"/>
              </w:rPr>
              <w:t>Alam</w:t>
            </w:r>
            <w:r>
              <w:rPr>
                <w:rFonts w:ascii="Book Antiqua" w:hAnsi="Book Antiqua"/>
                <w:i/>
                <w:iCs/>
                <w:highlight w:val="none"/>
              </w:rPr>
              <w:t xml:space="preserve"> et al</w:t>
            </w:r>
            <w:r>
              <w:rPr>
                <w:rFonts w:ascii="Book Antiqua" w:hAnsi="Book Antiqua"/>
                <w:highlight w:val="none"/>
                <w:vertAlign w:val="superscript"/>
              </w:rPr>
              <w:t>[70]</w:t>
            </w:r>
            <w:r>
              <w:rPr>
                <w:rFonts w:ascii="Book Antiqua" w:hAnsi="Book Antiqua"/>
                <w:highlight w:val="none"/>
              </w:rPr>
              <w:t>, 2009</w:t>
            </w:r>
          </w:p>
        </w:tc>
        <w:tc>
          <w:tcPr>
            <w:tcW w:w="2126" w:type="dxa"/>
          </w:tcPr>
          <w:p>
            <w:pPr>
              <w:adjustRightInd w:val="0"/>
              <w:snapToGrid w:val="0"/>
              <w:spacing w:line="360" w:lineRule="auto"/>
              <w:jc w:val="both"/>
              <w:rPr>
                <w:rFonts w:ascii="Book Antiqua" w:hAnsi="Book Antiqua"/>
                <w:highlight w:val="none"/>
              </w:rPr>
            </w:pPr>
            <w:r>
              <w:rPr>
                <w:rFonts w:ascii="Book Antiqua" w:hAnsi="Book Antiqua"/>
                <w:highlight w:val="none"/>
              </w:rPr>
              <w:t>rats</w:t>
            </w:r>
          </w:p>
        </w:tc>
        <w:tc>
          <w:tcPr>
            <w:tcW w:w="2268" w:type="dxa"/>
          </w:tcPr>
          <w:p>
            <w:pPr>
              <w:adjustRightInd w:val="0"/>
              <w:snapToGrid w:val="0"/>
              <w:spacing w:line="360" w:lineRule="auto"/>
              <w:jc w:val="both"/>
              <w:rPr>
                <w:rFonts w:ascii="Book Antiqua" w:hAnsi="Book Antiqua"/>
                <w:highlight w:val="none"/>
              </w:rPr>
            </w:pPr>
            <w:r>
              <w:rPr>
                <w:rFonts w:ascii="Book Antiqua" w:hAnsi="Book Antiqua"/>
                <w:highlight w:val="none"/>
              </w:rPr>
              <w:t>mGluR5</w:t>
            </w:r>
          </w:p>
        </w:tc>
        <w:tc>
          <w:tcPr>
            <w:tcW w:w="2410" w:type="dxa"/>
          </w:tcPr>
          <w:p>
            <w:pPr>
              <w:adjustRightInd w:val="0"/>
              <w:snapToGrid w:val="0"/>
              <w:spacing w:line="360" w:lineRule="auto"/>
              <w:jc w:val="both"/>
              <w:rPr>
                <w:rFonts w:ascii="Book Antiqua" w:hAnsi="Book Antiqua"/>
                <w:highlight w:val="none"/>
              </w:rPr>
            </w:pPr>
            <w:r>
              <w:rPr>
                <w:rFonts w:hint="eastAsia" w:ascii="Book Antiqua" w:hAnsi="Book Antiqua"/>
                <w:highlight w:val="none"/>
                <w:lang w:eastAsia="zh-CN"/>
              </w:rPr>
              <w:t>A</w:t>
            </w:r>
            <w:r>
              <w:rPr>
                <w:rFonts w:ascii="Book Antiqua" w:hAnsi="Book Antiqua"/>
                <w:highlight w:val="none"/>
              </w:rPr>
              <w:t xml:space="preserve">ntagonist MPEP </w:t>
            </w:r>
          </w:p>
        </w:tc>
      </w:tr>
      <w:tr>
        <w:tblPrEx>
          <w:tblBorders>
            <w:top w:val="single" w:color="000000" w:sz="6" w:space="0"/>
            <w:left w:val="none" w:color="auto" w:sz="0" w:space="0"/>
            <w:bottom w:val="single" w:color="000000" w:sz="6"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Pr>
        <w:tc>
          <w:tcPr>
            <w:tcW w:w="2836" w:type="dxa"/>
          </w:tcPr>
          <w:p>
            <w:pPr>
              <w:adjustRightInd w:val="0"/>
              <w:snapToGrid w:val="0"/>
              <w:spacing w:line="360" w:lineRule="auto"/>
              <w:jc w:val="both"/>
              <w:rPr>
                <w:rFonts w:ascii="Book Antiqua" w:hAnsi="Book Antiqua"/>
                <w:i/>
                <w:iCs/>
                <w:highlight w:val="none"/>
              </w:rPr>
            </w:pPr>
            <w:r>
              <w:rPr>
                <w:rFonts w:ascii="Book Antiqua" w:hAnsi="Book Antiqua"/>
                <w:bCs/>
                <w:highlight w:val="none"/>
              </w:rPr>
              <w:t>Jiang</w:t>
            </w:r>
            <w:r>
              <w:rPr>
                <w:rFonts w:ascii="Book Antiqua" w:hAnsi="Book Antiqua"/>
                <w:i/>
                <w:iCs/>
                <w:highlight w:val="none"/>
              </w:rPr>
              <w:t xml:space="preserve"> et al</w:t>
            </w:r>
            <w:r>
              <w:rPr>
                <w:rFonts w:ascii="Book Antiqua" w:hAnsi="Book Antiqua"/>
                <w:highlight w:val="none"/>
                <w:vertAlign w:val="superscript"/>
              </w:rPr>
              <w:t>[63]</w:t>
            </w:r>
            <w:r>
              <w:rPr>
                <w:rFonts w:ascii="Book Antiqua" w:hAnsi="Book Antiqua"/>
                <w:highlight w:val="none"/>
              </w:rPr>
              <w:t xml:space="preserve">, 2006 </w:t>
            </w:r>
          </w:p>
        </w:tc>
        <w:tc>
          <w:tcPr>
            <w:tcW w:w="2126" w:type="dxa"/>
          </w:tcPr>
          <w:p>
            <w:pPr>
              <w:adjustRightInd w:val="0"/>
              <w:snapToGrid w:val="0"/>
              <w:spacing w:line="360" w:lineRule="auto"/>
              <w:jc w:val="both"/>
              <w:rPr>
                <w:rFonts w:ascii="Book Antiqua" w:hAnsi="Book Antiqua"/>
                <w:highlight w:val="none"/>
              </w:rPr>
            </w:pPr>
            <w:r>
              <w:rPr>
                <w:rFonts w:ascii="Book Antiqua" w:hAnsi="Book Antiqua"/>
                <w:highlight w:val="none"/>
              </w:rPr>
              <w:t>cell culture</w:t>
            </w:r>
          </w:p>
        </w:tc>
        <w:tc>
          <w:tcPr>
            <w:tcW w:w="2268" w:type="dxa"/>
          </w:tcPr>
          <w:p>
            <w:pPr>
              <w:adjustRightInd w:val="0"/>
              <w:snapToGrid w:val="0"/>
              <w:spacing w:line="360" w:lineRule="auto"/>
              <w:jc w:val="both"/>
              <w:rPr>
                <w:rFonts w:ascii="Book Antiqua" w:hAnsi="Book Antiqua"/>
                <w:highlight w:val="none"/>
              </w:rPr>
            </w:pPr>
            <w:r>
              <w:rPr>
                <w:rFonts w:ascii="Book Antiqua" w:hAnsi="Book Antiqua" w:cs="Arial"/>
                <w:color w:val="333333"/>
                <w:highlight w:val="none"/>
                <w:shd w:val="clear" w:color="auto" w:fill="FFFFFF"/>
              </w:rPr>
              <w:t>group III mGluR</w:t>
            </w:r>
          </w:p>
        </w:tc>
        <w:tc>
          <w:tcPr>
            <w:tcW w:w="2410" w:type="dxa"/>
          </w:tcPr>
          <w:p>
            <w:pPr>
              <w:adjustRightInd w:val="0"/>
              <w:snapToGrid w:val="0"/>
              <w:spacing w:line="360" w:lineRule="auto"/>
              <w:jc w:val="both"/>
              <w:rPr>
                <w:rFonts w:ascii="Book Antiqua" w:hAnsi="Book Antiqua"/>
                <w:highlight w:val="none"/>
              </w:rPr>
            </w:pPr>
            <w:r>
              <w:rPr>
                <w:rFonts w:hint="eastAsia" w:ascii="Book Antiqua" w:hAnsi="Book Antiqua"/>
                <w:highlight w:val="none"/>
                <w:lang w:eastAsia="zh-CN"/>
              </w:rPr>
              <w:t>A</w:t>
            </w:r>
            <w:r>
              <w:rPr>
                <w:rFonts w:ascii="Book Antiqua" w:hAnsi="Book Antiqua"/>
                <w:highlight w:val="none"/>
              </w:rPr>
              <w:t>gonist L-AP-4</w:t>
            </w:r>
          </w:p>
        </w:tc>
      </w:tr>
    </w:tbl>
    <w:p>
      <w:pPr>
        <w:pStyle w:val="14"/>
        <w:snapToGrid w:val="0"/>
        <w:spacing w:line="360" w:lineRule="auto"/>
        <w:rPr>
          <w:rFonts w:ascii="Book Antiqua" w:hAnsi="Book Antiqua" w:eastAsiaTheme="minorEastAsia"/>
          <w:i w:val="0"/>
          <w:highlight w:val="none"/>
          <w:lang w:eastAsia="zh-CN"/>
        </w:rPr>
      </w:pPr>
      <w:r>
        <w:rPr>
          <w:rFonts w:hint="eastAsia" w:ascii="Book Antiqua" w:hAnsi="Book Antiqua" w:eastAsiaTheme="minorEastAsia"/>
          <w:i w:val="0"/>
          <w:highlight w:val="none"/>
          <w:lang w:eastAsia="zh-CN"/>
        </w:rPr>
        <w:t>m</w:t>
      </w:r>
      <w:r>
        <w:rPr>
          <w:rFonts w:ascii="Book Antiqua" w:hAnsi="Book Antiqua"/>
          <w:i w:val="0"/>
          <w:highlight w:val="none"/>
        </w:rPr>
        <w:t>GluR</w:t>
      </w:r>
      <w:r>
        <w:rPr>
          <w:rFonts w:hint="eastAsia" w:ascii="Book Antiqua" w:hAnsi="Book Antiqua" w:eastAsiaTheme="minorEastAsia"/>
          <w:i w:val="0"/>
          <w:highlight w:val="none"/>
          <w:lang w:eastAsia="zh-CN"/>
        </w:rPr>
        <w:t xml:space="preserve">: </w:t>
      </w:r>
      <w:bookmarkStart w:id="68" w:name="OLE_LINK27"/>
      <w:bookmarkStart w:id="69" w:name="OLE_LINK28"/>
      <w:r>
        <w:rPr>
          <w:rFonts w:hint="eastAsia" w:ascii="Book Antiqua" w:hAnsi="Book Antiqua" w:eastAsiaTheme="minorEastAsia"/>
          <w:i w:val="0"/>
          <w:highlight w:val="none"/>
          <w:lang w:eastAsia="zh-CN"/>
        </w:rPr>
        <w:t>M</w:t>
      </w:r>
      <w:r>
        <w:rPr>
          <w:rFonts w:ascii="Book Antiqua" w:hAnsi="Book Antiqua" w:eastAsiaTheme="minorEastAsia"/>
          <w:i w:val="0"/>
          <w:highlight w:val="none"/>
          <w:lang w:eastAsia="zh-CN"/>
        </w:rPr>
        <w:t>etabotropic glutamate receptors</w:t>
      </w:r>
      <w:bookmarkEnd w:id="68"/>
      <w:bookmarkEnd w:id="69"/>
      <w:r>
        <w:rPr>
          <w:rFonts w:hint="eastAsia" w:ascii="Book Antiqua" w:hAnsi="Book Antiqua" w:eastAsiaTheme="minorEastAsia"/>
          <w:i w:val="0"/>
          <w:highlight w:val="none"/>
          <w:lang w:eastAsia="zh-CN"/>
        </w:rPr>
        <w:t xml:space="preserve">; MPEP: </w:t>
      </w:r>
      <w:r>
        <w:rPr>
          <w:rFonts w:ascii="Book Antiqua" w:hAnsi="Book Antiqua" w:eastAsia="Book Antiqua" w:cs="Book Antiqua"/>
          <w:i w:val="0"/>
          <w:color w:val="000000"/>
          <w:highlight w:val="none"/>
        </w:rPr>
        <w:t>2-methyl-6-(phenylethynyl) pyridine</w:t>
      </w:r>
      <w:r>
        <w:rPr>
          <w:rFonts w:hint="eastAsia" w:ascii="Book Antiqua" w:hAnsi="Book Antiqua" w:eastAsiaTheme="minorEastAsia"/>
          <w:i w:val="0"/>
          <w:highlight w:val="none"/>
          <w:lang w:eastAsia="zh-CN"/>
        </w:rPr>
        <w:t xml:space="preserve">; </w:t>
      </w:r>
      <w:bookmarkStart w:id="70" w:name="OLE_LINK22"/>
      <w:bookmarkStart w:id="71" w:name="OLE_LINK23"/>
      <w:r>
        <w:rPr>
          <w:rFonts w:hint="eastAsia" w:ascii="Book Antiqua" w:hAnsi="Book Antiqua" w:eastAsiaTheme="minorEastAsia"/>
          <w:i w:val="0"/>
          <w:highlight w:val="none"/>
          <w:lang w:eastAsia="zh-CN"/>
        </w:rPr>
        <w:t>CHPG</w:t>
      </w:r>
      <w:bookmarkEnd w:id="70"/>
      <w:bookmarkEnd w:id="71"/>
      <w:r>
        <w:rPr>
          <w:rFonts w:hint="eastAsia" w:ascii="Book Antiqua" w:hAnsi="Book Antiqua" w:eastAsiaTheme="minorEastAsia"/>
          <w:i w:val="0"/>
          <w:highlight w:val="none"/>
          <w:lang w:eastAsia="zh-CN"/>
        </w:rPr>
        <w:t>:</w:t>
      </w:r>
      <w:r>
        <w:rPr>
          <w:highlight w:val="none"/>
        </w:rPr>
        <w:t xml:space="preserve"> </w:t>
      </w:r>
      <w:r>
        <w:rPr>
          <w:rFonts w:ascii="Book Antiqua" w:hAnsi="Book Antiqua" w:eastAsiaTheme="minorEastAsia"/>
          <w:i w:val="0"/>
          <w:highlight w:val="none"/>
          <w:lang w:eastAsia="zh-CN"/>
        </w:rPr>
        <w:t>(RS)-2-chloro-5-hydroxyphenylglycine</w:t>
      </w:r>
      <w:r>
        <w:rPr>
          <w:rFonts w:hint="eastAsia" w:ascii="Book Antiqua" w:hAnsi="Book Antiqua" w:eastAsiaTheme="minorEastAsia"/>
          <w:i w:val="0"/>
          <w:highlight w:val="none"/>
          <w:lang w:eastAsia="zh-CN"/>
        </w:rPr>
        <w:t xml:space="preserve">; </w:t>
      </w:r>
      <w:bookmarkStart w:id="72" w:name="OLE_LINK24"/>
      <w:bookmarkStart w:id="73" w:name="OLE_LINK25"/>
      <w:r>
        <w:rPr>
          <w:rFonts w:hint="eastAsia" w:ascii="Book Antiqua" w:hAnsi="Book Antiqua" w:eastAsiaTheme="minorEastAsia"/>
          <w:i w:val="0"/>
          <w:highlight w:val="none"/>
          <w:lang w:eastAsia="zh-CN"/>
        </w:rPr>
        <w:t>DHPG</w:t>
      </w:r>
      <w:bookmarkEnd w:id="72"/>
      <w:bookmarkEnd w:id="73"/>
      <w:r>
        <w:rPr>
          <w:rFonts w:hint="eastAsia" w:ascii="Book Antiqua" w:hAnsi="Book Antiqua" w:eastAsiaTheme="minorEastAsia"/>
          <w:i w:val="0"/>
          <w:highlight w:val="none"/>
          <w:lang w:eastAsia="zh-CN"/>
        </w:rPr>
        <w:t xml:space="preserve">: </w:t>
      </w:r>
      <w:r>
        <w:rPr>
          <w:rFonts w:ascii="Book Antiqua" w:hAnsi="Book Antiqua" w:eastAsiaTheme="minorEastAsia"/>
          <w:i w:val="0"/>
          <w:highlight w:val="none"/>
          <w:lang w:eastAsia="zh-CN"/>
        </w:rPr>
        <w:t>(S)-3,5-</w:t>
      </w:r>
      <w:r>
        <w:rPr>
          <w:rFonts w:hint="eastAsia" w:ascii="Book Antiqua" w:hAnsi="Book Antiqua" w:eastAsiaTheme="minorEastAsia"/>
          <w:i w:val="0"/>
          <w:highlight w:val="none"/>
          <w:lang w:eastAsia="zh-CN"/>
        </w:rPr>
        <w:t>d</w:t>
      </w:r>
      <w:r>
        <w:rPr>
          <w:rFonts w:ascii="Book Antiqua" w:hAnsi="Book Antiqua" w:eastAsiaTheme="minorEastAsia"/>
          <w:i w:val="0"/>
          <w:highlight w:val="none"/>
          <w:lang w:eastAsia="zh-CN"/>
        </w:rPr>
        <w:t>ihydroxyphenylglycine</w:t>
      </w:r>
      <w:r>
        <w:rPr>
          <w:rFonts w:hint="eastAsia" w:ascii="Book Antiqua" w:hAnsi="Book Antiqua" w:eastAsiaTheme="minorEastAsia"/>
          <w:i w:val="0"/>
          <w:highlight w:val="none"/>
          <w:lang w:eastAsia="zh-CN"/>
        </w:rPr>
        <w:t>.</w:t>
      </w:r>
    </w:p>
    <w:p>
      <w:pPr>
        <w:pStyle w:val="14"/>
        <w:snapToGrid w:val="0"/>
        <w:spacing w:line="360" w:lineRule="auto"/>
        <w:rPr>
          <w:rFonts w:ascii="Book Antiqua" w:hAnsi="Book Antiqua"/>
          <w:b/>
          <w:i w:val="0"/>
          <w:highlight w:val="none"/>
        </w:rPr>
      </w:pPr>
      <w:r>
        <w:rPr>
          <w:rFonts w:ascii="Book Antiqua" w:hAnsi="Book Antiqua"/>
          <w:b/>
          <w:i w:val="0"/>
          <w:highlight w:val="none"/>
        </w:rPr>
        <w:br w:type="page"/>
      </w:r>
      <w:r>
        <w:rPr>
          <w:rFonts w:ascii="Book Antiqua" w:hAnsi="Book Antiqua"/>
          <w:b/>
          <w:i w:val="0"/>
          <w:highlight w:val="none"/>
        </w:rPr>
        <w:t xml:space="preserve">Table 2 Main finding on the determination of </w:t>
      </w:r>
      <w:r>
        <w:rPr>
          <w:rFonts w:hint="eastAsia" w:ascii="Book Antiqua" w:hAnsi="Book Antiqua" w:eastAsiaTheme="minorEastAsia"/>
          <w:b/>
          <w:i w:val="0"/>
          <w:highlight w:val="none"/>
          <w:lang w:eastAsia="zh-CN"/>
        </w:rPr>
        <w:t>n</w:t>
      </w:r>
      <w:r>
        <w:rPr>
          <w:rFonts w:ascii="Book Antiqua" w:hAnsi="Book Antiqua"/>
          <w:b/>
          <w:i w:val="0"/>
          <w:highlight w:val="none"/>
        </w:rPr>
        <w:t xml:space="preserve">itric oxide and its products/metabolites in the rotenone model of neurotoxicity </w:t>
      </w:r>
    </w:p>
    <w:tbl>
      <w:tblPr>
        <w:tblStyle w:val="6"/>
        <w:tblW w:w="5000" w:type="pct"/>
        <w:tblInd w:w="0" w:type="dxa"/>
        <w:tblBorders>
          <w:top w:val="single" w:color="000000" w:sz="6" w:space="0"/>
          <w:left w:val="none" w:color="auto" w:sz="0" w:space="0"/>
          <w:bottom w:val="single" w:color="000000" w:sz="6"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705"/>
        <w:gridCol w:w="1267"/>
        <w:gridCol w:w="1621"/>
        <w:gridCol w:w="2527"/>
        <w:gridCol w:w="2456"/>
      </w:tblGrid>
      <w:tr>
        <w:tblPrEx>
          <w:tblBorders>
            <w:top w:val="single" w:color="000000" w:sz="6" w:space="0"/>
            <w:left w:val="none" w:color="auto" w:sz="0" w:space="0"/>
            <w:bottom w:val="single" w:color="000000" w:sz="6" w:space="0"/>
            <w:right w:val="none" w:color="auto" w:sz="0" w:space="0"/>
            <w:insideH w:val="none" w:color="auto" w:sz="0" w:space="0"/>
            <w:insideV w:val="none" w:color="auto" w:sz="0" w:space="0"/>
          </w:tblBorders>
        </w:tblPrEx>
        <w:trPr>
          <w:cantSplit/>
        </w:trPr>
        <w:tc>
          <w:tcPr>
            <w:tcW w:w="1034" w:type="pct"/>
            <w:tcBorders>
              <w:top w:val="single" w:color="000000" w:sz="6" w:space="0"/>
              <w:bottom w:val="single" w:color="000000" w:sz="6" w:space="0"/>
            </w:tcBorders>
          </w:tcPr>
          <w:p>
            <w:pPr>
              <w:adjustRightInd w:val="0"/>
              <w:snapToGrid w:val="0"/>
              <w:spacing w:line="360" w:lineRule="auto"/>
              <w:jc w:val="both"/>
              <w:rPr>
                <w:rFonts w:ascii="Book Antiqua" w:hAnsi="Book Antiqua"/>
                <w:highlight w:val="none"/>
                <w:lang w:eastAsia="zh-CN"/>
              </w:rPr>
            </w:pPr>
            <w:r>
              <w:rPr>
                <w:rFonts w:ascii="Book Antiqua" w:hAnsi="Book Antiqua"/>
                <w:b/>
                <w:bCs/>
                <w:highlight w:val="none"/>
              </w:rPr>
              <w:t>Ref</w:t>
            </w:r>
            <w:r>
              <w:rPr>
                <w:rFonts w:hint="eastAsia" w:ascii="Book Antiqua" w:hAnsi="Book Antiqua"/>
                <w:b/>
                <w:bCs/>
                <w:highlight w:val="none"/>
                <w:lang w:eastAsia="zh-CN"/>
              </w:rPr>
              <w:t>.</w:t>
            </w:r>
          </w:p>
        </w:tc>
        <w:tc>
          <w:tcPr>
            <w:tcW w:w="805" w:type="pct"/>
            <w:tcBorders>
              <w:top w:val="single" w:color="000000" w:sz="6" w:space="0"/>
              <w:bottom w:val="single" w:color="000000" w:sz="6" w:space="0"/>
            </w:tcBorders>
          </w:tcPr>
          <w:p>
            <w:pPr>
              <w:adjustRightInd w:val="0"/>
              <w:snapToGrid w:val="0"/>
              <w:spacing w:line="360" w:lineRule="auto"/>
              <w:jc w:val="both"/>
              <w:rPr>
                <w:rFonts w:ascii="Book Antiqua" w:hAnsi="Book Antiqua"/>
                <w:b/>
                <w:highlight w:val="none"/>
              </w:rPr>
            </w:pPr>
            <w:r>
              <w:rPr>
                <w:rFonts w:ascii="Book Antiqua" w:hAnsi="Book Antiqua"/>
                <w:b/>
                <w:highlight w:val="none"/>
              </w:rPr>
              <w:t>Dose of rotenone</w:t>
            </w:r>
          </w:p>
        </w:tc>
        <w:tc>
          <w:tcPr>
            <w:tcW w:w="666" w:type="pct"/>
            <w:tcBorders>
              <w:top w:val="single" w:color="000000" w:sz="6" w:space="0"/>
              <w:bottom w:val="single" w:color="000000" w:sz="6" w:space="0"/>
            </w:tcBorders>
          </w:tcPr>
          <w:p>
            <w:pPr>
              <w:adjustRightInd w:val="0"/>
              <w:snapToGrid w:val="0"/>
              <w:spacing w:line="360" w:lineRule="auto"/>
              <w:jc w:val="both"/>
              <w:rPr>
                <w:rFonts w:ascii="Book Antiqua" w:hAnsi="Book Antiqua"/>
                <w:b/>
                <w:highlight w:val="none"/>
              </w:rPr>
            </w:pPr>
            <w:r>
              <w:rPr>
                <w:rFonts w:ascii="Book Antiqua" w:hAnsi="Book Antiqua"/>
                <w:b/>
                <w:highlight w:val="none"/>
              </w:rPr>
              <w:t xml:space="preserve">Duration </w:t>
            </w:r>
          </w:p>
        </w:tc>
        <w:tc>
          <w:tcPr>
            <w:tcW w:w="1323" w:type="pct"/>
            <w:tcBorders>
              <w:top w:val="single" w:color="000000" w:sz="6" w:space="0"/>
              <w:bottom w:val="single" w:color="000000" w:sz="6" w:space="0"/>
            </w:tcBorders>
          </w:tcPr>
          <w:p>
            <w:pPr>
              <w:adjustRightInd w:val="0"/>
              <w:snapToGrid w:val="0"/>
              <w:spacing w:line="360" w:lineRule="auto"/>
              <w:jc w:val="both"/>
              <w:rPr>
                <w:rFonts w:ascii="Book Antiqua" w:hAnsi="Book Antiqua"/>
                <w:highlight w:val="none"/>
              </w:rPr>
            </w:pPr>
            <w:r>
              <w:rPr>
                <w:rFonts w:ascii="Book Antiqua" w:hAnsi="Book Antiqua"/>
                <w:b/>
                <w:highlight w:val="none"/>
              </w:rPr>
              <w:t>NO or its products/metabolites</w:t>
            </w:r>
            <w:r>
              <w:rPr>
                <w:rFonts w:ascii="Book Antiqua" w:hAnsi="Book Antiqua"/>
                <w:highlight w:val="none"/>
              </w:rPr>
              <w:t xml:space="preserve"> </w:t>
            </w:r>
          </w:p>
        </w:tc>
        <w:tc>
          <w:tcPr>
            <w:tcW w:w="1172" w:type="pct"/>
            <w:tcBorders>
              <w:top w:val="single" w:color="000000" w:sz="6" w:space="0"/>
              <w:bottom w:val="single" w:color="000000" w:sz="6" w:space="0"/>
            </w:tcBorders>
          </w:tcPr>
          <w:p>
            <w:pPr>
              <w:adjustRightInd w:val="0"/>
              <w:snapToGrid w:val="0"/>
              <w:spacing w:line="360" w:lineRule="auto"/>
              <w:jc w:val="both"/>
              <w:rPr>
                <w:rFonts w:ascii="Book Antiqua" w:hAnsi="Book Antiqua"/>
                <w:b/>
                <w:highlight w:val="none"/>
              </w:rPr>
            </w:pPr>
            <w:r>
              <w:rPr>
                <w:rFonts w:ascii="Book Antiqua" w:hAnsi="Book Antiqua"/>
                <w:b/>
                <w:highlight w:val="none"/>
              </w:rPr>
              <w:t>Method of NO</w:t>
            </w:r>
            <w:r>
              <w:rPr>
                <w:rFonts w:hint="eastAsia" w:ascii="Book Antiqua" w:hAnsi="Book Antiqua"/>
                <w:b/>
                <w:highlight w:val="none"/>
                <w:lang w:eastAsia="zh-CN"/>
              </w:rPr>
              <w:t xml:space="preserve"> </w:t>
            </w:r>
            <w:r>
              <w:rPr>
                <w:rFonts w:ascii="Book Antiqua" w:hAnsi="Book Antiqua"/>
                <w:b/>
                <w:highlight w:val="none"/>
              </w:rPr>
              <w:t>determination</w:t>
            </w:r>
          </w:p>
        </w:tc>
      </w:tr>
      <w:tr>
        <w:tblPrEx>
          <w:tblBorders>
            <w:top w:val="single" w:color="000000" w:sz="6" w:space="0"/>
            <w:left w:val="none" w:color="auto" w:sz="0" w:space="0"/>
            <w:bottom w:val="single" w:color="000000" w:sz="6"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Pr>
        <w:tc>
          <w:tcPr>
            <w:tcW w:w="1034" w:type="pct"/>
            <w:tcBorders>
              <w:top w:val="single" w:color="000000" w:sz="6" w:space="0"/>
            </w:tcBorders>
          </w:tcPr>
          <w:p>
            <w:pPr>
              <w:adjustRightInd w:val="0"/>
              <w:snapToGrid w:val="0"/>
              <w:spacing w:line="360" w:lineRule="auto"/>
              <w:jc w:val="both"/>
              <w:rPr>
                <w:rFonts w:ascii="Book Antiqua" w:hAnsi="Book Antiqua"/>
                <w:bCs/>
                <w:highlight w:val="none"/>
              </w:rPr>
            </w:pPr>
            <w:r>
              <w:rPr>
                <w:rFonts w:ascii="Book Antiqua" w:hAnsi="Book Antiqua"/>
                <w:highlight w:val="none"/>
                <w:lang w:eastAsia="ja-JP"/>
              </w:rPr>
              <w:t>Kumar</w:t>
            </w:r>
            <w:r>
              <w:rPr>
                <w:rFonts w:ascii="Book Antiqua" w:hAnsi="Book Antiqua"/>
                <w:i/>
                <w:iCs/>
                <w:highlight w:val="none"/>
              </w:rPr>
              <w:t xml:space="preserve"> et al</w:t>
            </w:r>
            <w:r>
              <w:rPr>
                <w:rFonts w:ascii="Book Antiqua" w:hAnsi="Book Antiqua"/>
                <w:highlight w:val="none"/>
                <w:vertAlign w:val="superscript"/>
              </w:rPr>
              <w:t>[91]</w:t>
            </w:r>
            <w:r>
              <w:rPr>
                <w:rFonts w:ascii="Book Antiqua" w:hAnsi="Book Antiqua"/>
                <w:highlight w:val="none"/>
              </w:rPr>
              <w:t>, 2021</w:t>
            </w:r>
          </w:p>
        </w:tc>
        <w:tc>
          <w:tcPr>
            <w:tcW w:w="805" w:type="pct"/>
            <w:tcBorders>
              <w:top w:val="single" w:color="000000" w:sz="6" w:space="0"/>
            </w:tcBorders>
          </w:tcPr>
          <w:p>
            <w:pPr>
              <w:adjustRightInd w:val="0"/>
              <w:snapToGrid w:val="0"/>
              <w:spacing w:line="360" w:lineRule="auto"/>
              <w:jc w:val="both"/>
              <w:rPr>
                <w:rFonts w:ascii="Book Antiqua" w:hAnsi="Book Antiqua"/>
                <w:highlight w:val="none"/>
              </w:rPr>
            </w:pPr>
            <w:r>
              <w:rPr>
                <w:rFonts w:ascii="Book Antiqua" w:hAnsi="Book Antiqua"/>
                <w:highlight w:val="none"/>
              </w:rPr>
              <w:t>2.0 mg/kg</w:t>
            </w:r>
          </w:p>
        </w:tc>
        <w:tc>
          <w:tcPr>
            <w:tcW w:w="666" w:type="pct"/>
            <w:tcBorders>
              <w:top w:val="single" w:color="000000" w:sz="6" w:space="0"/>
            </w:tcBorders>
          </w:tcPr>
          <w:p>
            <w:pPr>
              <w:adjustRightInd w:val="0"/>
              <w:snapToGrid w:val="0"/>
              <w:spacing w:line="360" w:lineRule="auto"/>
              <w:jc w:val="both"/>
              <w:rPr>
                <w:rFonts w:ascii="Book Antiqua" w:hAnsi="Book Antiqua"/>
                <w:highlight w:val="none"/>
              </w:rPr>
            </w:pPr>
            <w:r>
              <w:rPr>
                <w:rFonts w:ascii="Book Antiqua" w:hAnsi="Book Antiqua"/>
                <w:highlight w:val="none"/>
              </w:rPr>
              <w:t>28</w:t>
            </w:r>
          </w:p>
        </w:tc>
        <w:tc>
          <w:tcPr>
            <w:tcW w:w="1323" w:type="pct"/>
            <w:tcBorders>
              <w:top w:val="single" w:color="000000" w:sz="6" w:space="0"/>
            </w:tcBorders>
          </w:tcPr>
          <w:p>
            <w:pPr>
              <w:adjustRightInd w:val="0"/>
              <w:snapToGrid w:val="0"/>
              <w:spacing w:line="360" w:lineRule="auto"/>
              <w:jc w:val="both"/>
              <w:rPr>
                <w:rFonts w:ascii="Book Antiqua" w:hAnsi="Book Antiqua"/>
                <w:highlight w:val="none"/>
              </w:rPr>
            </w:pPr>
            <w:r>
              <w:rPr>
                <w:rFonts w:ascii="Book Antiqua" w:hAnsi="Book Antiqua" w:cs="Times"/>
                <w:highlight w:val="none"/>
              </w:rPr>
              <w:t xml:space="preserve">Nitrite </w:t>
            </w:r>
          </w:p>
        </w:tc>
        <w:tc>
          <w:tcPr>
            <w:tcW w:w="1172" w:type="pct"/>
            <w:tcBorders>
              <w:top w:val="single" w:color="000000" w:sz="6" w:space="0"/>
            </w:tcBorders>
          </w:tcPr>
          <w:p>
            <w:pPr>
              <w:adjustRightInd w:val="0"/>
              <w:snapToGrid w:val="0"/>
              <w:spacing w:line="360" w:lineRule="auto"/>
              <w:jc w:val="both"/>
              <w:rPr>
                <w:rFonts w:ascii="Book Antiqua" w:hAnsi="Book Antiqua"/>
                <w:highlight w:val="none"/>
              </w:rPr>
            </w:pPr>
            <w:r>
              <w:rPr>
                <w:rFonts w:ascii="Book Antiqua" w:hAnsi="Book Antiqua"/>
                <w:highlight w:val="none"/>
              </w:rPr>
              <w:t>Spectrophotometry</w:t>
            </w:r>
          </w:p>
        </w:tc>
      </w:tr>
      <w:tr>
        <w:tblPrEx>
          <w:tblBorders>
            <w:top w:val="single" w:color="000000" w:sz="6" w:space="0"/>
            <w:left w:val="none" w:color="auto" w:sz="0" w:space="0"/>
            <w:bottom w:val="single" w:color="000000" w:sz="6"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Pr>
        <w:tc>
          <w:tcPr>
            <w:tcW w:w="1034" w:type="pct"/>
          </w:tcPr>
          <w:p>
            <w:pPr>
              <w:adjustRightInd w:val="0"/>
              <w:snapToGrid w:val="0"/>
              <w:spacing w:line="360" w:lineRule="auto"/>
              <w:jc w:val="both"/>
              <w:rPr>
                <w:rFonts w:ascii="Book Antiqua" w:hAnsi="Book Antiqua"/>
                <w:bCs/>
                <w:highlight w:val="none"/>
              </w:rPr>
            </w:pPr>
            <w:r>
              <w:rPr>
                <w:rFonts w:ascii="Book Antiqua" w:hAnsi="Book Antiqua"/>
                <w:bCs/>
                <w:highlight w:val="none"/>
              </w:rPr>
              <w:t>Parkhe</w:t>
            </w:r>
            <w:r>
              <w:rPr>
                <w:rFonts w:ascii="Book Antiqua" w:hAnsi="Book Antiqua"/>
                <w:highlight w:val="none"/>
                <w:lang w:eastAsia="ja-JP"/>
              </w:rPr>
              <w:t xml:space="preserve"> </w:t>
            </w:r>
            <w:r>
              <w:rPr>
                <w:rFonts w:ascii="Book Antiqua" w:hAnsi="Book Antiqua"/>
                <w:i/>
                <w:iCs/>
                <w:highlight w:val="none"/>
              </w:rPr>
              <w:t>et al</w:t>
            </w:r>
            <w:r>
              <w:rPr>
                <w:rFonts w:ascii="Book Antiqua" w:hAnsi="Book Antiqua"/>
                <w:highlight w:val="none"/>
                <w:vertAlign w:val="superscript"/>
              </w:rPr>
              <w:t>[</w:t>
            </w:r>
            <w:r>
              <w:rPr>
                <w:highlight w:val="none"/>
              </w:rPr>
              <w:fldChar w:fldCharType="begin"/>
            </w:r>
            <w:r>
              <w:rPr>
                <w:highlight w:val="none"/>
              </w:rPr>
              <w:instrText xml:space="preserve"> HYPERLINK "https://www.wjgnet.com/2220-3206/full/v10/i10/223.htm" \l "B42" </w:instrText>
            </w:r>
            <w:r>
              <w:rPr>
                <w:highlight w:val="none"/>
              </w:rPr>
              <w:fldChar w:fldCharType="separate"/>
            </w:r>
            <w:r>
              <w:rPr>
                <w:rStyle w:val="10"/>
                <w:rFonts w:ascii="Book Antiqua" w:hAnsi="Book Antiqua"/>
                <w:color w:val="auto"/>
                <w:highlight w:val="none"/>
                <w:vertAlign w:val="superscript"/>
              </w:rPr>
              <w:t>92</w:t>
            </w:r>
            <w:r>
              <w:rPr>
                <w:rStyle w:val="10"/>
                <w:rFonts w:ascii="Book Antiqua" w:hAnsi="Book Antiqua"/>
                <w:color w:val="auto"/>
                <w:highlight w:val="none"/>
                <w:vertAlign w:val="superscript"/>
              </w:rPr>
              <w:fldChar w:fldCharType="end"/>
            </w:r>
            <w:r>
              <w:rPr>
                <w:rFonts w:ascii="Book Antiqua" w:hAnsi="Book Antiqua"/>
                <w:highlight w:val="none"/>
                <w:vertAlign w:val="superscript"/>
              </w:rPr>
              <w:t>]</w:t>
            </w:r>
            <w:r>
              <w:rPr>
                <w:rFonts w:ascii="Book Antiqua" w:hAnsi="Book Antiqua"/>
                <w:highlight w:val="none"/>
              </w:rPr>
              <w:t>, 2020</w:t>
            </w:r>
          </w:p>
        </w:tc>
        <w:tc>
          <w:tcPr>
            <w:tcW w:w="805" w:type="pct"/>
          </w:tcPr>
          <w:p>
            <w:pPr>
              <w:adjustRightInd w:val="0"/>
              <w:snapToGrid w:val="0"/>
              <w:spacing w:line="360" w:lineRule="auto"/>
              <w:jc w:val="both"/>
              <w:rPr>
                <w:rFonts w:ascii="Book Antiqua" w:hAnsi="Book Antiqua"/>
                <w:highlight w:val="none"/>
              </w:rPr>
            </w:pPr>
            <w:r>
              <w:rPr>
                <w:rFonts w:ascii="Book Antiqua" w:hAnsi="Book Antiqua"/>
                <w:highlight w:val="none"/>
              </w:rPr>
              <w:t>2.0 mg/kg</w:t>
            </w:r>
          </w:p>
        </w:tc>
        <w:tc>
          <w:tcPr>
            <w:tcW w:w="666" w:type="pct"/>
          </w:tcPr>
          <w:p>
            <w:pPr>
              <w:adjustRightInd w:val="0"/>
              <w:snapToGrid w:val="0"/>
              <w:spacing w:line="360" w:lineRule="auto"/>
              <w:jc w:val="both"/>
              <w:rPr>
                <w:rFonts w:ascii="Book Antiqua" w:hAnsi="Book Antiqua"/>
                <w:highlight w:val="none"/>
              </w:rPr>
            </w:pPr>
            <w:r>
              <w:rPr>
                <w:rFonts w:ascii="Book Antiqua" w:hAnsi="Book Antiqua"/>
                <w:highlight w:val="none"/>
              </w:rPr>
              <w:t>21</w:t>
            </w:r>
          </w:p>
        </w:tc>
        <w:tc>
          <w:tcPr>
            <w:tcW w:w="1323" w:type="pct"/>
          </w:tcPr>
          <w:p>
            <w:pPr>
              <w:adjustRightInd w:val="0"/>
              <w:snapToGrid w:val="0"/>
              <w:spacing w:line="360" w:lineRule="auto"/>
              <w:jc w:val="both"/>
              <w:rPr>
                <w:rFonts w:ascii="Book Antiqua" w:hAnsi="Book Antiqua"/>
                <w:highlight w:val="none"/>
              </w:rPr>
            </w:pPr>
            <w:r>
              <w:rPr>
                <w:rFonts w:ascii="Book Antiqua" w:hAnsi="Book Antiqua" w:cs="Times"/>
                <w:highlight w:val="none"/>
              </w:rPr>
              <w:t xml:space="preserve">Nitrite </w:t>
            </w:r>
          </w:p>
        </w:tc>
        <w:tc>
          <w:tcPr>
            <w:tcW w:w="1172" w:type="pct"/>
          </w:tcPr>
          <w:p>
            <w:pPr>
              <w:adjustRightInd w:val="0"/>
              <w:snapToGrid w:val="0"/>
              <w:spacing w:line="360" w:lineRule="auto"/>
              <w:jc w:val="both"/>
              <w:rPr>
                <w:rFonts w:ascii="Book Antiqua" w:hAnsi="Book Antiqua"/>
                <w:highlight w:val="none"/>
              </w:rPr>
            </w:pPr>
            <w:r>
              <w:rPr>
                <w:rFonts w:ascii="Book Antiqua" w:hAnsi="Book Antiqua"/>
                <w:highlight w:val="none"/>
              </w:rPr>
              <w:t>Spectrophotometry</w:t>
            </w:r>
          </w:p>
        </w:tc>
      </w:tr>
      <w:tr>
        <w:tblPrEx>
          <w:tblBorders>
            <w:top w:val="single" w:color="000000" w:sz="6" w:space="0"/>
            <w:left w:val="none" w:color="auto" w:sz="0" w:space="0"/>
            <w:bottom w:val="single" w:color="000000" w:sz="6"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Pr>
        <w:tc>
          <w:tcPr>
            <w:tcW w:w="1034" w:type="pct"/>
          </w:tcPr>
          <w:p>
            <w:pPr>
              <w:adjustRightInd w:val="0"/>
              <w:snapToGrid w:val="0"/>
              <w:spacing w:line="360" w:lineRule="auto"/>
              <w:jc w:val="both"/>
              <w:rPr>
                <w:rFonts w:ascii="Book Antiqua" w:hAnsi="Book Antiqua"/>
                <w:bCs/>
                <w:highlight w:val="none"/>
              </w:rPr>
            </w:pPr>
            <w:r>
              <w:rPr>
                <w:rFonts w:ascii="Book Antiqua" w:hAnsi="Book Antiqua"/>
                <w:highlight w:val="none"/>
                <w:lang w:eastAsia="ja-JP"/>
              </w:rPr>
              <w:t xml:space="preserve">Sharma </w:t>
            </w:r>
            <w:r>
              <w:rPr>
                <w:rFonts w:ascii="Book Antiqua" w:hAnsi="Book Antiqua"/>
                <w:i/>
                <w:iCs/>
                <w:highlight w:val="none"/>
              </w:rPr>
              <w:t>et al</w:t>
            </w:r>
            <w:r>
              <w:rPr>
                <w:rFonts w:ascii="Book Antiqua" w:hAnsi="Book Antiqua"/>
                <w:highlight w:val="none"/>
                <w:vertAlign w:val="superscript"/>
              </w:rPr>
              <w:t>[</w:t>
            </w:r>
            <w:r>
              <w:rPr>
                <w:highlight w:val="none"/>
              </w:rPr>
              <w:fldChar w:fldCharType="begin"/>
            </w:r>
            <w:r>
              <w:rPr>
                <w:highlight w:val="none"/>
              </w:rPr>
              <w:instrText xml:space="preserve"> HYPERLINK "https://www.wjgnet.com/2220-3206/full/v10/i10/223.htm" \l "B42" </w:instrText>
            </w:r>
            <w:r>
              <w:rPr>
                <w:highlight w:val="none"/>
              </w:rPr>
              <w:fldChar w:fldCharType="separate"/>
            </w:r>
            <w:r>
              <w:rPr>
                <w:rStyle w:val="10"/>
                <w:rFonts w:ascii="Book Antiqua" w:hAnsi="Book Antiqua"/>
                <w:color w:val="auto"/>
                <w:highlight w:val="none"/>
                <w:vertAlign w:val="superscript"/>
              </w:rPr>
              <w:t>93</w:t>
            </w:r>
            <w:r>
              <w:rPr>
                <w:rStyle w:val="10"/>
                <w:rFonts w:ascii="Book Antiqua" w:hAnsi="Book Antiqua"/>
                <w:color w:val="auto"/>
                <w:highlight w:val="none"/>
                <w:vertAlign w:val="superscript"/>
              </w:rPr>
              <w:fldChar w:fldCharType="end"/>
            </w:r>
            <w:r>
              <w:rPr>
                <w:rFonts w:ascii="Book Antiqua" w:hAnsi="Book Antiqua"/>
                <w:highlight w:val="none"/>
                <w:vertAlign w:val="superscript"/>
              </w:rPr>
              <w:t>]</w:t>
            </w:r>
            <w:r>
              <w:rPr>
                <w:rFonts w:ascii="Book Antiqua" w:hAnsi="Book Antiqua"/>
                <w:highlight w:val="none"/>
              </w:rPr>
              <w:t>, 2020</w:t>
            </w:r>
          </w:p>
        </w:tc>
        <w:tc>
          <w:tcPr>
            <w:tcW w:w="805" w:type="pct"/>
          </w:tcPr>
          <w:p>
            <w:pPr>
              <w:adjustRightInd w:val="0"/>
              <w:snapToGrid w:val="0"/>
              <w:spacing w:line="360" w:lineRule="auto"/>
              <w:jc w:val="both"/>
              <w:rPr>
                <w:rFonts w:ascii="Book Antiqua" w:hAnsi="Book Antiqua"/>
                <w:highlight w:val="none"/>
              </w:rPr>
            </w:pPr>
            <w:r>
              <w:rPr>
                <w:rFonts w:ascii="Book Antiqua" w:hAnsi="Book Antiqua"/>
                <w:highlight w:val="none"/>
              </w:rPr>
              <w:t>2.0 mg/kg</w:t>
            </w:r>
          </w:p>
        </w:tc>
        <w:tc>
          <w:tcPr>
            <w:tcW w:w="666" w:type="pct"/>
          </w:tcPr>
          <w:p>
            <w:pPr>
              <w:adjustRightInd w:val="0"/>
              <w:snapToGrid w:val="0"/>
              <w:spacing w:line="360" w:lineRule="auto"/>
              <w:jc w:val="both"/>
              <w:rPr>
                <w:rFonts w:ascii="Book Antiqua" w:hAnsi="Book Antiqua"/>
                <w:highlight w:val="none"/>
              </w:rPr>
            </w:pPr>
            <w:r>
              <w:rPr>
                <w:rFonts w:ascii="Book Antiqua" w:hAnsi="Book Antiqua"/>
                <w:highlight w:val="none"/>
              </w:rPr>
              <w:t>28</w:t>
            </w:r>
          </w:p>
        </w:tc>
        <w:tc>
          <w:tcPr>
            <w:tcW w:w="1323" w:type="pct"/>
          </w:tcPr>
          <w:p>
            <w:pPr>
              <w:adjustRightInd w:val="0"/>
              <w:snapToGrid w:val="0"/>
              <w:spacing w:line="360" w:lineRule="auto"/>
              <w:jc w:val="both"/>
              <w:rPr>
                <w:rFonts w:ascii="Book Antiqua" w:hAnsi="Book Antiqua"/>
                <w:highlight w:val="none"/>
              </w:rPr>
            </w:pPr>
            <w:r>
              <w:rPr>
                <w:rFonts w:ascii="Book Antiqua" w:hAnsi="Book Antiqua" w:cs="Times"/>
                <w:highlight w:val="none"/>
              </w:rPr>
              <w:t xml:space="preserve">Nitrite </w:t>
            </w:r>
          </w:p>
        </w:tc>
        <w:tc>
          <w:tcPr>
            <w:tcW w:w="1172" w:type="pct"/>
          </w:tcPr>
          <w:p>
            <w:pPr>
              <w:adjustRightInd w:val="0"/>
              <w:snapToGrid w:val="0"/>
              <w:spacing w:line="360" w:lineRule="auto"/>
              <w:jc w:val="both"/>
              <w:rPr>
                <w:rFonts w:ascii="Book Antiqua" w:hAnsi="Book Antiqua"/>
                <w:highlight w:val="none"/>
              </w:rPr>
            </w:pPr>
            <w:r>
              <w:rPr>
                <w:rFonts w:ascii="Book Antiqua" w:hAnsi="Book Antiqua"/>
                <w:highlight w:val="none"/>
              </w:rPr>
              <w:t>Spectrophotometry</w:t>
            </w:r>
          </w:p>
        </w:tc>
      </w:tr>
      <w:tr>
        <w:tblPrEx>
          <w:tblBorders>
            <w:top w:val="single" w:color="000000" w:sz="6" w:space="0"/>
            <w:left w:val="none" w:color="auto" w:sz="0" w:space="0"/>
            <w:bottom w:val="single" w:color="000000" w:sz="6"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Pr>
        <w:tc>
          <w:tcPr>
            <w:tcW w:w="1034" w:type="pct"/>
          </w:tcPr>
          <w:p>
            <w:pPr>
              <w:adjustRightInd w:val="0"/>
              <w:snapToGrid w:val="0"/>
              <w:spacing w:line="360" w:lineRule="auto"/>
              <w:jc w:val="both"/>
              <w:rPr>
                <w:rFonts w:ascii="Book Antiqua" w:hAnsi="Book Antiqua"/>
                <w:i/>
                <w:iCs/>
                <w:highlight w:val="none"/>
              </w:rPr>
            </w:pPr>
            <w:r>
              <w:rPr>
                <w:rFonts w:ascii="Book Antiqua" w:hAnsi="Book Antiqua"/>
                <w:bCs/>
                <w:highlight w:val="none"/>
              </w:rPr>
              <w:t>Sun</w:t>
            </w:r>
            <w:r>
              <w:rPr>
                <w:rFonts w:ascii="Book Antiqua" w:hAnsi="Book Antiqua"/>
                <w:i/>
                <w:iCs/>
                <w:highlight w:val="none"/>
              </w:rPr>
              <w:t xml:space="preserve"> et al</w:t>
            </w:r>
            <w:r>
              <w:rPr>
                <w:rFonts w:ascii="Book Antiqua" w:hAnsi="Book Antiqua"/>
                <w:highlight w:val="none"/>
                <w:vertAlign w:val="superscript"/>
              </w:rPr>
              <w:t>[</w:t>
            </w:r>
            <w:r>
              <w:rPr>
                <w:highlight w:val="none"/>
              </w:rPr>
              <w:fldChar w:fldCharType="begin"/>
            </w:r>
            <w:r>
              <w:rPr>
                <w:highlight w:val="none"/>
              </w:rPr>
              <w:instrText xml:space="preserve"> HYPERLINK "https://www.wjgnet.com/2220-3206/full/v10/i10/223.htm" \l "B42" </w:instrText>
            </w:r>
            <w:r>
              <w:rPr>
                <w:highlight w:val="none"/>
              </w:rPr>
              <w:fldChar w:fldCharType="separate"/>
            </w:r>
            <w:r>
              <w:rPr>
                <w:rStyle w:val="10"/>
                <w:rFonts w:ascii="Book Antiqua" w:hAnsi="Book Antiqua"/>
                <w:color w:val="auto"/>
                <w:highlight w:val="none"/>
                <w:vertAlign w:val="superscript"/>
              </w:rPr>
              <w:t>80</w:t>
            </w:r>
            <w:r>
              <w:rPr>
                <w:rStyle w:val="10"/>
                <w:rFonts w:ascii="Book Antiqua" w:hAnsi="Book Antiqua"/>
                <w:color w:val="auto"/>
                <w:highlight w:val="none"/>
                <w:vertAlign w:val="superscript"/>
              </w:rPr>
              <w:fldChar w:fldCharType="end"/>
            </w:r>
            <w:r>
              <w:rPr>
                <w:rFonts w:ascii="Book Antiqua" w:hAnsi="Book Antiqua"/>
                <w:highlight w:val="none"/>
                <w:vertAlign w:val="superscript"/>
              </w:rPr>
              <w:t>]</w:t>
            </w:r>
            <w:r>
              <w:rPr>
                <w:rFonts w:ascii="Book Antiqua" w:hAnsi="Book Antiqua"/>
                <w:highlight w:val="none"/>
              </w:rPr>
              <w:t>, 2019</w:t>
            </w:r>
          </w:p>
        </w:tc>
        <w:tc>
          <w:tcPr>
            <w:tcW w:w="805" w:type="pct"/>
          </w:tcPr>
          <w:p>
            <w:pPr>
              <w:adjustRightInd w:val="0"/>
              <w:snapToGrid w:val="0"/>
              <w:spacing w:line="360" w:lineRule="auto"/>
              <w:jc w:val="both"/>
              <w:rPr>
                <w:rFonts w:ascii="Book Antiqua" w:hAnsi="Book Antiqua"/>
                <w:highlight w:val="none"/>
              </w:rPr>
            </w:pPr>
            <w:r>
              <w:rPr>
                <w:rFonts w:ascii="Book Antiqua" w:hAnsi="Book Antiqua"/>
                <w:highlight w:val="none"/>
              </w:rPr>
              <w:t>1.5 mg/kg</w:t>
            </w:r>
          </w:p>
        </w:tc>
        <w:tc>
          <w:tcPr>
            <w:tcW w:w="666" w:type="pct"/>
          </w:tcPr>
          <w:p>
            <w:pPr>
              <w:adjustRightInd w:val="0"/>
              <w:snapToGrid w:val="0"/>
              <w:spacing w:line="360" w:lineRule="auto"/>
              <w:jc w:val="both"/>
              <w:rPr>
                <w:rFonts w:ascii="Book Antiqua" w:hAnsi="Book Antiqua"/>
                <w:highlight w:val="none"/>
              </w:rPr>
            </w:pPr>
            <w:r>
              <w:rPr>
                <w:rFonts w:ascii="Book Antiqua" w:hAnsi="Book Antiqua"/>
                <w:highlight w:val="none"/>
              </w:rPr>
              <w:t>28</w:t>
            </w:r>
          </w:p>
        </w:tc>
        <w:tc>
          <w:tcPr>
            <w:tcW w:w="1323" w:type="pct"/>
          </w:tcPr>
          <w:p>
            <w:pPr>
              <w:adjustRightInd w:val="0"/>
              <w:snapToGrid w:val="0"/>
              <w:spacing w:line="360" w:lineRule="auto"/>
              <w:jc w:val="both"/>
              <w:rPr>
                <w:rFonts w:ascii="Book Antiqua" w:hAnsi="Book Antiqua"/>
                <w:highlight w:val="none"/>
              </w:rPr>
            </w:pPr>
            <w:r>
              <w:rPr>
                <w:rFonts w:ascii="Book Antiqua" w:hAnsi="Book Antiqua"/>
                <w:highlight w:val="none"/>
              </w:rPr>
              <w:t>Nitrate/nitrite</w:t>
            </w:r>
          </w:p>
        </w:tc>
        <w:tc>
          <w:tcPr>
            <w:tcW w:w="1172" w:type="pct"/>
          </w:tcPr>
          <w:p>
            <w:pPr>
              <w:adjustRightInd w:val="0"/>
              <w:snapToGrid w:val="0"/>
              <w:spacing w:line="360" w:lineRule="auto"/>
              <w:jc w:val="both"/>
              <w:rPr>
                <w:rFonts w:ascii="Book Antiqua" w:hAnsi="Book Antiqua"/>
                <w:highlight w:val="none"/>
              </w:rPr>
            </w:pPr>
            <w:r>
              <w:rPr>
                <w:rFonts w:ascii="Book Antiqua" w:hAnsi="Book Antiqua"/>
                <w:highlight w:val="none"/>
              </w:rPr>
              <w:t>NO assay kit</w:t>
            </w:r>
          </w:p>
        </w:tc>
      </w:tr>
      <w:tr>
        <w:tblPrEx>
          <w:tblBorders>
            <w:top w:val="single" w:color="000000" w:sz="6" w:space="0"/>
            <w:left w:val="none" w:color="auto" w:sz="0" w:space="0"/>
            <w:bottom w:val="single" w:color="000000" w:sz="6"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Pr>
        <w:tc>
          <w:tcPr>
            <w:tcW w:w="1034" w:type="pct"/>
          </w:tcPr>
          <w:p>
            <w:pPr>
              <w:adjustRightInd w:val="0"/>
              <w:snapToGrid w:val="0"/>
              <w:spacing w:line="360" w:lineRule="auto"/>
              <w:jc w:val="both"/>
              <w:rPr>
                <w:rFonts w:ascii="Book Antiqua" w:hAnsi="Book Antiqua"/>
                <w:bCs/>
                <w:highlight w:val="none"/>
              </w:rPr>
            </w:pPr>
            <w:r>
              <w:rPr>
                <w:rFonts w:ascii="Book Antiqua" w:hAnsi="Book Antiqua"/>
                <w:highlight w:val="none"/>
                <w:lang w:eastAsia="ja-JP"/>
              </w:rPr>
              <w:t xml:space="preserve">Jayaraj </w:t>
            </w:r>
            <w:r>
              <w:rPr>
                <w:rFonts w:ascii="Book Antiqua" w:hAnsi="Book Antiqua"/>
                <w:i/>
                <w:iCs/>
                <w:highlight w:val="none"/>
              </w:rPr>
              <w:t>et al</w:t>
            </w:r>
            <w:r>
              <w:rPr>
                <w:rFonts w:ascii="Book Antiqua" w:hAnsi="Book Antiqua"/>
                <w:highlight w:val="none"/>
                <w:vertAlign w:val="superscript"/>
              </w:rPr>
              <w:t>[</w:t>
            </w:r>
            <w:r>
              <w:rPr>
                <w:highlight w:val="none"/>
              </w:rPr>
              <w:fldChar w:fldCharType="begin"/>
            </w:r>
            <w:r>
              <w:rPr>
                <w:highlight w:val="none"/>
              </w:rPr>
              <w:instrText xml:space="preserve"> HYPERLINK "https://www.wjgnet.com/2220-3206/full/v10/i10/223.htm" \l "B42" </w:instrText>
            </w:r>
            <w:r>
              <w:rPr>
                <w:highlight w:val="none"/>
              </w:rPr>
              <w:fldChar w:fldCharType="separate"/>
            </w:r>
            <w:r>
              <w:rPr>
                <w:rStyle w:val="10"/>
                <w:rFonts w:ascii="Book Antiqua" w:hAnsi="Book Antiqua"/>
                <w:color w:val="auto"/>
                <w:highlight w:val="none"/>
                <w:vertAlign w:val="superscript"/>
              </w:rPr>
              <w:t>90</w:t>
            </w:r>
            <w:r>
              <w:rPr>
                <w:rStyle w:val="10"/>
                <w:rFonts w:ascii="Book Antiqua" w:hAnsi="Book Antiqua"/>
                <w:color w:val="auto"/>
                <w:highlight w:val="none"/>
                <w:vertAlign w:val="superscript"/>
              </w:rPr>
              <w:fldChar w:fldCharType="end"/>
            </w:r>
            <w:r>
              <w:rPr>
                <w:rFonts w:ascii="Book Antiqua" w:hAnsi="Book Antiqua"/>
                <w:highlight w:val="none"/>
                <w:vertAlign w:val="superscript"/>
              </w:rPr>
              <w:t>]</w:t>
            </w:r>
            <w:r>
              <w:rPr>
                <w:rFonts w:ascii="Book Antiqua" w:hAnsi="Book Antiqua"/>
                <w:highlight w:val="none"/>
              </w:rPr>
              <w:t>, 2019</w:t>
            </w:r>
          </w:p>
        </w:tc>
        <w:tc>
          <w:tcPr>
            <w:tcW w:w="805" w:type="pct"/>
          </w:tcPr>
          <w:p>
            <w:pPr>
              <w:adjustRightInd w:val="0"/>
              <w:snapToGrid w:val="0"/>
              <w:spacing w:line="360" w:lineRule="auto"/>
              <w:jc w:val="both"/>
              <w:rPr>
                <w:rFonts w:ascii="Book Antiqua" w:hAnsi="Book Antiqua"/>
                <w:highlight w:val="none"/>
              </w:rPr>
            </w:pPr>
            <w:r>
              <w:rPr>
                <w:rFonts w:ascii="Book Antiqua" w:hAnsi="Book Antiqua"/>
                <w:highlight w:val="none"/>
              </w:rPr>
              <w:t>1.5 mg/kg</w:t>
            </w:r>
          </w:p>
        </w:tc>
        <w:tc>
          <w:tcPr>
            <w:tcW w:w="666" w:type="pct"/>
          </w:tcPr>
          <w:p>
            <w:pPr>
              <w:adjustRightInd w:val="0"/>
              <w:snapToGrid w:val="0"/>
              <w:spacing w:line="360" w:lineRule="auto"/>
              <w:jc w:val="both"/>
              <w:rPr>
                <w:rFonts w:ascii="Book Antiqua" w:hAnsi="Book Antiqua"/>
                <w:highlight w:val="none"/>
              </w:rPr>
            </w:pPr>
            <w:r>
              <w:rPr>
                <w:rFonts w:ascii="Book Antiqua" w:hAnsi="Book Antiqua"/>
                <w:highlight w:val="none"/>
              </w:rPr>
              <w:t>28</w:t>
            </w:r>
          </w:p>
        </w:tc>
        <w:tc>
          <w:tcPr>
            <w:tcW w:w="1323" w:type="pct"/>
          </w:tcPr>
          <w:p>
            <w:pPr>
              <w:adjustRightInd w:val="0"/>
              <w:snapToGrid w:val="0"/>
              <w:spacing w:line="360" w:lineRule="auto"/>
              <w:jc w:val="both"/>
              <w:rPr>
                <w:rFonts w:ascii="Book Antiqua" w:hAnsi="Book Antiqua"/>
                <w:highlight w:val="none"/>
              </w:rPr>
            </w:pPr>
            <w:r>
              <w:rPr>
                <w:rFonts w:ascii="Book Antiqua" w:hAnsi="Book Antiqua" w:cs="Times"/>
                <w:highlight w:val="none"/>
              </w:rPr>
              <w:t xml:space="preserve">Nitrite </w:t>
            </w:r>
          </w:p>
        </w:tc>
        <w:tc>
          <w:tcPr>
            <w:tcW w:w="1172" w:type="pct"/>
          </w:tcPr>
          <w:p>
            <w:pPr>
              <w:adjustRightInd w:val="0"/>
              <w:snapToGrid w:val="0"/>
              <w:spacing w:line="360" w:lineRule="auto"/>
              <w:jc w:val="both"/>
              <w:rPr>
                <w:rFonts w:ascii="Book Antiqua" w:hAnsi="Book Antiqua"/>
                <w:highlight w:val="none"/>
              </w:rPr>
            </w:pPr>
            <w:r>
              <w:rPr>
                <w:rFonts w:ascii="Book Antiqua" w:hAnsi="Book Antiqua"/>
                <w:highlight w:val="none"/>
              </w:rPr>
              <w:t>Spectrophotometry</w:t>
            </w:r>
          </w:p>
        </w:tc>
      </w:tr>
      <w:tr>
        <w:tblPrEx>
          <w:tblBorders>
            <w:top w:val="single" w:color="000000" w:sz="6" w:space="0"/>
            <w:left w:val="none" w:color="auto" w:sz="0" w:space="0"/>
            <w:bottom w:val="single" w:color="000000" w:sz="6"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Pr>
        <w:tc>
          <w:tcPr>
            <w:tcW w:w="1034" w:type="pct"/>
          </w:tcPr>
          <w:p>
            <w:pPr>
              <w:adjustRightInd w:val="0"/>
              <w:snapToGrid w:val="0"/>
              <w:spacing w:line="360" w:lineRule="auto"/>
              <w:jc w:val="both"/>
              <w:rPr>
                <w:rFonts w:ascii="Book Antiqua" w:hAnsi="Book Antiqua"/>
                <w:highlight w:val="none"/>
              </w:rPr>
            </w:pPr>
            <w:r>
              <w:rPr>
                <w:rFonts w:ascii="Book Antiqua" w:hAnsi="Book Antiqua"/>
                <w:highlight w:val="none"/>
                <w:lang w:eastAsia="ja-JP"/>
              </w:rPr>
              <w:t>Abdel-Salam et al</w:t>
            </w:r>
            <w:r>
              <w:rPr>
                <w:rFonts w:ascii="Book Antiqua" w:hAnsi="Book Antiqua"/>
                <w:highlight w:val="none"/>
                <w:vertAlign w:val="superscript"/>
              </w:rPr>
              <w:t>[</w:t>
            </w:r>
            <w:r>
              <w:rPr>
                <w:highlight w:val="none"/>
              </w:rPr>
              <w:fldChar w:fldCharType="begin"/>
            </w:r>
            <w:r>
              <w:rPr>
                <w:highlight w:val="none"/>
              </w:rPr>
              <w:instrText xml:space="preserve"> HYPERLINK "https://www.wjgnet.com/2220-3206/full/v10/i10/223.htm" \l "B42" </w:instrText>
            </w:r>
            <w:r>
              <w:rPr>
                <w:highlight w:val="none"/>
              </w:rPr>
              <w:fldChar w:fldCharType="separate"/>
            </w:r>
            <w:r>
              <w:rPr>
                <w:rStyle w:val="10"/>
                <w:rFonts w:ascii="Book Antiqua" w:hAnsi="Book Antiqua"/>
                <w:color w:val="auto"/>
                <w:highlight w:val="none"/>
                <w:vertAlign w:val="superscript"/>
              </w:rPr>
              <w:t>89</w:t>
            </w:r>
            <w:r>
              <w:rPr>
                <w:rStyle w:val="10"/>
                <w:rFonts w:ascii="Book Antiqua" w:hAnsi="Book Antiqua"/>
                <w:color w:val="auto"/>
                <w:highlight w:val="none"/>
                <w:vertAlign w:val="superscript"/>
              </w:rPr>
              <w:fldChar w:fldCharType="end"/>
            </w:r>
            <w:r>
              <w:rPr>
                <w:rFonts w:ascii="Book Antiqua" w:hAnsi="Book Antiqua"/>
                <w:highlight w:val="none"/>
                <w:vertAlign w:val="superscript"/>
              </w:rPr>
              <w:t>]</w:t>
            </w:r>
            <w:r>
              <w:rPr>
                <w:rFonts w:ascii="Book Antiqua" w:hAnsi="Book Antiqua"/>
                <w:highlight w:val="none"/>
              </w:rPr>
              <w:t>, 2017</w:t>
            </w:r>
            <w:r>
              <w:rPr>
                <w:rFonts w:ascii="Book Antiqua" w:hAnsi="Book Antiqua"/>
                <w:highlight w:val="none"/>
                <w:lang w:eastAsia="ja-JP"/>
              </w:rPr>
              <w:t xml:space="preserve"> </w:t>
            </w:r>
          </w:p>
        </w:tc>
        <w:tc>
          <w:tcPr>
            <w:tcW w:w="805" w:type="pct"/>
          </w:tcPr>
          <w:p>
            <w:pPr>
              <w:adjustRightInd w:val="0"/>
              <w:snapToGrid w:val="0"/>
              <w:spacing w:line="360" w:lineRule="auto"/>
              <w:jc w:val="both"/>
              <w:rPr>
                <w:rFonts w:ascii="Book Antiqua" w:hAnsi="Book Antiqua"/>
                <w:highlight w:val="none"/>
              </w:rPr>
            </w:pPr>
            <w:r>
              <w:rPr>
                <w:rFonts w:ascii="Book Antiqua" w:hAnsi="Book Antiqua"/>
                <w:highlight w:val="none"/>
              </w:rPr>
              <w:t>1.5 mg/kg</w:t>
            </w:r>
            <w:r>
              <w:rPr>
                <w:rFonts w:hint="eastAsia" w:ascii="Book Antiqua" w:hAnsi="Book Antiqua"/>
                <w:highlight w:val="none"/>
                <w:lang w:eastAsia="zh-CN"/>
              </w:rPr>
              <w:t xml:space="preserve"> </w:t>
            </w:r>
            <w:r>
              <w:rPr>
                <w:highlight w:val="none"/>
              </w:rPr>
              <w:t>×</w:t>
            </w:r>
            <w:r>
              <w:rPr>
                <w:rFonts w:hint="eastAsia" w:ascii="Book Antiqua" w:hAnsi="Book Antiqua"/>
                <w:highlight w:val="none"/>
                <w:lang w:eastAsia="zh-CN"/>
              </w:rPr>
              <w:t xml:space="preserve"> </w:t>
            </w:r>
            <w:r>
              <w:rPr>
                <w:rFonts w:ascii="Book Antiqua" w:hAnsi="Book Antiqua"/>
                <w:highlight w:val="none"/>
              </w:rPr>
              <w:t>3</w:t>
            </w:r>
          </w:p>
        </w:tc>
        <w:tc>
          <w:tcPr>
            <w:tcW w:w="666" w:type="pct"/>
          </w:tcPr>
          <w:p>
            <w:pPr>
              <w:adjustRightInd w:val="0"/>
              <w:snapToGrid w:val="0"/>
              <w:spacing w:line="360" w:lineRule="auto"/>
              <w:jc w:val="both"/>
              <w:rPr>
                <w:rFonts w:ascii="Book Antiqua" w:hAnsi="Book Antiqua"/>
                <w:highlight w:val="none"/>
              </w:rPr>
            </w:pPr>
            <w:r>
              <w:rPr>
                <w:rFonts w:ascii="Book Antiqua" w:hAnsi="Book Antiqua"/>
                <w:highlight w:val="none"/>
              </w:rPr>
              <w:t>7</w:t>
            </w:r>
          </w:p>
        </w:tc>
        <w:tc>
          <w:tcPr>
            <w:tcW w:w="1323" w:type="pct"/>
          </w:tcPr>
          <w:p>
            <w:pPr>
              <w:adjustRightInd w:val="0"/>
              <w:snapToGrid w:val="0"/>
              <w:spacing w:line="360" w:lineRule="auto"/>
              <w:jc w:val="both"/>
              <w:rPr>
                <w:rFonts w:ascii="Book Antiqua" w:hAnsi="Book Antiqua"/>
                <w:highlight w:val="none"/>
              </w:rPr>
            </w:pPr>
            <w:r>
              <w:rPr>
                <w:rFonts w:ascii="Book Antiqua" w:hAnsi="Book Antiqua" w:cs="Times"/>
                <w:highlight w:val="none"/>
              </w:rPr>
              <w:t xml:space="preserve">Nitrite </w:t>
            </w:r>
          </w:p>
        </w:tc>
        <w:tc>
          <w:tcPr>
            <w:tcW w:w="1172" w:type="pct"/>
          </w:tcPr>
          <w:p>
            <w:pPr>
              <w:adjustRightInd w:val="0"/>
              <w:snapToGrid w:val="0"/>
              <w:spacing w:line="360" w:lineRule="auto"/>
              <w:jc w:val="both"/>
              <w:rPr>
                <w:rFonts w:ascii="Book Antiqua" w:hAnsi="Book Antiqua"/>
                <w:highlight w:val="none"/>
              </w:rPr>
            </w:pPr>
            <w:r>
              <w:rPr>
                <w:rFonts w:ascii="Book Antiqua" w:hAnsi="Book Antiqua"/>
                <w:highlight w:val="none"/>
              </w:rPr>
              <w:t>Spectrophotometry</w:t>
            </w:r>
          </w:p>
        </w:tc>
      </w:tr>
      <w:tr>
        <w:tblPrEx>
          <w:tblBorders>
            <w:top w:val="single" w:color="000000" w:sz="6" w:space="0"/>
            <w:left w:val="none" w:color="auto" w:sz="0" w:space="0"/>
            <w:bottom w:val="single" w:color="000000" w:sz="6"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Pr>
        <w:tc>
          <w:tcPr>
            <w:tcW w:w="1034" w:type="pct"/>
          </w:tcPr>
          <w:p>
            <w:pPr>
              <w:adjustRightInd w:val="0"/>
              <w:snapToGrid w:val="0"/>
              <w:spacing w:line="360" w:lineRule="auto"/>
              <w:jc w:val="both"/>
              <w:rPr>
                <w:rFonts w:ascii="Book Antiqua" w:hAnsi="Book Antiqua"/>
                <w:bCs/>
                <w:highlight w:val="none"/>
              </w:rPr>
            </w:pPr>
            <w:r>
              <w:rPr>
                <w:rFonts w:ascii="Book Antiqua" w:hAnsi="Book Antiqua"/>
                <w:iCs/>
                <w:highlight w:val="none"/>
              </w:rPr>
              <w:t>Javed</w:t>
            </w:r>
            <w:r>
              <w:rPr>
                <w:rFonts w:ascii="Book Antiqua" w:hAnsi="Book Antiqua"/>
                <w:i/>
                <w:iCs/>
                <w:highlight w:val="none"/>
              </w:rPr>
              <w:t xml:space="preserve"> et al</w:t>
            </w:r>
            <w:r>
              <w:rPr>
                <w:rFonts w:ascii="Book Antiqua" w:hAnsi="Book Antiqua"/>
                <w:highlight w:val="none"/>
                <w:vertAlign w:val="superscript"/>
              </w:rPr>
              <w:t>[</w:t>
            </w:r>
            <w:r>
              <w:rPr>
                <w:highlight w:val="none"/>
              </w:rPr>
              <w:fldChar w:fldCharType="begin"/>
            </w:r>
            <w:r>
              <w:rPr>
                <w:highlight w:val="none"/>
              </w:rPr>
              <w:instrText xml:space="preserve"> HYPERLINK "https://www.wjgnet.com/2220-3206/full/v10/i10/223.htm" \l "B42" </w:instrText>
            </w:r>
            <w:r>
              <w:rPr>
                <w:highlight w:val="none"/>
              </w:rPr>
              <w:fldChar w:fldCharType="separate"/>
            </w:r>
            <w:r>
              <w:rPr>
                <w:rStyle w:val="10"/>
                <w:rFonts w:ascii="Book Antiqua" w:hAnsi="Book Antiqua"/>
                <w:color w:val="auto"/>
                <w:highlight w:val="none"/>
                <w:vertAlign w:val="superscript"/>
              </w:rPr>
              <w:t>86</w:t>
            </w:r>
            <w:r>
              <w:rPr>
                <w:rStyle w:val="10"/>
                <w:rFonts w:ascii="Book Antiqua" w:hAnsi="Book Antiqua"/>
                <w:color w:val="auto"/>
                <w:highlight w:val="none"/>
                <w:vertAlign w:val="superscript"/>
              </w:rPr>
              <w:fldChar w:fldCharType="end"/>
            </w:r>
            <w:r>
              <w:rPr>
                <w:rFonts w:ascii="Book Antiqua" w:hAnsi="Book Antiqua"/>
                <w:highlight w:val="none"/>
                <w:vertAlign w:val="superscript"/>
              </w:rPr>
              <w:t>]</w:t>
            </w:r>
            <w:r>
              <w:rPr>
                <w:rFonts w:ascii="Book Antiqua" w:hAnsi="Book Antiqua"/>
                <w:highlight w:val="none"/>
              </w:rPr>
              <w:t>, 2016</w:t>
            </w:r>
          </w:p>
        </w:tc>
        <w:tc>
          <w:tcPr>
            <w:tcW w:w="805" w:type="pct"/>
          </w:tcPr>
          <w:p>
            <w:pPr>
              <w:adjustRightInd w:val="0"/>
              <w:snapToGrid w:val="0"/>
              <w:spacing w:line="360" w:lineRule="auto"/>
              <w:jc w:val="both"/>
              <w:rPr>
                <w:rFonts w:ascii="Book Antiqua" w:hAnsi="Book Antiqua"/>
                <w:highlight w:val="none"/>
              </w:rPr>
            </w:pPr>
            <w:r>
              <w:rPr>
                <w:rFonts w:ascii="Book Antiqua" w:hAnsi="Book Antiqua"/>
                <w:highlight w:val="none"/>
              </w:rPr>
              <w:t>2.5 mg/kg</w:t>
            </w:r>
          </w:p>
        </w:tc>
        <w:tc>
          <w:tcPr>
            <w:tcW w:w="666" w:type="pct"/>
          </w:tcPr>
          <w:p>
            <w:pPr>
              <w:adjustRightInd w:val="0"/>
              <w:snapToGrid w:val="0"/>
              <w:spacing w:line="360" w:lineRule="auto"/>
              <w:jc w:val="both"/>
              <w:rPr>
                <w:rFonts w:ascii="Book Antiqua" w:hAnsi="Book Antiqua"/>
                <w:highlight w:val="none"/>
              </w:rPr>
            </w:pPr>
            <w:r>
              <w:rPr>
                <w:rFonts w:ascii="Book Antiqua" w:hAnsi="Book Antiqua"/>
                <w:highlight w:val="none"/>
              </w:rPr>
              <w:t>28</w:t>
            </w:r>
          </w:p>
        </w:tc>
        <w:tc>
          <w:tcPr>
            <w:tcW w:w="1323" w:type="pct"/>
          </w:tcPr>
          <w:p>
            <w:pPr>
              <w:adjustRightInd w:val="0"/>
              <w:snapToGrid w:val="0"/>
              <w:spacing w:line="360" w:lineRule="auto"/>
              <w:jc w:val="both"/>
              <w:rPr>
                <w:rFonts w:ascii="Book Antiqua" w:hAnsi="Book Antiqua"/>
                <w:highlight w:val="none"/>
              </w:rPr>
            </w:pPr>
            <w:r>
              <w:rPr>
                <w:rFonts w:ascii="Book Antiqua" w:hAnsi="Book Antiqua" w:cs="Times"/>
                <w:highlight w:val="none"/>
              </w:rPr>
              <w:t xml:space="preserve">Nitrite </w:t>
            </w:r>
          </w:p>
        </w:tc>
        <w:tc>
          <w:tcPr>
            <w:tcW w:w="1172" w:type="pct"/>
          </w:tcPr>
          <w:p>
            <w:pPr>
              <w:adjustRightInd w:val="0"/>
              <w:snapToGrid w:val="0"/>
              <w:spacing w:line="360" w:lineRule="auto"/>
              <w:jc w:val="both"/>
              <w:rPr>
                <w:rFonts w:ascii="Book Antiqua" w:hAnsi="Book Antiqua"/>
                <w:highlight w:val="none"/>
              </w:rPr>
            </w:pPr>
            <w:r>
              <w:rPr>
                <w:rFonts w:ascii="Book Antiqua" w:hAnsi="Book Antiqua"/>
                <w:highlight w:val="none"/>
              </w:rPr>
              <w:t>Spectrophotometry</w:t>
            </w:r>
          </w:p>
        </w:tc>
      </w:tr>
      <w:tr>
        <w:tblPrEx>
          <w:tblBorders>
            <w:top w:val="single" w:color="000000" w:sz="6" w:space="0"/>
            <w:left w:val="none" w:color="auto" w:sz="0" w:space="0"/>
            <w:bottom w:val="single" w:color="000000" w:sz="6"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Pr>
        <w:tc>
          <w:tcPr>
            <w:tcW w:w="1034" w:type="pct"/>
          </w:tcPr>
          <w:p>
            <w:pPr>
              <w:adjustRightInd w:val="0"/>
              <w:snapToGrid w:val="0"/>
              <w:spacing w:line="360" w:lineRule="auto"/>
              <w:jc w:val="both"/>
              <w:rPr>
                <w:rFonts w:ascii="Book Antiqua" w:hAnsi="Book Antiqua"/>
                <w:highlight w:val="none"/>
              </w:rPr>
            </w:pPr>
            <w:r>
              <w:rPr>
                <w:rFonts w:ascii="Book Antiqua" w:hAnsi="Book Antiqua"/>
                <w:bCs/>
                <w:highlight w:val="none"/>
              </w:rPr>
              <w:t xml:space="preserve">Xiong </w:t>
            </w:r>
            <w:r>
              <w:rPr>
                <w:rFonts w:ascii="Book Antiqua" w:hAnsi="Book Antiqua"/>
                <w:highlight w:val="none"/>
                <w:lang w:eastAsia="ja-JP"/>
              </w:rPr>
              <w:t>et al</w:t>
            </w:r>
            <w:r>
              <w:rPr>
                <w:rFonts w:ascii="Book Antiqua" w:hAnsi="Book Antiqua"/>
                <w:highlight w:val="none"/>
                <w:vertAlign w:val="superscript"/>
              </w:rPr>
              <w:t>[</w:t>
            </w:r>
            <w:r>
              <w:rPr>
                <w:highlight w:val="none"/>
              </w:rPr>
              <w:fldChar w:fldCharType="begin"/>
            </w:r>
            <w:r>
              <w:rPr>
                <w:highlight w:val="none"/>
              </w:rPr>
              <w:instrText xml:space="preserve"> HYPERLINK "https://www.wjgnet.com/2220-3206/full/v10/i10/223.htm" \l "B42" </w:instrText>
            </w:r>
            <w:r>
              <w:rPr>
                <w:highlight w:val="none"/>
              </w:rPr>
              <w:fldChar w:fldCharType="separate"/>
            </w:r>
            <w:r>
              <w:rPr>
                <w:rStyle w:val="10"/>
                <w:rFonts w:ascii="Book Antiqua" w:hAnsi="Book Antiqua"/>
                <w:color w:val="auto"/>
                <w:highlight w:val="none"/>
                <w:vertAlign w:val="superscript"/>
              </w:rPr>
              <w:t>8</w:t>
            </w:r>
            <w:r>
              <w:rPr>
                <w:rStyle w:val="10"/>
                <w:rFonts w:ascii="Book Antiqua" w:hAnsi="Book Antiqua"/>
                <w:color w:val="auto"/>
                <w:highlight w:val="none"/>
                <w:vertAlign w:val="superscript"/>
              </w:rPr>
              <w:fldChar w:fldCharType="end"/>
            </w:r>
            <w:r>
              <w:rPr>
                <w:rStyle w:val="10"/>
                <w:rFonts w:ascii="Book Antiqua" w:hAnsi="Book Antiqua"/>
                <w:color w:val="auto"/>
                <w:highlight w:val="none"/>
                <w:vertAlign w:val="superscript"/>
              </w:rPr>
              <w:t>8</w:t>
            </w:r>
            <w:r>
              <w:rPr>
                <w:rFonts w:ascii="Book Antiqua" w:hAnsi="Book Antiqua"/>
                <w:highlight w:val="none"/>
                <w:vertAlign w:val="superscript"/>
              </w:rPr>
              <w:t>]</w:t>
            </w:r>
            <w:r>
              <w:rPr>
                <w:rFonts w:ascii="Book Antiqua" w:hAnsi="Book Antiqua"/>
                <w:highlight w:val="none"/>
              </w:rPr>
              <w:t>, 2015</w:t>
            </w:r>
            <w:r>
              <w:rPr>
                <w:rFonts w:ascii="Book Antiqua" w:hAnsi="Book Antiqua"/>
                <w:highlight w:val="none"/>
                <w:lang w:eastAsia="ja-JP"/>
              </w:rPr>
              <w:t xml:space="preserve"> </w:t>
            </w:r>
          </w:p>
        </w:tc>
        <w:tc>
          <w:tcPr>
            <w:tcW w:w="805" w:type="pct"/>
          </w:tcPr>
          <w:p>
            <w:pPr>
              <w:adjustRightInd w:val="0"/>
              <w:snapToGrid w:val="0"/>
              <w:spacing w:line="360" w:lineRule="auto"/>
              <w:jc w:val="both"/>
              <w:rPr>
                <w:rFonts w:ascii="Book Antiqua" w:hAnsi="Book Antiqua"/>
                <w:highlight w:val="none"/>
              </w:rPr>
            </w:pPr>
            <w:r>
              <w:rPr>
                <w:rFonts w:ascii="Book Antiqua" w:hAnsi="Book Antiqua"/>
                <w:highlight w:val="none"/>
              </w:rPr>
              <w:t>1.5 mg/kg</w:t>
            </w:r>
          </w:p>
        </w:tc>
        <w:tc>
          <w:tcPr>
            <w:tcW w:w="666" w:type="pct"/>
          </w:tcPr>
          <w:p>
            <w:pPr>
              <w:adjustRightInd w:val="0"/>
              <w:snapToGrid w:val="0"/>
              <w:spacing w:line="360" w:lineRule="auto"/>
              <w:jc w:val="both"/>
              <w:rPr>
                <w:rFonts w:ascii="Book Antiqua" w:hAnsi="Book Antiqua"/>
                <w:highlight w:val="none"/>
              </w:rPr>
            </w:pPr>
            <w:r>
              <w:rPr>
                <w:rFonts w:ascii="Book Antiqua" w:hAnsi="Book Antiqua"/>
                <w:highlight w:val="none"/>
              </w:rPr>
              <w:t>6</w:t>
            </w:r>
          </w:p>
        </w:tc>
        <w:tc>
          <w:tcPr>
            <w:tcW w:w="1323" w:type="pct"/>
          </w:tcPr>
          <w:p>
            <w:pPr>
              <w:adjustRightInd w:val="0"/>
              <w:snapToGrid w:val="0"/>
              <w:spacing w:line="360" w:lineRule="auto"/>
              <w:jc w:val="both"/>
              <w:rPr>
                <w:rFonts w:ascii="Book Antiqua" w:hAnsi="Book Antiqua"/>
                <w:highlight w:val="none"/>
              </w:rPr>
            </w:pPr>
            <w:r>
              <w:rPr>
                <w:rFonts w:ascii="Book Antiqua" w:hAnsi="Book Antiqua" w:cs="Times"/>
                <w:highlight w:val="none"/>
              </w:rPr>
              <w:t xml:space="preserve">Nitrite </w:t>
            </w:r>
          </w:p>
        </w:tc>
        <w:tc>
          <w:tcPr>
            <w:tcW w:w="1172" w:type="pct"/>
          </w:tcPr>
          <w:p>
            <w:pPr>
              <w:adjustRightInd w:val="0"/>
              <w:snapToGrid w:val="0"/>
              <w:spacing w:line="360" w:lineRule="auto"/>
              <w:jc w:val="both"/>
              <w:rPr>
                <w:rFonts w:ascii="Book Antiqua" w:hAnsi="Book Antiqua"/>
                <w:highlight w:val="none"/>
              </w:rPr>
            </w:pPr>
            <w:r>
              <w:rPr>
                <w:rFonts w:ascii="Book Antiqua" w:hAnsi="Book Antiqua"/>
                <w:highlight w:val="none"/>
              </w:rPr>
              <w:t>Spectrophotometry</w:t>
            </w:r>
          </w:p>
        </w:tc>
      </w:tr>
      <w:tr>
        <w:tblPrEx>
          <w:tblBorders>
            <w:top w:val="single" w:color="000000" w:sz="6" w:space="0"/>
            <w:left w:val="none" w:color="auto" w:sz="0" w:space="0"/>
            <w:bottom w:val="single" w:color="000000" w:sz="6"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Pr>
        <w:tc>
          <w:tcPr>
            <w:tcW w:w="1034" w:type="pct"/>
          </w:tcPr>
          <w:p>
            <w:pPr>
              <w:adjustRightInd w:val="0"/>
              <w:snapToGrid w:val="0"/>
              <w:spacing w:line="360" w:lineRule="auto"/>
              <w:jc w:val="both"/>
              <w:rPr>
                <w:rFonts w:ascii="Book Antiqua" w:hAnsi="Book Antiqua"/>
                <w:iCs/>
                <w:highlight w:val="none"/>
                <w:lang w:val="ru-RU"/>
              </w:rPr>
            </w:pPr>
            <w:r>
              <w:rPr>
                <w:rFonts w:ascii="Book Antiqua" w:hAnsi="Book Antiqua"/>
                <w:bCs/>
                <w:highlight w:val="none"/>
              </w:rPr>
              <w:t>Tapias</w:t>
            </w:r>
            <w:r>
              <w:rPr>
                <w:rFonts w:ascii="Book Antiqua" w:hAnsi="Book Antiqua"/>
                <w:i/>
                <w:iCs/>
                <w:highlight w:val="none"/>
              </w:rPr>
              <w:t xml:space="preserve"> et al</w:t>
            </w:r>
            <w:r>
              <w:rPr>
                <w:rFonts w:ascii="Book Antiqua" w:hAnsi="Book Antiqua"/>
                <w:highlight w:val="none"/>
                <w:vertAlign w:val="superscript"/>
              </w:rPr>
              <w:t>[</w:t>
            </w:r>
            <w:r>
              <w:rPr>
                <w:highlight w:val="none"/>
              </w:rPr>
              <w:fldChar w:fldCharType="begin"/>
            </w:r>
            <w:r>
              <w:rPr>
                <w:highlight w:val="none"/>
              </w:rPr>
              <w:instrText xml:space="preserve"> HYPERLINK "https://www.wjgnet.com/2220-3206/full/v10/i10/223.htm" \l "B42" </w:instrText>
            </w:r>
            <w:r>
              <w:rPr>
                <w:highlight w:val="none"/>
              </w:rPr>
              <w:fldChar w:fldCharType="separate"/>
            </w:r>
            <w:r>
              <w:rPr>
                <w:rStyle w:val="10"/>
                <w:rFonts w:ascii="Book Antiqua" w:hAnsi="Book Antiqua"/>
                <w:color w:val="auto"/>
                <w:highlight w:val="none"/>
                <w:vertAlign w:val="superscript"/>
              </w:rPr>
              <w:t>2</w:t>
            </w:r>
            <w:r>
              <w:rPr>
                <w:rStyle w:val="10"/>
                <w:rFonts w:ascii="Book Antiqua" w:hAnsi="Book Antiqua"/>
                <w:color w:val="auto"/>
                <w:highlight w:val="none"/>
                <w:vertAlign w:val="superscript"/>
              </w:rPr>
              <w:fldChar w:fldCharType="end"/>
            </w:r>
            <w:r>
              <w:rPr>
                <w:rStyle w:val="10"/>
                <w:rFonts w:ascii="Book Antiqua" w:hAnsi="Book Antiqua"/>
                <w:color w:val="auto"/>
                <w:highlight w:val="none"/>
                <w:vertAlign w:val="superscript"/>
              </w:rPr>
              <w:t>3</w:t>
            </w:r>
            <w:r>
              <w:rPr>
                <w:rFonts w:ascii="Book Antiqua" w:hAnsi="Book Antiqua"/>
                <w:highlight w:val="none"/>
                <w:vertAlign w:val="superscript"/>
              </w:rPr>
              <w:t>]</w:t>
            </w:r>
            <w:r>
              <w:rPr>
                <w:rFonts w:ascii="Book Antiqua" w:hAnsi="Book Antiqua"/>
                <w:highlight w:val="none"/>
              </w:rPr>
              <w:t>, 2014</w:t>
            </w:r>
          </w:p>
        </w:tc>
        <w:tc>
          <w:tcPr>
            <w:tcW w:w="805" w:type="pct"/>
          </w:tcPr>
          <w:p>
            <w:pPr>
              <w:adjustRightInd w:val="0"/>
              <w:snapToGrid w:val="0"/>
              <w:spacing w:line="360" w:lineRule="auto"/>
              <w:jc w:val="both"/>
              <w:rPr>
                <w:rFonts w:ascii="Book Antiqua" w:hAnsi="Book Antiqua"/>
                <w:highlight w:val="none"/>
              </w:rPr>
            </w:pPr>
            <w:r>
              <w:rPr>
                <w:rFonts w:ascii="Book Antiqua" w:hAnsi="Book Antiqua"/>
                <w:highlight w:val="none"/>
              </w:rPr>
              <w:t>3.0 mg/kg</w:t>
            </w:r>
          </w:p>
        </w:tc>
        <w:tc>
          <w:tcPr>
            <w:tcW w:w="666" w:type="pct"/>
          </w:tcPr>
          <w:p>
            <w:pPr>
              <w:adjustRightInd w:val="0"/>
              <w:snapToGrid w:val="0"/>
              <w:spacing w:line="360" w:lineRule="auto"/>
              <w:jc w:val="both"/>
              <w:rPr>
                <w:rFonts w:ascii="Book Antiqua" w:hAnsi="Book Antiqua"/>
                <w:highlight w:val="none"/>
                <w:lang w:eastAsia="zh-CN"/>
              </w:rPr>
            </w:pPr>
            <w:r>
              <w:rPr>
                <w:rFonts w:ascii="Book Antiqua" w:hAnsi="Book Antiqua"/>
                <w:highlight w:val="none"/>
              </w:rPr>
              <w:t>Individually</w:t>
            </w:r>
            <w:r>
              <w:rPr>
                <w:rFonts w:hint="eastAsia" w:ascii="Book Antiqua" w:hAnsi="Book Antiqua"/>
                <w:highlight w:val="none"/>
                <w:vertAlign w:val="superscript"/>
                <w:lang w:eastAsia="zh-CN"/>
              </w:rPr>
              <w:t>1</w:t>
            </w:r>
          </w:p>
        </w:tc>
        <w:tc>
          <w:tcPr>
            <w:tcW w:w="1323" w:type="pct"/>
          </w:tcPr>
          <w:p>
            <w:pPr>
              <w:adjustRightInd w:val="0"/>
              <w:snapToGrid w:val="0"/>
              <w:spacing w:line="360" w:lineRule="auto"/>
              <w:jc w:val="both"/>
              <w:rPr>
                <w:rFonts w:ascii="Book Antiqua" w:hAnsi="Book Antiqua"/>
                <w:highlight w:val="none"/>
              </w:rPr>
            </w:pPr>
            <w:r>
              <w:rPr>
                <w:rFonts w:ascii="Book Antiqua" w:hAnsi="Book Antiqua"/>
                <w:highlight w:val="none"/>
              </w:rPr>
              <w:t>3</w:t>
            </w:r>
            <w:r>
              <w:rPr>
                <w:rFonts w:hint="eastAsia" w:ascii="宋体" w:hAnsi="宋体" w:eastAsia="宋体" w:cs="宋体"/>
                <w:highlight w:val="none"/>
                <w:lang w:eastAsia="zh-CN"/>
              </w:rPr>
              <w:t>-</w:t>
            </w:r>
            <w:r>
              <w:rPr>
                <w:rFonts w:ascii="Book Antiqua" w:hAnsi="Book Antiqua"/>
                <w:highlight w:val="none"/>
              </w:rPr>
              <w:t>NT</w:t>
            </w:r>
            <w:r>
              <w:rPr>
                <w:rFonts w:hint="eastAsia" w:ascii="Book Antiqua" w:hAnsi="Book Antiqua"/>
                <w:highlight w:val="none"/>
                <w:lang w:eastAsia="zh-CN"/>
              </w:rPr>
              <w:t xml:space="preserve"> </w:t>
            </w:r>
            <w:r>
              <w:rPr>
                <w:rFonts w:ascii="Book Antiqua" w:hAnsi="Book Antiqua" w:cs="Times"/>
                <w:highlight w:val="none"/>
              </w:rPr>
              <w:t>(3-nitrotyrosine)</w:t>
            </w:r>
          </w:p>
        </w:tc>
        <w:tc>
          <w:tcPr>
            <w:tcW w:w="1172" w:type="pct"/>
          </w:tcPr>
          <w:p>
            <w:pPr>
              <w:adjustRightInd w:val="0"/>
              <w:snapToGrid w:val="0"/>
              <w:spacing w:line="360" w:lineRule="auto"/>
              <w:jc w:val="both"/>
              <w:rPr>
                <w:rFonts w:ascii="Book Antiqua" w:hAnsi="Book Antiqua"/>
                <w:highlight w:val="none"/>
              </w:rPr>
            </w:pPr>
            <w:r>
              <w:rPr>
                <w:rFonts w:ascii="Book Antiqua" w:hAnsi="Book Antiqua"/>
                <w:highlight w:val="none"/>
              </w:rPr>
              <w:t>Immunofluorescence</w:t>
            </w:r>
          </w:p>
        </w:tc>
      </w:tr>
      <w:tr>
        <w:tblPrEx>
          <w:tblBorders>
            <w:top w:val="single" w:color="000000" w:sz="6" w:space="0"/>
            <w:left w:val="none" w:color="auto" w:sz="0" w:space="0"/>
            <w:bottom w:val="single" w:color="000000" w:sz="6"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Pr>
        <w:tc>
          <w:tcPr>
            <w:tcW w:w="1034" w:type="pct"/>
          </w:tcPr>
          <w:p>
            <w:pPr>
              <w:adjustRightInd w:val="0"/>
              <w:snapToGrid w:val="0"/>
              <w:spacing w:line="360" w:lineRule="auto"/>
              <w:jc w:val="both"/>
              <w:rPr>
                <w:rFonts w:ascii="Book Antiqua" w:hAnsi="Book Antiqua"/>
                <w:highlight w:val="none"/>
              </w:rPr>
            </w:pPr>
            <w:r>
              <w:rPr>
                <w:rFonts w:ascii="Book Antiqua" w:hAnsi="Book Antiqua"/>
                <w:bCs/>
                <w:highlight w:val="none"/>
              </w:rPr>
              <w:t>Bashkatova</w:t>
            </w:r>
            <w:r>
              <w:rPr>
                <w:rFonts w:ascii="Book Antiqua" w:hAnsi="Book Antiqua"/>
                <w:i/>
                <w:iCs/>
                <w:highlight w:val="none"/>
              </w:rPr>
              <w:t xml:space="preserve"> et al</w:t>
            </w:r>
            <w:r>
              <w:rPr>
                <w:rFonts w:ascii="Book Antiqua" w:hAnsi="Book Antiqua"/>
                <w:highlight w:val="none"/>
                <w:vertAlign w:val="superscript"/>
              </w:rPr>
              <w:t>[</w:t>
            </w:r>
            <w:r>
              <w:rPr>
                <w:highlight w:val="none"/>
              </w:rPr>
              <w:fldChar w:fldCharType="begin"/>
            </w:r>
            <w:r>
              <w:rPr>
                <w:highlight w:val="none"/>
              </w:rPr>
              <w:instrText xml:space="preserve"> HYPERLINK "https://www.wjgnet.com/2220-3206/full/v10/i10/223.htm" \l "B42" </w:instrText>
            </w:r>
            <w:r>
              <w:rPr>
                <w:highlight w:val="none"/>
              </w:rPr>
              <w:fldChar w:fldCharType="separate"/>
            </w:r>
            <w:r>
              <w:rPr>
                <w:rStyle w:val="10"/>
                <w:rFonts w:ascii="Book Antiqua" w:hAnsi="Book Antiqua"/>
                <w:color w:val="auto"/>
                <w:highlight w:val="none"/>
                <w:vertAlign w:val="superscript"/>
              </w:rPr>
              <w:t>69</w:t>
            </w:r>
            <w:r>
              <w:rPr>
                <w:rStyle w:val="10"/>
                <w:rFonts w:ascii="Book Antiqua" w:hAnsi="Book Antiqua"/>
                <w:color w:val="auto"/>
                <w:highlight w:val="none"/>
                <w:vertAlign w:val="superscript"/>
              </w:rPr>
              <w:fldChar w:fldCharType="end"/>
            </w:r>
            <w:r>
              <w:rPr>
                <w:rFonts w:ascii="Book Antiqua" w:hAnsi="Book Antiqua"/>
                <w:highlight w:val="none"/>
                <w:vertAlign w:val="superscript"/>
              </w:rPr>
              <w:t>]</w:t>
            </w:r>
            <w:r>
              <w:rPr>
                <w:rFonts w:ascii="Book Antiqua" w:hAnsi="Book Antiqua"/>
                <w:highlight w:val="none"/>
              </w:rPr>
              <w:t>, 2012</w:t>
            </w:r>
          </w:p>
        </w:tc>
        <w:tc>
          <w:tcPr>
            <w:tcW w:w="805" w:type="pct"/>
          </w:tcPr>
          <w:p>
            <w:pPr>
              <w:adjustRightInd w:val="0"/>
              <w:snapToGrid w:val="0"/>
              <w:spacing w:line="360" w:lineRule="auto"/>
              <w:jc w:val="both"/>
              <w:rPr>
                <w:rFonts w:ascii="Book Antiqua" w:hAnsi="Book Antiqua"/>
                <w:highlight w:val="none"/>
              </w:rPr>
            </w:pPr>
            <w:r>
              <w:rPr>
                <w:rFonts w:ascii="Book Antiqua" w:hAnsi="Book Antiqua"/>
                <w:highlight w:val="none"/>
              </w:rPr>
              <w:t>1.5 mg/kg</w:t>
            </w:r>
          </w:p>
        </w:tc>
        <w:tc>
          <w:tcPr>
            <w:tcW w:w="666" w:type="pct"/>
          </w:tcPr>
          <w:p>
            <w:pPr>
              <w:adjustRightInd w:val="0"/>
              <w:snapToGrid w:val="0"/>
              <w:spacing w:line="360" w:lineRule="auto"/>
              <w:jc w:val="both"/>
              <w:rPr>
                <w:rFonts w:ascii="Book Antiqua" w:hAnsi="Book Antiqua"/>
                <w:highlight w:val="none"/>
              </w:rPr>
            </w:pPr>
            <w:r>
              <w:rPr>
                <w:rFonts w:ascii="Book Antiqua" w:hAnsi="Book Antiqua"/>
                <w:highlight w:val="none"/>
              </w:rPr>
              <w:t>60</w:t>
            </w:r>
          </w:p>
        </w:tc>
        <w:tc>
          <w:tcPr>
            <w:tcW w:w="1323" w:type="pct"/>
          </w:tcPr>
          <w:p>
            <w:pPr>
              <w:adjustRightInd w:val="0"/>
              <w:snapToGrid w:val="0"/>
              <w:spacing w:line="360" w:lineRule="auto"/>
              <w:jc w:val="both"/>
              <w:rPr>
                <w:rFonts w:ascii="Book Antiqua" w:hAnsi="Book Antiqua"/>
                <w:highlight w:val="none"/>
              </w:rPr>
            </w:pPr>
            <w:r>
              <w:rPr>
                <w:rFonts w:ascii="Book Antiqua" w:hAnsi="Book Antiqua"/>
                <w:highlight w:val="none"/>
              </w:rPr>
              <w:t>NO (Nitroxyl radical)</w:t>
            </w:r>
          </w:p>
        </w:tc>
        <w:tc>
          <w:tcPr>
            <w:tcW w:w="1172" w:type="pct"/>
          </w:tcPr>
          <w:p>
            <w:pPr>
              <w:adjustRightInd w:val="0"/>
              <w:snapToGrid w:val="0"/>
              <w:spacing w:line="360" w:lineRule="auto"/>
              <w:jc w:val="both"/>
              <w:rPr>
                <w:rFonts w:ascii="Book Antiqua" w:hAnsi="Book Antiqua"/>
                <w:highlight w:val="none"/>
              </w:rPr>
            </w:pPr>
            <w:r>
              <w:rPr>
                <w:rFonts w:ascii="Book Antiqua" w:hAnsi="Book Antiqua"/>
                <w:highlight w:val="none"/>
              </w:rPr>
              <w:t>EPR</w:t>
            </w:r>
          </w:p>
        </w:tc>
      </w:tr>
      <w:tr>
        <w:tblPrEx>
          <w:tblBorders>
            <w:top w:val="single" w:color="000000" w:sz="6" w:space="0"/>
            <w:left w:val="none" w:color="auto" w:sz="0" w:space="0"/>
            <w:bottom w:val="single" w:color="000000" w:sz="6"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Pr>
        <w:tc>
          <w:tcPr>
            <w:tcW w:w="1034" w:type="pct"/>
          </w:tcPr>
          <w:p>
            <w:pPr>
              <w:adjustRightInd w:val="0"/>
              <w:snapToGrid w:val="0"/>
              <w:spacing w:line="360" w:lineRule="auto"/>
              <w:jc w:val="both"/>
              <w:rPr>
                <w:rFonts w:ascii="Book Antiqua" w:hAnsi="Book Antiqua"/>
                <w:i/>
                <w:iCs/>
                <w:highlight w:val="none"/>
              </w:rPr>
            </w:pPr>
            <w:r>
              <w:rPr>
                <w:rFonts w:ascii="Book Antiqua" w:hAnsi="Book Antiqua"/>
                <w:bCs/>
                <w:highlight w:val="none"/>
              </w:rPr>
              <w:t>Bashkatova</w:t>
            </w:r>
            <w:r>
              <w:rPr>
                <w:rFonts w:ascii="Book Antiqua" w:hAnsi="Book Antiqua"/>
                <w:i/>
                <w:iCs/>
                <w:highlight w:val="none"/>
              </w:rPr>
              <w:t xml:space="preserve"> et al</w:t>
            </w:r>
            <w:r>
              <w:rPr>
                <w:rFonts w:ascii="Book Antiqua" w:hAnsi="Book Antiqua"/>
                <w:highlight w:val="none"/>
                <w:vertAlign w:val="superscript"/>
              </w:rPr>
              <w:t>[78]</w:t>
            </w:r>
            <w:r>
              <w:rPr>
                <w:rFonts w:ascii="Book Antiqua" w:hAnsi="Book Antiqua"/>
                <w:highlight w:val="none"/>
              </w:rPr>
              <w:t>, 2004</w:t>
            </w:r>
          </w:p>
        </w:tc>
        <w:tc>
          <w:tcPr>
            <w:tcW w:w="805" w:type="pct"/>
          </w:tcPr>
          <w:p>
            <w:pPr>
              <w:adjustRightInd w:val="0"/>
              <w:snapToGrid w:val="0"/>
              <w:spacing w:line="360" w:lineRule="auto"/>
              <w:jc w:val="both"/>
              <w:rPr>
                <w:rFonts w:ascii="Book Antiqua" w:hAnsi="Book Antiqua"/>
                <w:highlight w:val="none"/>
              </w:rPr>
            </w:pPr>
            <w:r>
              <w:rPr>
                <w:rFonts w:ascii="Book Antiqua" w:hAnsi="Book Antiqua"/>
                <w:highlight w:val="none"/>
              </w:rPr>
              <w:t>1.5 mg/kg</w:t>
            </w:r>
          </w:p>
        </w:tc>
        <w:tc>
          <w:tcPr>
            <w:tcW w:w="666" w:type="pct"/>
          </w:tcPr>
          <w:p>
            <w:pPr>
              <w:adjustRightInd w:val="0"/>
              <w:snapToGrid w:val="0"/>
              <w:spacing w:line="360" w:lineRule="auto"/>
              <w:jc w:val="both"/>
              <w:rPr>
                <w:rFonts w:ascii="Book Antiqua" w:hAnsi="Book Antiqua"/>
                <w:highlight w:val="none"/>
              </w:rPr>
            </w:pPr>
            <w:r>
              <w:rPr>
                <w:rFonts w:ascii="Book Antiqua" w:hAnsi="Book Antiqua"/>
                <w:highlight w:val="none"/>
              </w:rPr>
              <w:t>60</w:t>
            </w:r>
          </w:p>
        </w:tc>
        <w:tc>
          <w:tcPr>
            <w:tcW w:w="1323" w:type="pct"/>
          </w:tcPr>
          <w:p>
            <w:pPr>
              <w:adjustRightInd w:val="0"/>
              <w:snapToGrid w:val="0"/>
              <w:spacing w:line="360" w:lineRule="auto"/>
              <w:jc w:val="both"/>
              <w:rPr>
                <w:rFonts w:ascii="Book Antiqua" w:hAnsi="Book Antiqua"/>
                <w:highlight w:val="none"/>
              </w:rPr>
            </w:pPr>
            <w:r>
              <w:rPr>
                <w:rFonts w:ascii="Book Antiqua" w:hAnsi="Book Antiqua"/>
                <w:highlight w:val="none"/>
              </w:rPr>
              <w:t>NO (Nitroxyl radical)</w:t>
            </w:r>
          </w:p>
        </w:tc>
        <w:tc>
          <w:tcPr>
            <w:tcW w:w="1172" w:type="pct"/>
          </w:tcPr>
          <w:p>
            <w:pPr>
              <w:adjustRightInd w:val="0"/>
              <w:snapToGrid w:val="0"/>
              <w:spacing w:line="360" w:lineRule="auto"/>
              <w:jc w:val="both"/>
              <w:rPr>
                <w:rFonts w:ascii="Book Antiqua" w:hAnsi="Book Antiqua"/>
                <w:highlight w:val="none"/>
              </w:rPr>
            </w:pPr>
            <w:r>
              <w:rPr>
                <w:rFonts w:ascii="Book Antiqua" w:hAnsi="Book Antiqua"/>
                <w:highlight w:val="none"/>
              </w:rPr>
              <w:t>EPR</w:t>
            </w:r>
          </w:p>
        </w:tc>
      </w:tr>
      <w:tr>
        <w:tblPrEx>
          <w:tblBorders>
            <w:top w:val="single" w:color="000000" w:sz="6" w:space="0"/>
            <w:left w:val="none" w:color="auto" w:sz="0" w:space="0"/>
            <w:bottom w:val="single" w:color="000000" w:sz="6"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Pr>
        <w:tc>
          <w:tcPr>
            <w:tcW w:w="1034" w:type="pct"/>
          </w:tcPr>
          <w:p>
            <w:pPr>
              <w:adjustRightInd w:val="0"/>
              <w:snapToGrid w:val="0"/>
              <w:spacing w:line="360" w:lineRule="auto"/>
              <w:jc w:val="both"/>
              <w:rPr>
                <w:rFonts w:ascii="Book Antiqua" w:hAnsi="Book Antiqua"/>
                <w:i/>
                <w:iCs/>
                <w:highlight w:val="none"/>
              </w:rPr>
            </w:pPr>
            <w:r>
              <w:rPr>
                <w:rFonts w:ascii="Book Antiqua" w:hAnsi="Book Antiqua"/>
                <w:bCs/>
                <w:highlight w:val="none"/>
              </w:rPr>
              <w:t>He</w:t>
            </w:r>
            <w:r>
              <w:rPr>
                <w:rFonts w:ascii="Book Antiqua" w:hAnsi="Book Antiqua"/>
                <w:i/>
                <w:iCs/>
                <w:highlight w:val="none"/>
              </w:rPr>
              <w:t xml:space="preserve"> et al</w:t>
            </w:r>
            <w:r>
              <w:rPr>
                <w:rFonts w:ascii="Book Antiqua" w:hAnsi="Book Antiqua"/>
                <w:highlight w:val="none"/>
                <w:vertAlign w:val="superscript"/>
              </w:rPr>
              <w:t>[</w:t>
            </w:r>
            <w:r>
              <w:rPr>
                <w:highlight w:val="none"/>
              </w:rPr>
              <w:fldChar w:fldCharType="begin"/>
            </w:r>
            <w:r>
              <w:rPr>
                <w:highlight w:val="none"/>
              </w:rPr>
              <w:instrText xml:space="preserve"> HYPERLINK "https://www.wjgnet.com/2220-3206/full/v10/i10/223.htm" \l "B42" </w:instrText>
            </w:r>
            <w:r>
              <w:rPr>
                <w:highlight w:val="none"/>
              </w:rPr>
              <w:fldChar w:fldCharType="separate"/>
            </w:r>
            <w:r>
              <w:rPr>
                <w:rStyle w:val="10"/>
                <w:rFonts w:ascii="Book Antiqua" w:hAnsi="Book Antiqua"/>
                <w:color w:val="auto"/>
                <w:highlight w:val="none"/>
                <w:u w:val="none"/>
                <w:vertAlign w:val="superscript"/>
              </w:rPr>
              <w:t>76</w:t>
            </w:r>
            <w:r>
              <w:rPr>
                <w:rStyle w:val="10"/>
                <w:rFonts w:ascii="Book Antiqua" w:hAnsi="Book Antiqua"/>
                <w:color w:val="auto"/>
                <w:highlight w:val="none"/>
                <w:u w:val="none"/>
                <w:vertAlign w:val="superscript"/>
              </w:rPr>
              <w:fldChar w:fldCharType="end"/>
            </w:r>
            <w:r>
              <w:rPr>
                <w:rFonts w:ascii="Book Antiqua" w:hAnsi="Book Antiqua"/>
                <w:highlight w:val="none"/>
                <w:vertAlign w:val="superscript"/>
              </w:rPr>
              <w:t>]</w:t>
            </w:r>
            <w:r>
              <w:rPr>
                <w:rFonts w:ascii="Book Antiqua" w:hAnsi="Book Antiqua"/>
                <w:highlight w:val="none"/>
              </w:rPr>
              <w:t>, 2003</w:t>
            </w:r>
          </w:p>
        </w:tc>
        <w:tc>
          <w:tcPr>
            <w:tcW w:w="805" w:type="pct"/>
          </w:tcPr>
          <w:p>
            <w:pPr>
              <w:adjustRightInd w:val="0"/>
              <w:snapToGrid w:val="0"/>
              <w:spacing w:line="360" w:lineRule="auto"/>
              <w:jc w:val="both"/>
              <w:rPr>
                <w:rFonts w:ascii="Book Antiqua" w:hAnsi="Book Antiqua"/>
                <w:highlight w:val="none"/>
              </w:rPr>
            </w:pPr>
            <w:r>
              <w:rPr>
                <w:rFonts w:ascii="Book Antiqua" w:hAnsi="Book Antiqua"/>
                <w:highlight w:val="none"/>
              </w:rPr>
              <w:t>2</w:t>
            </w:r>
            <w:r>
              <w:rPr>
                <w:rFonts w:hint="eastAsia" w:ascii="Book Antiqua" w:hAnsi="Book Antiqua"/>
                <w:highlight w:val="none"/>
                <w:lang w:eastAsia="zh-CN"/>
              </w:rPr>
              <w:t xml:space="preserve"> </w:t>
            </w:r>
            <w:r>
              <w:rPr>
                <w:rFonts w:ascii="Book Antiqua" w:hAnsi="Book Antiqua"/>
                <w:highlight w:val="none"/>
              </w:rPr>
              <w:t>mg/kg</w:t>
            </w:r>
            <w:r>
              <w:rPr>
                <w:rFonts w:hint="eastAsia" w:ascii="Book Antiqua" w:hAnsi="Book Antiqua"/>
                <w:highlight w:val="none"/>
                <w:lang w:eastAsia="zh-CN"/>
              </w:rPr>
              <w:t xml:space="preserve"> </w:t>
            </w:r>
            <w:r>
              <w:rPr>
                <w:highlight w:val="none"/>
              </w:rPr>
              <w:t>×</w:t>
            </w:r>
            <w:r>
              <w:rPr>
                <w:rFonts w:hint="eastAsia" w:ascii="Book Antiqua" w:hAnsi="Book Antiqua"/>
                <w:highlight w:val="none"/>
                <w:lang w:eastAsia="zh-CN"/>
              </w:rPr>
              <w:t xml:space="preserve"> </w:t>
            </w:r>
            <w:r>
              <w:rPr>
                <w:rFonts w:ascii="Book Antiqua" w:hAnsi="Book Antiqua"/>
                <w:highlight w:val="none"/>
              </w:rPr>
              <w:t>3</w:t>
            </w:r>
          </w:p>
        </w:tc>
        <w:tc>
          <w:tcPr>
            <w:tcW w:w="666" w:type="pct"/>
          </w:tcPr>
          <w:p>
            <w:pPr>
              <w:adjustRightInd w:val="0"/>
              <w:snapToGrid w:val="0"/>
              <w:spacing w:line="360" w:lineRule="auto"/>
              <w:jc w:val="both"/>
              <w:rPr>
                <w:rFonts w:ascii="Book Antiqua" w:hAnsi="Book Antiqua"/>
                <w:highlight w:val="none"/>
              </w:rPr>
            </w:pPr>
            <w:r>
              <w:rPr>
                <w:rFonts w:ascii="Book Antiqua" w:hAnsi="Book Antiqua"/>
                <w:highlight w:val="none"/>
              </w:rPr>
              <w:t>40</w:t>
            </w:r>
          </w:p>
        </w:tc>
        <w:tc>
          <w:tcPr>
            <w:tcW w:w="1323" w:type="pct"/>
          </w:tcPr>
          <w:p>
            <w:pPr>
              <w:adjustRightInd w:val="0"/>
              <w:snapToGrid w:val="0"/>
              <w:spacing w:line="360" w:lineRule="auto"/>
              <w:jc w:val="both"/>
              <w:rPr>
                <w:rFonts w:ascii="Book Antiqua" w:hAnsi="Book Antiqua"/>
                <w:highlight w:val="none"/>
              </w:rPr>
            </w:pPr>
            <w:r>
              <w:rPr>
                <w:rFonts w:ascii="Book Antiqua" w:hAnsi="Book Antiqua"/>
                <w:highlight w:val="none"/>
              </w:rPr>
              <w:t>3</w:t>
            </w:r>
            <w:r>
              <w:rPr>
                <w:rFonts w:hint="eastAsia" w:ascii="宋体" w:hAnsi="宋体" w:eastAsia="宋体" w:cs="宋体"/>
                <w:highlight w:val="none"/>
                <w:lang w:eastAsia="zh-CN"/>
              </w:rPr>
              <w:t>-</w:t>
            </w:r>
            <w:r>
              <w:rPr>
                <w:rFonts w:ascii="Book Antiqua" w:hAnsi="Book Antiqua"/>
                <w:highlight w:val="none"/>
              </w:rPr>
              <w:t>NT</w:t>
            </w:r>
            <w:r>
              <w:rPr>
                <w:rFonts w:hint="eastAsia" w:ascii="Book Antiqua" w:hAnsi="Book Antiqua"/>
                <w:highlight w:val="none"/>
                <w:lang w:eastAsia="zh-CN"/>
              </w:rPr>
              <w:t xml:space="preserve"> </w:t>
            </w:r>
            <w:r>
              <w:rPr>
                <w:rFonts w:ascii="Book Antiqua" w:hAnsi="Book Antiqua"/>
                <w:highlight w:val="none"/>
              </w:rPr>
              <w:t>(3</w:t>
            </w:r>
            <w:r>
              <w:rPr>
                <w:rFonts w:hint="eastAsia" w:ascii="宋体" w:hAnsi="宋体" w:eastAsia="宋体" w:cs="宋体"/>
                <w:highlight w:val="none"/>
                <w:lang w:eastAsia="zh-CN"/>
              </w:rPr>
              <w:t>-</w:t>
            </w:r>
            <w:r>
              <w:rPr>
                <w:rFonts w:ascii="Book Antiqua" w:hAnsi="Book Antiqua"/>
                <w:highlight w:val="none"/>
              </w:rPr>
              <w:t>nitrotyrosine)</w:t>
            </w:r>
          </w:p>
        </w:tc>
        <w:tc>
          <w:tcPr>
            <w:tcW w:w="1172" w:type="pct"/>
          </w:tcPr>
          <w:p>
            <w:pPr>
              <w:adjustRightInd w:val="0"/>
              <w:snapToGrid w:val="0"/>
              <w:spacing w:line="360" w:lineRule="auto"/>
              <w:jc w:val="both"/>
              <w:rPr>
                <w:rFonts w:ascii="Book Antiqua" w:hAnsi="Book Antiqua"/>
                <w:highlight w:val="none"/>
              </w:rPr>
            </w:pPr>
            <w:r>
              <w:rPr>
                <w:rFonts w:ascii="Book Antiqua" w:hAnsi="Book Antiqua"/>
                <w:highlight w:val="none"/>
                <w:shd w:val="clear" w:color="auto" w:fill="FFFFFF"/>
              </w:rPr>
              <w:t>HPLC</w:t>
            </w:r>
          </w:p>
        </w:tc>
      </w:tr>
    </w:tbl>
    <w:p>
      <w:pPr>
        <w:shd w:val="clear" w:color="auto" w:fill="FFFFFF"/>
        <w:adjustRightInd w:val="0"/>
        <w:snapToGrid w:val="0"/>
        <w:spacing w:line="360" w:lineRule="auto"/>
        <w:jc w:val="both"/>
        <w:rPr>
          <w:rFonts w:hint="eastAsia" w:ascii="Book Antiqua" w:hAnsi="Book Antiqua"/>
          <w:highlight w:val="none"/>
          <w:lang w:eastAsia="zh-CN"/>
        </w:rPr>
        <w:sectPr>
          <w:pgSz w:w="12240" w:h="15840"/>
          <w:pgMar w:top="1440" w:right="1440" w:bottom="1440" w:left="1440" w:header="720" w:footer="720" w:gutter="0"/>
          <w:cols w:space="720" w:num="1"/>
          <w:docGrid w:linePitch="360" w:charSpace="0"/>
        </w:sectPr>
      </w:pPr>
      <w:r>
        <w:rPr>
          <w:rFonts w:hint="eastAsia" w:ascii="Book Antiqua" w:hAnsi="Book Antiqua"/>
          <w:highlight w:val="none"/>
          <w:vertAlign w:val="superscript"/>
          <w:lang w:eastAsia="zh-CN"/>
        </w:rPr>
        <w:t>1</w:t>
      </w:r>
      <w:r>
        <w:rPr>
          <w:rFonts w:ascii="Book Antiqua" w:hAnsi="Book Antiqua"/>
          <w:highlight w:val="none"/>
        </w:rPr>
        <w:t xml:space="preserve">Tissue collection was carried out when each individual animal had reached endpoint (when the behavioral phenotype became debilitating, </w:t>
      </w:r>
      <w:r>
        <w:rPr>
          <w:rFonts w:ascii="Book Antiqua" w:hAnsi="Book Antiqua"/>
          <w:i/>
          <w:highlight w:val="none"/>
        </w:rPr>
        <w:t>i.e.</w:t>
      </w:r>
      <w:r>
        <w:rPr>
          <w:rFonts w:ascii="Book Antiqua" w:hAnsi="Book Antiqua"/>
          <w:highlight w:val="none"/>
        </w:rPr>
        <w:t>, when akynesia, rigidity, and postural instability were manifeste</w:t>
      </w:r>
      <w:r>
        <w:rPr>
          <w:rFonts w:ascii="Book Antiqua" w:hAnsi="Book Antiqua"/>
          <w:color w:val="000000" w:themeColor="text1"/>
          <w:highlight w:val="none"/>
        </w:rPr>
        <w:t>d)</w:t>
      </w:r>
      <w:r>
        <w:rPr>
          <w:rFonts w:ascii="Book Antiqua" w:hAnsi="Book Antiqua"/>
          <w:color w:val="000000" w:themeColor="text1"/>
          <w:highlight w:val="none"/>
          <w:vertAlign w:val="superscript"/>
        </w:rPr>
        <w:t>[</w:t>
      </w:r>
      <w:r>
        <w:rPr>
          <w:highlight w:val="none"/>
        </w:rPr>
        <w:fldChar w:fldCharType="begin"/>
      </w:r>
      <w:r>
        <w:rPr>
          <w:highlight w:val="none"/>
        </w:rPr>
        <w:instrText xml:space="preserve"> HYPERLINK "https://www.wjgnet.com/2220-3206/full/v10/i10/223.htm" \l "B42" </w:instrText>
      </w:r>
      <w:r>
        <w:rPr>
          <w:highlight w:val="none"/>
        </w:rPr>
        <w:fldChar w:fldCharType="separate"/>
      </w:r>
      <w:r>
        <w:rPr>
          <w:rStyle w:val="10"/>
          <w:rFonts w:ascii="Book Antiqua" w:hAnsi="Book Antiqua"/>
          <w:color w:val="000000" w:themeColor="text1"/>
          <w:highlight w:val="none"/>
          <w:u w:val="none"/>
          <w:vertAlign w:val="superscript"/>
        </w:rPr>
        <w:t>2</w:t>
      </w:r>
      <w:r>
        <w:rPr>
          <w:rStyle w:val="10"/>
          <w:rFonts w:ascii="Book Antiqua" w:hAnsi="Book Antiqua"/>
          <w:color w:val="000000" w:themeColor="text1"/>
          <w:highlight w:val="none"/>
          <w:u w:val="none"/>
          <w:vertAlign w:val="superscript"/>
        </w:rPr>
        <w:fldChar w:fldCharType="end"/>
      </w:r>
      <w:r>
        <w:rPr>
          <w:rStyle w:val="10"/>
          <w:rFonts w:ascii="Book Antiqua" w:hAnsi="Book Antiqua"/>
          <w:color w:val="000000" w:themeColor="text1"/>
          <w:highlight w:val="none"/>
          <w:u w:val="none"/>
          <w:vertAlign w:val="superscript"/>
        </w:rPr>
        <w:t>3</w:t>
      </w:r>
      <w:r>
        <w:rPr>
          <w:rFonts w:ascii="Book Antiqua" w:hAnsi="Book Antiqua"/>
          <w:color w:val="000000" w:themeColor="text1"/>
          <w:highlight w:val="none"/>
          <w:vertAlign w:val="superscript"/>
        </w:rPr>
        <w:t>]</w:t>
      </w:r>
      <w:r>
        <w:rPr>
          <w:rFonts w:ascii="Book Antiqua" w:hAnsi="Book Antiqua"/>
          <w:color w:val="000000" w:themeColor="text1"/>
          <w:highlight w:val="none"/>
        </w:rPr>
        <w:t>.</w:t>
      </w:r>
      <w:r>
        <w:rPr>
          <w:rFonts w:ascii="Book Antiqua" w:hAnsi="Book Antiqua"/>
          <w:color w:val="000000" w:themeColor="text1"/>
          <w:highlight w:val="none"/>
          <w:lang w:eastAsia="zh-CN"/>
        </w:rPr>
        <w:t xml:space="preserve"> </w:t>
      </w:r>
      <w:r>
        <w:rPr>
          <w:rFonts w:hint="eastAsia" w:ascii="Book Antiqua" w:hAnsi="Book Antiqua"/>
          <w:highlight w:val="none"/>
          <w:lang w:eastAsia="zh-CN"/>
        </w:rPr>
        <w:t xml:space="preserve">NO: </w:t>
      </w:r>
      <w:r>
        <w:rPr>
          <w:rFonts w:hint="eastAsia" w:ascii="Book Antiqua" w:hAnsi="Book Antiqua" w:cs="Book Antiqua"/>
          <w:bCs/>
          <w:color w:val="000000"/>
          <w:highlight w:val="none"/>
          <w:lang w:eastAsia="zh-CN"/>
        </w:rPr>
        <w:t>N</w:t>
      </w:r>
      <w:r>
        <w:rPr>
          <w:rFonts w:ascii="Book Antiqua" w:hAnsi="Book Antiqua" w:eastAsia="Book Antiqua" w:cs="Book Antiqua"/>
          <w:bCs/>
          <w:color w:val="000000"/>
          <w:highlight w:val="none"/>
        </w:rPr>
        <w:t>itric oxide</w:t>
      </w:r>
      <w:r>
        <w:rPr>
          <w:rFonts w:hint="eastAsia" w:ascii="Book Antiqua" w:hAnsi="Book Antiqua"/>
          <w:highlight w:val="none"/>
          <w:lang w:eastAsia="zh-CN"/>
        </w:rPr>
        <w:t xml:space="preserve">; EPR: </w:t>
      </w:r>
      <w:r>
        <w:rPr>
          <w:rFonts w:hint="eastAsia" w:ascii="Book Antiqua" w:hAnsi="Book Antiqua" w:cs="Book Antiqua"/>
          <w:color w:val="000000"/>
          <w:highlight w:val="none"/>
          <w:lang w:eastAsia="zh-CN"/>
        </w:rPr>
        <w:t>E</w:t>
      </w:r>
      <w:r>
        <w:rPr>
          <w:rFonts w:ascii="Book Antiqua" w:hAnsi="Book Antiqua" w:eastAsia="Book Antiqua" w:cs="Book Antiqua"/>
          <w:color w:val="000000"/>
          <w:highlight w:val="none"/>
        </w:rPr>
        <w:t>lectron paramagnetic resonance</w:t>
      </w:r>
      <w:r>
        <w:rPr>
          <w:rFonts w:hint="eastAsia" w:ascii="Book Antiqua" w:hAnsi="Book Antiqua"/>
          <w:highlight w:val="none"/>
          <w:lang w:eastAsia="zh-CN"/>
        </w:rPr>
        <w:t xml:space="preserve">; </w:t>
      </w:r>
      <w:bookmarkStart w:id="74" w:name="OLE_LINK32"/>
      <w:bookmarkStart w:id="75" w:name="OLE_LINK33"/>
      <w:r>
        <w:rPr>
          <w:rFonts w:hint="eastAsia" w:ascii="Book Antiqua" w:hAnsi="Book Antiqua"/>
          <w:highlight w:val="none"/>
          <w:lang w:eastAsia="zh-CN"/>
        </w:rPr>
        <w:t>HPLC</w:t>
      </w:r>
      <w:bookmarkEnd w:id="74"/>
      <w:bookmarkEnd w:id="75"/>
      <w:r>
        <w:rPr>
          <w:rFonts w:hint="eastAsia" w:ascii="Book Antiqua" w:hAnsi="Book Antiqua"/>
          <w:highlight w:val="none"/>
          <w:lang w:eastAsia="zh-CN"/>
        </w:rPr>
        <w:t xml:space="preserve">: </w:t>
      </w:r>
      <w:r>
        <w:rPr>
          <w:rFonts w:ascii="Book Antiqua" w:hAnsi="Book Antiqua"/>
          <w:highlight w:val="none"/>
          <w:lang w:eastAsia="zh-CN"/>
        </w:rPr>
        <w:t>High performance liquid chromatography</w:t>
      </w:r>
      <w:r>
        <w:rPr>
          <w:rFonts w:hint="eastAsia" w:ascii="Book Antiqua" w:hAnsi="Book Antiqua"/>
          <w:highlight w:val="none"/>
          <w:lang w:eastAsia="zh-CN"/>
        </w:rPr>
        <w:t>.</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highlight w:val="none"/>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highlight w:val="none"/>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highlight w:val="none"/>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highlight w:val="none"/>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highlight w:val="none"/>
          <w:lang w:eastAsia="zh-CN"/>
        </w:rPr>
      </w:pPr>
      <w:r>
        <w:rPr>
          <w:rFonts w:ascii="Book Antiqua" w:hAnsi="Book Antiqua"/>
          <w:highlight w:val="none"/>
          <w:lang w:eastAsia="zh-CN"/>
        </w:rPr>
        <w:drawing>
          <wp:inline distT="0" distB="0" distL="0" distR="0">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highlight w:val="none"/>
          <w:lang w:eastAsia="zh-CN"/>
        </w:rPr>
      </w:pPr>
    </w:p>
    <w:p>
      <w:pPr>
        <w:keepNext w:val="0"/>
        <w:keepLines w:val="0"/>
        <w:pageBreakBefore w:val="0"/>
        <w:widowControl/>
        <w:kinsoku/>
        <w:wordWrap/>
        <w:overflowPunct/>
        <w:topLinePunct w:val="0"/>
        <w:autoSpaceDE w:val="0"/>
        <w:autoSpaceDN w:val="0"/>
        <w:bidi w:val="0"/>
        <w:adjustRightInd w:val="0"/>
        <w:snapToGrid w:val="0"/>
        <w:spacing w:line="240" w:lineRule="atLeast"/>
        <w:ind w:left="240" w:leftChars="100"/>
        <w:jc w:val="center"/>
        <w:textAlignment w:val="auto"/>
        <w:rPr>
          <w:rFonts w:ascii="Book Antiqua" w:hAnsi="Book Antiqua" w:eastAsia="Garamond-Bold" w:cs="Garamond-Bold"/>
          <w:b/>
          <w:bCs/>
          <w:color w:val="000000"/>
          <w:sz w:val="28"/>
          <w:szCs w:val="28"/>
          <w:highlight w:val="none"/>
        </w:rPr>
      </w:pPr>
      <w:r>
        <w:rPr>
          <w:rFonts w:ascii="Book Antiqua" w:hAnsi="Book Antiqua" w:eastAsia="TimesNewRomanPSMT" w:cs="TimesNewRomanPSMT"/>
          <w:color w:val="000000"/>
          <w:sz w:val="28"/>
          <w:szCs w:val="28"/>
          <w:highlight w:val="none"/>
        </w:rPr>
        <w:t xml:space="preserve">Published by </w:t>
      </w:r>
      <w:r>
        <w:rPr>
          <w:rFonts w:ascii="Book Antiqua" w:hAnsi="Book Antiqua" w:eastAsia="Garamond-Bold" w:cs="Garamond-Bold"/>
          <w:b/>
          <w:bCs/>
          <w:color w:val="000000"/>
          <w:sz w:val="28"/>
          <w:szCs w:val="28"/>
          <w:highlight w:val="none"/>
        </w:rPr>
        <w:t>Baishideng Publishing Group Inc</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highlight w:val="none"/>
        </w:rPr>
      </w:pPr>
      <w:r>
        <w:rPr>
          <w:rFonts w:ascii="Book Antiqua" w:hAnsi="Book Antiqua" w:eastAsia="TimesNewRomanPSMT" w:cs="Garamond"/>
          <w:color w:val="000000"/>
          <w:sz w:val="28"/>
          <w:szCs w:val="28"/>
          <w:highlight w:val="none"/>
        </w:rPr>
        <w:t>7041 Koll Center Parkway, Suite 160, Pleasanton, CA 94566, USA</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highlight w:val="none"/>
        </w:rPr>
      </w:pPr>
      <w:r>
        <w:rPr>
          <w:rFonts w:ascii="Book Antiqua" w:hAnsi="Book Antiqua" w:eastAsia="Garamond-Bold" w:cs="Garamond-Bold"/>
          <w:b/>
          <w:bCs/>
          <w:color w:val="000000"/>
          <w:sz w:val="28"/>
          <w:szCs w:val="28"/>
          <w:highlight w:val="none"/>
        </w:rPr>
        <w:t xml:space="preserve">Telephone: </w:t>
      </w:r>
      <w:r>
        <w:rPr>
          <w:rFonts w:ascii="Book Antiqua" w:hAnsi="Book Antiqua" w:eastAsia="TimesNewRomanPSMT" w:cs="Garamond"/>
          <w:color w:val="000000"/>
          <w:sz w:val="28"/>
          <w:szCs w:val="28"/>
          <w:highlight w:val="none"/>
        </w:rPr>
        <w:t>+1-925-3991568</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highlight w:val="none"/>
        </w:rPr>
      </w:pPr>
      <w:r>
        <w:rPr>
          <w:rFonts w:ascii="Book Antiqua" w:hAnsi="Book Antiqua" w:eastAsia="Garamond-Bold" w:cs="Garamond-Bold"/>
          <w:b/>
          <w:bCs/>
          <w:color w:val="000000"/>
          <w:sz w:val="28"/>
          <w:szCs w:val="28"/>
          <w:highlight w:val="none"/>
        </w:rPr>
        <w:t xml:space="preserve">E-mail: </w:t>
      </w:r>
      <w:r>
        <w:rPr>
          <w:rFonts w:ascii="Book Antiqua" w:hAnsi="Book Antiqua" w:eastAsia="TimesNewRomanPSMT" w:cs="Garamond"/>
          <w:color w:val="D56400"/>
          <w:sz w:val="28"/>
          <w:szCs w:val="28"/>
          <w:highlight w:val="none"/>
        </w:rPr>
        <w:t>bpgoffice@wjgnet.com</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highlight w:val="none"/>
        </w:rPr>
      </w:pPr>
      <w:r>
        <w:rPr>
          <w:rFonts w:ascii="Book Antiqua" w:hAnsi="Book Antiqua" w:eastAsia="Garamond-Bold" w:cs="Garamond-Bold"/>
          <w:b/>
          <w:bCs/>
          <w:color w:val="000000"/>
          <w:sz w:val="28"/>
          <w:szCs w:val="28"/>
          <w:highlight w:val="none"/>
        </w:rPr>
        <w:t xml:space="preserve">Help Desk: </w:t>
      </w:r>
      <w:r>
        <w:rPr>
          <w:rFonts w:ascii="Book Antiqua" w:hAnsi="Book Antiqua" w:eastAsia="TimesNewRomanPSMT" w:cs="Garamond"/>
          <w:color w:val="D56400"/>
          <w:sz w:val="28"/>
          <w:szCs w:val="28"/>
          <w:highlight w:val="none"/>
        </w:rPr>
        <w:t>https://www.f6publishing.com/helpdesk</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highlight w:val="none"/>
          <w:lang w:eastAsia="zh-CN"/>
        </w:rPr>
      </w:pPr>
      <w:r>
        <w:rPr>
          <w:rFonts w:ascii="Book Antiqua" w:hAnsi="Book Antiqua" w:eastAsia="TimesNewRomanPSMT" w:cs="Garamond"/>
          <w:color w:val="D56400"/>
          <w:sz w:val="28"/>
          <w:szCs w:val="28"/>
          <w:highlight w:val="none"/>
        </w:rPr>
        <w:t>https://www.wjgnet.com</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highlight w:val="none"/>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highlight w:val="none"/>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highlight w:val="none"/>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highlight w:val="none"/>
          <w:lang w:eastAsia="zh-CN"/>
        </w:rPr>
      </w:pPr>
      <w:r>
        <w:rPr>
          <w:rFonts w:ascii="Book Antiqua" w:hAnsi="Book Antiqua"/>
          <w:highlight w:val="none"/>
          <w:lang w:eastAsia="zh-CN"/>
        </w:rPr>
        <w:drawing>
          <wp:inline distT="0" distB="0" distL="0" distR="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highlight w:val="none"/>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highlight w:val="none"/>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highlight w:val="none"/>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highlight w:val="none"/>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highlight w:val="none"/>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highlight w:val="none"/>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highlight w:val="none"/>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highlight w:val="none"/>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highlight w:val="none"/>
          <w:lang w:eastAsia="zh-CN"/>
        </w:rPr>
      </w:pPr>
    </w:p>
    <w:p>
      <w:pPr>
        <w:keepNext w:val="0"/>
        <w:keepLines w:val="0"/>
        <w:pageBreakBefore w:val="0"/>
        <w:widowControl/>
        <w:kinsoku/>
        <w:wordWrap/>
        <w:overflowPunct/>
        <w:topLinePunct w:val="0"/>
        <w:bidi w:val="0"/>
        <w:snapToGrid w:val="0"/>
        <w:ind w:left="240" w:leftChars="100"/>
        <w:jc w:val="right"/>
        <w:textAlignment w:val="auto"/>
        <w:rPr>
          <w:rFonts w:ascii="Book Antiqua" w:hAnsi="Book Antiqua"/>
          <w:color w:val="000000" w:themeColor="text1"/>
          <w:highlight w:val="none"/>
          <w:lang w:eastAsia="zh-CN"/>
        </w:rPr>
      </w:pPr>
    </w:p>
    <w:p>
      <w:pPr>
        <w:keepNext w:val="0"/>
        <w:keepLines w:val="0"/>
        <w:pageBreakBefore w:val="0"/>
        <w:widowControl/>
        <w:kinsoku/>
        <w:wordWrap/>
        <w:overflowPunct/>
        <w:topLinePunct w:val="0"/>
        <w:bidi w:val="0"/>
        <w:snapToGrid w:val="0"/>
        <w:jc w:val="center"/>
        <w:textAlignment w:val="auto"/>
        <w:rPr>
          <w:rFonts w:ascii="Book Antiqua" w:hAnsi="Book Antiqua"/>
          <w:highlight w:val="none"/>
          <w:shd w:val="clear" w:color="auto" w:fill="FFFFFF"/>
          <w:lang w:eastAsia="zh-CN"/>
        </w:rPr>
      </w:pPr>
      <w:r>
        <w:rPr>
          <w:rFonts w:ascii="Book Antiqua" w:hAnsi="Book Antiqua" w:eastAsia="BookAntiqua-Bold" w:cs="BookAntiqua-Bold"/>
          <w:b/>
          <w:bCs/>
          <w:color w:val="000000" w:themeColor="text1"/>
          <w:highlight w:val="none"/>
        </w:rPr>
        <w:t>© 2021 Baishideng Publishing Group Inc. All rights reserved.</w:t>
      </w:r>
    </w:p>
    <w:p>
      <w:pPr>
        <w:rPr>
          <w:rFonts w:hint="eastAsia" w:ascii="Book Antiqua" w:hAnsi="Book Antiqua" w:eastAsia="宋体" w:cs="Book Antiqua"/>
          <w:b/>
          <w:bCs/>
          <w:color w:val="000000"/>
          <w:highlight w:val="none"/>
          <w:lang w:val="en-US" w:eastAsia="zh-CN"/>
        </w:rPr>
      </w:pPr>
    </w:p>
    <w:p>
      <w:pPr>
        <w:shd w:val="clear" w:color="auto" w:fill="FFFFFF"/>
        <w:adjustRightInd w:val="0"/>
        <w:snapToGrid w:val="0"/>
        <w:spacing w:line="360" w:lineRule="auto"/>
        <w:jc w:val="both"/>
        <w:rPr>
          <w:rFonts w:hint="eastAsia" w:ascii="Book Antiqua" w:hAnsi="Book Antiqua"/>
          <w:highlight w:val="none"/>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Book Antiqua">
    <w:panose1 w:val="02040602050305030304"/>
    <w:charset w:val="00"/>
    <w:family w:val="roman"/>
    <w:pitch w:val="default"/>
    <w:sig w:usb0="00000287" w:usb1="00000000" w:usb2="00000000" w:usb3="00000000" w:csb0="2000009F" w:csb1="DFD70000"/>
  </w:font>
  <w:font w:name="Times">
    <w:altName w:val="Times New Roman"/>
    <w:panose1 w:val="02020603050405020304"/>
    <w:charset w:val="80"/>
    <w:family w:val="roman"/>
    <w:pitch w:val="default"/>
    <w:sig w:usb0="00000000" w:usb1="00000000" w:usb2="00000010" w:usb3="00000000" w:csb0="00020000" w:csb1="00000000"/>
  </w:font>
  <w:font w:name="Garamond-Bold">
    <w:altName w:val="等线"/>
    <w:panose1 w:val="00000000000000000000"/>
    <w:charset w:val="00"/>
    <w:family w:val="auto"/>
    <w:pitch w:val="default"/>
    <w:sig w:usb0="00000000" w:usb1="00000000" w:usb2="00000010" w:usb3="00000000" w:csb0="0004009F" w:csb1="00000000"/>
  </w:font>
  <w:font w:name="TimesNewRomanPSMT">
    <w:altName w:val="宋体"/>
    <w:panose1 w:val="00000000000000000000"/>
    <w:charset w:val="86"/>
    <w:family w:val="auto"/>
    <w:pitch w:val="default"/>
    <w:sig w:usb0="00000000" w:usb1="00000000" w:usb2="00000010" w:usb3="00000000" w:csb0="00060002" w:csb1="00000000"/>
  </w:font>
  <w:font w:name="Garamond">
    <w:panose1 w:val="02020404030301010803"/>
    <w:charset w:val="00"/>
    <w:family w:val="roman"/>
    <w:pitch w:val="default"/>
    <w:sig w:usb0="00000287" w:usb1="00000000" w:usb2="00000000" w:usb3="00000000" w:csb0="0000009F" w:csb1="DFD70000"/>
  </w:font>
  <w:font w:name="BookAntiqua-Bold">
    <w:altName w:val="Calibri"/>
    <w:panose1 w:val="00000000000000000000"/>
    <w:charset w:val="00"/>
    <w:family w:val="swiss"/>
    <w:pitch w:val="default"/>
    <w:sig w:usb0="00000000" w:usb1="00000000" w:usb2="00000000" w:usb3="00000000" w:csb0="00000001"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52643481"/>
      <w:docPartObj>
        <w:docPartGallery w:val="AutoText"/>
      </w:docPartObj>
    </w:sdtPr>
    <w:sdtContent>
      <w:sdt>
        <w:sdtPr>
          <w:id w:val="860082579"/>
          <w:docPartObj>
            <w:docPartGallery w:val="AutoText"/>
          </w:docPartObj>
        </w:sdtPr>
        <w:sdtContent>
          <w:p>
            <w:pPr>
              <w:pStyle w:val="3"/>
              <w:jc w:val="right"/>
            </w:pPr>
            <w:r>
              <w:rPr>
                <w:lang w:val="zh-CN" w:eastAsia="zh-CN"/>
              </w:rPr>
              <w:t xml:space="preserve"> </w:t>
            </w:r>
            <w:r>
              <w:rPr>
                <w:b/>
                <w:bCs/>
                <w:sz w:val="24"/>
                <w:szCs w:val="24"/>
              </w:rPr>
              <w:fldChar w:fldCharType="begin"/>
            </w:r>
            <w:r>
              <w:rPr>
                <w:b/>
                <w:bCs/>
              </w:rPr>
              <w:instrText xml:space="preserve">PAGE</w:instrText>
            </w:r>
            <w:r>
              <w:rPr>
                <w:b/>
                <w:bCs/>
                <w:sz w:val="24"/>
                <w:szCs w:val="24"/>
              </w:rPr>
              <w:fldChar w:fldCharType="separate"/>
            </w:r>
            <w:r>
              <w:rPr>
                <w:b/>
                <w:bCs/>
              </w:rPr>
              <w:t>1</w:t>
            </w:r>
            <w:r>
              <w:rPr>
                <w:b/>
                <w:bCs/>
                <w:sz w:val="24"/>
                <w:szCs w:val="24"/>
              </w:rPr>
              <w:fldChar w:fldCharType="end"/>
            </w:r>
            <w:r>
              <w:rPr>
                <w:lang w:val="zh-CN" w:eastAsia="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28</w:t>
            </w:r>
            <w:r>
              <w:rPr>
                <w:b/>
                <w:bCs/>
                <w:sz w:val="24"/>
                <w:szCs w:val="24"/>
              </w:rPr>
              <w:fldChar w:fldCharType="end"/>
            </w:r>
          </w:p>
        </w:sdtContent>
      </w:sdt>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noPunctuationKerning w:val="1"/>
  <w:characterSpacingControl w:val="doNotCompress"/>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A77B3E"/>
    <w:rsid w:val="00010DA8"/>
    <w:rsid w:val="00017EEA"/>
    <w:rsid w:val="0003294F"/>
    <w:rsid w:val="000B31EA"/>
    <w:rsid w:val="000D0DE4"/>
    <w:rsid w:val="000E0E6E"/>
    <w:rsid w:val="001327AD"/>
    <w:rsid w:val="00145955"/>
    <w:rsid w:val="0019638E"/>
    <w:rsid w:val="001F28D9"/>
    <w:rsid w:val="00204CBB"/>
    <w:rsid w:val="00215D2C"/>
    <w:rsid w:val="00260240"/>
    <w:rsid w:val="00294E77"/>
    <w:rsid w:val="002B7717"/>
    <w:rsid w:val="002E78FD"/>
    <w:rsid w:val="0034490E"/>
    <w:rsid w:val="00464D14"/>
    <w:rsid w:val="004C01D3"/>
    <w:rsid w:val="004F0794"/>
    <w:rsid w:val="005369A3"/>
    <w:rsid w:val="00553E10"/>
    <w:rsid w:val="00611F50"/>
    <w:rsid w:val="00665EB6"/>
    <w:rsid w:val="0070707F"/>
    <w:rsid w:val="007126D6"/>
    <w:rsid w:val="00723AD9"/>
    <w:rsid w:val="0080340E"/>
    <w:rsid w:val="00845AC2"/>
    <w:rsid w:val="008B2769"/>
    <w:rsid w:val="008B5395"/>
    <w:rsid w:val="008C5705"/>
    <w:rsid w:val="008C6CAD"/>
    <w:rsid w:val="008F2297"/>
    <w:rsid w:val="00905082"/>
    <w:rsid w:val="0090531F"/>
    <w:rsid w:val="00957851"/>
    <w:rsid w:val="00976A8C"/>
    <w:rsid w:val="009A2FD7"/>
    <w:rsid w:val="009A4E32"/>
    <w:rsid w:val="009B0EC1"/>
    <w:rsid w:val="00A05270"/>
    <w:rsid w:val="00A77B3E"/>
    <w:rsid w:val="00A8739E"/>
    <w:rsid w:val="00B23D3B"/>
    <w:rsid w:val="00B252DE"/>
    <w:rsid w:val="00BD53AA"/>
    <w:rsid w:val="00C10F76"/>
    <w:rsid w:val="00C27293"/>
    <w:rsid w:val="00C6107D"/>
    <w:rsid w:val="00C6729B"/>
    <w:rsid w:val="00CA2A55"/>
    <w:rsid w:val="00CE0D93"/>
    <w:rsid w:val="00D67C97"/>
    <w:rsid w:val="00DE5FC6"/>
    <w:rsid w:val="00DF5952"/>
    <w:rsid w:val="00EB1B6F"/>
    <w:rsid w:val="00ED0179"/>
    <w:rsid w:val="00EE6017"/>
    <w:rsid w:val="00F0326B"/>
    <w:rsid w:val="00F22CBE"/>
    <w:rsid w:val="00F34C7F"/>
    <w:rsid w:val="00F701D2"/>
    <w:rsid w:val="00F95F2F"/>
    <w:rsid w:val="00FD48CA"/>
    <w:rsid w:val="00FE16D6"/>
    <w:rsid w:val="00FF0546"/>
    <w:rsid w:val="628464BD"/>
    <w:rsid w:val="7DB340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nhideWhenUsed="0" w:uiPriority="0" w:semiHidden="0" w:name="header"/>
    <w:lsdException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99" w:semiHidden="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sz w:val="24"/>
      <w:szCs w:val="24"/>
      <w:lang w:val="en-US" w:eastAsia="en-US"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3"/>
    <w:qFormat/>
    <w:uiPriority w:val="0"/>
    <w:rPr>
      <w:sz w:val="18"/>
      <w:szCs w:val="18"/>
    </w:rPr>
  </w:style>
  <w:style w:type="paragraph" w:styleId="3">
    <w:name w:val="footer"/>
    <w:basedOn w:val="1"/>
    <w:link w:val="16"/>
    <w:uiPriority w:val="99"/>
    <w:pPr>
      <w:tabs>
        <w:tab w:val="center" w:pos="4153"/>
        <w:tab w:val="right" w:pos="8306"/>
      </w:tabs>
      <w:snapToGrid w:val="0"/>
    </w:pPr>
    <w:rPr>
      <w:sz w:val="18"/>
      <w:szCs w:val="18"/>
    </w:rPr>
  </w:style>
  <w:style w:type="paragraph" w:styleId="4">
    <w:name w:val="header"/>
    <w:basedOn w:val="1"/>
    <w:link w:val="15"/>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spacing w:before="100" w:beforeAutospacing="1" w:after="100" w:afterAutospacing="1"/>
    </w:pPr>
    <w:rPr>
      <w:rFonts w:ascii="宋体" w:hAnsi="宋体" w:eastAsia="宋体" w:cs="宋体"/>
      <w:lang w:eastAsia="zh-CN"/>
    </w:rPr>
  </w:style>
  <w:style w:type="character" w:styleId="8">
    <w:name w:val="Strong"/>
    <w:basedOn w:val="7"/>
    <w:qFormat/>
    <w:uiPriority w:val="22"/>
    <w:rPr>
      <w:b/>
      <w:bCs/>
    </w:rPr>
  </w:style>
  <w:style w:type="character" w:styleId="9">
    <w:name w:val="Emphasis"/>
    <w:basedOn w:val="7"/>
    <w:qFormat/>
    <w:uiPriority w:val="20"/>
    <w:rPr>
      <w:i/>
      <w:iCs/>
    </w:rPr>
  </w:style>
  <w:style w:type="character" w:styleId="10">
    <w:name w:val="Hyperlink"/>
    <w:basedOn w:val="7"/>
    <w:unhideWhenUsed/>
    <w:uiPriority w:val="99"/>
    <w:rPr>
      <w:color w:val="0000FF"/>
      <w:u w:val="single"/>
    </w:rPr>
  </w:style>
  <w:style w:type="character" w:customStyle="1" w:styleId="11">
    <w:name w:val="MsoHyperlink"/>
    <w:basedOn w:val="7"/>
    <w:uiPriority w:val="0"/>
  </w:style>
  <w:style w:type="character" w:customStyle="1" w:styleId="12">
    <w:name w:val="hps"/>
    <w:basedOn w:val="7"/>
    <w:uiPriority w:val="0"/>
  </w:style>
  <w:style w:type="character" w:customStyle="1" w:styleId="13">
    <w:name w:val="批注框文本 字符"/>
    <w:basedOn w:val="7"/>
    <w:link w:val="2"/>
    <w:qFormat/>
    <w:uiPriority w:val="0"/>
    <w:rPr>
      <w:sz w:val="18"/>
      <w:szCs w:val="18"/>
    </w:rPr>
  </w:style>
  <w:style w:type="paragraph" w:customStyle="1" w:styleId="14">
    <w:name w:val="Body Text 21"/>
    <w:basedOn w:val="1"/>
    <w:uiPriority w:val="0"/>
    <w:pPr>
      <w:autoSpaceDE w:val="0"/>
      <w:autoSpaceDN w:val="0"/>
      <w:adjustRightInd w:val="0"/>
      <w:spacing w:line="480" w:lineRule="auto"/>
      <w:jc w:val="both"/>
    </w:pPr>
    <w:rPr>
      <w:rFonts w:ascii="Arial" w:hAnsi="Arial" w:eastAsia="Times New Roman" w:cs="Arial"/>
      <w:i/>
      <w:iCs/>
      <w:lang w:eastAsia="de-DE"/>
    </w:rPr>
  </w:style>
  <w:style w:type="character" w:customStyle="1" w:styleId="15">
    <w:name w:val="页眉 字符"/>
    <w:basedOn w:val="7"/>
    <w:link w:val="4"/>
    <w:uiPriority w:val="0"/>
    <w:rPr>
      <w:sz w:val="18"/>
      <w:szCs w:val="18"/>
    </w:rPr>
  </w:style>
  <w:style w:type="character" w:customStyle="1" w:styleId="16">
    <w:name w:val="页脚 字符"/>
    <w:basedOn w:val="7"/>
    <w:link w:val="3"/>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28</Pages>
  <Words>7399</Words>
  <Characters>42175</Characters>
  <Lines>351</Lines>
  <Paragraphs>98</Paragraphs>
  <TotalTime>1</TotalTime>
  <ScaleCrop>false</ScaleCrop>
  <LinksUpToDate>false</LinksUpToDate>
  <CharactersWithSpaces>49476</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2021-07-23T01:48:00Z</dcterms:created>
  <dc:creator>梅长苏</dc:creator>
  <cp:lastModifiedBy>晓晨</cp:lastModifiedBy>
  <dcterms:modified xsi:type="dcterms:W3CDTF">2021-10-13T10:47:49Z</dcterms:modified>
  <cp:revision>66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B6A6231D824D4B399EAFBBA105B0D8BB</vt:lpwstr>
  </property>
</Properties>
</file>