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9CC196" w14:textId="77777777" w:rsidR="00A77B3E" w:rsidRDefault="00B80431">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Transplantation</w:t>
      </w:r>
    </w:p>
    <w:p w14:paraId="50BB535C" w14:textId="77777777" w:rsidR="00A77B3E" w:rsidRDefault="00B80431">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58506</w:t>
      </w:r>
    </w:p>
    <w:p w14:paraId="3D79CF48" w14:textId="77777777" w:rsidR="00A77B3E" w:rsidRDefault="00B80431">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CASE REPORT</w:t>
      </w:r>
    </w:p>
    <w:p w14:paraId="0511D55A" w14:textId="77777777" w:rsidR="00A77B3E" w:rsidRDefault="00A77B3E">
      <w:pPr>
        <w:spacing w:line="360" w:lineRule="auto"/>
        <w:jc w:val="both"/>
      </w:pPr>
    </w:p>
    <w:p w14:paraId="18328928" w14:textId="0AB21DFA" w:rsidR="00A77B3E" w:rsidRDefault="00B80431">
      <w:pPr>
        <w:spacing w:line="360" w:lineRule="auto"/>
        <w:jc w:val="both"/>
      </w:pPr>
      <w:r>
        <w:rPr>
          <w:rFonts w:ascii="Book Antiqua" w:eastAsia="Book Antiqua" w:hAnsi="Book Antiqua" w:cs="Book Antiqua"/>
          <w:b/>
          <w:color w:val="000000"/>
        </w:rPr>
        <w:t>COVID</w:t>
      </w:r>
      <w:r w:rsidR="00B10C9C">
        <w:rPr>
          <w:rFonts w:ascii="Book Antiqua" w:eastAsia="Book Antiqua" w:hAnsi="Book Antiqua" w:cs="Book Antiqua"/>
          <w:b/>
          <w:color w:val="000000"/>
        </w:rPr>
        <w:t>-</w:t>
      </w:r>
      <w:r>
        <w:rPr>
          <w:rFonts w:ascii="Book Antiqua" w:eastAsia="Book Antiqua" w:hAnsi="Book Antiqua" w:cs="Book Antiqua"/>
          <w:b/>
          <w:color w:val="000000"/>
        </w:rPr>
        <w:t xml:space="preserve">19 </w:t>
      </w:r>
      <w:r w:rsidR="008754C6">
        <w:rPr>
          <w:rFonts w:ascii="Book Antiqua" w:eastAsia="Book Antiqua" w:hAnsi="Book Antiqua" w:cs="Book Antiqua"/>
          <w:b/>
          <w:color w:val="000000"/>
        </w:rPr>
        <w:t>infection in a kidney transplant recipient</w:t>
      </w:r>
      <w:r w:rsidR="008754C6" w:rsidRPr="00555E7F">
        <w:rPr>
          <w:rFonts w:ascii="Book Antiqua" w:eastAsia="Book Antiqua" w:hAnsi="Book Antiqua" w:cs="Book Antiqua"/>
          <w:b/>
          <w:color w:val="000000"/>
        </w:rPr>
        <w:t>—</w:t>
      </w:r>
      <w:r w:rsidR="008754C6">
        <w:rPr>
          <w:rFonts w:ascii="Book Antiqua" w:eastAsia="Book Antiqua" w:hAnsi="Book Antiqua" w:cs="Book Antiqua"/>
          <w:b/>
          <w:color w:val="000000"/>
        </w:rPr>
        <w:t>special emphasis on pharmacokinetic intera</w:t>
      </w:r>
      <w:r>
        <w:rPr>
          <w:rFonts w:ascii="Book Antiqua" w:eastAsia="Book Antiqua" w:hAnsi="Book Antiqua" w:cs="Book Antiqua"/>
          <w:b/>
          <w:color w:val="000000"/>
        </w:rPr>
        <w:t>ctions</w:t>
      </w:r>
      <w:r w:rsidR="008754C6">
        <w:rPr>
          <w:rFonts w:ascii="Book Antiqua" w:eastAsia="Book Antiqua" w:hAnsi="Book Antiqua" w:cs="Book Antiqua"/>
          <w:b/>
          <w:color w:val="000000"/>
        </w:rPr>
        <w:t>: A case report</w:t>
      </w:r>
    </w:p>
    <w:p w14:paraId="65C4847E" w14:textId="77777777" w:rsidR="00A77B3E" w:rsidRDefault="00A77B3E">
      <w:pPr>
        <w:spacing w:line="360" w:lineRule="auto"/>
        <w:jc w:val="both"/>
      </w:pPr>
    </w:p>
    <w:p w14:paraId="3F1BC21F" w14:textId="3227AE77" w:rsidR="00A77B3E" w:rsidRDefault="008754C6">
      <w:pPr>
        <w:spacing w:line="360" w:lineRule="auto"/>
        <w:jc w:val="both"/>
      </w:pPr>
      <w:proofErr w:type="spellStart"/>
      <w:r>
        <w:rPr>
          <w:rFonts w:ascii="Book Antiqua" w:eastAsia="Book Antiqua" w:hAnsi="Book Antiqua" w:cs="Book Antiqua"/>
          <w:color w:val="000000"/>
        </w:rPr>
        <w:t>O</w:t>
      </w:r>
      <w:r w:rsidR="008C58B2">
        <w:rPr>
          <w:rFonts w:ascii="Book Antiqua" w:eastAsia="Book Antiqua" w:hAnsi="Book Antiqua" w:cs="Book Antiqua"/>
          <w:color w:val="000000"/>
        </w:rPr>
        <w:t>g</w:t>
      </w:r>
      <w:r>
        <w:rPr>
          <w:rFonts w:ascii="Book Antiqua" w:eastAsia="Book Antiqua" w:hAnsi="Book Antiqua" w:cs="Book Antiqua"/>
          <w:color w:val="000000"/>
        </w:rPr>
        <w:t>uz</w:t>
      </w:r>
      <w:proofErr w:type="spellEnd"/>
      <w:r>
        <w:rPr>
          <w:rFonts w:ascii="Book Antiqua" w:eastAsia="Book Antiqua" w:hAnsi="Book Antiqua" w:cs="Book Antiqua"/>
          <w:color w:val="000000"/>
        </w:rPr>
        <w:t xml:space="preserve"> EG </w:t>
      </w:r>
      <w:r w:rsidRPr="00C2729F">
        <w:rPr>
          <w:rFonts w:ascii="Book Antiqua" w:eastAsia="Book Antiqua" w:hAnsi="Book Antiqua" w:cs="Book Antiqua"/>
          <w:i/>
          <w:iCs/>
          <w:color w:val="000000"/>
        </w:rPr>
        <w:t>et al</w:t>
      </w:r>
      <w:r>
        <w:rPr>
          <w:rFonts w:ascii="Book Antiqua" w:eastAsia="Book Antiqua" w:hAnsi="Book Antiqua" w:cs="Book Antiqua"/>
          <w:color w:val="000000"/>
        </w:rPr>
        <w:t xml:space="preserve">. </w:t>
      </w:r>
      <w:r w:rsidR="00B80431">
        <w:rPr>
          <w:rFonts w:ascii="Book Antiqua" w:eastAsia="Book Antiqua" w:hAnsi="Book Antiqua" w:cs="Book Antiqua"/>
          <w:color w:val="000000"/>
        </w:rPr>
        <w:t>COVID</w:t>
      </w:r>
      <w:r w:rsidR="002262E4">
        <w:rPr>
          <w:rFonts w:ascii="Book Antiqua" w:eastAsia="Book Antiqua" w:hAnsi="Book Antiqua" w:cs="Book Antiqua"/>
          <w:color w:val="000000"/>
        </w:rPr>
        <w:t>-</w:t>
      </w:r>
      <w:r w:rsidR="00B80431">
        <w:rPr>
          <w:rFonts w:ascii="Book Antiqua" w:eastAsia="Book Antiqua" w:hAnsi="Book Antiqua" w:cs="Book Antiqua"/>
          <w:color w:val="000000"/>
        </w:rPr>
        <w:t>19</w:t>
      </w:r>
      <w:r>
        <w:rPr>
          <w:rFonts w:ascii="Book Antiqua" w:eastAsia="Book Antiqua" w:hAnsi="Book Antiqua" w:cs="Book Antiqua"/>
          <w:color w:val="000000"/>
        </w:rPr>
        <w:t xml:space="preserve"> infection in kidney transplant recip</w:t>
      </w:r>
      <w:r w:rsidR="00B80431">
        <w:rPr>
          <w:rFonts w:ascii="Book Antiqua" w:eastAsia="Book Antiqua" w:hAnsi="Book Antiqua" w:cs="Book Antiqua"/>
          <w:color w:val="000000"/>
        </w:rPr>
        <w:t>ient</w:t>
      </w:r>
    </w:p>
    <w:p w14:paraId="26F2EBC4" w14:textId="77777777" w:rsidR="00A77B3E" w:rsidRDefault="00A77B3E">
      <w:pPr>
        <w:spacing w:line="360" w:lineRule="auto"/>
        <w:jc w:val="both"/>
      </w:pPr>
    </w:p>
    <w:p w14:paraId="504B8323" w14:textId="7763B0E2" w:rsidR="00A77B3E" w:rsidRDefault="00B80431">
      <w:pPr>
        <w:spacing w:line="360" w:lineRule="auto"/>
        <w:jc w:val="both"/>
      </w:pPr>
      <w:proofErr w:type="spellStart"/>
      <w:r>
        <w:rPr>
          <w:rFonts w:ascii="Book Antiqua" w:eastAsia="Book Antiqua" w:hAnsi="Book Antiqua" w:cs="Book Antiqua"/>
          <w:color w:val="000000"/>
        </w:rPr>
        <w:t>Ebru</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Gok</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O</w:t>
      </w:r>
      <w:r w:rsidR="008C58B2">
        <w:rPr>
          <w:rFonts w:ascii="Book Antiqua" w:eastAsia="Book Antiqua" w:hAnsi="Book Antiqua" w:cs="Book Antiqua"/>
          <w:color w:val="000000"/>
        </w:rPr>
        <w:t>g</w:t>
      </w:r>
      <w:r>
        <w:rPr>
          <w:rFonts w:ascii="Book Antiqua" w:eastAsia="Book Antiqua" w:hAnsi="Book Antiqua" w:cs="Book Antiqua"/>
          <w:color w:val="000000"/>
        </w:rPr>
        <w:t>uz</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Kadir</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Gokhan</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Atilgan</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Sanem</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Guler</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Cimen</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Hatice</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Sahin</w:t>
      </w:r>
      <w:proofErr w:type="spellEnd"/>
      <w:r>
        <w:rPr>
          <w:rFonts w:ascii="Book Antiqua" w:eastAsia="Book Antiqua" w:hAnsi="Book Antiqua" w:cs="Book Antiqua"/>
          <w:color w:val="000000"/>
        </w:rPr>
        <w:t xml:space="preserve">, Tamer </w:t>
      </w:r>
      <w:proofErr w:type="spellStart"/>
      <w:r>
        <w:rPr>
          <w:rFonts w:ascii="Book Antiqua" w:eastAsia="Book Antiqua" w:hAnsi="Book Antiqua" w:cs="Book Antiqua"/>
          <w:color w:val="000000"/>
        </w:rPr>
        <w:t>Selen</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Fatma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Ayerden</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Ebinc</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Sertac</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Cimen</w:t>
      </w:r>
      <w:proofErr w:type="spellEnd"/>
      <w:r>
        <w:rPr>
          <w:rFonts w:ascii="Book Antiqua" w:eastAsia="Book Antiqua" w:hAnsi="Book Antiqua" w:cs="Book Antiqua"/>
          <w:color w:val="000000"/>
        </w:rPr>
        <w:t xml:space="preserve">, Mehmet </w:t>
      </w:r>
      <w:proofErr w:type="spellStart"/>
      <w:r>
        <w:rPr>
          <w:rFonts w:ascii="Book Antiqua" w:eastAsia="Book Antiqua" w:hAnsi="Book Antiqua" w:cs="Book Antiqua"/>
          <w:color w:val="000000"/>
        </w:rPr>
        <w:t>Deniz</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Ayli</w:t>
      </w:r>
      <w:proofErr w:type="spellEnd"/>
    </w:p>
    <w:p w14:paraId="7BF2B3BF" w14:textId="77777777" w:rsidR="00A77B3E" w:rsidRDefault="00A77B3E">
      <w:pPr>
        <w:spacing w:line="360" w:lineRule="auto"/>
        <w:jc w:val="both"/>
      </w:pPr>
    </w:p>
    <w:p w14:paraId="28E6A504" w14:textId="16CF7215" w:rsidR="00A77B3E" w:rsidRDefault="00B80431">
      <w:pPr>
        <w:spacing w:line="360" w:lineRule="auto"/>
        <w:jc w:val="both"/>
      </w:pPr>
      <w:proofErr w:type="spellStart"/>
      <w:r>
        <w:rPr>
          <w:rFonts w:ascii="Book Antiqua" w:eastAsia="Book Antiqua" w:hAnsi="Book Antiqua" w:cs="Book Antiqua"/>
          <w:b/>
          <w:bCs/>
          <w:color w:val="000000"/>
        </w:rPr>
        <w:t>Ebru</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Gok</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O</w:t>
      </w:r>
      <w:r w:rsidR="008C58B2">
        <w:rPr>
          <w:rFonts w:ascii="Book Antiqua" w:eastAsia="Book Antiqua" w:hAnsi="Book Antiqua" w:cs="Book Antiqua"/>
          <w:b/>
          <w:bCs/>
          <w:color w:val="000000"/>
        </w:rPr>
        <w:t>g</w:t>
      </w:r>
      <w:r>
        <w:rPr>
          <w:rFonts w:ascii="Book Antiqua" w:eastAsia="Book Antiqua" w:hAnsi="Book Antiqua" w:cs="Book Antiqua"/>
          <w:b/>
          <w:bCs/>
          <w:color w:val="000000"/>
        </w:rPr>
        <w:t>uz</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Department of Nephrology, </w:t>
      </w:r>
      <w:proofErr w:type="spellStart"/>
      <w:r>
        <w:rPr>
          <w:rFonts w:ascii="Book Antiqua" w:eastAsia="Book Antiqua" w:hAnsi="Book Antiqua" w:cs="Book Antiqua"/>
          <w:color w:val="000000"/>
        </w:rPr>
        <w:t>Diskapi</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Yildirim</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Beyazit</w:t>
      </w:r>
      <w:proofErr w:type="spellEnd"/>
      <w:r>
        <w:rPr>
          <w:rFonts w:ascii="Book Antiqua" w:eastAsia="Book Antiqua" w:hAnsi="Book Antiqua" w:cs="Book Antiqua"/>
          <w:color w:val="000000"/>
        </w:rPr>
        <w:t xml:space="preserve"> Training and Res Hosp, Ankara 6500, Turkey</w:t>
      </w:r>
    </w:p>
    <w:p w14:paraId="33556365" w14:textId="77777777" w:rsidR="00A77B3E" w:rsidRDefault="00A77B3E">
      <w:pPr>
        <w:spacing w:line="360" w:lineRule="auto"/>
        <w:jc w:val="both"/>
      </w:pPr>
    </w:p>
    <w:p w14:paraId="6DD2E478" w14:textId="037FBEC3" w:rsidR="00A77B3E" w:rsidRDefault="00B80431">
      <w:pPr>
        <w:spacing w:line="360" w:lineRule="auto"/>
        <w:jc w:val="both"/>
      </w:pPr>
      <w:proofErr w:type="spellStart"/>
      <w:r>
        <w:rPr>
          <w:rFonts w:ascii="Book Antiqua" w:eastAsia="Book Antiqua" w:hAnsi="Book Antiqua" w:cs="Book Antiqua"/>
          <w:b/>
          <w:bCs/>
          <w:color w:val="000000"/>
        </w:rPr>
        <w:t>Kadir</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Gokhan</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Atilgan</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Hatice</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Sahin</w:t>
      </w:r>
      <w:proofErr w:type="spellEnd"/>
      <w:r>
        <w:rPr>
          <w:rFonts w:ascii="Book Antiqua" w:eastAsia="Book Antiqua" w:hAnsi="Book Antiqua" w:cs="Book Antiqua"/>
          <w:b/>
          <w:bCs/>
          <w:color w:val="000000"/>
        </w:rPr>
        <w:t xml:space="preserve">, </w:t>
      </w:r>
      <w:r w:rsidR="008754C6">
        <w:rPr>
          <w:rFonts w:ascii="Book Antiqua" w:eastAsia="Book Antiqua" w:hAnsi="Book Antiqua" w:cs="Book Antiqua"/>
          <w:b/>
          <w:bCs/>
          <w:color w:val="000000"/>
        </w:rPr>
        <w:t xml:space="preserve">Tamer </w:t>
      </w:r>
      <w:proofErr w:type="spellStart"/>
      <w:r w:rsidR="008754C6">
        <w:rPr>
          <w:rFonts w:ascii="Book Antiqua" w:eastAsia="Book Antiqua" w:hAnsi="Book Antiqua" w:cs="Book Antiqua"/>
          <w:b/>
          <w:bCs/>
          <w:color w:val="000000"/>
        </w:rPr>
        <w:t>Selen</w:t>
      </w:r>
      <w:proofErr w:type="spellEnd"/>
      <w:r w:rsidR="008754C6">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Fatma</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Ayerden</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Ebinc</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Department of Nephrology, Health Sciences University, Ankara 6500, Turkey</w:t>
      </w:r>
    </w:p>
    <w:p w14:paraId="4E93B412" w14:textId="77777777" w:rsidR="00A77B3E" w:rsidRDefault="00A77B3E">
      <w:pPr>
        <w:spacing w:line="360" w:lineRule="auto"/>
        <w:jc w:val="both"/>
      </w:pPr>
    </w:p>
    <w:p w14:paraId="137006B6" w14:textId="77777777" w:rsidR="00A77B3E" w:rsidRDefault="00B80431">
      <w:pPr>
        <w:spacing w:line="360" w:lineRule="auto"/>
        <w:jc w:val="both"/>
      </w:pPr>
      <w:proofErr w:type="spellStart"/>
      <w:r>
        <w:rPr>
          <w:rFonts w:ascii="Book Antiqua" w:eastAsia="Book Antiqua" w:hAnsi="Book Antiqua" w:cs="Book Antiqua"/>
          <w:b/>
          <w:bCs/>
          <w:color w:val="000000"/>
        </w:rPr>
        <w:t>Sanem</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Guler</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Cimen</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Department of General Surgery, </w:t>
      </w:r>
      <w:proofErr w:type="spellStart"/>
      <w:r>
        <w:rPr>
          <w:rFonts w:ascii="Book Antiqua" w:eastAsia="Book Antiqua" w:hAnsi="Book Antiqua" w:cs="Book Antiqua"/>
          <w:color w:val="000000"/>
        </w:rPr>
        <w:t>Diskapi</w:t>
      </w:r>
      <w:proofErr w:type="spellEnd"/>
      <w:r>
        <w:rPr>
          <w:rFonts w:ascii="Book Antiqua" w:eastAsia="Book Antiqua" w:hAnsi="Book Antiqua" w:cs="Book Antiqua"/>
          <w:color w:val="000000"/>
        </w:rPr>
        <w:t xml:space="preserve"> Research and Training Hospital, Health Sciences University, Ankara 65000, Select One, Turkey</w:t>
      </w:r>
    </w:p>
    <w:p w14:paraId="4BBE245F" w14:textId="77777777" w:rsidR="00A77B3E" w:rsidRDefault="00A77B3E">
      <w:pPr>
        <w:spacing w:line="360" w:lineRule="auto"/>
        <w:jc w:val="both"/>
      </w:pPr>
    </w:p>
    <w:p w14:paraId="144948DA" w14:textId="77777777" w:rsidR="00A77B3E" w:rsidRDefault="00B80431">
      <w:pPr>
        <w:spacing w:line="360" w:lineRule="auto"/>
        <w:jc w:val="both"/>
      </w:pPr>
      <w:proofErr w:type="spellStart"/>
      <w:r>
        <w:rPr>
          <w:rFonts w:ascii="Book Antiqua" w:eastAsia="Book Antiqua" w:hAnsi="Book Antiqua" w:cs="Book Antiqua"/>
          <w:b/>
          <w:bCs/>
          <w:color w:val="000000"/>
        </w:rPr>
        <w:t>Sertac</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Cimen</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Department of Urology and Transplantation, Health Sciences University, Ankara 65000, Select One, Turkey</w:t>
      </w:r>
    </w:p>
    <w:p w14:paraId="5A7C9CEC" w14:textId="77777777" w:rsidR="00A77B3E" w:rsidRDefault="00A77B3E">
      <w:pPr>
        <w:spacing w:line="360" w:lineRule="auto"/>
        <w:jc w:val="both"/>
      </w:pPr>
    </w:p>
    <w:p w14:paraId="799CFFBE" w14:textId="386CAC6F" w:rsidR="00A77B3E" w:rsidRDefault="00B80431">
      <w:pPr>
        <w:spacing w:line="360" w:lineRule="auto"/>
        <w:jc w:val="both"/>
      </w:pPr>
      <w:r>
        <w:rPr>
          <w:rFonts w:ascii="Book Antiqua" w:eastAsia="Book Antiqua" w:hAnsi="Book Antiqua" w:cs="Book Antiqua"/>
          <w:b/>
          <w:bCs/>
          <w:color w:val="000000"/>
        </w:rPr>
        <w:t xml:space="preserve">Mehmet </w:t>
      </w:r>
      <w:proofErr w:type="spellStart"/>
      <w:r>
        <w:rPr>
          <w:rFonts w:ascii="Book Antiqua" w:eastAsia="Book Antiqua" w:hAnsi="Book Antiqua" w:cs="Book Antiqua"/>
          <w:b/>
          <w:bCs/>
          <w:color w:val="000000"/>
        </w:rPr>
        <w:t>Deniz</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Ayli</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Department of Nephrol</w:t>
      </w:r>
      <w:r w:rsidR="00443B18">
        <w:rPr>
          <w:rFonts w:ascii="Book Antiqua" w:eastAsia="Book Antiqua" w:hAnsi="Book Antiqua" w:cs="Book Antiqua"/>
          <w:color w:val="000000"/>
        </w:rPr>
        <w:t>ogy</w:t>
      </w:r>
      <w:r>
        <w:rPr>
          <w:rFonts w:ascii="Book Antiqua" w:eastAsia="Book Antiqua" w:hAnsi="Book Antiqua" w:cs="Book Antiqua"/>
          <w:color w:val="000000"/>
        </w:rPr>
        <w:t xml:space="preserve"> and Transplantat</w:t>
      </w:r>
      <w:r w:rsidR="00443B18">
        <w:rPr>
          <w:rFonts w:ascii="Book Antiqua" w:eastAsia="Book Antiqua" w:hAnsi="Book Antiqua" w:cs="Book Antiqua"/>
          <w:color w:val="000000"/>
        </w:rPr>
        <w:t>ion</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Diskapi</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Yildirim</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Beyazit</w:t>
      </w:r>
      <w:proofErr w:type="spellEnd"/>
      <w:r>
        <w:rPr>
          <w:rFonts w:ascii="Book Antiqua" w:eastAsia="Book Antiqua" w:hAnsi="Book Antiqua" w:cs="Book Antiqua"/>
          <w:color w:val="000000"/>
        </w:rPr>
        <w:t xml:space="preserve"> Teaching and Research Hospital, Ankara 6500, Turkey</w:t>
      </w:r>
    </w:p>
    <w:p w14:paraId="170C1F73" w14:textId="77777777" w:rsidR="00A77B3E" w:rsidRDefault="00A77B3E">
      <w:pPr>
        <w:spacing w:line="360" w:lineRule="auto"/>
        <w:jc w:val="both"/>
      </w:pPr>
    </w:p>
    <w:p w14:paraId="25A3653C" w14:textId="6FEA01B7" w:rsidR="00A77B3E" w:rsidRDefault="00B80431">
      <w:pPr>
        <w:spacing w:line="360" w:lineRule="auto"/>
        <w:jc w:val="both"/>
      </w:pPr>
      <w:r>
        <w:rPr>
          <w:rFonts w:ascii="Book Antiqua" w:eastAsia="Book Antiqua" w:hAnsi="Book Antiqua" w:cs="Book Antiqua"/>
          <w:b/>
          <w:bCs/>
          <w:color w:val="000000"/>
        </w:rPr>
        <w:t xml:space="preserve">Author contributions: </w:t>
      </w:r>
      <w:proofErr w:type="spellStart"/>
      <w:r w:rsidR="008754C6">
        <w:rPr>
          <w:rFonts w:ascii="Book Antiqua" w:eastAsia="Book Antiqua" w:hAnsi="Book Antiqua" w:cs="Book Antiqua"/>
          <w:color w:val="000000"/>
        </w:rPr>
        <w:t>O</w:t>
      </w:r>
      <w:r w:rsidR="008C58B2">
        <w:rPr>
          <w:rFonts w:ascii="Book Antiqua" w:eastAsia="Book Antiqua" w:hAnsi="Book Antiqua" w:cs="Book Antiqua"/>
          <w:color w:val="000000"/>
        </w:rPr>
        <w:t>g</w:t>
      </w:r>
      <w:r w:rsidR="008754C6">
        <w:rPr>
          <w:rFonts w:ascii="Book Antiqua" w:eastAsia="Book Antiqua" w:hAnsi="Book Antiqua" w:cs="Book Antiqua"/>
          <w:color w:val="000000"/>
        </w:rPr>
        <w:t>uz</w:t>
      </w:r>
      <w:proofErr w:type="spellEnd"/>
      <w:r w:rsidR="008754C6">
        <w:rPr>
          <w:rFonts w:ascii="Book Antiqua" w:eastAsia="Book Antiqua" w:hAnsi="Book Antiqua" w:cs="Book Antiqua"/>
          <w:color w:val="000000"/>
        </w:rPr>
        <w:t xml:space="preserve"> EG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Atilgan</w:t>
      </w:r>
      <w:proofErr w:type="spellEnd"/>
      <w:r>
        <w:rPr>
          <w:rFonts w:ascii="Book Antiqua" w:eastAsia="Book Antiqua" w:hAnsi="Book Antiqua" w:cs="Book Antiqua"/>
          <w:color w:val="000000"/>
        </w:rPr>
        <w:t xml:space="preserve"> </w:t>
      </w:r>
      <w:r w:rsidR="008754C6">
        <w:rPr>
          <w:rFonts w:ascii="Book Antiqua" w:eastAsia="Book Antiqua" w:hAnsi="Book Antiqua" w:cs="Book Antiqua"/>
          <w:color w:val="000000"/>
        </w:rPr>
        <w:t xml:space="preserve">KG </w:t>
      </w:r>
      <w:r>
        <w:rPr>
          <w:rFonts w:ascii="Book Antiqua" w:eastAsia="Book Antiqua" w:hAnsi="Book Antiqua" w:cs="Book Antiqua"/>
          <w:color w:val="000000"/>
        </w:rPr>
        <w:t xml:space="preserve">and </w:t>
      </w:r>
      <w:proofErr w:type="spellStart"/>
      <w:r>
        <w:rPr>
          <w:rFonts w:ascii="Book Antiqua" w:eastAsia="Book Antiqua" w:hAnsi="Book Antiqua" w:cs="Book Antiqua"/>
          <w:color w:val="000000"/>
        </w:rPr>
        <w:t>Cimen</w:t>
      </w:r>
      <w:proofErr w:type="spellEnd"/>
      <w:r>
        <w:rPr>
          <w:rFonts w:ascii="Book Antiqua" w:eastAsia="Book Antiqua" w:hAnsi="Book Antiqua" w:cs="Book Antiqua"/>
          <w:color w:val="000000"/>
        </w:rPr>
        <w:t xml:space="preserve"> </w:t>
      </w:r>
      <w:r w:rsidR="00B10C9C">
        <w:rPr>
          <w:rFonts w:ascii="Book Antiqua" w:eastAsia="Book Antiqua" w:hAnsi="Book Antiqua" w:cs="Book Antiqua"/>
          <w:color w:val="000000"/>
        </w:rPr>
        <w:t xml:space="preserve">SG </w:t>
      </w:r>
      <w:r>
        <w:rPr>
          <w:rFonts w:ascii="Book Antiqua" w:eastAsia="Book Antiqua" w:hAnsi="Book Antiqua" w:cs="Book Antiqua"/>
          <w:color w:val="000000"/>
        </w:rPr>
        <w:t>revie</w:t>
      </w:r>
      <w:r w:rsidR="00443B18">
        <w:rPr>
          <w:rFonts w:ascii="Book Antiqua" w:eastAsia="Book Antiqua" w:hAnsi="Book Antiqua" w:cs="Book Antiqua"/>
          <w:color w:val="000000"/>
        </w:rPr>
        <w:t>w</w:t>
      </w:r>
      <w:r>
        <w:rPr>
          <w:rFonts w:ascii="Book Antiqua" w:eastAsia="Book Antiqua" w:hAnsi="Book Antiqua" w:cs="Book Antiqua"/>
          <w:color w:val="000000"/>
        </w:rPr>
        <w:t>ed the patient</w:t>
      </w:r>
      <w:r w:rsidR="00443B18">
        <w:rPr>
          <w:rFonts w:ascii="Book Antiqua" w:eastAsia="Book Antiqua" w:hAnsi="Book Antiqua" w:cs="Book Antiqua"/>
          <w:color w:val="000000"/>
        </w:rPr>
        <w:t>’s</w:t>
      </w:r>
      <w:r>
        <w:rPr>
          <w:rFonts w:ascii="Book Antiqua" w:eastAsia="Book Antiqua" w:hAnsi="Book Antiqua" w:cs="Book Antiqua"/>
          <w:color w:val="000000"/>
        </w:rPr>
        <w:t xml:space="preserve"> chart and the clinical literature</w:t>
      </w:r>
      <w:r w:rsidR="00B10C9C">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Sahin</w:t>
      </w:r>
      <w:proofErr w:type="spellEnd"/>
      <w:r w:rsidR="00B10C9C">
        <w:rPr>
          <w:rFonts w:ascii="Book Antiqua" w:eastAsia="Book Antiqua" w:hAnsi="Book Antiqua" w:cs="Book Antiqua"/>
          <w:color w:val="000000"/>
        </w:rPr>
        <w:t xml:space="preserve"> 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Selen</w:t>
      </w:r>
      <w:proofErr w:type="spellEnd"/>
      <w:r>
        <w:rPr>
          <w:rFonts w:ascii="Book Antiqua" w:eastAsia="Book Antiqua" w:hAnsi="Book Antiqua" w:cs="Book Antiqua"/>
          <w:color w:val="000000"/>
        </w:rPr>
        <w:t xml:space="preserve"> </w:t>
      </w:r>
      <w:r w:rsidR="00B10C9C">
        <w:rPr>
          <w:rFonts w:ascii="Book Antiqua" w:eastAsia="Book Antiqua" w:hAnsi="Book Antiqua" w:cs="Book Antiqua"/>
          <w:color w:val="000000"/>
        </w:rPr>
        <w:t xml:space="preserve">T </w:t>
      </w:r>
      <w:r>
        <w:rPr>
          <w:rFonts w:ascii="Book Antiqua" w:eastAsia="Book Antiqua" w:hAnsi="Book Antiqua" w:cs="Book Antiqua"/>
          <w:color w:val="000000"/>
        </w:rPr>
        <w:t xml:space="preserve">and </w:t>
      </w:r>
      <w:proofErr w:type="spellStart"/>
      <w:r>
        <w:rPr>
          <w:rFonts w:ascii="Book Antiqua" w:eastAsia="Book Antiqua" w:hAnsi="Book Antiqua" w:cs="Book Antiqua"/>
          <w:color w:val="000000"/>
        </w:rPr>
        <w:t>Ebinc</w:t>
      </w:r>
      <w:proofErr w:type="spellEnd"/>
      <w:r>
        <w:rPr>
          <w:rFonts w:ascii="Book Antiqua" w:eastAsia="Book Antiqua" w:hAnsi="Book Antiqua" w:cs="Book Antiqua"/>
          <w:color w:val="000000"/>
        </w:rPr>
        <w:t xml:space="preserve"> </w:t>
      </w:r>
      <w:r w:rsidR="00B10C9C">
        <w:rPr>
          <w:rFonts w:ascii="Book Antiqua" w:eastAsia="Book Antiqua" w:hAnsi="Book Antiqua" w:cs="Book Antiqua"/>
          <w:color w:val="000000"/>
        </w:rPr>
        <w:t xml:space="preserve">FA </w:t>
      </w:r>
      <w:r>
        <w:rPr>
          <w:rFonts w:ascii="Book Antiqua" w:eastAsia="Book Antiqua" w:hAnsi="Book Antiqua" w:cs="Book Antiqua"/>
          <w:color w:val="000000"/>
        </w:rPr>
        <w:t>wrote the manu</w:t>
      </w:r>
      <w:r w:rsidR="00443B18">
        <w:rPr>
          <w:rFonts w:ascii="Book Antiqua" w:eastAsia="Book Antiqua" w:hAnsi="Book Antiqua" w:cs="Book Antiqua"/>
          <w:color w:val="000000"/>
        </w:rPr>
        <w:t>s</w:t>
      </w:r>
      <w:r>
        <w:rPr>
          <w:rFonts w:ascii="Book Antiqua" w:eastAsia="Book Antiqua" w:hAnsi="Book Antiqua" w:cs="Book Antiqua"/>
          <w:color w:val="000000"/>
        </w:rPr>
        <w:t>cript</w:t>
      </w:r>
      <w:r w:rsidR="00B10C9C">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Cimen</w:t>
      </w:r>
      <w:proofErr w:type="spellEnd"/>
      <w:r>
        <w:rPr>
          <w:rFonts w:ascii="Book Antiqua" w:eastAsia="Book Antiqua" w:hAnsi="Book Antiqua" w:cs="Book Antiqua"/>
          <w:color w:val="000000"/>
        </w:rPr>
        <w:t xml:space="preserve"> </w:t>
      </w:r>
      <w:r w:rsidR="00B10C9C">
        <w:rPr>
          <w:rFonts w:ascii="Book Antiqua" w:eastAsia="Book Antiqua" w:hAnsi="Book Antiqua" w:cs="Book Antiqua"/>
          <w:color w:val="000000"/>
        </w:rPr>
        <w:t xml:space="preserve">S </w:t>
      </w:r>
      <w:r>
        <w:rPr>
          <w:rFonts w:ascii="Book Antiqua" w:eastAsia="Book Antiqua" w:hAnsi="Book Antiqua" w:cs="Book Antiqua"/>
          <w:color w:val="000000"/>
        </w:rPr>
        <w:t xml:space="preserve">and </w:t>
      </w:r>
      <w:proofErr w:type="spellStart"/>
      <w:r>
        <w:rPr>
          <w:rFonts w:ascii="Book Antiqua" w:eastAsia="Book Antiqua" w:hAnsi="Book Antiqua" w:cs="Book Antiqua"/>
          <w:color w:val="000000"/>
        </w:rPr>
        <w:t>Ayli</w:t>
      </w:r>
      <w:proofErr w:type="spellEnd"/>
      <w:r>
        <w:rPr>
          <w:rFonts w:ascii="Book Antiqua" w:eastAsia="Book Antiqua" w:hAnsi="Book Antiqua" w:cs="Book Antiqua"/>
          <w:color w:val="000000"/>
        </w:rPr>
        <w:t xml:space="preserve"> </w:t>
      </w:r>
      <w:r w:rsidR="00B10C9C">
        <w:rPr>
          <w:rFonts w:ascii="Book Antiqua" w:eastAsia="Book Antiqua" w:hAnsi="Book Antiqua" w:cs="Book Antiqua"/>
          <w:color w:val="000000"/>
        </w:rPr>
        <w:t xml:space="preserve">MD </w:t>
      </w:r>
      <w:r>
        <w:rPr>
          <w:rFonts w:ascii="Book Antiqua" w:eastAsia="Book Antiqua" w:hAnsi="Book Antiqua" w:cs="Book Antiqua"/>
          <w:color w:val="000000"/>
        </w:rPr>
        <w:t>supervised the patient management and revised the manuscript.</w:t>
      </w:r>
    </w:p>
    <w:p w14:paraId="086F7D53" w14:textId="77777777" w:rsidR="00A77B3E" w:rsidRDefault="00A77B3E">
      <w:pPr>
        <w:spacing w:line="360" w:lineRule="auto"/>
        <w:jc w:val="both"/>
      </w:pPr>
    </w:p>
    <w:p w14:paraId="38279A6A" w14:textId="2CD0EBE4" w:rsidR="00A77B3E" w:rsidRDefault="00B80431">
      <w:pPr>
        <w:spacing w:line="360" w:lineRule="auto"/>
        <w:jc w:val="both"/>
      </w:pPr>
      <w:r>
        <w:rPr>
          <w:rFonts w:ascii="Book Antiqua" w:eastAsia="Book Antiqua" w:hAnsi="Book Antiqua" w:cs="Book Antiqua"/>
          <w:b/>
          <w:bCs/>
          <w:color w:val="000000"/>
        </w:rPr>
        <w:t xml:space="preserve">Corresponding author: </w:t>
      </w:r>
      <w:proofErr w:type="spellStart"/>
      <w:r>
        <w:rPr>
          <w:rFonts w:ascii="Book Antiqua" w:eastAsia="Book Antiqua" w:hAnsi="Book Antiqua" w:cs="Book Antiqua"/>
          <w:b/>
          <w:bCs/>
          <w:color w:val="000000"/>
        </w:rPr>
        <w:t>Sanem</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Guler</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Cimen</w:t>
      </w:r>
      <w:proofErr w:type="spellEnd"/>
      <w:r>
        <w:rPr>
          <w:rFonts w:ascii="Book Antiqua" w:eastAsia="Book Antiqua" w:hAnsi="Book Antiqua" w:cs="Book Antiqua"/>
          <w:b/>
          <w:bCs/>
          <w:color w:val="000000"/>
        </w:rPr>
        <w:t>, FEBS, MD, MSc, Associate Professor, Attending Doctor, Director,</w:t>
      </w:r>
      <w:r w:rsidR="00C77DFD">
        <w:rPr>
          <w:rFonts w:ascii="Book Antiqua" w:eastAsia="Book Antiqua" w:hAnsi="Book Antiqua" w:cs="Book Antiqua"/>
          <w:b/>
          <w:bCs/>
          <w:color w:val="000000"/>
        </w:rPr>
        <w:t xml:space="preserve"> </w:t>
      </w:r>
      <w:r>
        <w:rPr>
          <w:rFonts w:ascii="Book Antiqua" w:eastAsia="Book Antiqua" w:hAnsi="Book Antiqua" w:cs="Book Antiqua"/>
          <w:b/>
          <w:bCs/>
          <w:color w:val="000000"/>
        </w:rPr>
        <w:t xml:space="preserve">Surgeon, </w:t>
      </w:r>
      <w:r>
        <w:rPr>
          <w:rFonts w:ascii="Book Antiqua" w:eastAsia="Book Antiqua" w:hAnsi="Book Antiqua" w:cs="Book Antiqua"/>
          <w:color w:val="000000"/>
        </w:rPr>
        <w:t xml:space="preserve">Department of General Surgery, </w:t>
      </w:r>
      <w:proofErr w:type="spellStart"/>
      <w:r>
        <w:rPr>
          <w:rFonts w:ascii="Book Antiqua" w:eastAsia="Book Antiqua" w:hAnsi="Book Antiqua" w:cs="Book Antiqua"/>
          <w:color w:val="000000"/>
        </w:rPr>
        <w:t>Diskapi</w:t>
      </w:r>
      <w:proofErr w:type="spellEnd"/>
      <w:r>
        <w:rPr>
          <w:rFonts w:ascii="Book Antiqua" w:eastAsia="Book Antiqua" w:hAnsi="Book Antiqua" w:cs="Book Antiqua"/>
          <w:color w:val="000000"/>
        </w:rPr>
        <w:t xml:space="preserve"> Research and Training Hospital, Health Sciences University, </w:t>
      </w:r>
      <w:proofErr w:type="spellStart"/>
      <w:r>
        <w:rPr>
          <w:rFonts w:ascii="Book Antiqua" w:eastAsia="Book Antiqua" w:hAnsi="Book Antiqua" w:cs="Book Antiqua"/>
          <w:color w:val="000000"/>
        </w:rPr>
        <w:t>Guvenlik</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Caddesi</w:t>
      </w:r>
      <w:proofErr w:type="spellEnd"/>
      <w:r>
        <w:rPr>
          <w:rFonts w:ascii="Book Antiqua" w:eastAsia="Book Antiqua" w:hAnsi="Book Antiqua" w:cs="Book Antiqua"/>
          <w:color w:val="000000"/>
        </w:rPr>
        <w:t xml:space="preserve"> No. 87-6, Ankara 65000, Select One, Turkey. s.cimen@dal.ca</w:t>
      </w:r>
    </w:p>
    <w:p w14:paraId="625BB65D" w14:textId="77777777" w:rsidR="00A77B3E" w:rsidRDefault="00A77B3E">
      <w:pPr>
        <w:spacing w:line="360" w:lineRule="auto"/>
        <w:jc w:val="both"/>
      </w:pPr>
    </w:p>
    <w:p w14:paraId="736FF02A" w14:textId="74D7AF06" w:rsidR="00A77B3E" w:rsidRDefault="00B80431">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July 2</w:t>
      </w:r>
      <w:r w:rsidR="00757E42">
        <w:rPr>
          <w:rFonts w:ascii="Book Antiqua" w:hAnsi="Book Antiqua" w:cs="Book Antiqua" w:hint="eastAsia"/>
          <w:color w:val="000000"/>
          <w:lang w:eastAsia="zh-CN"/>
        </w:rPr>
        <w:t>6</w:t>
      </w:r>
      <w:r>
        <w:rPr>
          <w:rFonts w:ascii="Book Antiqua" w:eastAsia="Book Antiqua" w:hAnsi="Book Antiqua" w:cs="Book Antiqua"/>
          <w:color w:val="000000"/>
        </w:rPr>
        <w:t>, 2020</w:t>
      </w:r>
    </w:p>
    <w:p w14:paraId="285D680E" w14:textId="77777777" w:rsidR="00A77B3E" w:rsidRDefault="00B80431">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October 28, 2020</w:t>
      </w:r>
    </w:p>
    <w:p w14:paraId="226DB109" w14:textId="131DFE16" w:rsidR="00A77B3E" w:rsidRDefault="00B80431">
      <w:pPr>
        <w:spacing w:line="360" w:lineRule="auto"/>
        <w:jc w:val="both"/>
      </w:pPr>
      <w:r>
        <w:rPr>
          <w:rFonts w:ascii="Book Antiqua" w:eastAsia="Book Antiqua" w:hAnsi="Book Antiqua" w:cs="Book Antiqua"/>
          <w:b/>
          <w:bCs/>
          <w:color w:val="000000"/>
        </w:rPr>
        <w:t xml:space="preserve">Accepted: </w:t>
      </w:r>
      <w:r w:rsidR="00E36FB6" w:rsidRPr="00E36FB6">
        <w:rPr>
          <w:rFonts w:ascii="Book Antiqua" w:eastAsia="Book Antiqua" w:hAnsi="Book Antiqua" w:cs="Book Antiqua"/>
          <w:bCs/>
          <w:color w:val="000000"/>
        </w:rPr>
        <w:t>November 5, 2020</w:t>
      </w:r>
    </w:p>
    <w:p w14:paraId="1C81B064" w14:textId="27F2A3F0" w:rsidR="00A77B3E" w:rsidRDefault="00B80431">
      <w:pPr>
        <w:spacing w:line="360" w:lineRule="auto"/>
        <w:jc w:val="both"/>
        <w:rPr>
          <w:rFonts w:ascii="Book Antiqua" w:hAnsi="Book Antiqua" w:cs="Book Antiqua"/>
          <w:bCs/>
          <w:color w:val="000000"/>
          <w:lang w:eastAsia="zh-CN"/>
        </w:rPr>
      </w:pPr>
      <w:r>
        <w:rPr>
          <w:rFonts w:ascii="Book Antiqua" w:eastAsia="Book Antiqua" w:hAnsi="Book Antiqua" w:cs="Book Antiqua"/>
          <w:b/>
          <w:bCs/>
          <w:color w:val="000000"/>
        </w:rPr>
        <w:t xml:space="preserve">Published online: </w:t>
      </w:r>
      <w:r w:rsidR="0071777B" w:rsidRPr="00E36FB6">
        <w:rPr>
          <w:rFonts w:ascii="Book Antiqua" w:eastAsia="Book Antiqua" w:hAnsi="Book Antiqua" w:cs="Book Antiqua"/>
          <w:bCs/>
          <w:color w:val="000000"/>
        </w:rPr>
        <w:t>November</w:t>
      </w:r>
      <w:r w:rsidR="0071777B">
        <w:rPr>
          <w:rFonts w:ascii="Book Antiqua" w:hAnsi="Book Antiqua" w:cs="Book Antiqua" w:hint="eastAsia"/>
          <w:bCs/>
          <w:color w:val="000000"/>
          <w:lang w:eastAsia="zh-CN"/>
        </w:rPr>
        <w:t xml:space="preserve"> 28</w:t>
      </w:r>
      <w:r w:rsidR="0071777B" w:rsidRPr="00E36FB6">
        <w:rPr>
          <w:rFonts w:ascii="Book Antiqua" w:eastAsia="Book Antiqua" w:hAnsi="Book Antiqua" w:cs="Book Antiqua"/>
          <w:bCs/>
          <w:color w:val="000000"/>
        </w:rPr>
        <w:t>, 2020</w:t>
      </w:r>
    </w:p>
    <w:p w14:paraId="2287EBC8" w14:textId="77777777" w:rsidR="0071777B" w:rsidRDefault="0071777B">
      <w:pPr>
        <w:spacing w:line="360" w:lineRule="auto"/>
        <w:jc w:val="both"/>
        <w:rPr>
          <w:rFonts w:ascii="Book Antiqua" w:hAnsi="Book Antiqua" w:cs="Book Antiqua"/>
          <w:bCs/>
          <w:color w:val="000000"/>
          <w:lang w:eastAsia="zh-CN"/>
        </w:rPr>
      </w:pPr>
    </w:p>
    <w:p w14:paraId="3658AF77" w14:textId="77777777" w:rsidR="00A77B3E" w:rsidRDefault="00B80431">
      <w:pPr>
        <w:spacing w:line="360" w:lineRule="auto"/>
        <w:jc w:val="both"/>
      </w:pPr>
      <w:r>
        <w:rPr>
          <w:rFonts w:ascii="Book Antiqua" w:eastAsia="Book Antiqua" w:hAnsi="Book Antiqua" w:cs="Book Antiqua"/>
          <w:b/>
          <w:color w:val="000000"/>
        </w:rPr>
        <w:t>Abstract</w:t>
      </w:r>
    </w:p>
    <w:p w14:paraId="0350387C" w14:textId="77777777" w:rsidR="00A77B3E" w:rsidRDefault="00B80431">
      <w:pPr>
        <w:spacing w:line="360" w:lineRule="auto"/>
        <w:jc w:val="both"/>
      </w:pPr>
      <w:r>
        <w:rPr>
          <w:rFonts w:ascii="Book Antiqua" w:eastAsia="Book Antiqua" w:hAnsi="Book Antiqua" w:cs="Book Antiqua"/>
          <w:color w:val="000000"/>
        </w:rPr>
        <w:t>BACKGROUND</w:t>
      </w:r>
    </w:p>
    <w:p w14:paraId="37938EC4" w14:textId="3AB891BD" w:rsidR="00A77B3E" w:rsidRDefault="00CD7979">
      <w:pPr>
        <w:spacing w:line="360" w:lineRule="auto"/>
        <w:jc w:val="both"/>
      </w:pPr>
      <w:r>
        <w:rPr>
          <w:rFonts w:ascii="Book Antiqua" w:eastAsia="Book Antiqua" w:hAnsi="Book Antiqua" w:cs="Book Antiqua"/>
          <w:color w:val="000000"/>
        </w:rPr>
        <w:t>S</w:t>
      </w:r>
      <w:r w:rsidR="00B80431">
        <w:rPr>
          <w:rFonts w:ascii="Book Antiqua" w:eastAsia="Book Antiqua" w:hAnsi="Book Antiqua" w:cs="Book Antiqua"/>
          <w:color w:val="000000"/>
        </w:rPr>
        <w:t>olid organ transplant recipient</w:t>
      </w:r>
      <w:r>
        <w:rPr>
          <w:rFonts w:ascii="Book Antiqua" w:eastAsia="Book Antiqua" w:hAnsi="Book Antiqua" w:cs="Book Antiqua"/>
          <w:color w:val="000000"/>
        </w:rPr>
        <w:t>s are</w:t>
      </w:r>
      <w:r w:rsidR="00B80431">
        <w:rPr>
          <w:rFonts w:ascii="Book Antiqua" w:eastAsia="Book Antiqua" w:hAnsi="Book Antiqua" w:cs="Book Antiqua"/>
          <w:color w:val="000000"/>
        </w:rPr>
        <w:t xml:space="preserve"> considered to be a</w:t>
      </w:r>
      <w:r>
        <w:rPr>
          <w:rFonts w:ascii="Book Antiqua" w:eastAsia="Book Antiqua" w:hAnsi="Book Antiqua" w:cs="Book Antiqua"/>
          <w:color w:val="000000"/>
        </w:rPr>
        <w:t>t</w:t>
      </w:r>
      <w:r w:rsidR="00B80431">
        <w:rPr>
          <w:rFonts w:ascii="Book Antiqua" w:eastAsia="Book Antiqua" w:hAnsi="Book Antiqua" w:cs="Book Antiqua"/>
          <w:color w:val="000000"/>
        </w:rPr>
        <w:t xml:space="preserve"> high-risk </w:t>
      </w:r>
      <w:r>
        <w:rPr>
          <w:rFonts w:ascii="Book Antiqua" w:eastAsia="Book Antiqua" w:hAnsi="Book Antiqua" w:cs="Book Antiqua"/>
          <w:color w:val="000000"/>
        </w:rPr>
        <w:t>of</w:t>
      </w:r>
      <w:r w:rsidR="00B80431">
        <w:rPr>
          <w:rFonts w:ascii="Book Antiqua" w:eastAsia="Book Antiqua" w:hAnsi="Book Antiqua" w:cs="Book Antiqua"/>
          <w:color w:val="000000"/>
        </w:rPr>
        <w:t xml:space="preserve"> developing </w:t>
      </w:r>
      <w:r w:rsidR="00B10C9C">
        <w:rPr>
          <w:rFonts w:ascii="Book Antiqua" w:eastAsia="Book Antiqua" w:hAnsi="Book Antiqua" w:cs="Book Antiqua"/>
          <w:color w:val="000000"/>
        </w:rPr>
        <w:t>c</w:t>
      </w:r>
      <w:r w:rsidR="00B10C9C" w:rsidRPr="00B10C9C">
        <w:rPr>
          <w:rFonts w:ascii="Book Antiqua" w:eastAsia="Book Antiqua" w:hAnsi="Book Antiqua" w:cs="Book Antiqua"/>
          <w:color w:val="000000"/>
        </w:rPr>
        <w:t>oronavirus disease 2019</w:t>
      </w:r>
      <w:r w:rsidR="00B10C9C">
        <w:rPr>
          <w:rFonts w:ascii="Book Antiqua" w:eastAsia="Book Antiqua" w:hAnsi="Book Antiqua" w:cs="Book Antiqua"/>
          <w:color w:val="000000"/>
        </w:rPr>
        <w:t xml:space="preserve"> (</w:t>
      </w:r>
      <w:r w:rsidR="00B80431">
        <w:rPr>
          <w:rFonts w:ascii="Book Antiqua" w:eastAsia="Book Antiqua" w:hAnsi="Book Antiqua" w:cs="Book Antiqua"/>
          <w:color w:val="000000"/>
        </w:rPr>
        <w:t>COVID-19</w:t>
      </w:r>
      <w:r w:rsidR="00B10C9C">
        <w:rPr>
          <w:rFonts w:ascii="Book Antiqua" w:eastAsia="Book Antiqua" w:hAnsi="Book Antiqua" w:cs="Book Antiqua"/>
          <w:color w:val="000000"/>
        </w:rPr>
        <w:t>)</w:t>
      </w:r>
      <w:r w:rsidR="00B80431">
        <w:rPr>
          <w:rFonts w:ascii="Book Antiqua" w:eastAsia="Book Antiqua" w:hAnsi="Book Antiqua" w:cs="Book Antiqua"/>
          <w:color w:val="000000"/>
        </w:rPr>
        <w:t xml:space="preserve">-related complications. The optimal treatment for this patient group </w:t>
      </w:r>
      <w:r w:rsidR="00443B18">
        <w:rPr>
          <w:rFonts w:ascii="Book Antiqua" w:eastAsia="Book Antiqua" w:hAnsi="Book Antiqua" w:cs="Book Antiqua"/>
          <w:color w:val="000000"/>
        </w:rPr>
        <w:t>is</w:t>
      </w:r>
      <w:r w:rsidR="00B80431">
        <w:rPr>
          <w:rFonts w:ascii="Book Antiqua" w:eastAsia="Book Antiqua" w:hAnsi="Book Antiqua" w:cs="Book Antiqua"/>
          <w:color w:val="000000"/>
        </w:rPr>
        <w:t xml:space="preserve"> unknown. Consequently,</w:t>
      </w:r>
      <w:r w:rsidR="008C58B2">
        <w:rPr>
          <w:rFonts w:ascii="Book Antiqua" w:eastAsia="Book Antiqua" w:hAnsi="Book Antiqua" w:cs="Book Antiqua"/>
          <w:color w:val="000000"/>
        </w:rPr>
        <w:t xml:space="preserve"> </w:t>
      </w:r>
      <w:r w:rsidR="00B80431">
        <w:rPr>
          <w:rFonts w:ascii="Book Antiqua" w:eastAsia="Book Antiqua" w:hAnsi="Book Antiqua" w:cs="Book Antiqua"/>
          <w:color w:val="000000"/>
        </w:rPr>
        <w:t>the treatment of COVID-19 in kidney transplant recipients should be determined individually, considering patient age and comorbidities, as well as</w:t>
      </w:r>
      <w:r w:rsidR="008C58B2">
        <w:rPr>
          <w:rFonts w:ascii="Book Antiqua" w:eastAsia="Book Antiqua" w:hAnsi="Book Antiqua" w:cs="Book Antiqua"/>
          <w:color w:val="000000"/>
        </w:rPr>
        <w:t xml:space="preserve"> </w:t>
      </w:r>
      <w:r w:rsidR="00B80431">
        <w:rPr>
          <w:rFonts w:ascii="Book Antiqua" w:eastAsia="Book Antiqua" w:hAnsi="Book Antiqua" w:cs="Book Antiqua"/>
          <w:color w:val="000000"/>
        </w:rPr>
        <w:t>graft function, time of transplant, and immunosuppressive treatment. Immunosuppressive treatments may give rise to severe COVID-19. On the contrary, they may also lead to a milder and atypical presentation by diminishing the immune system overdrive.</w:t>
      </w:r>
    </w:p>
    <w:p w14:paraId="32D8C501" w14:textId="77777777" w:rsidR="00A77B3E" w:rsidRDefault="00A77B3E">
      <w:pPr>
        <w:spacing w:line="360" w:lineRule="auto"/>
        <w:jc w:val="both"/>
      </w:pPr>
    </w:p>
    <w:p w14:paraId="410A9300" w14:textId="77777777" w:rsidR="00A77B3E" w:rsidRDefault="00B80431">
      <w:pPr>
        <w:spacing w:line="360" w:lineRule="auto"/>
        <w:jc w:val="both"/>
      </w:pPr>
      <w:r>
        <w:rPr>
          <w:rFonts w:ascii="Book Antiqua" w:eastAsia="Book Antiqua" w:hAnsi="Book Antiqua" w:cs="Book Antiqua"/>
          <w:color w:val="000000"/>
        </w:rPr>
        <w:t>CASE SUMMARY</w:t>
      </w:r>
    </w:p>
    <w:p w14:paraId="4DB64675" w14:textId="0D6C00FD" w:rsidR="00A77B3E" w:rsidRDefault="00B80431">
      <w:pPr>
        <w:spacing w:line="360" w:lineRule="auto"/>
        <w:jc w:val="both"/>
      </w:pPr>
      <w:r>
        <w:rPr>
          <w:rFonts w:ascii="Book Antiqua" w:eastAsia="Book Antiqua" w:hAnsi="Book Antiqua" w:cs="Book Antiqua"/>
          <w:color w:val="000000"/>
        </w:rPr>
        <w:t xml:space="preserve">A 50-year old female kidney transplant recipient presented to the transplant clinic with a progressive dry cough and fever that started three days ago. Although the COVID-19 test was found to be negative, chest computed tomography images showed consolidation typical </w:t>
      </w:r>
      <w:r w:rsidR="00443B18">
        <w:rPr>
          <w:rFonts w:ascii="Book Antiqua" w:eastAsia="Book Antiqua" w:hAnsi="Book Antiqua" w:cs="Book Antiqua"/>
          <w:color w:val="000000"/>
        </w:rPr>
        <w:t>of</w:t>
      </w:r>
      <w:r>
        <w:rPr>
          <w:rFonts w:ascii="Book Antiqua" w:eastAsia="Book Antiqua" w:hAnsi="Book Antiqua" w:cs="Book Antiqua"/>
          <w:color w:val="000000"/>
        </w:rPr>
        <w:t xml:space="preserve"> the disease</w:t>
      </w:r>
      <w:r w:rsidR="00443B18">
        <w:rPr>
          <w:rFonts w:ascii="Book Antiqua" w:eastAsia="Book Antiqua" w:hAnsi="Book Antiqua" w:cs="Book Antiqua"/>
          <w:color w:val="000000"/>
        </w:rPr>
        <w:t>;</w:t>
      </w:r>
      <w:r>
        <w:rPr>
          <w:rFonts w:ascii="Book Antiqua" w:eastAsia="Book Antiqua" w:hAnsi="Book Antiqua" w:cs="Book Antiqua"/>
          <w:color w:val="000000"/>
        </w:rPr>
        <w:t xml:space="preserve"> thus, </w:t>
      </w:r>
      <w:r w:rsidR="00443B18">
        <w:rPr>
          <w:rFonts w:ascii="Book Antiqua" w:eastAsia="Book Antiqua" w:hAnsi="Book Antiqua" w:cs="Book Antiqua"/>
          <w:color w:val="000000"/>
        </w:rPr>
        <w:t>following</w:t>
      </w:r>
      <w:r>
        <w:rPr>
          <w:rFonts w:ascii="Book Antiqua" w:eastAsia="Book Antiqua" w:hAnsi="Book Antiqua" w:cs="Book Antiqua"/>
          <w:color w:val="000000"/>
        </w:rPr>
        <w:t xml:space="preserve"> hospital admission, anti-bacterial and COVID-19 treatments were initiated.</w:t>
      </w:r>
      <w:r w:rsidR="00B10C9C">
        <w:rPr>
          <w:rFonts w:ascii="Book Antiqua" w:eastAsia="Book Antiqua" w:hAnsi="Book Antiqua" w:cs="Book Antiqua"/>
          <w:color w:val="000000"/>
        </w:rPr>
        <w:t xml:space="preserve"> </w:t>
      </w:r>
      <w:r>
        <w:rPr>
          <w:rFonts w:ascii="Book Antiqua" w:eastAsia="Book Antiqua" w:hAnsi="Book Antiqua" w:cs="Book Antiqua"/>
          <w:color w:val="000000"/>
        </w:rPr>
        <w:t>However, despite clinical improvement of the lung consolidation, her creatinine</w:t>
      </w:r>
      <w:r w:rsidR="00A7100C">
        <w:rPr>
          <w:rFonts w:ascii="Book Antiqua" w:eastAsia="Book Antiqua" w:hAnsi="Book Antiqua" w:cs="Book Antiqua"/>
          <w:color w:val="000000"/>
        </w:rPr>
        <w:t xml:space="preserve"> </w:t>
      </w:r>
      <w:r>
        <w:rPr>
          <w:rFonts w:ascii="Book Antiqua" w:eastAsia="Book Antiqua" w:hAnsi="Book Antiqua" w:cs="Book Antiqua"/>
          <w:color w:val="000000"/>
        </w:rPr>
        <w:t xml:space="preserve">levels continued to increase. </w:t>
      </w:r>
      <w:r w:rsidR="00443B18">
        <w:rPr>
          <w:rFonts w:ascii="Book Antiqua" w:eastAsia="Book Antiqua" w:hAnsi="Book Antiqua" w:cs="Book Antiqua"/>
          <w:color w:val="000000"/>
        </w:rPr>
        <w:t>U</w:t>
      </w:r>
      <w:r>
        <w:rPr>
          <w:rFonts w:ascii="Book Antiqua" w:eastAsia="Book Antiqua" w:hAnsi="Book Antiqua" w:cs="Book Antiqua"/>
          <w:color w:val="000000"/>
        </w:rPr>
        <w:t xml:space="preserve">ltrasound of the graft </w:t>
      </w:r>
      <w:r>
        <w:rPr>
          <w:rFonts w:ascii="Book Antiqua" w:eastAsia="Book Antiqua" w:hAnsi="Book Antiqua" w:cs="Book Antiqua"/>
          <w:color w:val="000000"/>
        </w:rPr>
        <w:lastRenderedPageBreak/>
        <w:t xml:space="preserve">showed no pathology. The tacrolimus blood level was </w:t>
      </w:r>
      <w:r w:rsidR="00443B18">
        <w:rPr>
          <w:rFonts w:ascii="Book Antiqua" w:eastAsia="Book Antiqua" w:hAnsi="Book Antiqua" w:cs="Book Antiqua"/>
          <w:color w:val="000000"/>
        </w:rPr>
        <w:t>determined</w:t>
      </w:r>
      <w:r>
        <w:rPr>
          <w:rFonts w:ascii="Book Antiqua" w:eastAsia="Book Antiqua" w:hAnsi="Book Antiqua" w:cs="Book Antiqua"/>
          <w:color w:val="000000"/>
        </w:rPr>
        <w:t xml:space="preserve"> and the elevation </w:t>
      </w:r>
      <w:r w:rsidR="00443B18">
        <w:rPr>
          <w:rFonts w:ascii="Book Antiqua" w:eastAsia="Book Antiqua" w:hAnsi="Book Antiqua" w:cs="Book Antiqua"/>
          <w:color w:val="000000"/>
        </w:rPr>
        <w:t>in</w:t>
      </w:r>
      <w:r>
        <w:rPr>
          <w:rFonts w:ascii="Book Antiqua" w:eastAsia="Book Antiqua" w:hAnsi="Book Antiqua" w:cs="Book Antiqua"/>
          <w:color w:val="000000"/>
        </w:rPr>
        <w:t xml:space="preserve"> creatinine was found to be related to </w:t>
      </w:r>
      <w:r w:rsidR="00443B18">
        <w:rPr>
          <w:rFonts w:ascii="Book Antiqua" w:eastAsia="Book Antiqua" w:hAnsi="Book Antiqua" w:cs="Book Antiqua"/>
          <w:color w:val="000000"/>
        </w:rPr>
        <w:t>an</w:t>
      </w:r>
      <w:r>
        <w:rPr>
          <w:rFonts w:ascii="Book Antiqua" w:eastAsia="Book Antiqua" w:hAnsi="Book Antiqua" w:cs="Book Antiqua"/>
          <w:color w:val="000000"/>
        </w:rPr>
        <w:t xml:space="preserve"> interaction </w:t>
      </w:r>
      <w:r w:rsidR="00443B18">
        <w:rPr>
          <w:rFonts w:ascii="Book Antiqua" w:eastAsia="Book Antiqua" w:hAnsi="Book Antiqua" w:cs="Book Antiqua"/>
          <w:color w:val="000000"/>
        </w:rPr>
        <w:t>between</w:t>
      </w:r>
      <w:r>
        <w:rPr>
          <w:rFonts w:ascii="Book Antiqua" w:eastAsia="Book Antiqua" w:hAnsi="Book Antiqua" w:cs="Book Antiqua"/>
          <w:color w:val="000000"/>
        </w:rPr>
        <w:t xml:space="preserve"> tacrolimus and azithromycin.</w:t>
      </w:r>
    </w:p>
    <w:p w14:paraId="64B9E013" w14:textId="77777777" w:rsidR="00A77B3E" w:rsidRDefault="00A77B3E">
      <w:pPr>
        <w:spacing w:line="360" w:lineRule="auto"/>
        <w:jc w:val="both"/>
      </w:pPr>
    </w:p>
    <w:p w14:paraId="49D6367B" w14:textId="77777777" w:rsidR="00A77B3E" w:rsidRDefault="00B80431">
      <w:pPr>
        <w:spacing w:line="360" w:lineRule="auto"/>
        <w:jc w:val="both"/>
      </w:pPr>
      <w:r>
        <w:rPr>
          <w:rFonts w:ascii="Book Antiqua" w:eastAsia="Book Antiqua" w:hAnsi="Book Antiqua" w:cs="Book Antiqua"/>
          <w:color w:val="000000"/>
        </w:rPr>
        <w:t>CONCLUSION</w:t>
      </w:r>
    </w:p>
    <w:p w14:paraId="39F4F702" w14:textId="448F2F79" w:rsidR="00A77B3E" w:rsidRDefault="00B80431">
      <w:pPr>
        <w:spacing w:line="360" w:lineRule="auto"/>
        <w:jc w:val="both"/>
      </w:pPr>
      <w:r>
        <w:rPr>
          <w:rFonts w:ascii="Book Antiqua" w:eastAsia="Book Antiqua" w:hAnsi="Book Antiqua" w:cs="Book Antiqua"/>
          <w:color w:val="000000"/>
        </w:rPr>
        <w:t xml:space="preserve">During the COVID-19 pandemic, various single or combination drugs </w:t>
      </w:r>
      <w:r w:rsidR="00443B18">
        <w:rPr>
          <w:rFonts w:ascii="Book Antiqua" w:eastAsia="Book Antiqua" w:hAnsi="Book Antiqua" w:cs="Book Antiqua"/>
          <w:color w:val="000000"/>
        </w:rPr>
        <w:t>have been</w:t>
      </w:r>
      <w:r>
        <w:rPr>
          <w:rFonts w:ascii="Book Antiqua" w:eastAsia="Book Antiqua" w:hAnsi="Book Antiqua" w:cs="Book Antiqua"/>
          <w:color w:val="000000"/>
        </w:rPr>
        <w:t xml:space="preserve"> utilized to find an effective treatment regimen. This </w:t>
      </w:r>
      <w:r w:rsidR="00443B18">
        <w:rPr>
          <w:rFonts w:ascii="Book Antiqua" w:eastAsia="Book Antiqua" w:hAnsi="Book Antiqua" w:cs="Book Antiqua"/>
          <w:color w:val="000000"/>
        </w:rPr>
        <w:t>has</w:t>
      </w:r>
      <w:r>
        <w:rPr>
          <w:rFonts w:ascii="Book Antiqua" w:eastAsia="Book Antiqua" w:hAnsi="Book Antiqua" w:cs="Book Antiqua"/>
          <w:color w:val="000000"/>
        </w:rPr>
        <w:t xml:space="preserve"> increased the possibility of drug interactions. A limited number of studies published in </w:t>
      </w:r>
      <w:r w:rsidR="00443B18">
        <w:rPr>
          <w:rFonts w:ascii="Book Antiqua" w:eastAsia="Book Antiqua" w:hAnsi="Book Antiqua" w:cs="Book Antiqua"/>
          <w:color w:val="000000"/>
        </w:rPr>
        <w:t xml:space="preserve">the </w:t>
      </w:r>
      <w:r>
        <w:rPr>
          <w:rFonts w:ascii="Book Antiqua" w:eastAsia="Book Antiqua" w:hAnsi="Book Antiqua" w:cs="Book Antiqua"/>
          <w:color w:val="000000"/>
        </w:rPr>
        <w:t xml:space="preserve">literature </w:t>
      </w:r>
      <w:r w:rsidR="00443B18">
        <w:rPr>
          <w:rFonts w:ascii="Book Antiqua" w:eastAsia="Book Antiqua" w:hAnsi="Book Antiqua" w:cs="Book Antiqua"/>
          <w:color w:val="000000"/>
        </w:rPr>
        <w:t xml:space="preserve">have </w:t>
      </w:r>
      <w:r>
        <w:rPr>
          <w:rFonts w:ascii="Book Antiqua" w:eastAsia="Book Antiqua" w:hAnsi="Book Antiqua" w:cs="Book Antiqua"/>
          <w:color w:val="000000"/>
        </w:rPr>
        <w:t xml:space="preserve">highlighted some of these pharmacokinetic interactions. Treatments used for COVID-19 therapy; azithromycin, </w:t>
      </w:r>
      <w:proofErr w:type="spellStart"/>
      <w:r>
        <w:rPr>
          <w:rFonts w:ascii="Book Antiqua" w:eastAsia="Book Antiqua" w:hAnsi="Book Antiqua" w:cs="Book Antiqua"/>
          <w:color w:val="000000"/>
        </w:rPr>
        <w:t>atazanavir</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lopinavir</w:t>
      </w:r>
      <w:proofErr w:type="spellEnd"/>
      <w:r>
        <w:rPr>
          <w:rFonts w:ascii="Book Antiqua" w:eastAsia="Book Antiqua" w:hAnsi="Book Antiqua" w:cs="Book Antiqua"/>
          <w:color w:val="000000"/>
        </w:rPr>
        <w:t xml:space="preserve">/ritonavir, </w:t>
      </w:r>
      <w:proofErr w:type="spellStart"/>
      <w:r>
        <w:rPr>
          <w:rFonts w:ascii="Book Antiqua" w:eastAsia="Book Antiqua" w:hAnsi="Book Antiqua" w:cs="Book Antiqua"/>
          <w:color w:val="000000"/>
        </w:rPr>
        <w:t>remdesivir</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favipiravir</w:t>
      </w:r>
      <w:proofErr w:type="spellEnd"/>
      <w:r>
        <w:rPr>
          <w:rFonts w:ascii="Book Antiqua" w:eastAsia="Book Antiqua" w:hAnsi="Book Antiqua" w:cs="Book Antiqua"/>
          <w:color w:val="000000"/>
        </w:rPr>
        <w:t xml:space="preserve">, chloroquine, hydroxychloroquine, nitazoxanide, ribavirin, and tocilizumab, interact with immunosuppressive treatments, most importantly with calcineurin inhibitors. Thus, their levels should be frequently </w:t>
      </w:r>
      <w:r w:rsidR="00CD7979">
        <w:rPr>
          <w:rFonts w:ascii="Book Antiqua" w:eastAsia="Book Antiqua" w:hAnsi="Book Antiqua" w:cs="Book Antiqua"/>
          <w:color w:val="000000"/>
        </w:rPr>
        <w:t xml:space="preserve">monitored </w:t>
      </w:r>
      <w:r>
        <w:rPr>
          <w:rFonts w:ascii="Book Antiqua" w:eastAsia="Book Antiqua" w:hAnsi="Book Antiqua" w:cs="Book Antiqua"/>
          <w:color w:val="000000"/>
        </w:rPr>
        <w:t>to prevent toxicity.</w:t>
      </w:r>
    </w:p>
    <w:p w14:paraId="05CB7A09" w14:textId="77777777" w:rsidR="00A77B3E" w:rsidRDefault="00A77B3E">
      <w:pPr>
        <w:spacing w:line="360" w:lineRule="auto"/>
        <w:jc w:val="both"/>
      </w:pPr>
    </w:p>
    <w:p w14:paraId="6A1558D3" w14:textId="33FC4EF8" w:rsidR="00A77B3E" w:rsidRDefault="00B80431">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 xml:space="preserve">COVID-19; </w:t>
      </w:r>
      <w:r w:rsidR="006F070E">
        <w:rPr>
          <w:rFonts w:ascii="Book Antiqua" w:eastAsia="Book Antiqua" w:hAnsi="Book Antiqua" w:cs="Book Antiqua"/>
          <w:color w:val="000000"/>
        </w:rPr>
        <w:t>K</w:t>
      </w:r>
      <w:r>
        <w:rPr>
          <w:rFonts w:ascii="Book Antiqua" w:eastAsia="Book Antiqua" w:hAnsi="Book Antiqua" w:cs="Book Antiqua"/>
          <w:color w:val="000000"/>
        </w:rPr>
        <w:t xml:space="preserve">idney transplantation; Drug interaction; Pharmacokinetics; Azithromycin; </w:t>
      </w:r>
      <w:r w:rsidR="006772BB">
        <w:rPr>
          <w:rFonts w:ascii="Book Antiqua" w:eastAsia="Book Antiqua" w:hAnsi="Book Antiqua" w:cs="Book Antiqua"/>
          <w:color w:val="000000"/>
        </w:rPr>
        <w:t xml:space="preserve">Case report; </w:t>
      </w:r>
      <w:r>
        <w:rPr>
          <w:rFonts w:ascii="Book Antiqua" w:eastAsia="Book Antiqua" w:hAnsi="Book Antiqua" w:cs="Book Antiqua"/>
          <w:color w:val="000000"/>
        </w:rPr>
        <w:t xml:space="preserve">Calcineurin </w:t>
      </w:r>
      <w:r w:rsidR="006F070E">
        <w:rPr>
          <w:rFonts w:ascii="Book Antiqua" w:eastAsia="Book Antiqua" w:hAnsi="Book Antiqua" w:cs="Book Antiqua"/>
          <w:color w:val="000000"/>
        </w:rPr>
        <w:t>i</w:t>
      </w:r>
      <w:r>
        <w:rPr>
          <w:rFonts w:ascii="Book Antiqua" w:eastAsia="Book Antiqua" w:hAnsi="Book Antiqua" w:cs="Book Antiqua"/>
          <w:color w:val="000000"/>
        </w:rPr>
        <w:t>nhibitor</w:t>
      </w:r>
    </w:p>
    <w:p w14:paraId="4FFD8146" w14:textId="77777777" w:rsidR="00A77B3E" w:rsidRDefault="00A77B3E">
      <w:pPr>
        <w:spacing w:line="360" w:lineRule="auto"/>
        <w:jc w:val="both"/>
      </w:pPr>
    </w:p>
    <w:p w14:paraId="4B8A4C92" w14:textId="7394F91C" w:rsidR="008146CB" w:rsidRDefault="008146CB">
      <w:pPr>
        <w:spacing w:line="360" w:lineRule="auto"/>
        <w:jc w:val="both"/>
        <w:rPr>
          <w:rFonts w:ascii="Book Antiqua" w:hAnsi="Book Antiqua" w:cs="Book Antiqua" w:hint="eastAsia"/>
          <w:color w:val="000000"/>
          <w:lang w:eastAsia="zh-CN"/>
        </w:rPr>
      </w:pPr>
      <w:r w:rsidRPr="008146CB">
        <w:rPr>
          <w:rFonts w:ascii="Book Antiqua" w:hAnsi="Book Antiqua" w:cs="Book Antiqua" w:hint="eastAsia"/>
          <w:b/>
          <w:color w:val="000000"/>
          <w:lang w:eastAsia="zh-CN"/>
        </w:rPr>
        <w:t>Citation:</w:t>
      </w:r>
      <w:r>
        <w:rPr>
          <w:rFonts w:ascii="Book Antiqua" w:hAnsi="Book Antiqua" w:cs="Book Antiqua" w:hint="eastAsia"/>
          <w:color w:val="000000"/>
          <w:lang w:eastAsia="zh-CN"/>
        </w:rPr>
        <w:t xml:space="preserve"> </w:t>
      </w:r>
      <w:proofErr w:type="spellStart"/>
      <w:r w:rsidR="00B80431">
        <w:rPr>
          <w:rFonts w:ascii="Book Antiqua" w:eastAsia="Book Antiqua" w:hAnsi="Book Antiqua" w:cs="Book Antiqua"/>
          <w:color w:val="000000"/>
        </w:rPr>
        <w:t>O</w:t>
      </w:r>
      <w:r w:rsidR="008C58B2">
        <w:rPr>
          <w:rFonts w:ascii="Book Antiqua" w:eastAsia="Book Antiqua" w:hAnsi="Book Antiqua" w:cs="Book Antiqua"/>
          <w:color w:val="000000"/>
        </w:rPr>
        <w:t>g</w:t>
      </w:r>
      <w:r w:rsidR="00B80431">
        <w:rPr>
          <w:rFonts w:ascii="Book Antiqua" w:eastAsia="Book Antiqua" w:hAnsi="Book Antiqua" w:cs="Book Antiqua"/>
          <w:color w:val="000000"/>
        </w:rPr>
        <w:t>uz</w:t>
      </w:r>
      <w:proofErr w:type="spellEnd"/>
      <w:r w:rsidR="00B80431">
        <w:rPr>
          <w:rFonts w:ascii="Book Antiqua" w:eastAsia="Book Antiqua" w:hAnsi="Book Antiqua" w:cs="Book Antiqua"/>
          <w:color w:val="000000"/>
        </w:rPr>
        <w:t xml:space="preserve"> EG, </w:t>
      </w:r>
      <w:proofErr w:type="spellStart"/>
      <w:r w:rsidR="00B80431">
        <w:rPr>
          <w:rFonts w:ascii="Book Antiqua" w:eastAsia="Book Antiqua" w:hAnsi="Book Antiqua" w:cs="Book Antiqua"/>
          <w:color w:val="000000"/>
        </w:rPr>
        <w:t>Atilgan</w:t>
      </w:r>
      <w:proofErr w:type="spellEnd"/>
      <w:r w:rsidR="00B80431">
        <w:rPr>
          <w:rFonts w:ascii="Book Antiqua" w:eastAsia="Book Antiqua" w:hAnsi="Book Antiqua" w:cs="Book Antiqua"/>
          <w:color w:val="000000"/>
        </w:rPr>
        <w:t xml:space="preserve"> KG, </w:t>
      </w:r>
      <w:proofErr w:type="spellStart"/>
      <w:r w:rsidR="00B80431">
        <w:rPr>
          <w:rFonts w:ascii="Book Antiqua" w:eastAsia="Book Antiqua" w:hAnsi="Book Antiqua" w:cs="Book Antiqua"/>
          <w:color w:val="000000"/>
        </w:rPr>
        <w:t>Cimen</w:t>
      </w:r>
      <w:proofErr w:type="spellEnd"/>
      <w:r w:rsidR="00B80431">
        <w:rPr>
          <w:rFonts w:ascii="Book Antiqua" w:eastAsia="Book Antiqua" w:hAnsi="Book Antiqua" w:cs="Book Antiqua"/>
          <w:color w:val="000000"/>
        </w:rPr>
        <w:t xml:space="preserve"> SG, </w:t>
      </w:r>
      <w:proofErr w:type="spellStart"/>
      <w:r w:rsidR="00B80431">
        <w:rPr>
          <w:rFonts w:ascii="Book Antiqua" w:eastAsia="Book Antiqua" w:hAnsi="Book Antiqua" w:cs="Book Antiqua"/>
          <w:color w:val="000000"/>
        </w:rPr>
        <w:t>Sahin</w:t>
      </w:r>
      <w:proofErr w:type="spellEnd"/>
      <w:r w:rsidR="00B80431">
        <w:rPr>
          <w:rFonts w:ascii="Book Antiqua" w:eastAsia="Book Antiqua" w:hAnsi="Book Antiqua" w:cs="Book Antiqua"/>
          <w:color w:val="000000"/>
        </w:rPr>
        <w:t xml:space="preserve"> H, </w:t>
      </w:r>
      <w:proofErr w:type="spellStart"/>
      <w:r w:rsidR="00B80431">
        <w:rPr>
          <w:rFonts w:ascii="Book Antiqua" w:eastAsia="Book Antiqua" w:hAnsi="Book Antiqua" w:cs="Book Antiqua"/>
          <w:color w:val="000000"/>
        </w:rPr>
        <w:t>Selen</w:t>
      </w:r>
      <w:proofErr w:type="spellEnd"/>
      <w:r w:rsidR="00B80431">
        <w:rPr>
          <w:rFonts w:ascii="Book Antiqua" w:eastAsia="Book Antiqua" w:hAnsi="Book Antiqua" w:cs="Book Antiqua"/>
          <w:color w:val="000000"/>
        </w:rPr>
        <w:t xml:space="preserve"> T, </w:t>
      </w:r>
      <w:proofErr w:type="spellStart"/>
      <w:r w:rsidR="00B80431">
        <w:rPr>
          <w:rFonts w:ascii="Book Antiqua" w:eastAsia="Book Antiqua" w:hAnsi="Book Antiqua" w:cs="Book Antiqua"/>
          <w:color w:val="000000"/>
        </w:rPr>
        <w:t>Ebinc</w:t>
      </w:r>
      <w:proofErr w:type="spellEnd"/>
      <w:r w:rsidR="00B80431">
        <w:rPr>
          <w:rFonts w:ascii="Book Antiqua" w:eastAsia="Book Antiqua" w:hAnsi="Book Antiqua" w:cs="Book Antiqua"/>
          <w:color w:val="000000"/>
        </w:rPr>
        <w:t xml:space="preserve"> FA, </w:t>
      </w:r>
      <w:proofErr w:type="spellStart"/>
      <w:r w:rsidR="00B80431">
        <w:rPr>
          <w:rFonts w:ascii="Book Antiqua" w:eastAsia="Book Antiqua" w:hAnsi="Book Antiqua" w:cs="Book Antiqua"/>
          <w:color w:val="000000"/>
        </w:rPr>
        <w:t>Cimen</w:t>
      </w:r>
      <w:proofErr w:type="spellEnd"/>
      <w:r w:rsidR="00B80431">
        <w:rPr>
          <w:rFonts w:ascii="Book Antiqua" w:eastAsia="Book Antiqua" w:hAnsi="Book Antiqua" w:cs="Book Antiqua"/>
          <w:color w:val="000000"/>
        </w:rPr>
        <w:t xml:space="preserve"> S, </w:t>
      </w:r>
      <w:proofErr w:type="spellStart"/>
      <w:r w:rsidR="00B80431">
        <w:rPr>
          <w:rFonts w:ascii="Book Antiqua" w:eastAsia="Book Antiqua" w:hAnsi="Book Antiqua" w:cs="Book Antiqua"/>
          <w:color w:val="000000"/>
        </w:rPr>
        <w:t>Ayli</w:t>
      </w:r>
      <w:proofErr w:type="spellEnd"/>
      <w:r w:rsidR="00B80431">
        <w:rPr>
          <w:rFonts w:ascii="Book Antiqua" w:eastAsia="Book Antiqua" w:hAnsi="Book Antiqua" w:cs="Book Antiqua"/>
          <w:color w:val="000000"/>
        </w:rPr>
        <w:t xml:space="preserve"> MD. COVID</w:t>
      </w:r>
      <w:r w:rsidR="00B10C9C">
        <w:rPr>
          <w:rFonts w:ascii="Book Antiqua" w:eastAsia="Book Antiqua" w:hAnsi="Book Antiqua" w:cs="Book Antiqua"/>
          <w:color w:val="000000"/>
        </w:rPr>
        <w:t>-</w:t>
      </w:r>
      <w:r w:rsidR="00B80431">
        <w:rPr>
          <w:rFonts w:ascii="Book Antiqua" w:eastAsia="Book Antiqua" w:hAnsi="Book Antiqua" w:cs="Book Antiqua"/>
          <w:color w:val="000000"/>
        </w:rPr>
        <w:t xml:space="preserve">19 </w:t>
      </w:r>
      <w:r w:rsidR="008754C6">
        <w:rPr>
          <w:rFonts w:ascii="Book Antiqua" w:eastAsia="Book Antiqua" w:hAnsi="Book Antiqua" w:cs="Book Antiqua"/>
          <w:color w:val="000000"/>
        </w:rPr>
        <w:t>infection in a kidney transplant recipient</w:t>
      </w:r>
      <w:r w:rsidR="008754C6" w:rsidRPr="00555E7F">
        <w:rPr>
          <w:rFonts w:ascii="Book Antiqua" w:eastAsia="Book Antiqua" w:hAnsi="Book Antiqua" w:cs="Book Antiqua"/>
          <w:color w:val="000000"/>
        </w:rPr>
        <w:t>—</w:t>
      </w:r>
      <w:r w:rsidR="008754C6">
        <w:rPr>
          <w:rFonts w:ascii="Book Antiqua" w:eastAsia="Book Antiqua" w:hAnsi="Book Antiqua" w:cs="Book Antiqua"/>
          <w:color w:val="000000"/>
        </w:rPr>
        <w:t>special emphasis on pharmacokinetic i</w:t>
      </w:r>
      <w:r w:rsidR="00B80431">
        <w:rPr>
          <w:rFonts w:ascii="Book Antiqua" w:eastAsia="Book Antiqua" w:hAnsi="Book Antiqua" w:cs="Book Antiqua"/>
          <w:color w:val="000000"/>
        </w:rPr>
        <w:t>nteractions</w:t>
      </w:r>
      <w:r w:rsidR="008754C6">
        <w:rPr>
          <w:rFonts w:ascii="Book Antiqua" w:eastAsia="Book Antiqua" w:hAnsi="Book Antiqua" w:cs="Book Antiqua"/>
          <w:color w:val="000000"/>
        </w:rPr>
        <w:t>: A case report</w:t>
      </w:r>
      <w:r w:rsidR="00B80431">
        <w:rPr>
          <w:rFonts w:ascii="Book Antiqua" w:eastAsia="Book Antiqua" w:hAnsi="Book Antiqua" w:cs="Book Antiqua"/>
          <w:color w:val="000000"/>
        </w:rPr>
        <w:t xml:space="preserve">. </w:t>
      </w:r>
      <w:r w:rsidR="00B80431">
        <w:rPr>
          <w:rFonts w:ascii="Book Antiqua" w:eastAsia="Book Antiqua" w:hAnsi="Book Antiqua" w:cs="Book Antiqua"/>
          <w:i/>
          <w:iCs/>
          <w:color w:val="000000"/>
        </w:rPr>
        <w:t>World J Transplant</w:t>
      </w:r>
      <w:r w:rsidR="00B80431">
        <w:rPr>
          <w:rFonts w:ascii="Book Antiqua" w:eastAsia="Book Antiqua" w:hAnsi="Book Antiqua" w:cs="Book Antiqua"/>
          <w:color w:val="000000"/>
        </w:rPr>
        <w:t xml:space="preserve"> </w:t>
      </w:r>
      <w:r w:rsidR="00432F4F" w:rsidRPr="00432F4F">
        <w:rPr>
          <w:rFonts w:ascii="Book Antiqua" w:eastAsia="Book Antiqua" w:hAnsi="Book Antiqua" w:cs="Book Antiqua"/>
          <w:color w:val="000000"/>
        </w:rPr>
        <w:t xml:space="preserve">2020; 10(11): </w:t>
      </w:r>
      <w:r>
        <w:rPr>
          <w:rFonts w:ascii="Book Antiqua" w:eastAsia="Book Antiqua" w:hAnsi="Book Antiqua" w:cs="Book Antiqua"/>
          <w:color w:val="000000"/>
        </w:rPr>
        <w:t>365</w:t>
      </w:r>
      <w:r w:rsidR="00432F4F" w:rsidRPr="00432F4F">
        <w:rPr>
          <w:rFonts w:ascii="Book Antiqua" w:eastAsia="Book Antiqua" w:hAnsi="Book Antiqua" w:cs="Book Antiqua"/>
          <w:color w:val="000000"/>
        </w:rPr>
        <w:t>-</w:t>
      </w:r>
      <w:r>
        <w:rPr>
          <w:rFonts w:ascii="Book Antiqua" w:eastAsia="Book Antiqua" w:hAnsi="Book Antiqua" w:cs="Book Antiqua"/>
          <w:color w:val="000000"/>
        </w:rPr>
        <w:t>371</w:t>
      </w:r>
      <w:r w:rsidR="00432F4F" w:rsidRPr="00432F4F">
        <w:rPr>
          <w:rFonts w:ascii="Book Antiqua" w:eastAsia="Book Antiqua" w:hAnsi="Book Antiqua" w:cs="Book Antiqua"/>
          <w:color w:val="000000"/>
        </w:rPr>
        <w:t xml:space="preserve"> </w:t>
      </w:r>
    </w:p>
    <w:p w14:paraId="3A2B5DA8" w14:textId="4573F297" w:rsidR="008146CB" w:rsidRDefault="00432F4F">
      <w:pPr>
        <w:spacing w:line="360" w:lineRule="auto"/>
        <w:jc w:val="both"/>
        <w:rPr>
          <w:rFonts w:ascii="Book Antiqua" w:hAnsi="Book Antiqua" w:cs="Book Antiqua" w:hint="eastAsia"/>
          <w:color w:val="000000"/>
          <w:lang w:eastAsia="zh-CN"/>
        </w:rPr>
      </w:pPr>
      <w:r w:rsidRPr="008146CB">
        <w:rPr>
          <w:rFonts w:ascii="Book Antiqua" w:hAnsi="Book Antiqua" w:cs="Book Antiqua"/>
          <w:b/>
          <w:color w:val="000000"/>
          <w:lang w:eastAsia="zh-CN"/>
        </w:rPr>
        <w:t>URL:</w:t>
      </w:r>
      <w:r w:rsidRPr="00432F4F">
        <w:rPr>
          <w:rFonts w:ascii="Book Antiqua" w:eastAsia="Book Antiqua" w:hAnsi="Book Antiqua" w:cs="Book Antiqua"/>
          <w:color w:val="000000"/>
        </w:rPr>
        <w:t xml:space="preserve"> https://www.wjgnet.com/2220-3230/full/v10/i11/</w:t>
      </w:r>
      <w:r w:rsidR="008146CB">
        <w:rPr>
          <w:rFonts w:ascii="Book Antiqua" w:eastAsia="Book Antiqua" w:hAnsi="Book Antiqua" w:cs="Book Antiqua"/>
          <w:color w:val="000000"/>
        </w:rPr>
        <w:t>365</w:t>
      </w:r>
      <w:r w:rsidRPr="00432F4F">
        <w:rPr>
          <w:rFonts w:ascii="Book Antiqua" w:eastAsia="Book Antiqua" w:hAnsi="Book Antiqua" w:cs="Book Antiqua"/>
          <w:color w:val="000000"/>
        </w:rPr>
        <w:t xml:space="preserve">.htm  </w:t>
      </w:r>
    </w:p>
    <w:p w14:paraId="4B55467A" w14:textId="221848F7" w:rsidR="00A77B3E" w:rsidRPr="008146CB" w:rsidRDefault="00432F4F">
      <w:pPr>
        <w:spacing w:line="360" w:lineRule="auto"/>
        <w:jc w:val="both"/>
        <w:rPr>
          <w:rFonts w:hint="eastAsia"/>
          <w:lang w:eastAsia="zh-CN"/>
        </w:rPr>
      </w:pPr>
      <w:r w:rsidRPr="008146CB">
        <w:rPr>
          <w:rFonts w:ascii="Book Antiqua" w:hAnsi="Book Antiqua" w:cs="Book Antiqua"/>
          <w:b/>
          <w:color w:val="000000"/>
          <w:lang w:eastAsia="zh-CN"/>
        </w:rPr>
        <w:t>DOI:</w:t>
      </w:r>
      <w:r w:rsidRPr="00432F4F">
        <w:rPr>
          <w:rFonts w:ascii="Book Antiqua" w:eastAsia="Book Antiqua" w:hAnsi="Book Antiqua" w:cs="Book Antiqua"/>
          <w:color w:val="000000"/>
        </w:rPr>
        <w:t xml:space="preserve"> https://dx.doi.org/ 10.5500/wjt.v10.i11.</w:t>
      </w:r>
      <w:r w:rsidR="008146CB">
        <w:rPr>
          <w:rFonts w:ascii="Book Antiqua" w:eastAsia="Book Antiqua" w:hAnsi="Book Antiqua" w:cs="Book Antiqua"/>
          <w:color w:val="000000"/>
        </w:rPr>
        <w:t>365</w:t>
      </w:r>
    </w:p>
    <w:p w14:paraId="217D8D50" w14:textId="77777777" w:rsidR="00A77B3E" w:rsidRDefault="00A77B3E">
      <w:pPr>
        <w:spacing w:line="360" w:lineRule="auto"/>
        <w:jc w:val="both"/>
      </w:pPr>
    </w:p>
    <w:p w14:paraId="6A7CF052" w14:textId="5474B0D1" w:rsidR="00B10C9C" w:rsidRPr="00C2729F" w:rsidRDefault="00B80431" w:rsidP="00B10C9C">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Core Tip: </w:t>
      </w:r>
      <w:r w:rsidR="00B10C9C">
        <w:rPr>
          <w:rFonts w:ascii="Book Antiqua" w:eastAsia="Book Antiqua" w:hAnsi="Book Antiqua" w:cs="Book Antiqua"/>
          <w:color w:val="000000"/>
        </w:rPr>
        <w:t xml:space="preserve">This case report is illustrative for dilemmas experienced by transplant professionals while managing kidney transplant recipients with </w:t>
      </w:r>
      <w:r w:rsidR="006F070E">
        <w:rPr>
          <w:rFonts w:ascii="Book Antiqua" w:eastAsia="Book Antiqua" w:hAnsi="Book Antiqua" w:cs="Book Antiqua"/>
          <w:color w:val="000000"/>
        </w:rPr>
        <w:t>c</w:t>
      </w:r>
      <w:r w:rsidR="006F070E" w:rsidRPr="00B10C9C">
        <w:rPr>
          <w:rFonts w:ascii="Book Antiqua" w:eastAsia="Book Antiqua" w:hAnsi="Book Antiqua" w:cs="Book Antiqua"/>
          <w:color w:val="000000"/>
        </w:rPr>
        <w:t>oronavirus disease 2019</w:t>
      </w:r>
      <w:r w:rsidR="006F070E">
        <w:rPr>
          <w:rFonts w:ascii="Book Antiqua" w:eastAsia="Book Antiqua" w:hAnsi="Book Antiqua" w:cs="Book Antiqua"/>
          <w:color w:val="000000"/>
        </w:rPr>
        <w:t xml:space="preserve"> (</w:t>
      </w:r>
      <w:r w:rsidR="00B10C9C">
        <w:rPr>
          <w:rFonts w:ascii="Book Antiqua" w:eastAsia="Book Antiqua" w:hAnsi="Book Antiqua" w:cs="Book Antiqua"/>
          <w:color w:val="000000"/>
        </w:rPr>
        <w:t>COVID-19</w:t>
      </w:r>
      <w:r w:rsidR="006F070E">
        <w:rPr>
          <w:rFonts w:ascii="Book Antiqua" w:eastAsia="Book Antiqua" w:hAnsi="Book Antiqua" w:cs="Book Antiqua"/>
          <w:color w:val="000000"/>
        </w:rPr>
        <w:t>)</w:t>
      </w:r>
      <w:r w:rsidR="00B10C9C">
        <w:rPr>
          <w:rFonts w:ascii="Book Antiqua" w:eastAsia="Book Antiqua" w:hAnsi="Book Antiqua" w:cs="Book Antiqua"/>
          <w:color w:val="000000"/>
        </w:rPr>
        <w:t xml:space="preserve">. </w:t>
      </w:r>
      <w:r w:rsidR="00443B18">
        <w:rPr>
          <w:rFonts w:ascii="Book Antiqua" w:eastAsia="Book Antiqua" w:hAnsi="Book Antiqua" w:cs="Book Antiqua"/>
          <w:color w:val="000000"/>
        </w:rPr>
        <w:t>By reporting</w:t>
      </w:r>
      <w:r w:rsidR="00B10C9C">
        <w:rPr>
          <w:rFonts w:ascii="Book Antiqua" w:eastAsia="Book Antiqua" w:hAnsi="Book Antiqua" w:cs="Book Antiqua"/>
          <w:color w:val="000000"/>
        </w:rPr>
        <w:t xml:space="preserve"> this case, we intend to create awareness of drug interactions observed in renal transplant recipients with COVID-19.</w:t>
      </w:r>
    </w:p>
    <w:p w14:paraId="56B82CB2" w14:textId="58D1CA8F" w:rsidR="00A77B3E" w:rsidRDefault="00B10C9C">
      <w:pPr>
        <w:spacing w:line="360" w:lineRule="auto"/>
        <w:jc w:val="both"/>
      </w:pPr>
      <w:r>
        <w:br w:type="page"/>
      </w:r>
      <w:r w:rsidR="00B80431">
        <w:rPr>
          <w:rFonts w:ascii="Book Antiqua" w:eastAsia="Book Antiqua" w:hAnsi="Book Antiqua" w:cs="Book Antiqua"/>
          <w:b/>
          <w:caps/>
          <w:color w:val="000000"/>
          <w:u w:val="single"/>
        </w:rPr>
        <w:lastRenderedPageBreak/>
        <w:t>INTRODUCTION</w:t>
      </w:r>
    </w:p>
    <w:p w14:paraId="72978725" w14:textId="499A8DAF" w:rsidR="00A77B3E" w:rsidRDefault="00B80431">
      <w:pPr>
        <w:spacing w:line="360" w:lineRule="auto"/>
        <w:jc w:val="both"/>
      </w:pPr>
      <w:r>
        <w:rPr>
          <w:rFonts w:ascii="Book Antiqua" w:eastAsia="Book Antiqua" w:hAnsi="Book Antiqua" w:cs="Book Antiqua"/>
          <w:color w:val="000000"/>
        </w:rPr>
        <w:t xml:space="preserve">Kidney transplant recipients are considered a high-risk group for </w:t>
      </w:r>
      <w:r w:rsidR="00B10C9C">
        <w:rPr>
          <w:rFonts w:ascii="Book Antiqua" w:eastAsia="Book Antiqua" w:hAnsi="Book Antiqua" w:cs="Book Antiqua"/>
          <w:color w:val="000000"/>
        </w:rPr>
        <w:t>c</w:t>
      </w:r>
      <w:r w:rsidR="00B10C9C" w:rsidRPr="00B10C9C">
        <w:rPr>
          <w:rFonts w:ascii="Book Antiqua" w:eastAsia="Book Antiqua" w:hAnsi="Book Antiqua" w:cs="Book Antiqua"/>
          <w:color w:val="000000"/>
        </w:rPr>
        <w:t>oronavirus disease 2019</w:t>
      </w:r>
      <w:r w:rsidR="00B10C9C">
        <w:rPr>
          <w:rFonts w:ascii="Book Antiqua" w:eastAsia="Book Antiqua" w:hAnsi="Book Antiqua" w:cs="Book Antiqua"/>
          <w:color w:val="000000"/>
        </w:rPr>
        <w:t xml:space="preserve"> (</w:t>
      </w:r>
      <w:r>
        <w:rPr>
          <w:rFonts w:ascii="Book Antiqua" w:eastAsia="Book Antiqua" w:hAnsi="Book Antiqua" w:cs="Book Antiqua"/>
          <w:color w:val="000000"/>
        </w:rPr>
        <w:t>COVID-19</w:t>
      </w:r>
      <w:r w:rsidR="00B10C9C">
        <w:rPr>
          <w:rFonts w:ascii="Book Antiqua" w:eastAsia="Book Antiqua" w:hAnsi="Book Antiqua" w:cs="Book Antiqua"/>
          <w:color w:val="000000"/>
        </w:rPr>
        <w:t>)</w:t>
      </w:r>
      <w:r w:rsidR="00DB3614">
        <w:rPr>
          <w:rFonts w:ascii="Book Antiqua" w:eastAsia="Book Antiqua" w:hAnsi="Book Antiqua" w:cs="Book Antiqua"/>
          <w:color w:val="000000"/>
        </w:rPr>
        <w:t>-</w:t>
      </w:r>
      <w:r>
        <w:rPr>
          <w:rFonts w:ascii="Book Antiqua" w:eastAsia="Book Antiqua" w:hAnsi="Book Antiqua" w:cs="Book Antiqua"/>
          <w:color w:val="000000"/>
        </w:rPr>
        <w:t>related complications due to the vulnerability constituted by immunosuppressive treatments. The duration after transplant and graft function are the most crucial factors for the management of kidney transplant recipients with COVID-19</w:t>
      </w:r>
      <w:r w:rsidR="00B10C9C" w:rsidRPr="00555E7F">
        <w:rPr>
          <w:rFonts w:ascii="Book Antiqua" w:eastAsia="Book Antiqua" w:hAnsi="Book Antiqua" w:cs="Book Antiqua"/>
          <w:color w:val="000000"/>
          <w:vertAlign w:val="superscript"/>
        </w:rPr>
        <w:t>[1]</w:t>
      </w:r>
      <w:r>
        <w:rPr>
          <w:rFonts w:ascii="Book Antiqua" w:eastAsia="Book Antiqua" w:hAnsi="Book Antiqua" w:cs="Book Antiqua"/>
          <w:color w:val="000000"/>
        </w:rPr>
        <w:t>. A kidney transplant recipient`s risk of developing COVID</w:t>
      </w:r>
      <w:r w:rsidR="00DB3614">
        <w:rPr>
          <w:rFonts w:ascii="Book Antiqua" w:eastAsia="Book Antiqua" w:hAnsi="Book Antiqua" w:cs="Book Antiqua"/>
          <w:color w:val="000000"/>
        </w:rPr>
        <w:t>-</w:t>
      </w:r>
      <w:r>
        <w:rPr>
          <w:rFonts w:ascii="Book Antiqua" w:eastAsia="Book Antiqua" w:hAnsi="Book Antiqua" w:cs="Book Antiqua"/>
          <w:color w:val="000000"/>
        </w:rPr>
        <w:t>related complications should be evaluated individually considering immunosuppressive treatment and comorbidities (diabetes, hypertension, chronic kidney disease, and atherosclerotic disease</w:t>
      </w:r>
      <w:proofErr w:type="gramStart"/>
      <w:r>
        <w:rPr>
          <w:rFonts w:ascii="Book Antiqua" w:eastAsia="Book Antiqua" w:hAnsi="Book Antiqua" w:cs="Book Antiqua"/>
          <w:color w:val="000000"/>
        </w:rPr>
        <w:t>)</w:t>
      </w:r>
      <w:r w:rsidR="00B10C9C" w:rsidRPr="006C1905">
        <w:rPr>
          <w:rFonts w:ascii="Book Antiqua" w:eastAsia="Book Antiqua" w:hAnsi="Book Antiqua" w:cs="Book Antiqua"/>
          <w:color w:val="000000"/>
          <w:vertAlign w:val="superscript"/>
        </w:rPr>
        <w:t>[</w:t>
      </w:r>
      <w:proofErr w:type="gramEnd"/>
      <w:r w:rsidR="00B10C9C">
        <w:rPr>
          <w:rFonts w:ascii="Book Antiqua" w:eastAsia="Book Antiqua" w:hAnsi="Book Antiqua" w:cs="Book Antiqua"/>
          <w:color w:val="000000"/>
          <w:vertAlign w:val="superscript"/>
        </w:rPr>
        <w:t>2</w:t>
      </w:r>
      <w:r w:rsidR="00B10C9C" w:rsidRPr="006C1905">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3A289885" w14:textId="4AD3D895" w:rsidR="00A77B3E" w:rsidRDefault="00B80431" w:rsidP="00B10C9C">
      <w:pPr>
        <w:spacing w:line="360" w:lineRule="auto"/>
        <w:ind w:firstLineChars="100" w:firstLine="240"/>
        <w:jc w:val="both"/>
      </w:pPr>
      <w:r>
        <w:rPr>
          <w:rFonts w:ascii="Book Antiqua" w:eastAsia="Book Antiqua" w:hAnsi="Book Antiqua" w:cs="Book Antiqua"/>
          <w:color w:val="000000"/>
        </w:rPr>
        <w:t xml:space="preserve">On the other hand, immunosuppressive therapy may have positive effects on the disease course in kidney transplant recipients with COVID-19 by decreasing the viral load. Several studies </w:t>
      </w:r>
      <w:r w:rsidR="00DB3614">
        <w:rPr>
          <w:rFonts w:ascii="Book Antiqua" w:eastAsia="Book Antiqua" w:hAnsi="Book Antiqua" w:cs="Book Antiqua"/>
          <w:color w:val="000000"/>
        </w:rPr>
        <w:t xml:space="preserve">have </w:t>
      </w:r>
      <w:r>
        <w:rPr>
          <w:rFonts w:ascii="Book Antiqua" w:eastAsia="Book Antiqua" w:hAnsi="Book Antiqua" w:cs="Book Antiqua"/>
          <w:color w:val="000000"/>
        </w:rPr>
        <w:t xml:space="preserve">demonstrated that COVID-19 viral replication depended on active immunophilin pathways. The immunosuppressive drugs </w:t>
      </w:r>
      <w:r w:rsidR="00DB3614">
        <w:rPr>
          <w:rFonts w:ascii="Book Antiqua" w:eastAsia="Book Antiqua" w:hAnsi="Book Antiqua" w:cs="Book Antiqua"/>
          <w:color w:val="000000"/>
        </w:rPr>
        <w:t>t</w:t>
      </w:r>
      <w:r>
        <w:rPr>
          <w:rFonts w:ascii="Book Antiqua" w:eastAsia="Book Antiqua" w:hAnsi="Book Antiqua" w:cs="Book Antiqua"/>
          <w:color w:val="000000"/>
        </w:rPr>
        <w:t xml:space="preserve">acrolimus and </w:t>
      </w:r>
      <w:r w:rsidR="00DB3614">
        <w:rPr>
          <w:rFonts w:ascii="Book Antiqua" w:eastAsia="Book Antiqua" w:hAnsi="Book Antiqua" w:cs="Book Antiqua"/>
          <w:color w:val="000000"/>
        </w:rPr>
        <w:t>c</w:t>
      </w:r>
      <w:r>
        <w:rPr>
          <w:rFonts w:ascii="Book Antiqua" w:eastAsia="Book Antiqua" w:hAnsi="Book Antiqua" w:cs="Book Antiqua"/>
          <w:color w:val="000000"/>
        </w:rPr>
        <w:t xml:space="preserve">yclosporine arrested coronavirus proliferation in human cells and inhibited their replication through these </w:t>
      </w:r>
      <w:proofErr w:type="gramStart"/>
      <w:r>
        <w:rPr>
          <w:rFonts w:ascii="Book Antiqua" w:eastAsia="Book Antiqua" w:hAnsi="Book Antiqua" w:cs="Book Antiqua"/>
          <w:color w:val="000000"/>
        </w:rPr>
        <w:t>pathways</w:t>
      </w:r>
      <w:r w:rsidR="00B10C9C" w:rsidRPr="006C1905">
        <w:rPr>
          <w:rFonts w:ascii="Book Antiqua" w:eastAsia="Book Antiqua" w:hAnsi="Book Antiqua" w:cs="Book Antiqua"/>
          <w:color w:val="000000"/>
          <w:vertAlign w:val="superscript"/>
        </w:rPr>
        <w:t>[</w:t>
      </w:r>
      <w:proofErr w:type="gramEnd"/>
      <w:r w:rsidR="00B10C9C">
        <w:rPr>
          <w:rFonts w:ascii="Book Antiqua" w:eastAsia="Book Antiqua" w:hAnsi="Book Antiqua" w:cs="Book Antiqua"/>
          <w:color w:val="000000"/>
          <w:vertAlign w:val="superscript"/>
        </w:rPr>
        <w:t>3,4</w:t>
      </w:r>
      <w:r w:rsidR="00B10C9C" w:rsidRPr="006C1905">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426FE661" w14:textId="0028D91D" w:rsidR="00A77B3E" w:rsidRDefault="00B80431" w:rsidP="00B10C9C">
      <w:pPr>
        <w:spacing w:line="360" w:lineRule="auto"/>
        <w:ind w:firstLineChars="100" w:firstLine="240"/>
        <w:jc w:val="both"/>
      </w:pPr>
      <w:r>
        <w:rPr>
          <w:rFonts w:ascii="Book Antiqua" w:eastAsia="Book Antiqua" w:hAnsi="Book Antiqua" w:cs="Book Antiqua"/>
          <w:color w:val="000000"/>
        </w:rPr>
        <w:t>In addition to classic clinical symptoms of COVID-19, renal transplant recipients may present with atypical symptoms, such as diarrhea and vomiting. This atypical presentation with a negative COVID-19 test may lower the suspicion of infection in an otherwise infected individual</w:t>
      </w:r>
      <w:r w:rsidR="00DB3614">
        <w:rPr>
          <w:rFonts w:ascii="Book Antiqua" w:eastAsia="Book Antiqua" w:hAnsi="Book Antiqua" w:cs="Book Antiqua"/>
          <w:color w:val="000000"/>
        </w:rPr>
        <w:t>. T</w:t>
      </w:r>
      <w:r>
        <w:rPr>
          <w:rFonts w:ascii="Book Antiqua" w:eastAsia="Book Antiqua" w:hAnsi="Book Antiqua" w:cs="Book Antiqua"/>
          <w:color w:val="000000"/>
        </w:rPr>
        <w:t>herefore</w:t>
      </w:r>
      <w:r w:rsidR="00DB3614">
        <w:rPr>
          <w:rFonts w:ascii="Book Antiqua" w:eastAsia="Book Antiqua" w:hAnsi="Book Antiqua" w:cs="Book Antiqua"/>
          <w:color w:val="000000"/>
        </w:rPr>
        <w:t>,</w:t>
      </w:r>
      <w:r>
        <w:rPr>
          <w:rFonts w:ascii="Book Antiqua" w:eastAsia="Book Antiqua" w:hAnsi="Book Antiqua" w:cs="Book Antiqua"/>
          <w:color w:val="000000"/>
        </w:rPr>
        <w:t xml:space="preserve"> in </w:t>
      </w:r>
      <w:r w:rsidR="00DB3614">
        <w:rPr>
          <w:rFonts w:ascii="Book Antiqua" w:eastAsia="Book Antiqua" w:hAnsi="Book Antiqua" w:cs="Book Antiqua"/>
          <w:color w:val="000000"/>
        </w:rPr>
        <w:t xml:space="preserve">the </w:t>
      </w:r>
      <w:r>
        <w:rPr>
          <w:rFonts w:ascii="Book Antiqua" w:eastAsia="Book Antiqua" w:hAnsi="Book Antiqua" w:cs="Book Antiqua"/>
          <w:color w:val="000000"/>
        </w:rPr>
        <w:t>case of controversy, unenhanced chest scans with a low dose of IV contrast should be obtained to ensure patient safety and reduce complications.</w:t>
      </w:r>
    </w:p>
    <w:p w14:paraId="59E5FCB1" w14:textId="77777777" w:rsidR="00A77B3E" w:rsidRDefault="00B80431" w:rsidP="00B10C9C">
      <w:pPr>
        <w:spacing w:line="360" w:lineRule="auto"/>
        <w:ind w:firstLineChars="100" w:firstLine="240"/>
        <w:jc w:val="both"/>
      </w:pPr>
      <w:r>
        <w:rPr>
          <w:rFonts w:ascii="Book Antiqua" w:eastAsia="Book Antiqua" w:hAnsi="Book Antiqua" w:cs="Book Antiqua"/>
          <w:color w:val="000000"/>
        </w:rPr>
        <w:t>This study demonstrates the lessons learned while managing a kidney transplant recipient infected with COVID-19 and the pharmacokinetic interactions encountered related to its treatment.</w:t>
      </w:r>
    </w:p>
    <w:p w14:paraId="671BE9E4" w14:textId="77777777" w:rsidR="00A77B3E" w:rsidRDefault="00A77B3E">
      <w:pPr>
        <w:spacing w:line="360" w:lineRule="auto"/>
        <w:jc w:val="both"/>
      </w:pPr>
    </w:p>
    <w:p w14:paraId="34E8B6A1" w14:textId="77777777" w:rsidR="00A77B3E" w:rsidRDefault="00B80431">
      <w:pPr>
        <w:spacing w:line="360" w:lineRule="auto"/>
        <w:jc w:val="both"/>
      </w:pPr>
      <w:r>
        <w:rPr>
          <w:rFonts w:ascii="Book Antiqua" w:eastAsia="Book Antiqua" w:hAnsi="Book Antiqua" w:cs="Book Antiqua"/>
          <w:b/>
          <w:caps/>
          <w:color w:val="000000"/>
          <w:u w:val="single"/>
        </w:rPr>
        <w:t>CASE PRESENTATION</w:t>
      </w:r>
    </w:p>
    <w:p w14:paraId="5EB3206B" w14:textId="77777777" w:rsidR="00A77B3E" w:rsidRDefault="00B80431">
      <w:pPr>
        <w:spacing w:line="360" w:lineRule="auto"/>
        <w:jc w:val="both"/>
      </w:pPr>
      <w:r>
        <w:rPr>
          <w:rFonts w:ascii="Book Antiqua" w:eastAsia="Book Antiqua" w:hAnsi="Book Antiqua" w:cs="Book Antiqua"/>
          <w:b/>
          <w:i/>
          <w:color w:val="000000"/>
        </w:rPr>
        <w:t>Chief complaints</w:t>
      </w:r>
    </w:p>
    <w:p w14:paraId="18EF9239" w14:textId="77777777" w:rsidR="00A77B3E" w:rsidRDefault="00B80431">
      <w:pPr>
        <w:spacing w:line="360" w:lineRule="auto"/>
        <w:jc w:val="both"/>
      </w:pPr>
      <w:r>
        <w:rPr>
          <w:rFonts w:ascii="Book Antiqua" w:eastAsia="Book Antiqua" w:hAnsi="Book Antiqua" w:cs="Book Antiqua"/>
          <w:color w:val="000000"/>
        </w:rPr>
        <w:t>A 50-year old female kidney transplant recipient presented to the transplant clinic with a progressive dry cough and fever that started three days ago. </w:t>
      </w:r>
    </w:p>
    <w:p w14:paraId="39C95705" w14:textId="77777777" w:rsidR="00A77B3E" w:rsidRDefault="00A77B3E">
      <w:pPr>
        <w:spacing w:line="360" w:lineRule="auto"/>
        <w:jc w:val="both"/>
      </w:pPr>
    </w:p>
    <w:p w14:paraId="7C1C2B23" w14:textId="77777777" w:rsidR="00A77B3E" w:rsidRDefault="00B80431">
      <w:pPr>
        <w:spacing w:line="360" w:lineRule="auto"/>
        <w:jc w:val="both"/>
      </w:pPr>
      <w:r>
        <w:rPr>
          <w:rFonts w:ascii="Book Antiqua" w:eastAsia="Book Antiqua" w:hAnsi="Book Antiqua" w:cs="Book Antiqua"/>
          <w:b/>
          <w:i/>
          <w:color w:val="000000"/>
        </w:rPr>
        <w:t>History of present illness</w:t>
      </w:r>
    </w:p>
    <w:p w14:paraId="5FAFD320" w14:textId="7CDF8503" w:rsidR="00A77B3E" w:rsidRDefault="00B80431">
      <w:pPr>
        <w:spacing w:line="360" w:lineRule="auto"/>
        <w:jc w:val="both"/>
      </w:pPr>
      <w:r>
        <w:rPr>
          <w:rFonts w:ascii="Book Antiqua" w:eastAsia="Book Antiqua" w:hAnsi="Book Antiqua" w:cs="Book Antiqua"/>
          <w:color w:val="000000"/>
        </w:rPr>
        <w:t>She described accidentally being in contact with a symptomatic COVID-19 positive individual 7 d prior to her cough and fever. </w:t>
      </w:r>
    </w:p>
    <w:p w14:paraId="774364BD" w14:textId="77777777" w:rsidR="00A77B3E" w:rsidRDefault="00A77B3E">
      <w:pPr>
        <w:spacing w:line="360" w:lineRule="auto"/>
        <w:jc w:val="both"/>
      </w:pPr>
    </w:p>
    <w:p w14:paraId="6F7C9900" w14:textId="77777777" w:rsidR="00A77B3E" w:rsidRDefault="00B80431">
      <w:pPr>
        <w:spacing w:line="360" w:lineRule="auto"/>
        <w:jc w:val="both"/>
      </w:pPr>
      <w:r>
        <w:rPr>
          <w:rFonts w:ascii="Book Antiqua" w:eastAsia="Book Antiqua" w:hAnsi="Book Antiqua" w:cs="Book Antiqua"/>
          <w:b/>
          <w:i/>
          <w:color w:val="000000"/>
        </w:rPr>
        <w:t>History of past illness</w:t>
      </w:r>
    </w:p>
    <w:p w14:paraId="1A067609" w14:textId="0A46556E" w:rsidR="00A77B3E" w:rsidRDefault="00B80431">
      <w:pPr>
        <w:spacing w:line="360" w:lineRule="auto"/>
        <w:jc w:val="both"/>
      </w:pPr>
      <w:r>
        <w:rPr>
          <w:rFonts w:ascii="Book Antiqua" w:eastAsia="Book Antiqua" w:hAnsi="Book Antiqua" w:cs="Book Antiqua"/>
          <w:color w:val="000000"/>
        </w:rPr>
        <w:t>She had received a standard criteria deceased donor kidney seven years ago with anti-thymocyte globulin induction. Since then her kidney function was stable with maintenance immunosuppressants consisting of tacrolimus (1.5 mg/d), mycophenolate mofetil (720 mg/d), and prednisone (5 mg/d). </w:t>
      </w:r>
    </w:p>
    <w:p w14:paraId="04EAF371" w14:textId="77777777" w:rsidR="00A77B3E" w:rsidRDefault="00A77B3E">
      <w:pPr>
        <w:spacing w:line="360" w:lineRule="auto"/>
        <w:jc w:val="both"/>
      </w:pPr>
    </w:p>
    <w:p w14:paraId="4489E40F" w14:textId="77777777" w:rsidR="00A77B3E" w:rsidRDefault="00B80431">
      <w:pPr>
        <w:spacing w:line="360" w:lineRule="auto"/>
        <w:jc w:val="both"/>
      </w:pPr>
      <w:r>
        <w:rPr>
          <w:rFonts w:ascii="Book Antiqua" w:eastAsia="Book Antiqua" w:hAnsi="Book Antiqua" w:cs="Book Antiqua"/>
          <w:b/>
          <w:i/>
          <w:color w:val="000000"/>
        </w:rPr>
        <w:t>Personal and family history</w:t>
      </w:r>
    </w:p>
    <w:p w14:paraId="78FEDB27" w14:textId="474811DC" w:rsidR="00A77B3E" w:rsidRDefault="00B80431">
      <w:pPr>
        <w:spacing w:line="360" w:lineRule="auto"/>
        <w:jc w:val="both"/>
      </w:pPr>
      <w:r>
        <w:rPr>
          <w:rFonts w:ascii="Book Antiqua" w:eastAsia="Book Antiqua" w:hAnsi="Book Antiqua" w:cs="Book Antiqua"/>
          <w:color w:val="000000"/>
        </w:rPr>
        <w:t>She did not smoke, consume alcohol, or have coronary artery disease. Her only comorbidity was mild hypertension treated with amlodipine (10 mg/d). Her family history was unremarkable. </w:t>
      </w:r>
    </w:p>
    <w:p w14:paraId="642A60DA" w14:textId="77777777" w:rsidR="00A77B3E" w:rsidRDefault="00A77B3E">
      <w:pPr>
        <w:spacing w:line="360" w:lineRule="auto"/>
        <w:jc w:val="both"/>
      </w:pPr>
    </w:p>
    <w:p w14:paraId="48D2646F" w14:textId="77777777" w:rsidR="00A77B3E" w:rsidRDefault="00B80431">
      <w:pPr>
        <w:spacing w:line="360" w:lineRule="auto"/>
        <w:jc w:val="both"/>
      </w:pPr>
      <w:r>
        <w:rPr>
          <w:rFonts w:ascii="Book Antiqua" w:eastAsia="Book Antiqua" w:hAnsi="Book Antiqua" w:cs="Book Antiqua"/>
          <w:b/>
          <w:i/>
          <w:color w:val="000000"/>
        </w:rPr>
        <w:t>Physical examination</w:t>
      </w:r>
    </w:p>
    <w:p w14:paraId="4A63DCFA" w14:textId="2E4F5C8C" w:rsidR="00A77B3E" w:rsidRDefault="00B80431">
      <w:pPr>
        <w:spacing w:line="360" w:lineRule="auto"/>
        <w:jc w:val="both"/>
      </w:pPr>
      <w:r>
        <w:rPr>
          <w:rFonts w:ascii="Book Antiqua" w:eastAsia="Book Antiqua" w:hAnsi="Book Antiqua" w:cs="Book Antiqua"/>
          <w:color w:val="000000"/>
        </w:rPr>
        <w:t>On examination, her temperature was 38</w:t>
      </w:r>
      <w:r w:rsidRPr="00C2729F">
        <w:rPr>
          <w:rFonts w:ascii="Book Antiqua" w:eastAsia="Book Antiqua" w:hAnsi="Book Antiqua" w:cs="Book Antiqua"/>
          <w:color w:val="000000"/>
          <w:vertAlign w:val="superscript"/>
        </w:rPr>
        <w:t>o</w:t>
      </w:r>
      <w:r>
        <w:rPr>
          <w:rFonts w:ascii="Book Antiqua" w:eastAsia="Book Antiqua" w:hAnsi="Book Antiqua" w:cs="Book Antiqua"/>
          <w:color w:val="000000"/>
        </w:rPr>
        <w:t>C, heart rate 100</w:t>
      </w:r>
      <w:r w:rsidR="00DB3614">
        <w:rPr>
          <w:rFonts w:ascii="Book Antiqua" w:eastAsia="Book Antiqua" w:hAnsi="Book Antiqua" w:cs="Book Antiqua"/>
          <w:color w:val="000000"/>
        </w:rPr>
        <w:t xml:space="preserve"> bp</w:t>
      </w:r>
      <w:r>
        <w:rPr>
          <w:rFonts w:ascii="Book Antiqua" w:eastAsia="Book Antiqua" w:hAnsi="Book Antiqua" w:cs="Book Antiqua"/>
          <w:color w:val="000000"/>
        </w:rPr>
        <w:t>m, respiratory rate 14</w:t>
      </w:r>
      <w:r w:rsidR="00DB3614">
        <w:rPr>
          <w:rFonts w:ascii="Book Antiqua" w:eastAsia="Book Antiqua" w:hAnsi="Book Antiqua" w:cs="Book Antiqua"/>
          <w:color w:val="000000"/>
        </w:rPr>
        <w:t xml:space="preserve"> breaths</w:t>
      </w:r>
      <w:r>
        <w:rPr>
          <w:rFonts w:ascii="Book Antiqua" w:eastAsia="Book Antiqua" w:hAnsi="Book Antiqua" w:cs="Book Antiqua"/>
          <w:color w:val="000000"/>
        </w:rPr>
        <w:t>/min, blood pressure 120/60 mmHg, and oxygen saturation 96%. Auscultation of the chest revealed bilateral fine crackles at the base of the lungs. </w:t>
      </w:r>
    </w:p>
    <w:p w14:paraId="742136D0" w14:textId="77777777" w:rsidR="00A77B3E" w:rsidRDefault="00A77B3E">
      <w:pPr>
        <w:spacing w:line="360" w:lineRule="auto"/>
        <w:jc w:val="both"/>
      </w:pPr>
    </w:p>
    <w:p w14:paraId="3940BB28" w14:textId="77777777" w:rsidR="00A77B3E" w:rsidRDefault="00B80431">
      <w:pPr>
        <w:spacing w:line="360" w:lineRule="auto"/>
        <w:jc w:val="both"/>
      </w:pPr>
      <w:r>
        <w:rPr>
          <w:rFonts w:ascii="Book Antiqua" w:eastAsia="Book Antiqua" w:hAnsi="Book Antiqua" w:cs="Book Antiqua"/>
          <w:b/>
          <w:i/>
          <w:color w:val="000000"/>
        </w:rPr>
        <w:t>Laboratory examinations</w:t>
      </w:r>
    </w:p>
    <w:p w14:paraId="0358AF19" w14:textId="13083D00" w:rsidR="00A77B3E" w:rsidRDefault="00B80431">
      <w:pPr>
        <w:spacing w:line="360" w:lineRule="auto"/>
        <w:jc w:val="both"/>
      </w:pPr>
      <w:r>
        <w:rPr>
          <w:rFonts w:ascii="Book Antiqua" w:eastAsia="Book Antiqua" w:hAnsi="Book Antiqua" w:cs="Book Antiqua"/>
          <w:color w:val="000000"/>
        </w:rPr>
        <w:t>Her graft function was stable with a minimum elevation from her baseline creatinine of 0.9 to 1.1 mg/dL. The glomerular filtration rate was 58.5 mL/min. Complete blood count showed increased white blood cells (20800/</w:t>
      </w:r>
      <w:proofErr w:type="spellStart"/>
      <w:r>
        <w:rPr>
          <w:rFonts w:ascii="Book Antiqua" w:eastAsia="Book Antiqua" w:hAnsi="Book Antiqua" w:cs="Book Antiqua"/>
          <w:color w:val="000000"/>
        </w:rPr>
        <w:t>μ</w:t>
      </w:r>
      <w:r w:rsidR="00B10C9C">
        <w:rPr>
          <w:rFonts w:ascii="Book Antiqua" w:eastAsia="Book Antiqua" w:hAnsi="Book Antiqua" w:cs="Book Antiqua"/>
          <w:color w:val="000000"/>
        </w:rPr>
        <w:t>L</w:t>
      </w:r>
      <w:proofErr w:type="spellEnd"/>
      <w:r>
        <w:rPr>
          <w:rFonts w:ascii="Book Antiqua" w:eastAsia="Book Antiqua" w:hAnsi="Book Antiqua" w:cs="Book Antiqua"/>
          <w:color w:val="000000"/>
        </w:rPr>
        <w:t>) with a total lymphocyte count of 1210/</w:t>
      </w:r>
      <w:proofErr w:type="spellStart"/>
      <w:r>
        <w:rPr>
          <w:rFonts w:ascii="Book Antiqua" w:eastAsia="Book Antiqua" w:hAnsi="Book Antiqua" w:cs="Book Antiqua"/>
          <w:color w:val="000000"/>
        </w:rPr>
        <w:t>μ</w:t>
      </w:r>
      <w:r w:rsidR="00B10C9C">
        <w:rPr>
          <w:rFonts w:ascii="Book Antiqua" w:eastAsia="Book Antiqua" w:hAnsi="Book Antiqua" w:cs="Book Antiqua"/>
          <w:color w:val="000000"/>
        </w:rPr>
        <w:t>L</w:t>
      </w:r>
      <w:proofErr w:type="spellEnd"/>
      <w:r>
        <w:rPr>
          <w:rFonts w:ascii="Book Antiqua" w:eastAsia="Book Antiqua" w:hAnsi="Book Antiqua" w:cs="Book Antiqua"/>
          <w:color w:val="000000"/>
        </w:rPr>
        <w:t xml:space="preserve">. The hemoglobin and platelet counts were </w:t>
      </w:r>
      <w:r w:rsidRPr="00555E7F">
        <w:rPr>
          <w:rFonts w:ascii="Book Antiqua" w:eastAsia="Book Antiqua" w:hAnsi="Book Antiqua" w:cs="Book Antiqua"/>
          <w:color w:val="000000"/>
        </w:rPr>
        <w:t>10.6 g/</w:t>
      </w:r>
      <w:proofErr w:type="spellStart"/>
      <w:r w:rsidRPr="00555E7F">
        <w:rPr>
          <w:rFonts w:ascii="Book Antiqua" w:eastAsia="Book Antiqua" w:hAnsi="Book Antiqua" w:cs="Book Antiqua"/>
          <w:color w:val="000000"/>
        </w:rPr>
        <w:t>dL</w:t>
      </w:r>
      <w:proofErr w:type="spellEnd"/>
      <w:r>
        <w:rPr>
          <w:rFonts w:ascii="Book Antiqua" w:eastAsia="Book Antiqua" w:hAnsi="Book Antiqua" w:cs="Book Antiqua"/>
          <w:color w:val="000000"/>
        </w:rPr>
        <w:t xml:space="preserve"> and 177.000/</w:t>
      </w:r>
      <w:proofErr w:type="spellStart"/>
      <w:r>
        <w:rPr>
          <w:rFonts w:ascii="Book Antiqua" w:eastAsia="Book Antiqua" w:hAnsi="Book Antiqua" w:cs="Book Antiqua"/>
          <w:color w:val="000000"/>
        </w:rPr>
        <w:t>μ</w:t>
      </w:r>
      <w:r w:rsidR="00B10C9C">
        <w:rPr>
          <w:rFonts w:ascii="Book Antiqua" w:eastAsia="Book Antiqua" w:hAnsi="Book Antiqua" w:cs="Book Antiqua"/>
          <w:color w:val="000000"/>
        </w:rPr>
        <w:t>L</w:t>
      </w:r>
      <w:proofErr w:type="spellEnd"/>
      <w:r w:rsidR="00DB3614">
        <w:rPr>
          <w:rFonts w:ascii="Book Antiqua" w:eastAsia="Book Antiqua" w:hAnsi="Book Antiqua" w:cs="Book Antiqua"/>
          <w:color w:val="000000"/>
        </w:rPr>
        <w:t>,</w:t>
      </w:r>
      <w:r>
        <w:rPr>
          <w:rFonts w:ascii="Book Antiqua" w:eastAsia="Book Antiqua" w:hAnsi="Book Antiqua" w:cs="Book Antiqua"/>
          <w:color w:val="000000"/>
        </w:rPr>
        <w:t xml:space="preserve"> respectively. The re</w:t>
      </w:r>
      <w:r w:rsidR="00DB3614">
        <w:rPr>
          <w:rFonts w:ascii="Book Antiqua" w:eastAsia="Book Antiqua" w:hAnsi="Book Antiqua" w:cs="Book Antiqua"/>
          <w:color w:val="000000"/>
        </w:rPr>
        <w:t>maining</w:t>
      </w:r>
      <w:r>
        <w:rPr>
          <w:rFonts w:ascii="Book Antiqua" w:eastAsia="Book Antiqua" w:hAnsi="Book Antiqua" w:cs="Book Antiqua"/>
          <w:color w:val="000000"/>
        </w:rPr>
        <w:t xml:space="preserve"> biochemical parameters were within normal ranges. A high level of C-reactive protein (CRP) was noted (276 mg/L). </w:t>
      </w:r>
      <w:r w:rsidR="00DB3614">
        <w:rPr>
          <w:rFonts w:ascii="Book Antiqua" w:eastAsia="Book Antiqua" w:hAnsi="Book Antiqua" w:cs="Book Antiqua"/>
          <w:color w:val="000000"/>
        </w:rPr>
        <w:t>C</w:t>
      </w:r>
      <w:r>
        <w:rPr>
          <w:rFonts w:ascii="Book Antiqua" w:eastAsia="Book Antiqua" w:hAnsi="Book Antiqua" w:cs="Book Antiqua"/>
          <w:color w:val="000000"/>
        </w:rPr>
        <w:t xml:space="preserve">omplete urine analysis was unremarkable. Lastly, her trough tacrolimus level was 5.5 </w:t>
      </w:r>
      <w:proofErr w:type="spellStart"/>
      <w:r>
        <w:rPr>
          <w:rFonts w:ascii="Book Antiqua" w:eastAsia="Book Antiqua" w:hAnsi="Book Antiqua" w:cs="Book Antiqua"/>
          <w:color w:val="000000"/>
        </w:rPr>
        <w:t>ng</w:t>
      </w:r>
      <w:proofErr w:type="spellEnd"/>
      <w:r>
        <w:rPr>
          <w:rFonts w:ascii="Book Antiqua" w:eastAsia="Book Antiqua" w:hAnsi="Book Antiqua" w:cs="Book Antiqua"/>
          <w:color w:val="000000"/>
        </w:rPr>
        <w:t>/</w:t>
      </w:r>
      <w:proofErr w:type="spellStart"/>
      <w:r>
        <w:rPr>
          <w:rFonts w:ascii="Book Antiqua" w:eastAsia="Book Antiqua" w:hAnsi="Book Antiqua" w:cs="Book Antiqua"/>
          <w:color w:val="000000"/>
        </w:rPr>
        <w:t>mL.</w:t>
      </w:r>
      <w:proofErr w:type="spellEnd"/>
    </w:p>
    <w:p w14:paraId="7C420315" w14:textId="77777777" w:rsidR="00A77B3E" w:rsidRDefault="00A77B3E">
      <w:pPr>
        <w:spacing w:line="360" w:lineRule="auto"/>
        <w:jc w:val="both"/>
      </w:pPr>
    </w:p>
    <w:p w14:paraId="0B7D34E4" w14:textId="77777777" w:rsidR="00A77B3E" w:rsidRDefault="00B80431">
      <w:pPr>
        <w:spacing w:line="360" w:lineRule="auto"/>
        <w:jc w:val="both"/>
      </w:pPr>
      <w:r>
        <w:rPr>
          <w:rFonts w:ascii="Book Antiqua" w:eastAsia="Book Antiqua" w:hAnsi="Book Antiqua" w:cs="Book Antiqua"/>
          <w:b/>
          <w:i/>
          <w:color w:val="000000"/>
        </w:rPr>
        <w:t>Imaging examinations</w:t>
      </w:r>
    </w:p>
    <w:p w14:paraId="5D62D6D5" w14:textId="43EEF7F0" w:rsidR="00A77B3E" w:rsidRDefault="00DB3614">
      <w:pPr>
        <w:spacing w:line="360" w:lineRule="auto"/>
        <w:jc w:val="both"/>
      </w:pPr>
      <w:r>
        <w:rPr>
          <w:rFonts w:ascii="Book Antiqua" w:eastAsia="Book Antiqua" w:hAnsi="Book Antiqua" w:cs="Book Antiqua"/>
          <w:color w:val="000000"/>
          <w:szCs w:val="21"/>
        </w:rPr>
        <w:t>C</w:t>
      </w:r>
      <w:r w:rsidR="00B80431">
        <w:rPr>
          <w:rFonts w:ascii="Book Antiqua" w:eastAsia="Book Antiqua" w:hAnsi="Book Antiqua" w:cs="Book Antiqua"/>
          <w:color w:val="000000"/>
          <w:szCs w:val="21"/>
        </w:rPr>
        <w:t xml:space="preserve">hest </w:t>
      </w:r>
      <w:r w:rsidR="00EC7D92">
        <w:rPr>
          <w:rFonts w:ascii="Book Antiqua" w:eastAsia="Book Antiqua" w:hAnsi="Book Antiqua" w:cs="Book Antiqua"/>
          <w:color w:val="000000"/>
          <w:szCs w:val="21"/>
        </w:rPr>
        <w:t>X</w:t>
      </w:r>
      <w:r w:rsidR="00B80431">
        <w:rPr>
          <w:rFonts w:ascii="Book Antiqua" w:eastAsia="Book Antiqua" w:hAnsi="Book Antiqua" w:cs="Book Antiqua"/>
          <w:color w:val="000000"/>
          <w:szCs w:val="21"/>
        </w:rPr>
        <w:t xml:space="preserve">-ray was normal. Although the patient did not give a history of traveling abroad or contacting COVID-19 positive individuals, a chest </w:t>
      </w:r>
      <w:r>
        <w:rPr>
          <w:rFonts w:ascii="Book Antiqua" w:eastAsia="Book Antiqua" w:hAnsi="Book Antiqua" w:cs="Book Antiqua"/>
          <w:color w:val="000000"/>
          <w:szCs w:val="21"/>
        </w:rPr>
        <w:t xml:space="preserve">computed </w:t>
      </w:r>
      <w:r w:rsidR="00B80431">
        <w:rPr>
          <w:rFonts w:ascii="Book Antiqua" w:eastAsia="Book Antiqua" w:hAnsi="Book Antiqua" w:cs="Book Antiqua"/>
          <w:color w:val="000000"/>
          <w:szCs w:val="21"/>
        </w:rPr>
        <w:t xml:space="preserve">tomography </w:t>
      </w:r>
      <w:r>
        <w:rPr>
          <w:rFonts w:ascii="Book Antiqua" w:eastAsia="Book Antiqua" w:hAnsi="Book Antiqua" w:cs="Book Antiqua"/>
          <w:color w:val="000000"/>
          <w:szCs w:val="21"/>
        </w:rPr>
        <w:t xml:space="preserve">(CT) scan </w:t>
      </w:r>
      <w:r w:rsidR="00B80431">
        <w:rPr>
          <w:rFonts w:ascii="Book Antiqua" w:eastAsia="Book Antiqua" w:hAnsi="Book Antiqua" w:cs="Book Antiqua"/>
          <w:color w:val="000000"/>
          <w:szCs w:val="21"/>
        </w:rPr>
        <w:t>was obtained. T</w:t>
      </w:r>
      <w:r>
        <w:rPr>
          <w:rFonts w:ascii="Book Antiqua" w:eastAsia="Book Antiqua" w:hAnsi="Book Antiqua" w:cs="Book Antiqua"/>
          <w:color w:val="000000"/>
          <w:szCs w:val="21"/>
        </w:rPr>
        <w:t>he scan</w:t>
      </w:r>
      <w:r w:rsidR="00B80431">
        <w:rPr>
          <w:rFonts w:ascii="Book Antiqua" w:eastAsia="Book Antiqua" w:hAnsi="Book Antiqua" w:cs="Book Antiqua"/>
          <w:color w:val="000000"/>
          <w:szCs w:val="21"/>
        </w:rPr>
        <w:t xml:space="preserve"> revealed consolidation areas with air bronchograms in the left lower lobe with pneumonic infiltrations (Figure 1). </w:t>
      </w:r>
      <w:r>
        <w:rPr>
          <w:rFonts w:ascii="Book Antiqua" w:eastAsia="Book Antiqua" w:hAnsi="Book Antiqua" w:cs="Book Antiqua"/>
          <w:color w:val="000000"/>
          <w:szCs w:val="21"/>
        </w:rPr>
        <w:t>A n</w:t>
      </w:r>
      <w:r w:rsidR="00B80431">
        <w:rPr>
          <w:rFonts w:ascii="Book Antiqua" w:eastAsia="Book Antiqua" w:hAnsi="Book Antiqua" w:cs="Book Antiqua"/>
          <w:color w:val="000000"/>
          <w:szCs w:val="21"/>
        </w:rPr>
        <w:t xml:space="preserve">asopharyngeal swab to test </w:t>
      </w:r>
      <w:r>
        <w:rPr>
          <w:rFonts w:ascii="Book Antiqua" w:eastAsia="Book Antiqua" w:hAnsi="Book Antiqua" w:cs="Book Antiqua"/>
          <w:color w:val="000000"/>
          <w:szCs w:val="21"/>
        </w:rPr>
        <w:t xml:space="preserve">for </w:t>
      </w:r>
      <w:r w:rsidR="00B80431">
        <w:rPr>
          <w:rFonts w:ascii="Book Antiqua" w:eastAsia="Book Antiqua" w:hAnsi="Book Antiqua" w:cs="Book Antiqua"/>
          <w:color w:val="000000"/>
          <w:szCs w:val="21"/>
        </w:rPr>
        <w:t xml:space="preserve">COVID-19, influenza A/B was </w:t>
      </w:r>
      <w:r>
        <w:rPr>
          <w:rFonts w:ascii="Book Antiqua" w:eastAsia="Book Antiqua" w:hAnsi="Book Antiqua" w:cs="Book Antiqua"/>
          <w:color w:val="000000"/>
          <w:szCs w:val="21"/>
        </w:rPr>
        <w:t>obtained</w:t>
      </w:r>
      <w:r w:rsidR="00B80431">
        <w:rPr>
          <w:rFonts w:ascii="Book Antiqua" w:eastAsia="Book Antiqua" w:hAnsi="Book Antiqua" w:cs="Book Antiqua"/>
          <w:color w:val="000000"/>
          <w:szCs w:val="21"/>
        </w:rPr>
        <w:t xml:space="preserve">. Additionally, blood samples for cytomegalovirus (CMV) and BK virus serology were sent to </w:t>
      </w:r>
      <w:r w:rsidR="002663A6">
        <w:rPr>
          <w:rFonts w:ascii="Book Antiqua" w:eastAsia="Book Antiqua" w:hAnsi="Book Antiqua" w:cs="Book Antiqua"/>
          <w:color w:val="000000"/>
          <w:szCs w:val="21"/>
        </w:rPr>
        <w:t xml:space="preserve">the </w:t>
      </w:r>
      <w:r w:rsidR="00B80431">
        <w:rPr>
          <w:rFonts w:ascii="Book Antiqua" w:eastAsia="Book Antiqua" w:hAnsi="Book Antiqua" w:cs="Book Antiqua"/>
          <w:color w:val="000000"/>
          <w:szCs w:val="21"/>
        </w:rPr>
        <w:t xml:space="preserve">microbiology </w:t>
      </w:r>
      <w:r w:rsidR="002663A6">
        <w:rPr>
          <w:rFonts w:ascii="Book Antiqua" w:eastAsia="Book Antiqua" w:hAnsi="Book Antiqua" w:cs="Book Antiqua"/>
          <w:color w:val="000000"/>
          <w:szCs w:val="21"/>
        </w:rPr>
        <w:t xml:space="preserve">department </w:t>
      </w:r>
      <w:r w:rsidR="00B80431">
        <w:rPr>
          <w:rFonts w:ascii="Book Antiqua" w:eastAsia="Book Antiqua" w:hAnsi="Book Antiqua" w:cs="Book Antiqua"/>
          <w:color w:val="000000"/>
          <w:szCs w:val="21"/>
        </w:rPr>
        <w:t>to diagnose opportunistic viral infections</w:t>
      </w:r>
      <w:r w:rsidR="00EC7D92">
        <w:rPr>
          <w:rFonts w:ascii="Book Antiqua" w:eastAsia="Book Antiqua" w:hAnsi="Book Antiqua" w:cs="Book Antiqua"/>
          <w:color w:val="000000"/>
          <w:szCs w:val="21"/>
        </w:rPr>
        <w:t>.</w:t>
      </w:r>
    </w:p>
    <w:p w14:paraId="33D89893" w14:textId="77777777" w:rsidR="00A77B3E" w:rsidRDefault="00A77B3E">
      <w:pPr>
        <w:spacing w:line="360" w:lineRule="auto"/>
        <w:jc w:val="both"/>
      </w:pPr>
    </w:p>
    <w:p w14:paraId="17620829" w14:textId="77777777" w:rsidR="00A77B3E" w:rsidRDefault="00B80431">
      <w:pPr>
        <w:spacing w:line="360" w:lineRule="auto"/>
        <w:jc w:val="both"/>
      </w:pPr>
      <w:r>
        <w:rPr>
          <w:rFonts w:ascii="Book Antiqua" w:eastAsia="Book Antiqua" w:hAnsi="Book Antiqua" w:cs="Book Antiqua"/>
          <w:b/>
          <w:caps/>
          <w:color w:val="000000"/>
          <w:u w:val="single"/>
        </w:rPr>
        <w:t>FINAL DIAGNOSIS</w:t>
      </w:r>
    </w:p>
    <w:p w14:paraId="26DFCEAF" w14:textId="0024CCD4" w:rsidR="00A77B3E" w:rsidRDefault="00B80431">
      <w:pPr>
        <w:spacing w:line="360" w:lineRule="auto"/>
        <w:jc w:val="both"/>
      </w:pPr>
      <w:r>
        <w:rPr>
          <w:rFonts w:ascii="Book Antiqua" w:eastAsia="Book Antiqua" w:hAnsi="Book Antiqua" w:cs="Book Antiqua"/>
          <w:color w:val="000000"/>
        </w:rPr>
        <w:t xml:space="preserve">With </w:t>
      </w:r>
      <w:r w:rsidR="00524B32">
        <w:rPr>
          <w:rFonts w:ascii="Book Antiqua" w:eastAsia="Book Antiqua" w:hAnsi="Book Antiqua" w:cs="Book Antiqua"/>
          <w:color w:val="000000"/>
        </w:rPr>
        <w:t xml:space="preserve">an </w:t>
      </w:r>
      <w:r>
        <w:rPr>
          <w:rFonts w:ascii="Book Antiqua" w:eastAsia="Book Antiqua" w:hAnsi="Book Antiqua" w:cs="Book Antiqua"/>
          <w:color w:val="000000"/>
        </w:rPr>
        <w:t xml:space="preserve">infectious disease specialist`s recommendations and considering the chest CT images showing consolidation typical </w:t>
      </w:r>
      <w:r w:rsidR="00BF553F">
        <w:rPr>
          <w:rFonts w:ascii="Book Antiqua" w:eastAsia="Book Antiqua" w:hAnsi="Book Antiqua" w:cs="Book Antiqua"/>
          <w:color w:val="000000"/>
        </w:rPr>
        <w:t>of</w:t>
      </w:r>
      <w:r>
        <w:rPr>
          <w:rFonts w:ascii="Book Antiqua" w:eastAsia="Book Antiqua" w:hAnsi="Book Antiqua" w:cs="Book Antiqua"/>
          <w:color w:val="000000"/>
        </w:rPr>
        <w:t xml:space="preserve"> the disease, anti-bacterial and COVID-19 treatments were initiated. This emp</w:t>
      </w:r>
      <w:r w:rsidR="00BF553F">
        <w:rPr>
          <w:rFonts w:ascii="Book Antiqua" w:eastAsia="Book Antiqua" w:hAnsi="Book Antiqua" w:cs="Book Antiqua"/>
          <w:color w:val="000000"/>
        </w:rPr>
        <w:t>i</w:t>
      </w:r>
      <w:r>
        <w:rPr>
          <w:rFonts w:ascii="Book Antiqua" w:eastAsia="Book Antiqua" w:hAnsi="Book Antiqua" w:cs="Book Antiqua"/>
          <w:color w:val="000000"/>
        </w:rPr>
        <w:t>rical treatment consisted of piperacillin-tazobactam (4.5 g three times a day), azithromycin (500 mg load, then 250 mg/d), chloroquine (800 mg/d load, then 400 mg/d), and oseltamivir (75 mg/d). No modification of the existing maintenance immunosuppressive treatment was considered at this time (antiproliferative, calcineurin inhibitor, steroid).</w:t>
      </w:r>
    </w:p>
    <w:p w14:paraId="7308D57B" w14:textId="77777777" w:rsidR="00A77B3E" w:rsidRDefault="00A77B3E">
      <w:pPr>
        <w:spacing w:line="360" w:lineRule="auto"/>
        <w:jc w:val="both"/>
      </w:pPr>
    </w:p>
    <w:p w14:paraId="34F2BB95" w14:textId="77777777" w:rsidR="00A77B3E" w:rsidRDefault="00B80431">
      <w:pPr>
        <w:spacing w:line="360" w:lineRule="auto"/>
        <w:jc w:val="both"/>
      </w:pPr>
      <w:r>
        <w:rPr>
          <w:rFonts w:ascii="Book Antiqua" w:eastAsia="Book Antiqua" w:hAnsi="Book Antiqua" w:cs="Book Antiqua"/>
          <w:b/>
          <w:caps/>
          <w:color w:val="000000"/>
          <w:u w:val="single"/>
        </w:rPr>
        <w:t>TREATMENT</w:t>
      </w:r>
    </w:p>
    <w:p w14:paraId="5F130C2F" w14:textId="0CF9F0B1" w:rsidR="00A77B3E" w:rsidRDefault="00B80431">
      <w:pPr>
        <w:spacing w:line="360" w:lineRule="auto"/>
        <w:jc w:val="both"/>
      </w:pPr>
      <w:r>
        <w:rPr>
          <w:rFonts w:ascii="Book Antiqua" w:eastAsia="Book Antiqua" w:hAnsi="Book Antiqua" w:cs="Book Antiqua"/>
          <w:color w:val="000000"/>
        </w:rPr>
        <w:t xml:space="preserve">Upon admission to hospital, intravenous hydration was initiated to support oral hydration and maintain daily urinary output.  On the second day of admission creatinine </w:t>
      </w:r>
      <w:r w:rsidR="00BF553F">
        <w:rPr>
          <w:rFonts w:ascii="Book Antiqua" w:eastAsia="Book Antiqua" w:hAnsi="Book Antiqua" w:cs="Book Antiqua"/>
          <w:color w:val="000000"/>
        </w:rPr>
        <w:t>continued to</w:t>
      </w:r>
      <w:r>
        <w:rPr>
          <w:rFonts w:ascii="Book Antiqua" w:eastAsia="Book Antiqua" w:hAnsi="Book Antiqua" w:cs="Book Antiqua"/>
          <w:color w:val="000000"/>
        </w:rPr>
        <w:t xml:space="preserve"> ris</w:t>
      </w:r>
      <w:r w:rsidR="00BF553F">
        <w:rPr>
          <w:rFonts w:ascii="Book Antiqua" w:eastAsia="Book Antiqua" w:hAnsi="Book Antiqua" w:cs="Book Antiqua"/>
          <w:color w:val="000000"/>
        </w:rPr>
        <w:t>e</w:t>
      </w:r>
      <w:r>
        <w:rPr>
          <w:rFonts w:ascii="Book Antiqua" w:eastAsia="Book Antiqua" w:hAnsi="Book Antiqua" w:cs="Book Antiqua"/>
          <w:color w:val="000000"/>
        </w:rPr>
        <w:t xml:space="preserve"> to 1.2 mg/dL. </w:t>
      </w:r>
      <w:r w:rsidR="00BF553F">
        <w:rPr>
          <w:rFonts w:ascii="Book Antiqua" w:eastAsia="Book Antiqua" w:hAnsi="Book Antiqua" w:cs="Book Antiqua"/>
          <w:color w:val="000000"/>
        </w:rPr>
        <w:t>Ultrasound of the a</w:t>
      </w:r>
      <w:r>
        <w:rPr>
          <w:rFonts w:ascii="Book Antiqua" w:eastAsia="Book Antiqua" w:hAnsi="Book Antiqua" w:cs="Book Antiqua"/>
          <w:color w:val="000000"/>
        </w:rPr>
        <w:t>bdom</w:t>
      </w:r>
      <w:r w:rsidR="00BF553F">
        <w:rPr>
          <w:rFonts w:ascii="Book Antiqua" w:eastAsia="Book Antiqua" w:hAnsi="Book Antiqua" w:cs="Book Antiqua"/>
          <w:color w:val="000000"/>
        </w:rPr>
        <w:t>en</w:t>
      </w:r>
      <w:r>
        <w:rPr>
          <w:rFonts w:ascii="Book Antiqua" w:eastAsia="Book Antiqua" w:hAnsi="Book Antiqua" w:cs="Book Antiqua"/>
          <w:color w:val="000000"/>
        </w:rPr>
        <w:t xml:space="preserve"> and transplant revealed no pathology. The COVID-19, influenza, CMV, and BK virus results were negative. Oseltamivir treatment was ceased and although </w:t>
      </w:r>
      <w:r w:rsidR="00BF553F">
        <w:rPr>
          <w:rFonts w:ascii="Book Antiqua" w:eastAsia="Book Antiqua" w:hAnsi="Book Antiqua" w:cs="Book Antiqua"/>
          <w:color w:val="000000"/>
        </w:rPr>
        <w:t xml:space="preserve">the </w:t>
      </w:r>
      <w:r w:rsidR="00EC7D92">
        <w:rPr>
          <w:rFonts w:ascii="Book Antiqua" w:eastAsia="Book Antiqua" w:hAnsi="Book Antiqua" w:cs="Book Antiqua"/>
          <w:color w:val="000000"/>
        </w:rPr>
        <w:t>COVID-</w:t>
      </w:r>
      <w:r>
        <w:rPr>
          <w:rFonts w:ascii="Book Antiqua" w:eastAsia="Book Antiqua" w:hAnsi="Book Antiqua" w:cs="Book Antiqua"/>
          <w:color w:val="000000"/>
        </w:rPr>
        <w:t xml:space="preserve">19 </w:t>
      </w:r>
      <w:r w:rsidR="00EC7D92" w:rsidRPr="00EC7D92">
        <w:rPr>
          <w:rFonts w:ascii="Book Antiqua" w:eastAsia="Book Antiqua" w:hAnsi="Book Antiqua" w:cs="Book Antiqua"/>
          <w:color w:val="000000"/>
        </w:rPr>
        <w:t xml:space="preserve">polymerase chain reaction </w:t>
      </w:r>
      <w:r w:rsidR="00EC7D92">
        <w:rPr>
          <w:rFonts w:ascii="Book Antiqua" w:eastAsia="Book Antiqua" w:hAnsi="Book Antiqua" w:cs="Book Antiqua"/>
          <w:color w:val="000000"/>
        </w:rPr>
        <w:t>(</w:t>
      </w:r>
      <w:r>
        <w:rPr>
          <w:rFonts w:ascii="Book Antiqua" w:eastAsia="Book Antiqua" w:hAnsi="Book Antiqua" w:cs="Book Antiqua"/>
          <w:color w:val="000000"/>
        </w:rPr>
        <w:t>PCR</w:t>
      </w:r>
      <w:r w:rsidR="00EC7D92">
        <w:rPr>
          <w:rFonts w:ascii="Book Antiqua" w:eastAsia="Book Antiqua" w:hAnsi="Book Antiqua" w:cs="Book Antiqua"/>
          <w:color w:val="000000"/>
        </w:rPr>
        <w:t>)</w:t>
      </w:r>
      <w:r>
        <w:rPr>
          <w:rFonts w:ascii="Book Antiqua" w:eastAsia="Book Antiqua" w:hAnsi="Book Antiqua" w:cs="Book Antiqua"/>
          <w:color w:val="000000"/>
        </w:rPr>
        <w:t xml:space="preserve"> test was negative, chloroquine 400 mg/d and azithromycin 250 mg/d were continued due to the suspicious findings on chest </w:t>
      </w:r>
      <w:r w:rsidR="00BF553F">
        <w:rPr>
          <w:rFonts w:ascii="Book Antiqua" w:eastAsia="Book Antiqua" w:hAnsi="Book Antiqua" w:cs="Book Antiqua"/>
          <w:color w:val="000000"/>
        </w:rPr>
        <w:t>CT</w:t>
      </w:r>
      <w:r>
        <w:rPr>
          <w:rFonts w:ascii="Book Antiqua" w:eastAsia="Book Antiqua" w:hAnsi="Book Antiqua" w:cs="Book Antiqua"/>
          <w:color w:val="000000"/>
        </w:rPr>
        <w:t xml:space="preserve"> and the </w:t>
      </w:r>
      <w:r w:rsidR="00BF553F">
        <w:rPr>
          <w:rFonts w:ascii="Book Antiqua" w:eastAsia="Book Antiqua" w:hAnsi="Book Antiqua" w:cs="Book Antiqua"/>
          <w:color w:val="000000"/>
        </w:rPr>
        <w:t xml:space="preserve">patient’s </w:t>
      </w:r>
      <w:r>
        <w:rPr>
          <w:rFonts w:ascii="Book Antiqua" w:eastAsia="Book Antiqua" w:hAnsi="Book Antiqua" w:cs="Book Antiqua"/>
          <w:color w:val="000000"/>
        </w:rPr>
        <w:t>risk group. To treat possible bacterial pneumonia</w:t>
      </w:r>
      <w:r w:rsidR="00BF553F">
        <w:rPr>
          <w:rFonts w:ascii="Book Antiqua" w:eastAsia="Book Antiqua" w:hAnsi="Book Antiqua" w:cs="Book Antiqua"/>
          <w:color w:val="000000"/>
        </w:rPr>
        <w:t>,</w:t>
      </w:r>
      <w:r>
        <w:rPr>
          <w:rFonts w:ascii="Book Antiqua" w:eastAsia="Book Antiqua" w:hAnsi="Book Antiqua" w:cs="Book Antiqua"/>
          <w:color w:val="000000"/>
        </w:rPr>
        <w:t xml:space="preserve"> piperacillin-tazobactam (4.5 g three times a day) administration was continued for </w:t>
      </w:r>
      <w:r w:rsidR="00BF553F">
        <w:rPr>
          <w:rFonts w:ascii="Book Antiqua" w:eastAsia="Book Antiqua" w:hAnsi="Book Antiqua" w:cs="Book Antiqua"/>
          <w:color w:val="000000"/>
        </w:rPr>
        <w:t xml:space="preserve">a further </w:t>
      </w:r>
      <w:r>
        <w:rPr>
          <w:rFonts w:ascii="Book Antiqua" w:eastAsia="Book Antiqua" w:hAnsi="Book Antiqua" w:cs="Book Antiqua"/>
          <w:color w:val="000000"/>
        </w:rPr>
        <w:t>ten days.</w:t>
      </w:r>
    </w:p>
    <w:p w14:paraId="78C744BB" w14:textId="77777777" w:rsidR="00A77B3E" w:rsidRDefault="00A77B3E">
      <w:pPr>
        <w:spacing w:line="360" w:lineRule="auto"/>
        <w:jc w:val="both"/>
      </w:pPr>
    </w:p>
    <w:p w14:paraId="0FA4BC16" w14:textId="77777777" w:rsidR="00A77B3E" w:rsidRDefault="00B80431">
      <w:pPr>
        <w:spacing w:line="360" w:lineRule="auto"/>
        <w:jc w:val="both"/>
      </w:pPr>
      <w:r>
        <w:rPr>
          <w:rFonts w:ascii="Book Antiqua" w:eastAsia="Book Antiqua" w:hAnsi="Book Antiqua" w:cs="Book Antiqua"/>
          <w:b/>
          <w:caps/>
          <w:color w:val="000000"/>
          <w:u w:val="single"/>
        </w:rPr>
        <w:t>OUTCOME AND FOLLOW-UP</w:t>
      </w:r>
    </w:p>
    <w:p w14:paraId="3DD05F19" w14:textId="0B84D551" w:rsidR="00A77B3E" w:rsidRDefault="00B80431">
      <w:pPr>
        <w:spacing w:line="360" w:lineRule="auto"/>
        <w:jc w:val="both"/>
      </w:pPr>
      <w:r>
        <w:rPr>
          <w:rFonts w:ascii="Book Antiqua" w:eastAsia="Book Antiqua" w:hAnsi="Book Antiqua" w:cs="Book Antiqua"/>
          <w:color w:val="000000"/>
        </w:rPr>
        <w:t xml:space="preserve">The creatinine level </w:t>
      </w:r>
      <w:r w:rsidR="00333EE4">
        <w:rPr>
          <w:rFonts w:ascii="Book Antiqua" w:eastAsia="Book Antiqua" w:hAnsi="Book Antiqua" w:cs="Book Antiqua"/>
          <w:color w:val="000000"/>
        </w:rPr>
        <w:t>continued to increase</w:t>
      </w:r>
      <w:r>
        <w:rPr>
          <w:rFonts w:ascii="Book Antiqua" w:eastAsia="Book Antiqua" w:hAnsi="Book Antiqua" w:cs="Book Antiqua"/>
          <w:color w:val="000000"/>
        </w:rPr>
        <w:t xml:space="preserve"> on the 6</w:t>
      </w:r>
      <w:r w:rsidRPr="00555E7F">
        <w:rPr>
          <w:rFonts w:ascii="Book Antiqua" w:eastAsia="Book Antiqua" w:hAnsi="Book Antiqua" w:cs="Book Antiqua"/>
          <w:color w:val="000000"/>
          <w:vertAlign w:val="superscript"/>
        </w:rPr>
        <w:t>th</w:t>
      </w:r>
      <w:r>
        <w:rPr>
          <w:rFonts w:ascii="Book Antiqua" w:eastAsia="Book Antiqua" w:hAnsi="Book Antiqua" w:cs="Book Antiqua"/>
          <w:color w:val="000000"/>
        </w:rPr>
        <w:t xml:space="preserve"> post-admission day up to 1.4 mg/dL. </w:t>
      </w:r>
      <w:r w:rsidR="00333EE4">
        <w:rPr>
          <w:rFonts w:ascii="Book Antiqua" w:eastAsia="Book Antiqua" w:hAnsi="Book Antiqua" w:cs="Book Antiqua"/>
          <w:color w:val="000000"/>
        </w:rPr>
        <w:t>One t</w:t>
      </w:r>
      <w:r>
        <w:rPr>
          <w:rFonts w:ascii="Book Antiqua" w:eastAsia="Book Antiqua" w:hAnsi="Book Antiqua" w:cs="Book Antiqua"/>
          <w:color w:val="000000"/>
        </w:rPr>
        <w:t xml:space="preserve">he same day tacrolimus trough level was found to be 23.58 ng/mL (Table 1). The elevation </w:t>
      </w:r>
      <w:r w:rsidR="00333EE4">
        <w:rPr>
          <w:rFonts w:ascii="Book Antiqua" w:eastAsia="Book Antiqua" w:hAnsi="Book Antiqua" w:cs="Book Antiqua"/>
          <w:color w:val="000000"/>
        </w:rPr>
        <w:t>in</w:t>
      </w:r>
      <w:r>
        <w:rPr>
          <w:rFonts w:ascii="Book Antiqua" w:eastAsia="Book Antiqua" w:hAnsi="Book Antiqua" w:cs="Book Antiqua"/>
          <w:color w:val="000000"/>
        </w:rPr>
        <w:t xml:space="preserve"> creatinine was considered to be due to high tacrolimus blood levels. </w:t>
      </w:r>
      <w:r w:rsidR="00333EE4">
        <w:rPr>
          <w:rFonts w:ascii="Book Antiqua" w:eastAsia="Book Antiqua" w:hAnsi="Book Antiqua" w:cs="Book Antiqua"/>
          <w:color w:val="000000"/>
        </w:rPr>
        <w:t>The m</w:t>
      </w:r>
      <w:r>
        <w:rPr>
          <w:rFonts w:ascii="Book Antiqua" w:eastAsia="Book Antiqua" w:hAnsi="Book Antiqua" w:cs="Book Antiqua"/>
          <w:color w:val="000000"/>
        </w:rPr>
        <w:t xml:space="preserve">edication list was reviewed by the transplant nephrology team </w:t>
      </w:r>
      <w:r w:rsidR="00333EE4">
        <w:rPr>
          <w:rFonts w:ascii="Book Antiqua" w:eastAsia="Book Antiqua" w:hAnsi="Book Antiqua" w:cs="Book Antiqua"/>
          <w:color w:val="000000"/>
        </w:rPr>
        <w:t>for</w:t>
      </w:r>
      <w:r>
        <w:rPr>
          <w:rFonts w:ascii="Book Antiqua" w:eastAsia="Book Antiqua" w:hAnsi="Book Antiqua" w:cs="Book Antiqua"/>
          <w:color w:val="000000"/>
        </w:rPr>
        <w:t xml:space="preserve"> possible drug interactions. Macrolide antibiotics were thought to be the c</w:t>
      </w:r>
      <w:r w:rsidR="00333EE4">
        <w:rPr>
          <w:rFonts w:ascii="Book Antiqua" w:eastAsia="Book Antiqua" w:hAnsi="Book Antiqua" w:cs="Book Antiqua"/>
          <w:color w:val="000000"/>
        </w:rPr>
        <w:t>ause</w:t>
      </w:r>
      <w:r>
        <w:rPr>
          <w:rFonts w:ascii="Book Antiqua" w:eastAsia="Book Antiqua" w:hAnsi="Book Antiqua" w:cs="Book Antiqua"/>
          <w:color w:val="000000"/>
        </w:rPr>
        <w:t xml:space="preserve"> of this elevation. </w:t>
      </w:r>
      <w:r w:rsidR="00333EE4">
        <w:rPr>
          <w:rFonts w:ascii="Book Antiqua" w:eastAsia="Book Antiqua" w:hAnsi="Book Antiqua" w:cs="Book Antiqua"/>
          <w:color w:val="000000"/>
        </w:rPr>
        <w:t>As</w:t>
      </w:r>
      <w:r>
        <w:rPr>
          <w:rFonts w:ascii="Book Antiqua" w:eastAsia="Book Antiqua" w:hAnsi="Book Antiqua" w:cs="Book Antiqua"/>
          <w:color w:val="000000"/>
        </w:rPr>
        <w:t xml:space="preserve"> the patient had no fever since admission </w:t>
      </w:r>
      <w:r w:rsidR="00333EE4">
        <w:rPr>
          <w:rFonts w:ascii="Book Antiqua" w:eastAsia="Book Antiqua" w:hAnsi="Book Antiqua" w:cs="Book Antiqua"/>
          <w:color w:val="000000"/>
        </w:rPr>
        <w:t>and both</w:t>
      </w:r>
      <w:r>
        <w:rPr>
          <w:rFonts w:ascii="Book Antiqua" w:eastAsia="Book Antiqua" w:hAnsi="Book Antiqua" w:cs="Book Antiqua"/>
          <w:color w:val="000000"/>
        </w:rPr>
        <w:t xml:space="preserve"> blood cell count and CRP levels </w:t>
      </w:r>
      <w:r w:rsidR="00333EE4">
        <w:rPr>
          <w:rFonts w:ascii="Book Antiqua" w:eastAsia="Book Antiqua" w:hAnsi="Book Antiqua" w:cs="Book Antiqua"/>
          <w:color w:val="000000"/>
        </w:rPr>
        <w:t xml:space="preserve">had </w:t>
      </w:r>
      <w:r>
        <w:rPr>
          <w:rFonts w:ascii="Book Antiqua" w:eastAsia="Book Antiqua" w:hAnsi="Book Antiqua" w:cs="Book Antiqua"/>
          <w:color w:val="000000"/>
        </w:rPr>
        <w:t>return</w:t>
      </w:r>
      <w:r w:rsidR="00333EE4">
        <w:rPr>
          <w:rFonts w:ascii="Book Antiqua" w:eastAsia="Book Antiqua" w:hAnsi="Book Antiqua" w:cs="Book Antiqua"/>
          <w:color w:val="000000"/>
        </w:rPr>
        <w:t>ed</w:t>
      </w:r>
      <w:r>
        <w:rPr>
          <w:rFonts w:ascii="Book Antiqua" w:eastAsia="Book Antiqua" w:hAnsi="Book Antiqua" w:cs="Book Antiqua"/>
          <w:color w:val="000000"/>
        </w:rPr>
        <w:t xml:space="preserve"> to normal ranges, the macrolide antibiotic</w:t>
      </w:r>
      <w:r w:rsidR="00333EE4" w:rsidRPr="00333EE4">
        <w:rPr>
          <w:rFonts w:ascii="Book Antiqua" w:eastAsia="Book Antiqua" w:hAnsi="Book Antiqua" w:cs="Book Antiqua"/>
          <w:color w:val="000000"/>
        </w:rPr>
        <w:t xml:space="preserve"> </w:t>
      </w:r>
      <w:r w:rsidR="00333EE4">
        <w:rPr>
          <w:rFonts w:ascii="Book Antiqua" w:eastAsia="Book Antiqua" w:hAnsi="Book Antiqua" w:cs="Book Antiqua"/>
          <w:color w:val="000000"/>
        </w:rPr>
        <w:t>azithromycin</w:t>
      </w:r>
      <w:r>
        <w:rPr>
          <w:rFonts w:ascii="Book Antiqua" w:eastAsia="Book Antiqua" w:hAnsi="Book Antiqua" w:cs="Book Antiqua"/>
          <w:color w:val="000000"/>
        </w:rPr>
        <w:t xml:space="preserve"> was stopped. Subsequently, </w:t>
      </w:r>
      <w:r w:rsidR="00333EE4">
        <w:rPr>
          <w:rFonts w:ascii="Book Antiqua" w:eastAsia="Book Antiqua" w:hAnsi="Book Antiqua" w:cs="Book Antiqua"/>
          <w:color w:val="000000"/>
        </w:rPr>
        <w:t xml:space="preserve">the </w:t>
      </w:r>
      <w:r>
        <w:rPr>
          <w:rFonts w:ascii="Book Antiqua" w:eastAsia="Book Antiqua" w:hAnsi="Book Antiqua" w:cs="Book Antiqua"/>
          <w:color w:val="000000"/>
        </w:rPr>
        <w:t xml:space="preserve">serum </w:t>
      </w:r>
      <w:r w:rsidR="00333EE4">
        <w:rPr>
          <w:rFonts w:ascii="Book Antiqua" w:eastAsia="Book Antiqua" w:hAnsi="Book Antiqua" w:cs="Book Antiqua"/>
          <w:color w:val="000000"/>
        </w:rPr>
        <w:t>t</w:t>
      </w:r>
      <w:r>
        <w:rPr>
          <w:rFonts w:ascii="Book Antiqua" w:eastAsia="Book Antiqua" w:hAnsi="Book Antiqua" w:cs="Book Antiqua"/>
          <w:color w:val="000000"/>
        </w:rPr>
        <w:t xml:space="preserve">acrolimus level decreased to </w:t>
      </w:r>
      <w:r w:rsidR="00333EE4">
        <w:rPr>
          <w:rFonts w:ascii="Book Antiqua" w:eastAsia="Book Antiqua" w:hAnsi="Book Antiqua" w:cs="Book Antiqua"/>
          <w:color w:val="000000"/>
        </w:rPr>
        <w:t xml:space="preserve">within the </w:t>
      </w:r>
      <w:r>
        <w:rPr>
          <w:rFonts w:ascii="Book Antiqua" w:eastAsia="Book Antiqua" w:hAnsi="Book Antiqua" w:cs="Book Antiqua"/>
          <w:color w:val="000000"/>
        </w:rPr>
        <w:t>the</w:t>
      </w:r>
      <w:r w:rsidR="00333EE4">
        <w:rPr>
          <w:rFonts w:ascii="Book Antiqua" w:eastAsia="Book Antiqua" w:hAnsi="Book Antiqua" w:cs="Book Antiqua"/>
          <w:color w:val="000000"/>
        </w:rPr>
        <w:t>ra</w:t>
      </w:r>
      <w:r>
        <w:rPr>
          <w:rFonts w:ascii="Book Antiqua" w:eastAsia="Book Antiqua" w:hAnsi="Book Antiqua" w:cs="Book Antiqua"/>
          <w:color w:val="000000"/>
        </w:rPr>
        <w:t xml:space="preserve">peutıc range (5.9 ng/mL), </w:t>
      </w:r>
      <w:r w:rsidR="00333EE4">
        <w:rPr>
          <w:rFonts w:ascii="Book Antiqua" w:eastAsia="Book Antiqua" w:hAnsi="Book Antiqua" w:cs="Book Antiqua"/>
          <w:color w:val="000000"/>
        </w:rPr>
        <w:t>and</w:t>
      </w:r>
      <w:r>
        <w:rPr>
          <w:rFonts w:ascii="Book Antiqua" w:eastAsia="Book Antiqua" w:hAnsi="Book Antiqua" w:cs="Book Antiqua"/>
          <w:color w:val="000000"/>
        </w:rPr>
        <w:t xml:space="preserve"> creatinine levels return</w:t>
      </w:r>
      <w:r w:rsidR="00333EE4">
        <w:rPr>
          <w:rFonts w:ascii="Book Antiqua" w:eastAsia="Book Antiqua" w:hAnsi="Book Antiqua" w:cs="Book Antiqua"/>
          <w:color w:val="000000"/>
        </w:rPr>
        <w:t>ed</w:t>
      </w:r>
      <w:r>
        <w:rPr>
          <w:rFonts w:ascii="Book Antiqua" w:eastAsia="Book Antiqua" w:hAnsi="Book Antiqua" w:cs="Book Antiqua"/>
          <w:color w:val="000000"/>
        </w:rPr>
        <w:t xml:space="preserve"> to baseline. The patient was discharged on </w:t>
      </w:r>
      <w:r w:rsidR="00333EE4">
        <w:rPr>
          <w:rFonts w:ascii="Book Antiqua" w:eastAsia="Book Antiqua" w:hAnsi="Book Antiqua" w:cs="Book Antiqua"/>
          <w:color w:val="000000"/>
        </w:rPr>
        <w:t xml:space="preserve">the </w:t>
      </w:r>
      <w:r>
        <w:rPr>
          <w:rFonts w:ascii="Book Antiqua" w:eastAsia="Book Antiqua" w:hAnsi="Book Antiqua" w:cs="Book Antiqua"/>
          <w:color w:val="000000"/>
        </w:rPr>
        <w:t>7</w:t>
      </w:r>
      <w:r w:rsidRPr="00555E7F">
        <w:rPr>
          <w:rFonts w:ascii="Book Antiqua" w:eastAsia="Book Antiqua" w:hAnsi="Book Antiqua" w:cs="Book Antiqua"/>
          <w:color w:val="000000"/>
          <w:vertAlign w:val="superscript"/>
        </w:rPr>
        <w:t>th</w:t>
      </w:r>
      <w:r>
        <w:rPr>
          <w:rFonts w:ascii="Book Antiqua" w:eastAsia="Book Antiqua" w:hAnsi="Book Antiqua" w:cs="Book Antiqua"/>
          <w:color w:val="000000"/>
        </w:rPr>
        <w:t xml:space="preserve"> postadmission day, a follow-up appointment at the outpatient clinic </w:t>
      </w:r>
      <w:r w:rsidR="00333EE4">
        <w:rPr>
          <w:rFonts w:ascii="Book Antiqua" w:eastAsia="Book Antiqua" w:hAnsi="Book Antiqua" w:cs="Book Antiqua"/>
          <w:color w:val="000000"/>
        </w:rPr>
        <w:t>one</w:t>
      </w:r>
      <w:r>
        <w:rPr>
          <w:rFonts w:ascii="Book Antiqua" w:eastAsia="Book Antiqua" w:hAnsi="Book Antiqua" w:cs="Book Antiqua"/>
          <w:color w:val="000000"/>
        </w:rPr>
        <w:t xml:space="preserve"> week later showed excellent graft function.</w:t>
      </w:r>
    </w:p>
    <w:p w14:paraId="7DDD2A61" w14:textId="77777777" w:rsidR="00A77B3E" w:rsidRDefault="00A77B3E">
      <w:pPr>
        <w:spacing w:line="360" w:lineRule="auto"/>
        <w:jc w:val="both"/>
      </w:pPr>
    </w:p>
    <w:p w14:paraId="28AFC573" w14:textId="77777777" w:rsidR="00A77B3E" w:rsidRDefault="00B80431">
      <w:pPr>
        <w:spacing w:line="360" w:lineRule="auto"/>
        <w:jc w:val="both"/>
      </w:pPr>
      <w:r>
        <w:rPr>
          <w:rFonts w:ascii="Book Antiqua" w:eastAsia="Book Antiqua" w:hAnsi="Book Antiqua" w:cs="Book Antiqua"/>
          <w:b/>
          <w:caps/>
          <w:color w:val="000000"/>
          <w:u w:val="single"/>
        </w:rPr>
        <w:t>DISCUSSION</w:t>
      </w:r>
    </w:p>
    <w:p w14:paraId="7A368A24" w14:textId="3B344F14" w:rsidR="00A77B3E" w:rsidRDefault="00B80431">
      <w:pPr>
        <w:spacing w:line="360" w:lineRule="auto"/>
        <w:jc w:val="both"/>
      </w:pPr>
      <w:r>
        <w:rPr>
          <w:rFonts w:ascii="Book Antiqua" w:eastAsia="Book Antiqua" w:hAnsi="Book Antiqua" w:cs="Book Antiqua"/>
          <w:color w:val="000000"/>
        </w:rPr>
        <w:t>Severe acute respiratory syndrome coronavirus-2 (SARS-CoV-2)</w:t>
      </w:r>
      <w:r w:rsidR="00333EE4">
        <w:rPr>
          <w:rFonts w:ascii="Book Antiqua" w:eastAsia="Book Antiqua" w:hAnsi="Book Antiqua" w:cs="Book Antiqua"/>
          <w:color w:val="000000"/>
        </w:rPr>
        <w:t xml:space="preserve"> causing COVID-19</w:t>
      </w:r>
      <w:r>
        <w:rPr>
          <w:rFonts w:ascii="Book Antiqua" w:eastAsia="Book Antiqua" w:hAnsi="Book Antiqua" w:cs="Book Antiqua"/>
          <w:color w:val="000000"/>
        </w:rPr>
        <w:t xml:space="preserve">, which </w:t>
      </w:r>
      <w:r w:rsidR="00333EE4">
        <w:rPr>
          <w:rFonts w:ascii="Book Antiqua" w:eastAsia="Book Antiqua" w:hAnsi="Book Antiqua" w:cs="Book Antiqua"/>
          <w:color w:val="000000"/>
        </w:rPr>
        <w:t>was first identified</w:t>
      </w:r>
      <w:r>
        <w:rPr>
          <w:rFonts w:ascii="Book Antiqua" w:eastAsia="Book Antiqua" w:hAnsi="Book Antiqua" w:cs="Book Antiqua"/>
          <w:color w:val="000000"/>
        </w:rPr>
        <w:t xml:space="preserve"> in Wuhan, China at the end of 2019, </w:t>
      </w:r>
      <w:r w:rsidR="00333EE4">
        <w:rPr>
          <w:rFonts w:ascii="Book Antiqua" w:eastAsia="Book Antiqua" w:hAnsi="Book Antiqua" w:cs="Book Antiqua"/>
          <w:color w:val="000000"/>
        </w:rPr>
        <w:t xml:space="preserve">has </w:t>
      </w:r>
      <w:r>
        <w:rPr>
          <w:rFonts w:ascii="Book Antiqua" w:eastAsia="Book Antiqua" w:hAnsi="Book Antiqua" w:cs="Book Antiqua"/>
          <w:color w:val="000000"/>
        </w:rPr>
        <w:t>bec</w:t>
      </w:r>
      <w:r w:rsidR="00524B32">
        <w:rPr>
          <w:rFonts w:ascii="Book Antiqua" w:eastAsia="Book Antiqua" w:hAnsi="Book Antiqua" w:cs="Book Antiqua"/>
          <w:color w:val="000000"/>
        </w:rPr>
        <w:t>o</w:t>
      </w:r>
      <w:r>
        <w:rPr>
          <w:rFonts w:ascii="Book Antiqua" w:eastAsia="Book Antiqua" w:hAnsi="Book Antiqua" w:cs="Book Antiqua"/>
          <w:color w:val="000000"/>
        </w:rPr>
        <w:t>me a worldwide pandemic. Contact history, clinical, laboratory, and imaging findings should be combined for an accurate diagnosis. Most patients with COVID</w:t>
      </w:r>
      <w:r w:rsidR="00333EE4">
        <w:rPr>
          <w:rFonts w:ascii="Book Antiqua" w:eastAsia="Book Antiqua" w:hAnsi="Book Antiqua" w:cs="Book Antiqua"/>
          <w:color w:val="000000"/>
        </w:rPr>
        <w:t>-19</w:t>
      </w:r>
      <w:r>
        <w:rPr>
          <w:rFonts w:ascii="Book Antiqua" w:eastAsia="Book Antiqua" w:hAnsi="Book Antiqua" w:cs="Book Antiqua"/>
          <w:color w:val="000000"/>
        </w:rPr>
        <w:t xml:space="preserve"> d</w:t>
      </w:r>
      <w:r w:rsidR="00333EE4">
        <w:rPr>
          <w:rFonts w:ascii="Book Antiqua" w:eastAsia="Book Antiqua" w:hAnsi="Book Antiqua" w:cs="Book Antiqua"/>
          <w:color w:val="000000"/>
        </w:rPr>
        <w:t>o</w:t>
      </w:r>
      <w:r>
        <w:rPr>
          <w:rFonts w:ascii="Book Antiqua" w:eastAsia="Book Antiqua" w:hAnsi="Book Antiqua" w:cs="Book Antiqua"/>
          <w:color w:val="000000"/>
        </w:rPr>
        <w:t xml:space="preserve"> not have severe respiratory problems and present with mild, flu-like symptoms. The most common symptoms recorded included fever, dry cough, myalgia, and tiredness. Among the diagnostic tests PCR, as well as, lymphopenia and bilateral ground-glass opacification </w:t>
      </w:r>
      <w:r w:rsidR="0075334E">
        <w:rPr>
          <w:rFonts w:ascii="Book Antiqua" w:eastAsia="Book Antiqua" w:hAnsi="Book Antiqua" w:cs="Book Antiqua"/>
          <w:color w:val="000000"/>
        </w:rPr>
        <w:t>o</w:t>
      </w:r>
      <w:r>
        <w:rPr>
          <w:rFonts w:ascii="Book Antiqua" w:eastAsia="Book Antiqua" w:hAnsi="Book Antiqua" w:cs="Book Antiqua"/>
          <w:color w:val="000000"/>
        </w:rPr>
        <w:t xml:space="preserve">n CT scan were found to be highly beneficial </w:t>
      </w:r>
      <w:r w:rsidR="0075334E">
        <w:rPr>
          <w:rFonts w:ascii="Book Antiqua" w:eastAsia="Book Antiqua" w:hAnsi="Book Antiqua" w:cs="Book Antiqua"/>
          <w:color w:val="000000"/>
        </w:rPr>
        <w:t>in the</w:t>
      </w:r>
      <w:r>
        <w:rPr>
          <w:rFonts w:ascii="Book Antiqua" w:eastAsia="Book Antiqua" w:hAnsi="Book Antiqua" w:cs="Book Antiqua"/>
          <w:color w:val="000000"/>
        </w:rPr>
        <w:t xml:space="preserve"> diagnosis</w:t>
      </w:r>
      <w:r w:rsidR="0075334E">
        <w:rPr>
          <w:rFonts w:ascii="Book Antiqua" w:eastAsia="Book Antiqua" w:hAnsi="Book Antiqua" w:cs="Book Antiqua"/>
          <w:color w:val="000000"/>
        </w:rPr>
        <w:t xml:space="preserve"> of COVID-19</w:t>
      </w:r>
      <w:r w:rsidR="00EC7D92" w:rsidRPr="00555E7F">
        <w:rPr>
          <w:rFonts w:ascii="Book Antiqua" w:eastAsia="Book Antiqua" w:hAnsi="Book Antiqua" w:cs="Book Antiqua"/>
          <w:color w:val="000000"/>
          <w:vertAlign w:val="superscript"/>
        </w:rPr>
        <w:t>[6</w:t>
      </w:r>
      <w:proofErr w:type="gramStart"/>
      <w:r w:rsidR="00EC7D92" w:rsidRPr="00555E7F">
        <w:rPr>
          <w:rFonts w:ascii="Book Antiqua" w:eastAsia="Book Antiqua" w:hAnsi="Book Antiqua" w:cs="Book Antiqua"/>
          <w:color w:val="000000"/>
          <w:vertAlign w:val="superscript"/>
        </w:rPr>
        <w:t>,7</w:t>
      </w:r>
      <w:proofErr w:type="gramEnd"/>
      <w:r w:rsidR="00EC7D92" w:rsidRPr="00555E7F">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195E7E38" w14:textId="419DA876" w:rsidR="00A77B3E" w:rsidRDefault="00B80431" w:rsidP="00EC7D92">
      <w:pPr>
        <w:spacing w:line="360" w:lineRule="auto"/>
        <w:ind w:firstLineChars="100" w:firstLine="240"/>
        <w:jc w:val="both"/>
      </w:pPr>
      <w:r>
        <w:rPr>
          <w:rFonts w:ascii="Book Antiqua" w:eastAsia="Book Antiqua" w:hAnsi="Book Antiqua" w:cs="Book Antiqua"/>
          <w:color w:val="000000"/>
        </w:rPr>
        <w:t xml:space="preserve">On the other hand, COVID-19 may have a variety of presentations in renal transplant recipients. The few cases reported in the literature provide low-quality scientific </w:t>
      </w:r>
      <w:proofErr w:type="gramStart"/>
      <w:r>
        <w:rPr>
          <w:rFonts w:ascii="Book Antiqua" w:eastAsia="Book Antiqua" w:hAnsi="Book Antiqua" w:cs="Book Antiqua"/>
          <w:color w:val="000000"/>
        </w:rPr>
        <w:t>evidence</w:t>
      </w:r>
      <w:r w:rsidR="00EC7D92" w:rsidRPr="00555E7F">
        <w:rPr>
          <w:rFonts w:ascii="Book Antiqua" w:eastAsia="Book Antiqua" w:hAnsi="Book Antiqua" w:cs="Book Antiqua"/>
          <w:color w:val="000000"/>
          <w:vertAlign w:val="superscript"/>
        </w:rPr>
        <w:t>[</w:t>
      </w:r>
      <w:proofErr w:type="gramEnd"/>
      <w:r w:rsidR="00EC7D92" w:rsidRPr="00555E7F">
        <w:rPr>
          <w:rFonts w:ascii="Book Antiqua" w:eastAsia="Book Antiqua" w:hAnsi="Book Antiqua" w:cs="Book Antiqua"/>
          <w:color w:val="000000"/>
          <w:vertAlign w:val="superscript"/>
        </w:rPr>
        <w:t>1,2,8-10]</w:t>
      </w:r>
      <w:r>
        <w:rPr>
          <w:rFonts w:ascii="Book Antiqua" w:eastAsia="Book Antiqua" w:hAnsi="Book Antiqua" w:cs="Book Antiqua"/>
          <w:color w:val="000000"/>
        </w:rPr>
        <w:t xml:space="preserve">. </w:t>
      </w:r>
      <w:r w:rsidR="0075334E">
        <w:rPr>
          <w:rFonts w:ascii="Book Antiqua" w:eastAsia="Book Antiqua" w:hAnsi="Book Antiqua" w:cs="Book Antiqua"/>
          <w:color w:val="000000"/>
        </w:rPr>
        <w:t>There is a lack of e</w:t>
      </w:r>
      <w:r>
        <w:rPr>
          <w:rFonts w:ascii="Book Antiqua" w:eastAsia="Book Antiqua" w:hAnsi="Book Antiqua" w:cs="Book Antiqua"/>
          <w:color w:val="000000"/>
        </w:rPr>
        <w:t xml:space="preserve">vidence-based effective antiviral treatment for COVID-19. While experimental pharmacological therapy with limited scientific evidence can be wise </w:t>
      </w:r>
      <w:r w:rsidR="0075334E">
        <w:rPr>
          <w:rFonts w:ascii="Book Antiqua" w:eastAsia="Book Antiqua" w:hAnsi="Book Antiqua" w:cs="Book Antiqua"/>
          <w:color w:val="000000"/>
        </w:rPr>
        <w:t>in addition to</w:t>
      </w:r>
      <w:r>
        <w:rPr>
          <w:rFonts w:ascii="Book Antiqua" w:eastAsia="Book Antiqua" w:hAnsi="Book Antiqua" w:cs="Book Antiqua"/>
          <w:color w:val="000000"/>
        </w:rPr>
        <w:t xml:space="preserve"> a risk-benefit calculation, pharmaceutical interactions should always be kept in mind. </w:t>
      </w:r>
    </w:p>
    <w:p w14:paraId="591CD6A0" w14:textId="3131B96B" w:rsidR="00A77B3E" w:rsidRDefault="00B80431" w:rsidP="00EC7D92">
      <w:pPr>
        <w:spacing w:line="360" w:lineRule="auto"/>
        <w:ind w:firstLineChars="100" w:firstLine="240"/>
        <w:jc w:val="both"/>
      </w:pPr>
      <w:r>
        <w:rPr>
          <w:rFonts w:ascii="Book Antiqua" w:eastAsia="Book Antiqua" w:hAnsi="Book Antiqua" w:cs="Book Antiqua"/>
          <w:color w:val="000000"/>
        </w:rPr>
        <w:lastRenderedPageBreak/>
        <w:t>Patients of any age with a medical diagnosis of cancer, chronic kidney disease, chronic obstructive pulmonary disease, obesity, heart failure, and type 2 diabetes fall into the risk group for COVID</w:t>
      </w:r>
      <w:r w:rsidR="0075334E">
        <w:rPr>
          <w:rFonts w:ascii="Book Antiqua" w:eastAsia="Book Antiqua" w:hAnsi="Book Antiqua" w:cs="Book Antiqua"/>
          <w:color w:val="000000"/>
        </w:rPr>
        <w:t>-</w:t>
      </w:r>
      <w:r>
        <w:rPr>
          <w:rFonts w:ascii="Book Antiqua" w:eastAsia="Book Antiqua" w:hAnsi="Book Antiqua" w:cs="Book Antiqua"/>
          <w:color w:val="000000"/>
        </w:rPr>
        <w:t xml:space="preserve">related complications. Additionally, elderly patients over 65 years of age </w:t>
      </w:r>
      <w:r w:rsidR="0075334E">
        <w:rPr>
          <w:rFonts w:ascii="Book Antiqua" w:eastAsia="Book Antiqua" w:hAnsi="Book Antiqua" w:cs="Book Antiqua"/>
          <w:color w:val="000000"/>
        </w:rPr>
        <w:t>are</w:t>
      </w:r>
      <w:r>
        <w:rPr>
          <w:rFonts w:ascii="Book Antiqua" w:eastAsia="Book Antiqua" w:hAnsi="Book Antiqua" w:cs="Book Antiqua"/>
          <w:color w:val="000000"/>
        </w:rPr>
        <w:t xml:space="preserve"> associated with higher </w:t>
      </w:r>
      <w:r w:rsidR="00EC7D92" w:rsidRPr="00EC7D92">
        <w:rPr>
          <w:rFonts w:ascii="Book Antiqua" w:eastAsia="Book Antiqua" w:hAnsi="Book Antiqua" w:cs="Book Antiqua"/>
          <w:color w:val="000000"/>
        </w:rPr>
        <w:t xml:space="preserve">intensive care unit </w:t>
      </w:r>
      <w:r w:rsidR="00EC7D92">
        <w:rPr>
          <w:rFonts w:ascii="Book Antiqua" w:eastAsia="Book Antiqua" w:hAnsi="Book Antiqua" w:cs="Book Antiqua"/>
          <w:color w:val="000000"/>
        </w:rPr>
        <w:t>(</w:t>
      </w:r>
      <w:r>
        <w:rPr>
          <w:rFonts w:ascii="Book Antiqua" w:eastAsia="Book Antiqua" w:hAnsi="Book Antiqua" w:cs="Book Antiqua"/>
          <w:color w:val="000000"/>
        </w:rPr>
        <w:t>ICU</w:t>
      </w:r>
      <w:r w:rsidR="00EC7D92">
        <w:rPr>
          <w:rFonts w:ascii="Book Antiqua" w:eastAsia="Book Antiqua" w:hAnsi="Book Antiqua" w:cs="Book Antiqua"/>
          <w:color w:val="000000"/>
        </w:rPr>
        <w:t>)</w:t>
      </w:r>
      <w:r>
        <w:rPr>
          <w:rFonts w:ascii="Book Antiqua" w:eastAsia="Book Antiqua" w:hAnsi="Book Antiqua" w:cs="Book Antiqua"/>
          <w:color w:val="000000"/>
        </w:rPr>
        <w:t xml:space="preserve"> admission rates when infected with COVID</w:t>
      </w:r>
      <w:r w:rsidR="0075334E">
        <w:rPr>
          <w:rFonts w:ascii="Book Antiqua" w:eastAsia="Book Antiqua" w:hAnsi="Book Antiqua" w:cs="Book Antiqua"/>
          <w:color w:val="000000"/>
        </w:rPr>
        <w:t>-19</w:t>
      </w:r>
      <w:r>
        <w:rPr>
          <w:rFonts w:ascii="Book Antiqua" w:eastAsia="Book Antiqua" w:hAnsi="Book Antiqua" w:cs="Book Antiqua"/>
          <w:color w:val="000000"/>
        </w:rPr>
        <w:t xml:space="preserve">. The 50-year-old patient described in this report only </w:t>
      </w:r>
      <w:r w:rsidR="0075334E">
        <w:rPr>
          <w:rFonts w:ascii="Book Antiqua" w:eastAsia="Book Antiqua" w:hAnsi="Book Antiqua" w:cs="Book Antiqua"/>
          <w:color w:val="000000"/>
        </w:rPr>
        <w:t xml:space="preserve">had </w:t>
      </w:r>
      <w:r>
        <w:rPr>
          <w:rFonts w:ascii="Book Antiqua" w:eastAsia="Book Antiqua" w:hAnsi="Book Antiqua" w:cs="Book Antiqua"/>
          <w:color w:val="000000"/>
        </w:rPr>
        <w:t>the risk factor of receiving immunosuppressive treatment.</w:t>
      </w:r>
    </w:p>
    <w:p w14:paraId="53120A92" w14:textId="27D64EDF" w:rsidR="00EC7D92" w:rsidRDefault="00B80431" w:rsidP="00EC7D92">
      <w:pPr>
        <w:spacing w:line="360" w:lineRule="auto"/>
        <w:ind w:firstLineChars="100" w:firstLine="240"/>
        <w:jc w:val="both"/>
      </w:pPr>
      <w:r>
        <w:rPr>
          <w:rFonts w:ascii="Book Antiqua" w:eastAsia="Book Antiqua" w:hAnsi="Book Antiqua" w:cs="Book Antiqua"/>
          <w:color w:val="000000"/>
        </w:rPr>
        <w:t xml:space="preserve">Patients with clinical suspicion and positive thoracic CT findings or PCR test results considered </w:t>
      </w:r>
      <w:r w:rsidR="0075334E">
        <w:rPr>
          <w:rFonts w:ascii="Book Antiqua" w:eastAsia="Book Antiqua" w:hAnsi="Book Antiqua" w:cs="Book Antiqua"/>
          <w:color w:val="000000"/>
        </w:rPr>
        <w:t>to have</w:t>
      </w:r>
      <w:r>
        <w:rPr>
          <w:rFonts w:ascii="Book Antiqua" w:eastAsia="Book Antiqua" w:hAnsi="Book Antiqua" w:cs="Book Antiqua"/>
          <w:color w:val="000000"/>
        </w:rPr>
        <w:t xml:space="preserve"> COVID a</w:t>
      </w:r>
      <w:r w:rsidR="0075334E">
        <w:rPr>
          <w:rFonts w:ascii="Book Antiqua" w:eastAsia="Book Antiqua" w:hAnsi="Book Antiqua" w:cs="Book Antiqua"/>
          <w:color w:val="000000"/>
        </w:rPr>
        <w:t>re</w:t>
      </w:r>
      <w:r>
        <w:rPr>
          <w:rFonts w:ascii="Book Antiqua" w:eastAsia="Book Antiqua" w:hAnsi="Book Antiqua" w:cs="Book Antiqua"/>
          <w:color w:val="000000"/>
        </w:rPr>
        <w:t xml:space="preserve"> treated as per the recommendations of the Turkish Ministry of Health COVID treatment guidelines.  The patient described in this report had unilateral pneumonic infiltration without ground glass opacification </w:t>
      </w:r>
      <w:r w:rsidR="0075334E">
        <w:rPr>
          <w:rFonts w:ascii="Book Antiqua" w:eastAsia="Book Antiqua" w:hAnsi="Book Antiqua" w:cs="Book Antiqua"/>
          <w:color w:val="000000"/>
        </w:rPr>
        <w:t>on the CT</w:t>
      </w:r>
      <w:r>
        <w:rPr>
          <w:rFonts w:ascii="Book Antiqua" w:eastAsia="Book Antiqua" w:hAnsi="Book Antiqua" w:cs="Book Antiqua"/>
          <w:color w:val="000000"/>
        </w:rPr>
        <w:t xml:space="preserve"> scan. Although the PCR test result was negative, COVID</w:t>
      </w:r>
      <w:r w:rsidR="0075334E">
        <w:rPr>
          <w:rFonts w:ascii="Book Antiqua" w:eastAsia="Book Antiqua" w:hAnsi="Book Antiqua" w:cs="Book Antiqua"/>
          <w:color w:val="000000"/>
        </w:rPr>
        <w:t>-</w:t>
      </w:r>
      <w:r>
        <w:rPr>
          <w:rFonts w:ascii="Book Antiqua" w:eastAsia="Book Antiqua" w:hAnsi="Book Antiqua" w:cs="Book Antiqua"/>
          <w:color w:val="000000"/>
        </w:rPr>
        <w:t xml:space="preserve">19 treatment was initiated </w:t>
      </w:r>
      <w:r w:rsidR="0075334E">
        <w:rPr>
          <w:rFonts w:ascii="Book Antiqua" w:eastAsia="Book Antiqua" w:hAnsi="Book Antiqua" w:cs="Book Antiqua"/>
          <w:color w:val="000000"/>
        </w:rPr>
        <w:t xml:space="preserve">due to </w:t>
      </w:r>
      <w:r>
        <w:rPr>
          <w:rFonts w:ascii="Book Antiqua" w:eastAsia="Book Antiqua" w:hAnsi="Book Antiqua" w:cs="Book Antiqua"/>
          <w:color w:val="000000"/>
        </w:rPr>
        <w:t xml:space="preserve">the CT findings and the patient's </w:t>
      </w:r>
      <w:r w:rsidR="0075334E">
        <w:rPr>
          <w:rFonts w:ascii="Book Antiqua" w:eastAsia="Book Antiqua" w:hAnsi="Book Antiqua" w:cs="Book Antiqua"/>
          <w:color w:val="000000"/>
        </w:rPr>
        <w:t>status</w:t>
      </w:r>
      <w:r>
        <w:rPr>
          <w:rFonts w:ascii="Book Antiqua" w:eastAsia="Book Antiqua" w:hAnsi="Book Antiqua" w:cs="Book Antiqua"/>
          <w:color w:val="000000"/>
        </w:rPr>
        <w:t xml:space="preserve">. </w:t>
      </w:r>
      <w:r w:rsidR="0075334E">
        <w:rPr>
          <w:rFonts w:ascii="Book Antiqua" w:eastAsia="Book Antiqua" w:hAnsi="Book Antiqua" w:cs="Book Antiqua"/>
          <w:color w:val="000000"/>
        </w:rPr>
        <w:t>As</w:t>
      </w:r>
      <w:r>
        <w:rPr>
          <w:rFonts w:ascii="Book Antiqua" w:eastAsia="Book Antiqua" w:hAnsi="Book Antiqua" w:cs="Book Antiqua"/>
          <w:color w:val="000000"/>
        </w:rPr>
        <w:t xml:space="preserve"> our patient was not critically ill, no modification of the immunosuppressive regimen was</w:t>
      </w:r>
      <w:r w:rsidR="00EC7D92">
        <w:rPr>
          <w:rFonts w:ascii="Book Antiqua" w:eastAsia="Book Antiqua" w:hAnsi="Book Antiqua" w:cs="Book Antiqua"/>
          <w:color w:val="000000"/>
        </w:rPr>
        <w:t xml:space="preserve"> </w:t>
      </w:r>
      <w:r>
        <w:rPr>
          <w:rFonts w:ascii="Book Antiqua" w:eastAsia="Book Antiqua" w:hAnsi="Book Antiqua" w:cs="Book Antiqua"/>
          <w:color w:val="000000"/>
        </w:rPr>
        <w:t>required.</w:t>
      </w:r>
    </w:p>
    <w:p w14:paraId="24498642" w14:textId="0EF90D5E" w:rsidR="00A77B3E" w:rsidRDefault="00B80431" w:rsidP="00EC7D92">
      <w:pPr>
        <w:spacing w:line="360" w:lineRule="auto"/>
        <w:ind w:firstLineChars="100" w:firstLine="240"/>
        <w:jc w:val="both"/>
      </w:pPr>
      <w:r>
        <w:rPr>
          <w:rFonts w:ascii="Book Antiqua" w:eastAsia="Book Antiqua" w:hAnsi="Book Antiqua" w:cs="Book Antiqua"/>
          <w:color w:val="000000"/>
        </w:rPr>
        <w:t xml:space="preserve">Literature </w:t>
      </w:r>
      <w:r w:rsidR="0075334E">
        <w:rPr>
          <w:rFonts w:ascii="Book Antiqua" w:eastAsia="Book Antiqua" w:hAnsi="Book Antiqua" w:cs="Book Antiqua"/>
          <w:color w:val="000000"/>
        </w:rPr>
        <w:t>reports</w:t>
      </w:r>
      <w:r>
        <w:rPr>
          <w:rFonts w:ascii="Book Antiqua" w:eastAsia="Book Antiqua" w:hAnsi="Book Antiqua" w:cs="Book Antiqua"/>
          <w:color w:val="000000"/>
        </w:rPr>
        <w:t xml:space="preserve"> show the impact of uncontrolled inflammation and cytokine storm syndrome on COVID-19 related </w:t>
      </w:r>
      <w:proofErr w:type="gramStart"/>
      <w:r>
        <w:rPr>
          <w:rFonts w:ascii="Book Antiqua" w:eastAsia="Book Antiqua" w:hAnsi="Book Antiqua" w:cs="Book Antiqua"/>
          <w:color w:val="000000"/>
        </w:rPr>
        <w:t>mortality</w:t>
      </w:r>
      <w:r w:rsidR="00BF0B18">
        <w:rPr>
          <w:rFonts w:ascii="Book Antiqua" w:eastAsia="Book Antiqua" w:hAnsi="Book Antiqua" w:cs="Book Antiqua"/>
          <w:color w:val="000000"/>
          <w:vertAlign w:val="superscript"/>
        </w:rPr>
        <w:t>[</w:t>
      </w:r>
      <w:proofErr w:type="gramEnd"/>
      <w:r w:rsidR="00BF0B18">
        <w:rPr>
          <w:rFonts w:ascii="Book Antiqua" w:eastAsia="Book Antiqua" w:hAnsi="Book Antiqua" w:cs="Book Antiqua"/>
          <w:color w:val="000000"/>
          <w:vertAlign w:val="superscript"/>
        </w:rPr>
        <w:t>11]</w:t>
      </w:r>
      <w:r>
        <w:rPr>
          <w:rFonts w:ascii="Book Antiqua" w:eastAsia="Book Antiqua" w:hAnsi="Book Antiqua" w:cs="Book Antiqua"/>
          <w:color w:val="000000"/>
        </w:rPr>
        <w:t xml:space="preserve">. As a result, new treatment methods </w:t>
      </w:r>
      <w:r w:rsidR="0075334E">
        <w:rPr>
          <w:rFonts w:ascii="Book Antiqua" w:eastAsia="Book Antiqua" w:hAnsi="Book Antiqua" w:cs="Book Antiqua"/>
          <w:color w:val="000000"/>
        </w:rPr>
        <w:t xml:space="preserve">are </w:t>
      </w:r>
      <w:r>
        <w:rPr>
          <w:rFonts w:ascii="Book Antiqua" w:eastAsia="Book Antiqua" w:hAnsi="Book Antiqua" w:cs="Book Antiqua"/>
          <w:color w:val="000000"/>
        </w:rPr>
        <w:t xml:space="preserve">focused on diminishing uncontrolled inflammation and preventing excessive cytokine release such as </w:t>
      </w:r>
      <w:r w:rsidR="00EC7D92" w:rsidRPr="003F43AD">
        <w:rPr>
          <w:rFonts w:ascii="Book Antiqua" w:eastAsia="Book Antiqua" w:hAnsi="Book Antiqua" w:cs="Book Antiqua"/>
          <w:color w:val="000000"/>
        </w:rPr>
        <w:t>interleukin</w:t>
      </w:r>
      <w:r w:rsidR="00EC7D92">
        <w:rPr>
          <w:rFonts w:ascii="Book Antiqua" w:eastAsia="Book Antiqua" w:hAnsi="Book Antiqua" w:cs="Book Antiqua"/>
          <w:color w:val="000000"/>
        </w:rPr>
        <w:t xml:space="preserve"> (</w:t>
      </w:r>
      <w:r>
        <w:rPr>
          <w:rFonts w:ascii="Book Antiqua" w:eastAsia="Book Antiqua" w:hAnsi="Book Antiqua" w:cs="Book Antiqua"/>
          <w:color w:val="000000"/>
        </w:rPr>
        <w:t>IL</w:t>
      </w:r>
      <w:r w:rsidR="00EC7D92">
        <w:rPr>
          <w:rFonts w:ascii="Book Antiqua" w:eastAsia="Book Antiqua" w:hAnsi="Book Antiqua" w:cs="Book Antiqua"/>
          <w:color w:val="000000"/>
        </w:rPr>
        <w:t>)</w:t>
      </w:r>
      <w:r>
        <w:rPr>
          <w:rFonts w:ascii="Book Antiqua" w:eastAsia="Book Antiqua" w:hAnsi="Book Antiqua" w:cs="Book Antiqua"/>
          <w:color w:val="000000"/>
        </w:rPr>
        <w:t xml:space="preserve">-6, IL-1, and </w:t>
      </w:r>
      <w:r w:rsidR="00EC7D92" w:rsidRPr="00BC0BCD">
        <w:rPr>
          <w:rFonts w:ascii="Book Antiqua" w:eastAsia="Book Antiqua" w:hAnsi="Book Antiqua" w:cs="Book Antiqua"/>
          <w:color w:val="000000"/>
        </w:rPr>
        <w:t>tumor necrosis factor</w:t>
      </w:r>
      <w:r w:rsidR="00EC7D92">
        <w:rPr>
          <w:rFonts w:ascii="Book Antiqua" w:eastAsia="Book Antiqua" w:hAnsi="Book Antiqua" w:cs="Book Antiqua"/>
          <w:color w:val="000000"/>
        </w:rPr>
        <w:t xml:space="preserve"> (</w:t>
      </w:r>
      <w:r>
        <w:rPr>
          <w:rFonts w:ascii="Book Antiqua" w:eastAsia="Book Antiqua" w:hAnsi="Book Antiqua" w:cs="Book Antiqua"/>
          <w:color w:val="000000"/>
        </w:rPr>
        <w:t>TNF</w:t>
      </w:r>
      <w:r w:rsidR="00EC7D92">
        <w:rPr>
          <w:rFonts w:ascii="Book Antiqua" w:eastAsia="Book Antiqua" w:hAnsi="Book Antiqua" w:cs="Book Antiqua"/>
          <w:color w:val="000000"/>
        </w:rPr>
        <w:t>)</w:t>
      </w:r>
      <w:r>
        <w:rPr>
          <w:rFonts w:ascii="Book Antiqua" w:eastAsia="Book Antiqua" w:hAnsi="Book Antiqua" w:cs="Book Antiqua"/>
          <w:color w:val="000000"/>
        </w:rPr>
        <w:t xml:space="preserve"> alpha. </w:t>
      </w:r>
      <w:r w:rsidR="0075334E">
        <w:rPr>
          <w:rFonts w:ascii="Book Antiqua" w:eastAsia="Book Antiqua" w:hAnsi="Book Antiqua" w:cs="Book Antiqua"/>
          <w:color w:val="000000"/>
        </w:rPr>
        <w:t>M</w:t>
      </w:r>
      <w:r>
        <w:rPr>
          <w:rFonts w:ascii="Book Antiqua" w:eastAsia="Book Antiqua" w:hAnsi="Book Antiqua" w:cs="Book Antiqua"/>
          <w:color w:val="000000"/>
        </w:rPr>
        <w:t>aintenance immunosuppressive treatments may have a positive impact on disease progress</w:t>
      </w:r>
      <w:r w:rsidR="0075334E">
        <w:rPr>
          <w:rFonts w:ascii="Book Antiqua" w:eastAsia="Book Antiqua" w:hAnsi="Book Antiqua" w:cs="Book Antiqua"/>
          <w:color w:val="000000"/>
        </w:rPr>
        <w:t>ion</w:t>
      </w:r>
      <w:r>
        <w:rPr>
          <w:rFonts w:ascii="Book Antiqua" w:eastAsia="Book Antiqua" w:hAnsi="Book Antiqua" w:cs="Book Antiqua"/>
          <w:color w:val="000000"/>
        </w:rPr>
        <w:t xml:space="preserve"> by reducing viral replication, suppressing </w:t>
      </w:r>
      <w:r w:rsidR="000D1B5F">
        <w:rPr>
          <w:rFonts w:ascii="Book Antiqua" w:eastAsia="Book Antiqua" w:hAnsi="Book Antiqua" w:cs="Book Antiqua"/>
          <w:color w:val="000000"/>
        </w:rPr>
        <w:t xml:space="preserve">the </w:t>
      </w:r>
      <w:r>
        <w:rPr>
          <w:rFonts w:ascii="Book Antiqua" w:eastAsia="Book Antiqua" w:hAnsi="Book Antiqua" w:cs="Book Antiqua"/>
          <w:color w:val="000000"/>
        </w:rPr>
        <w:t xml:space="preserve">cytokine storm, and </w:t>
      </w:r>
      <w:r w:rsidR="000D1B5F">
        <w:rPr>
          <w:rFonts w:ascii="Book Antiqua" w:eastAsia="Book Antiqua" w:hAnsi="Book Antiqua" w:cs="Book Antiqua"/>
          <w:color w:val="000000"/>
        </w:rPr>
        <w:t>preventing</w:t>
      </w:r>
      <w:r>
        <w:rPr>
          <w:rFonts w:ascii="Book Antiqua" w:eastAsia="Book Antiqua" w:hAnsi="Book Antiqua" w:cs="Book Antiqua"/>
          <w:color w:val="000000"/>
        </w:rPr>
        <w:t xml:space="preserve"> immune </w:t>
      </w:r>
      <w:proofErr w:type="gramStart"/>
      <w:r>
        <w:rPr>
          <w:rFonts w:ascii="Book Antiqua" w:eastAsia="Book Antiqua" w:hAnsi="Book Antiqua" w:cs="Book Antiqua"/>
          <w:color w:val="000000"/>
        </w:rPr>
        <w:t>activation</w:t>
      </w:r>
      <w:r w:rsidR="00EC7D92" w:rsidRPr="00555E7F">
        <w:rPr>
          <w:rFonts w:ascii="Book Antiqua" w:eastAsia="Book Antiqua" w:hAnsi="Book Antiqua" w:cs="Book Antiqua"/>
          <w:color w:val="000000"/>
          <w:vertAlign w:val="superscript"/>
        </w:rPr>
        <w:t>[</w:t>
      </w:r>
      <w:proofErr w:type="gramEnd"/>
      <w:r w:rsidR="00EC7D92" w:rsidRPr="00555E7F">
        <w:rPr>
          <w:rFonts w:ascii="Book Antiqua" w:eastAsia="Book Antiqua" w:hAnsi="Book Antiqua" w:cs="Book Antiqua"/>
          <w:color w:val="000000"/>
          <w:vertAlign w:val="superscript"/>
        </w:rPr>
        <w:t>12]</w:t>
      </w:r>
      <w:r>
        <w:rPr>
          <w:rFonts w:ascii="Book Antiqua" w:eastAsia="Book Antiqua" w:hAnsi="Book Antiqua" w:cs="Book Antiqua"/>
          <w:color w:val="000000"/>
        </w:rPr>
        <w:t>.  On the other hand, </w:t>
      </w:r>
      <w:r w:rsidR="000D1B5F">
        <w:rPr>
          <w:rFonts w:ascii="Book Antiqua" w:eastAsia="Book Antiqua" w:hAnsi="Book Antiqua" w:cs="Book Antiqua"/>
          <w:color w:val="000000"/>
        </w:rPr>
        <w:t xml:space="preserve">patients with </w:t>
      </w:r>
      <w:r>
        <w:rPr>
          <w:rFonts w:ascii="Book Antiqua" w:eastAsia="Book Antiqua" w:hAnsi="Book Antiqua" w:cs="Book Antiqua"/>
          <w:color w:val="000000"/>
        </w:rPr>
        <w:t xml:space="preserve">COVID-19 presenting with critical illness constitute a different dilemma. </w:t>
      </w:r>
      <w:r w:rsidR="000D1B5F">
        <w:rPr>
          <w:rFonts w:ascii="Book Antiqua" w:eastAsia="Book Antiqua" w:hAnsi="Book Antiqua" w:cs="Book Antiqua"/>
          <w:color w:val="000000"/>
        </w:rPr>
        <w:t>As</w:t>
      </w:r>
      <w:r>
        <w:rPr>
          <w:rFonts w:ascii="Book Antiqua" w:eastAsia="Book Antiqua" w:hAnsi="Book Antiqua" w:cs="Book Antiqua"/>
          <w:color w:val="000000"/>
        </w:rPr>
        <w:t xml:space="preserve"> critical illness due to COVID-19 is a life-threatening multisystem condition that can lead to significant morbidity and mortality in renal transplant recipients, immunosuppressive therapies should be modified to avoid serious complications. These modifications should</w:t>
      </w:r>
      <w:r w:rsidRPr="00385769">
        <w:rPr>
          <w:rFonts w:ascii="Book Antiqua" w:eastAsia="Book Antiqua" w:hAnsi="Book Antiqua" w:cs="Book Antiqua"/>
        </w:rPr>
        <w:t xml:space="preserve"> </w:t>
      </w:r>
      <w:r w:rsidR="00385769" w:rsidRPr="00385769">
        <w:rPr>
          <w:rFonts w:ascii="Book Antiqua" w:eastAsia="Book Antiqua" w:hAnsi="Book Antiqua" w:cs="Book Antiqua"/>
        </w:rPr>
        <w:t>be</w:t>
      </w:r>
      <w:r>
        <w:rPr>
          <w:rFonts w:ascii="Book Antiqua" w:eastAsia="Book Antiqua" w:hAnsi="Book Antiqua" w:cs="Book Antiqua"/>
          <w:color w:val="000000"/>
        </w:rPr>
        <w:t xml:space="preserve"> evaluated individually as one case is </w:t>
      </w:r>
      <w:r w:rsidR="000D1B5F">
        <w:rPr>
          <w:rFonts w:ascii="Book Antiqua" w:eastAsia="Book Antiqua" w:hAnsi="Book Antiqua" w:cs="Book Antiqua"/>
          <w:color w:val="000000"/>
        </w:rPr>
        <w:t xml:space="preserve">not </w:t>
      </w:r>
      <w:r>
        <w:rPr>
          <w:rFonts w:ascii="Book Antiqua" w:eastAsia="Book Antiqua" w:hAnsi="Book Antiqua" w:cs="Book Antiqua"/>
          <w:color w:val="000000"/>
        </w:rPr>
        <w:t xml:space="preserve">the same as </w:t>
      </w:r>
      <w:r w:rsidR="000D1B5F">
        <w:rPr>
          <w:rFonts w:ascii="Book Antiqua" w:eastAsia="Book Antiqua" w:hAnsi="Book Antiqua" w:cs="Book Antiqua"/>
          <w:color w:val="000000"/>
        </w:rPr>
        <w:t>an</w:t>
      </w:r>
      <w:r>
        <w:rPr>
          <w:rFonts w:ascii="Book Antiqua" w:eastAsia="Book Antiqua" w:hAnsi="Book Antiqua" w:cs="Book Antiqua"/>
          <w:color w:val="000000"/>
        </w:rPr>
        <w:t>other. Briefly, a targeted immunosuppression regimen should be preferred.</w:t>
      </w:r>
    </w:p>
    <w:p w14:paraId="120843E5" w14:textId="1B1B0DFF" w:rsidR="00A77B3E" w:rsidRDefault="00B80431" w:rsidP="00EC7D92">
      <w:pPr>
        <w:spacing w:line="360" w:lineRule="auto"/>
        <w:ind w:firstLineChars="100" w:firstLine="240"/>
        <w:jc w:val="both"/>
      </w:pPr>
      <w:r>
        <w:rPr>
          <w:rFonts w:ascii="Book Antiqua" w:eastAsia="Book Antiqua" w:hAnsi="Book Antiqua" w:cs="Book Antiqua"/>
          <w:color w:val="000000"/>
        </w:rPr>
        <w:t xml:space="preserve">The targeted immunosuppression regimen should include a low-dose corticosteroid (CS) </w:t>
      </w:r>
      <w:r w:rsidR="000D1B5F">
        <w:rPr>
          <w:rFonts w:ascii="Book Antiqua" w:eastAsia="Book Antiqua" w:hAnsi="Book Antiqua" w:cs="Book Antiqua"/>
          <w:color w:val="000000"/>
        </w:rPr>
        <w:t>due to its</w:t>
      </w:r>
      <w:r>
        <w:rPr>
          <w:rFonts w:ascii="Book Antiqua" w:eastAsia="Book Antiqua" w:hAnsi="Book Antiqua" w:cs="Book Antiqua"/>
          <w:color w:val="000000"/>
        </w:rPr>
        <w:t xml:space="preserve"> anti-inflammatory effects and immunomodulatory characteristics. Additionally, inhibition of proinflammatory cytokines by steroids maintains the </w:t>
      </w:r>
      <w:r>
        <w:rPr>
          <w:rFonts w:ascii="Book Antiqua" w:eastAsia="Book Antiqua" w:hAnsi="Book Antiqua" w:cs="Book Antiqua"/>
          <w:color w:val="000000"/>
        </w:rPr>
        <w:lastRenderedPageBreak/>
        <w:t xml:space="preserve">integrity of vascular endothelium and regulates endothelial permeability. Thus, it is common to increase </w:t>
      </w:r>
      <w:r w:rsidR="000D1B5F">
        <w:rPr>
          <w:rFonts w:ascii="Book Antiqua" w:eastAsia="Book Antiqua" w:hAnsi="Book Antiqua" w:cs="Book Antiqua"/>
          <w:color w:val="000000"/>
        </w:rPr>
        <w:t xml:space="preserve">the </w:t>
      </w:r>
      <w:r>
        <w:rPr>
          <w:rFonts w:ascii="Book Antiqua" w:eastAsia="Book Antiqua" w:hAnsi="Book Antiqua" w:cs="Book Antiqua"/>
          <w:color w:val="000000"/>
        </w:rPr>
        <w:t xml:space="preserve">CS dose while decreasing or stopping the other immunosuppressive treatments. Antiproliferative immunosuppressant agents should be ceased during COVID-19 therapy. It is not clear whether </w:t>
      </w:r>
      <w:r w:rsidR="00F22748" w:rsidRPr="00F22748">
        <w:rPr>
          <w:rFonts w:ascii="Book Antiqua" w:eastAsia="Book Antiqua" w:hAnsi="Book Antiqua" w:cs="Book Antiqua"/>
          <w:color w:val="000000"/>
        </w:rPr>
        <w:t xml:space="preserve">calcineurin inhibitor </w:t>
      </w:r>
      <w:r w:rsidR="00F22748">
        <w:rPr>
          <w:rFonts w:ascii="Book Antiqua" w:eastAsia="Book Antiqua" w:hAnsi="Book Antiqua" w:cs="Book Antiqua"/>
          <w:color w:val="000000"/>
        </w:rPr>
        <w:t>(</w:t>
      </w:r>
      <w:r>
        <w:rPr>
          <w:rFonts w:ascii="Book Antiqua" w:eastAsia="Book Antiqua" w:hAnsi="Book Antiqua" w:cs="Book Antiqua"/>
          <w:color w:val="000000"/>
        </w:rPr>
        <w:t>CNI</w:t>
      </w:r>
      <w:r w:rsidR="00F22748">
        <w:rPr>
          <w:rFonts w:ascii="Book Antiqua" w:eastAsia="Book Antiqua" w:hAnsi="Book Antiqua" w:cs="Book Antiqua"/>
          <w:color w:val="000000"/>
        </w:rPr>
        <w:t>)</w:t>
      </w:r>
      <w:r>
        <w:rPr>
          <w:rFonts w:ascii="Book Antiqua" w:eastAsia="Book Antiqua" w:hAnsi="Book Antiqua" w:cs="Book Antiqua"/>
          <w:color w:val="000000"/>
        </w:rPr>
        <w:t xml:space="preserve"> doses should be reduced or not. CNI withdrawal is recommended for patients with severe pneumonia that may need </w:t>
      </w:r>
      <w:proofErr w:type="gramStart"/>
      <w:r>
        <w:rPr>
          <w:rFonts w:ascii="Book Antiqua" w:eastAsia="Book Antiqua" w:hAnsi="Book Antiqua" w:cs="Book Antiqua"/>
          <w:color w:val="000000"/>
        </w:rPr>
        <w:t>intubation</w:t>
      </w:r>
      <w:r w:rsidR="00EC7D92" w:rsidRPr="00555E7F">
        <w:rPr>
          <w:rFonts w:ascii="Book Antiqua" w:eastAsia="Book Antiqua" w:hAnsi="Book Antiqua" w:cs="Book Antiqua"/>
          <w:color w:val="000000"/>
          <w:vertAlign w:val="superscript"/>
        </w:rPr>
        <w:t>[</w:t>
      </w:r>
      <w:proofErr w:type="gramEnd"/>
      <w:r w:rsidR="00EC7D92" w:rsidRPr="00555E7F">
        <w:rPr>
          <w:rFonts w:ascii="Book Antiqua" w:eastAsia="Book Antiqua" w:hAnsi="Book Antiqua" w:cs="Book Antiqua"/>
          <w:color w:val="000000"/>
          <w:vertAlign w:val="superscript"/>
        </w:rPr>
        <w:t>8]</w:t>
      </w:r>
      <w:r>
        <w:rPr>
          <w:rFonts w:ascii="Book Antiqua" w:eastAsia="Book Antiqua" w:hAnsi="Book Antiqua" w:cs="Book Antiqua"/>
          <w:color w:val="000000"/>
        </w:rPr>
        <w:t>.</w:t>
      </w:r>
    </w:p>
    <w:p w14:paraId="62215E10" w14:textId="7DDE9119" w:rsidR="00A77B3E" w:rsidRDefault="00B80431" w:rsidP="00EC7D92">
      <w:pPr>
        <w:spacing w:line="360" w:lineRule="auto"/>
        <w:ind w:firstLineChars="100" w:firstLine="240"/>
        <w:jc w:val="both"/>
      </w:pPr>
      <w:r>
        <w:rPr>
          <w:rFonts w:ascii="Book Antiqua" w:eastAsia="Book Antiqua" w:hAnsi="Book Antiqua" w:cs="Book Antiqua"/>
          <w:color w:val="000000"/>
        </w:rPr>
        <w:t xml:space="preserve">During the COVID-19 pandemic, various single or combination drugs have been used in the search for an effective treatment.  The search underscores the significance of drug interactions. QT monitoring is mandatory when hydroxychloroquine and azithromycin are </w:t>
      </w:r>
      <w:proofErr w:type="gramStart"/>
      <w:r>
        <w:rPr>
          <w:rFonts w:ascii="Book Antiqua" w:eastAsia="Book Antiqua" w:hAnsi="Book Antiqua" w:cs="Book Antiqua"/>
          <w:color w:val="000000"/>
        </w:rPr>
        <w:t>combined</w:t>
      </w:r>
      <w:r w:rsidR="00EC7D92" w:rsidRPr="00555E7F">
        <w:rPr>
          <w:rFonts w:ascii="Book Antiqua" w:eastAsia="Book Antiqua" w:hAnsi="Book Antiqua" w:cs="Book Antiqua"/>
          <w:color w:val="000000"/>
          <w:vertAlign w:val="superscript"/>
        </w:rPr>
        <w:t>[</w:t>
      </w:r>
      <w:proofErr w:type="gramEnd"/>
      <w:r w:rsidR="00EC7D92" w:rsidRPr="00555E7F">
        <w:rPr>
          <w:rFonts w:ascii="Book Antiqua" w:eastAsia="Book Antiqua" w:hAnsi="Book Antiqua" w:cs="Book Antiqua"/>
          <w:color w:val="000000"/>
          <w:vertAlign w:val="superscript"/>
        </w:rPr>
        <w:t>13]</w:t>
      </w:r>
      <w:r>
        <w:rPr>
          <w:rFonts w:ascii="Book Antiqua" w:eastAsia="Book Antiqua" w:hAnsi="Book Antiqua" w:cs="Book Antiqua"/>
          <w:color w:val="000000"/>
        </w:rPr>
        <w:t>. QT prolongation, mostly seen in pharmaceutical interactions, was not detected in our patient. A limited number of studies have emphasized the significance of pharmaceutical interactions between immunosuppressive treatments and COVID</w:t>
      </w:r>
      <w:r w:rsidR="00F22748">
        <w:rPr>
          <w:rFonts w:ascii="Book Antiqua" w:eastAsia="Book Antiqua" w:hAnsi="Book Antiqua" w:cs="Book Antiqua"/>
          <w:color w:val="000000"/>
        </w:rPr>
        <w:t>-</w:t>
      </w:r>
      <w:r>
        <w:rPr>
          <w:rFonts w:ascii="Book Antiqua" w:eastAsia="Book Antiqua" w:hAnsi="Book Antiqua" w:cs="Book Antiqua"/>
          <w:color w:val="000000"/>
        </w:rPr>
        <w:t xml:space="preserve">19 </w:t>
      </w:r>
      <w:proofErr w:type="gramStart"/>
      <w:r>
        <w:rPr>
          <w:rFonts w:ascii="Book Antiqua" w:eastAsia="Book Antiqua" w:hAnsi="Book Antiqua" w:cs="Book Antiqua"/>
          <w:color w:val="000000"/>
        </w:rPr>
        <w:t>therapy</w:t>
      </w:r>
      <w:r w:rsidR="00F22748" w:rsidRPr="00555E7F">
        <w:rPr>
          <w:rFonts w:ascii="Book Antiqua" w:eastAsia="Book Antiqua" w:hAnsi="Book Antiqua" w:cs="Book Antiqua"/>
          <w:color w:val="000000"/>
          <w:vertAlign w:val="superscript"/>
        </w:rPr>
        <w:t>[</w:t>
      </w:r>
      <w:proofErr w:type="gramEnd"/>
      <w:r w:rsidR="00F22748" w:rsidRPr="00555E7F">
        <w:rPr>
          <w:rFonts w:ascii="Book Antiqua" w:eastAsia="Book Antiqua" w:hAnsi="Book Antiqua" w:cs="Book Antiqua"/>
          <w:color w:val="000000"/>
          <w:vertAlign w:val="superscript"/>
        </w:rPr>
        <w:t>14]</w:t>
      </w:r>
      <w:r>
        <w:rPr>
          <w:rFonts w:ascii="Book Antiqua" w:eastAsia="Book Antiqua" w:hAnsi="Book Antiqua" w:cs="Book Antiqua"/>
          <w:color w:val="000000"/>
        </w:rPr>
        <w:t xml:space="preserve">. Medications used for COVID-19 therapy, including, azithromycin, </w:t>
      </w:r>
      <w:proofErr w:type="spellStart"/>
      <w:r>
        <w:rPr>
          <w:rFonts w:ascii="Book Antiqua" w:eastAsia="Book Antiqua" w:hAnsi="Book Antiqua" w:cs="Book Antiqua"/>
          <w:color w:val="000000"/>
        </w:rPr>
        <w:t>atazanavir</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lopinavir</w:t>
      </w:r>
      <w:proofErr w:type="spellEnd"/>
      <w:r>
        <w:rPr>
          <w:rFonts w:ascii="Book Antiqua" w:eastAsia="Book Antiqua" w:hAnsi="Book Antiqua" w:cs="Book Antiqua"/>
          <w:color w:val="000000"/>
        </w:rPr>
        <w:t xml:space="preserve">/ritonavir, </w:t>
      </w:r>
      <w:proofErr w:type="spellStart"/>
      <w:r>
        <w:rPr>
          <w:rFonts w:ascii="Book Antiqua" w:eastAsia="Book Antiqua" w:hAnsi="Book Antiqua" w:cs="Book Antiqua"/>
          <w:color w:val="000000"/>
        </w:rPr>
        <w:t>remdesivir</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favipiravir</w:t>
      </w:r>
      <w:proofErr w:type="spellEnd"/>
      <w:r>
        <w:rPr>
          <w:rFonts w:ascii="Book Antiqua" w:eastAsia="Book Antiqua" w:hAnsi="Book Antiqua" w:cs="Book Antiqua"/>
          <w:color w:val="000000"/>
        </w:rPr>
        <w:t>, chloroquine, hydroxychloroquine, nitazoxanide, ribavirin, and tocilizumab may interact with immunosuppressive treatments through different pathways. Mycophenolate potentially interacts with lopinavir/ritonavir.  A dose reduction and close laboratory monitoring are required when both drugs are used in combination. Sirolimus is known to increase the level of atazanavir and lopinavir/ritonavir</w:t>
      </w:r>
      <w:r w:rsidR="000D1B5F">
        <w:rPr>
          <w:rFonts w:ascii="Book Antiqua" w:eastAsia="Book Antiqua" w:hAnsi="Book Antiqua" w:cs="Book Antiqua"/>
          <w:color w:val="000000"/>
        </w:rPr>
        <w:t>;</w:t>
      </w:r>
      <w:r>
        <w:rPr>
          <w:rFonts w:ascii="Book Antiqua" w:eastAsia="Book Antiqua" w:hAnsi="Book Antiqua" w:cs="Book Antiqua"/>
          <w:color w:val="000000"/>
        </w:rPr>
        <w:t xml:space="preserve"> therefore</w:t>
      </w:r>
      <w:r w:rsidR="000D1B5F">
        <w:rPr>
          <w:rFonts w:ascii="Book Antiqua" w:eastAsia="Book Antiqua" w:hAnsi="Book Antiqua" w:cs="Book Antiqua"/>
          <w:color w:val="000000"/>
        </w:rPr>
        <w:t>,</w:t>
      </w:r>
      <w:r>
        <w:rPr>
          <w:rFonts w:ascii="Book Antiqua" w:eastAsia="Book Antiqua" w:hAnsi="Book Antiqua" w:cs="Book Antiqua"/>
          <w:color w:val="000000"/>
        </w:rPr>
        <w:t xml:space="preserve"> their combination is contradictory. Calcineurin inhibitors increase the serum levels of atazanavir, lopinavir/ritonavir, chloroquine, and hydroxychloroquine. Dose adaptation and close monitoring are recommended. Finally, CNI may slightly decrease tocilizumab </w:t>
      </w:r>
      <w:proofErr w:type="gramStart"/>
      <w:r>
        <w:rPr>
          <w:rFonts w:ascii="Book Antiqua" w:eastAsia="Book Antiqua" w:hAnsi="Book Antiqua" w:cs="Book Antiqua"/>
          <w:color w:val="000000"/>
        </w:rPr>
        <w:t>levels</w:t>
      </w:r>
      <w:r w:rsidR="00F22748" w:rsidRPr="00555E7F">
        <w:rPr>
          <w:rFonts w:ascii="Book Antiqua" w:eastAsia="Book Antiqua" w:hAnsi="Book Antiqua" w:cs="Book Antiqua"/>
          <w:color w:val="000000"/>
          <w:vertAlign w:val="superscript"/>
        </w:rPr>
        <w:t>[</w:t>
      </w:r>
      <w:proofErr w:type="gramEnd"/>
      <w:r w:rsidR="00F22748" w:rsidRPr="00555E7F">
        <w:rPr>
          <w:rFonts w:ascii="Book Antiqua" w:eastAsia="Book Antiqua" w:hAnsi="Book Antiqua" w:cs="Book Antiqua"/>
          <w:color w:val="000000"/>
          <w:vertAlign w:val="superscript"/>
        </w:rPr>
        <w:t>15]</w:t>
      </w:r>
      <w:r>
        <w:rPr>
          <w:rFonts w:ascii="Book Antiqua" w:eastAsia="Book Antiqua" w:hAnsi="Book Antiqua" w:cs="Book Antiqua"/>
          <w:color w:val="000000"/>
        </w:rPr>
        <w:t xml:space="preserve">. Macrolides increase CNI levels through their interaction with the p450 enzyme. </w:t>
      </w:r>
      <w:r w:rsidR="000D1B5F">
        <w:rPr>
          <w:rFonts w:ascii="Book Antiqua" w:eastAsia="Book Antiqua" w:hAnsi="Book Antiqua" w:cs="Book Antiqua"/>
          <w:color w:val="000000"/>
        </w:rPr>
        <w:t>The macrolide a</w:t>
      </w:r>
      <w:r>
        <w:rPr>
          <w:rFonts w:ascii="Book Antiqua" w:eastAsia="Book Antiqua" w:hAnsi="Book Antiqua" w:cs="Book Antiqua"/>
          <w:color w:val="000000"/>
        </w:rPr>
        <w:t xml:space="preserve">zithromycin is </w:t>
      </w:r>
      <w:r w:rsidR="000D1B5F">
        <w:rPr>
          <w:rFonts w:ascii="Book Antiqua" w:eastAsia="Book Antiqua" w:hAnsi="Book Antiqua" w:cs="Book Antiqua"/>
          <w:color w:val="000000"/>
        </w:rPr>
        <w:t>well known</w:t>
      </w:r>
      <w:r>
        <w:rPr>
          <w:rFonts w:ascii="Book Antiqua" w:eastAsia="Book Antiqua" w:hAnsi="Book Antiqua" w:cs="Book Antiqua"/>
          <w:color w:val="000000"/>
        </w:rPr>
        <w:t xml:space="preserve"> for its minimal effect on the p450 enzyme </w:t>
      </w:r>
      <w:proofErr w:type="gramStart"/>
      <w:r>
        <w:rPr>
          <w:rFonts w:ascii="Book Antiqua" w:eastAsia="Book Antiqua" w:hAnsi="Book Antiqua" w:cs="Book Antiqua"/>
          <w:color w:val="000000"/>
        </w:rPr>
        <w:t>system</w:t>
      </w:r>
      <w:r w:rsidR="00F22748" w:rsidRPr="00555E7F">
        <w:rPr>
          <w:rFonts w:ascii="Book Antiqua" w:eastAsia="Book Antiqua" w:hAnsi="Book Antiqua" w:cs="Book Antiqua"/>
          <w:color w:val="000000"/>
          <w:vertAlign w:val="superscript"/>
        </w:rPr>
        <w:t>[</w:t>
      </w:r>
      <w:proofErr w:type="gramEnd"/>
      <w:r w:rsidR="00F22748" w:rsidRPr="00555E7F">
        <w:rPr>
          <w:rFonts w:ascii="Book Antiqua" w:eastAsia="Book Antiqua" w:hAnsi="Book Antiqua" w:cs="Book Antiqua"/>
          <w:color w:val="000000"/>
          <w:vertAlign w:val="superscript"/>
        </w:rPr>
        <w:t>16]</w:t>
      </w:r>
      <w:r>
        <w:rPr>
          <w:rFonts w:ascii="Book Antiqua" w:eastAsia="Book Antiqua" w:hAnsi="Book Antiqua" w:cs="Book Antiqua"/>
          <w:color w:val="000000"/>
        </w:rPr>
        <w:t>.</w:t>
      </w:r>
    </w:p>
    <w:p w14:paraId="35227CA8" w14:textId="427905A4" w:rsidR="00A77B3E" w:rsidRDefault="00B80431" w:rsidP="00F22748">
      <w:pPr>
        <w:spacing w:line="360" w:lineRule="auto"/>
        <w:ind w:firstLineChars="100" w:firstLine="240"/>
        <w:jc w:val="both"/>
      </w:pPr>
      <w:r>
        <w:rPr>
          <w:rFonts w:ascii="Book Antiqua" w:eastAsia="Book Antiqua" w:hAnsi="Book Antiqua" w:cs="Book Antiqua"/>
          <w:color w:val="000000"/>
        </w:rPr>
        <w:t xml:space="preserve">Our patient demonstrated elevated tacrolimus drug levels and a subsequent increase in serum creatinine, as a result of the addition of azithromycin to treat COVID-19. After the withdrawal of azithromycin, tacrolimus levels rapidly returned to target values. Target CNI values for renal transplant patients with COVID-19 should be between 4 </w:t>
      </w:r>
      <w:r>
        <w:rPr>
          <w:rFonts w:ascii="Book Antiqua" w:eastAsia="Book Antiqua" w:hAnsi="Book Antiqua" w:cs="Book Antiqua"/>
          <w:color w:val="000000"/>
        </w:rPr>
        <w:lastRenderedPageBreak/>
        <w:t xml:space="preserve">and 6 </w:t>
      </w:r>
      <w:proofErr w:type="spellStart"/>
      <w:r>
        <w:rPr>
          <w:rFonts w:ascii="Book Antiqua" w:eastAsia="Book Antiqua" w:hAnsi="Book Antiqua" w:cs="Book Antiqua"/>
          <w:color w:val="000000"/>
        </w:rPr>
        <w:t>ng</w:t>
      </w:r>
      <w:proofErr w:type="spellEnd"/>
      <w:r>
        <w:rPr>
          <w:rFonts w:ascii="Book Antiqua" w:eastAsia="Book Antiqua" w:hAnsi="Book Antiqua" w:cs="Book Antiqua"/>
          <w:color w:val="000000"/>
        </w:rPr>
        <w:t>/</w:t>
      </w:r>
      <w:proofErr w:type="spellStart"/>
      <w:r>
        <w:rPr>
          <w:rFonts w:ascii="Book Antiqua" w:eastAsia="Book Antiqua" w:hAnsi="Book Antiqua" w:cs="Book Antiqua"/>
          <w:color w:val="000000"/>
        </w:rPr>
        <w:t>mL.</w:t>
      </w:r>
      <w:proofErr w:type="spellEnd"/>
      <w:r>
        <w:rPr>
          <w:rFonts w:ascii="Book Antiqua" w:eastAsia="Book Antiqua" w:hAnsi="Book Antiqua" w:cs="Book Antiqua"/>
          <w:color w:val="000000"/>
        </w:rPr>
        <w:t xml:space="preserve"> </w:t>
      </w:r>
      <w:r w:rsidR="000D1B5F">
        <w:rPr>
          <w:rFonts w:ascii="Book Antiqua" w:eastAsia="Book Antiqua" w:hAnsi="Book Antiqua" w:cs="Book Antiqua"/>
          <w:color w:val="000000"/>
        </w:rPr>
        <w:t>As</w:t>
      </w:r>
      <w:r>
        <w:rPr>
          <w:rFonts w:ascii="Book Antiqua" w:eastAsia="Book Antiqua" w:hAnsi="Book Antiqua" w:cs="Book Antiqua"/>
          <w:color w:val="000000"/>
        </w:rPr>
        <w:t xml:space="preserve"> azithromycin may interact with CNI, CNI blood levels should be checked frequently when both are combined.</w:t>
      </w:r>
    </w:p>
    <w:p w14:paraId="071501A4" w14:textId="77777777" w:rsidR="00A77B3E" w:rsidRDefault="00A77B3E">
      <w:pPr>
        <w:spacing w:line="360" w:lineRule="auto"/>
        <w:jc w:val="both"/>
      </w:pPr>
    </w:p>
    <w:p w14:paraId="4BECA46E" w14:textId="77777777" w:rsidR="00A77B3E" w:rsidRDefault="00B80431">
      <w:pPr>
        <w:spacing w:line="360" w:lineRule="auto"/>
        <w:jc w:val="both"/>
      </w:pPr>
      <w:r>
        <w:rPr>
          <w:rFonts w:ascii="Book Antiqua" w:eastAsia="Book Antiqua" w:hAnsi="Book Antiqua" w:cs="Book Antiqua"/>
          <w:b/>
          <w:caps/>
          <w:color w:val="000000"/>
          <w:u w:val="single"/>
        </w:rPr>
        <w:t>CONCLUSION</w:t>
      </w:r>
    </w:p>
    <w:p w14:paraId="506CDE1C" w14:textId="4C0E6A74" w:rsidR="00A77B3E" w:rsidRDefault="00B80431">
      <w:pPr>
        <w:spacing w:line="360" w:lineRule="auto"/>
        <w:jc w:val="both"/>
      </w:pPr>
      <w:r>
        <w:rPr>
          <w:rFonts w:ascii="Book Antiqua" w:eastAsia="Book Antiqua" w:hAnsi="Book Antiqua" w:cs="Book Antiqua"/>
          <w:color w:val="000000"/>
        </w:rPr>
        <w:t xml:space="preserve">Kidney transplant patients are </w:t>
      </w:r>
      <w:r w:rsidR="000D1B5F">
        <w:rPr>
          <w:rFonts w:ascii="Book Antiqua" w:eastAsia="Book Antiqua" w:hAnsi="Book Antiqua" w:cs="Book Antiqua"/>
          <w:color w:val="000000"/>
        </w:rPr>
        <w:t xml:space="preserve">at </w:t>
      </w:r>
      <w:r>
        <w:rPr>
          <w:rFonts w:ascii="Book Antiqua" w:eastAsia="Book Antiqua" w:hAnsi="Book Antiqua" w:cs="Book Antiqua"/>
          <w:color w:val="000000"/>
        </w:rPr>
        <w:t>risk of COVID-19 depending on the time of transplant, graft function, age, and comorbidities. Immunosuppression may lead to severe COVID-19 with complications. However, a decrease in viral load due to immunosuppressive treatment may lead to a milder and atypical presentation.</w:t>
      </w:r>
    </w:p>
    <w:p w14:paraId="7B91C351" w14:textId="46EF327E" w:rsidR="00A77B3E" w:rsidRDefault="000D1B5F" w:rsidP="00F22748">
      <w:pPr>
        <w:spacing w:line="360" w:lineRule="auto"/>
        <w:ind w:firstLineChars="100" w:firstLine="240"/>
        <w:jc w:val="both"/>
      </w:pPr>
      <w:r>
        <w:rPr>
          <w:rFonts w:ascii="Book Antiqua" w:eastAsia="Book Antiqua" w:hAnsi="Book Antiqua" w:cs="Book Antiqua"/>
          <w:color w:val="000000"/>
        </w:rPr>
        <w:t xml:space="preserve">A </w:t>
      </w:r>
      <w:r w:rsidR="00B80431">
        <w:rPr>
          <w:rFonts w:ascii="Book Antiqua" w:eastAsia="Book Antiqua" w:hAnsi="Book Antiqua" w:cs="Book Antiqua"/>
          <w:color w:val="000000"/>
        </w:rPr>
        <w:t xml:space="preserve">reduction </w:t>
      </w:r>
      <w:r>
        <w:rPr>
          <w:rFonts w:ascii="Book Antiqua" w:eastAsia="Book Antiqua" w:hAnsi="Book Antiqua" w:cs="Book Antiqua"/>
          <w:color w:val="000000"/>
        </w:rPr>
        <w:t>in</w:t>
      </w:r>
      <w:r w:rsidR="00B80431">
        <w:rPr>
          <w:rFonts w:ascii="Book Antiqua" w:eastAsia="Book Antiqua" w:hAnsi="Book Antiqua" w:cs="Book Antiqua"/>
          <w:color w:val="000000"/>
        </w:rPr>
        <w:t xml:space="preserve"> immunosuppressive treatment</w:t>
      </w:r>
      <w:r>
        <w:rPr>
          <w:rFonts w:ascii="Book Antiqua" w:eastAsia="Book Antiqua" w:hAnsi="Book Antiqua" w:cs="Book Antiqua"/>
          <w:color w:val="000000"/>
        </w:rPr>
        <w:t xml:space="preserve"> should be considered in critically ill patients</w:t>
      </w:r>
      <w:r w:rsidR="00B80431">
        <w:rPr>
          <w:rFonts w:ascii="Book Antiqua" w:eastAsia="Book Antiqua" w:hAnsi="Book Antiqua" w:cs="Book Antiqua"/>
          <w:color w:val="000000"/>
        </w:rPr>
        <w:t xml:space="preserve">. </w:t>
      </w:r>
      <w:r>
        <w:rPr>
          <w:rFonts w:ascii="Book Antiqua" w:eastAsia="Book Antiqua" w:hAnsi="Book Antiqua" w:cs="Book Antiqua"/>
          <w:color w:val="000000"/>
        </w:rPr>
        <w:t>In a</w:t>
      </w:r>
      <w:r w:rsidR="00B80431">
        <w:rPr>
          <w:rFonts w:ascii="Book Antiqua" w:eastAsia="Book Antiqua" w:hAnsi="Book Antiqua" w:cs="Book Antiqua"/>
          <w:color w:val="000000"/>
        </w:rPr>
        <w:t xml:space="preserve">ddition, special attention should be paid to the pharmaceutical interactions between antibiotics, antivirals, and immunosuppressants. Modification of immunosuppressive therapy in COVID-19 patients entails cessation of antiproliferative therapy. In addition to this, </w:t>
      </w:r>
      <w:r w:rsidR="00CD7979">
        <w:rPr>
          <w:rFonts w:ascii="Book Antiqua" w:eastAsia="Book Antiqua" w:hAnsi="Book Antiqua" w:cs="Book Antiqua"/>
          <w:color w:val="000000"/>
        </w:rPr>
        <w:t>an increase rather than a reduction in</w:t>
      </w:r>
      <w:r w:rsidR="00B80431">
        <w:rPr>
          <w:rFonts w:ascii="Book Antiqua" w:eastAsia="Book Antiqua" w:hAnsi="Book Antiqua" w:cs="Book Antiqua"/>
          <w:color w:val="000000"/>
        </w:rPr>
        <w:t xml:space="preserve"> steroid dose is necessary. Calcineurin inhibitor withdrawal may be required depending on the presentation and progress</w:t>
      </w:r>
      <w:r w:rsidR="00CD7979">
        <w:rPr>
          <w:rFonts w:ascii="Book Antiqua" w:eastAsia="Book Antiqua" w:hAnsi="Book Antiqua" w:cs="Book Antiqua"/>
          <w:color w:val="000000"/>
        </w:rPr>
        <w:t>ion</w:t>
      </w:r>
      <w:r w:rsidR="00B80431">
        <w:rPr>
          <w:rFonts w:ascii="Book Antiqua" w:eastAsia="Book Antiqua" w:hAnsi="Book Antiqua" w:cs="Book Antiqua"/>
          <w:color w:val="000000"/>
        </w:rPr>
        <w:t xml:space="preserve"> of COVID-19. If there</w:t>
      </w:r>
      <w:r w:rsidR="00CD7979">
        <w:rPr>
          <w:rFonts w:ascii="Book Antiqua" w:eastAsia="Book Antiqua" w:hAnsi="Book Antiqua" w:cs="Book Antiqua"/>
          <w:color w:val="000000"/>
        </w:rPr>
        <w:t xml:space="preserve"> i</w:t>
      </w:r>
      <w:r w:rsidR="00B80431">
        <w:rPr>
          <w:rFonts w:ascii="Book Antiqua" w:eastAsia="Book Antiqua" w:hAnsi="Book Antiqua" w:cs="Book Antiqua"/>
          <w:color w:val="000000"/>
        </w:rPr>
        <w:t xml:space="preserve">s no need to withdraw CNI treatment, then, serum trough levels should be frequently </w:t>
      </w:r>
      <w:r w:rsidR="00CD7979">
        <w:rPr>
          <w:rFonts w:ascii="Book Antiqua" w:eastAsia="Book Antiqua" w:hAnsi="Book Antiqua" w:cs="Book Antiqua"/>
          <w:color w:val="000000"/>
        </w:rPr>
        <w:t xml:space="preserve">monitored </w:t>
      </w:r>
      <w:r w:rsidR="00B80431">
        <w:rPr>
          <w:rFonts w:ascii="Book Antiqua" w:eastAsia="Book Antiqua" w:hAnsi="Book Antiqua" w:cs="Book Antiqua"/>
          <w:color w:val="000000"/>
        </w:rPr>
        <w:t xml:space="preserve">to prevent </w:t>
      </w:r>
      <w:r w:rsidR="00CD7979">
        <w:rPr>
          <w:rFonts w:ascii="Book Antiqua" w:eastAsia="Book Antiqua" w:hAnsi="Book Antiqua" w:cs="Book Antiqua"/>
          <w:color w:val="000000"/>
        </w:rPr>
        <w:t xml:space="preserve">graft </w:t>
      </w:r>
      <w:r w:rsidR="00B80431">
        <w:rPr>
          <w:rFonts w:ascii="Book Antiqua" w:eastAsia="Book Antiqua" w:hAnsi="Book Antiqua" w:cs="Book Antiqua"/>
          <w:color w:val="000000"/>
        </w:rPr>
        <w:t>toxicity.</w:t>
      </w:r>
    </w:p>
    <w:p w14:paraId="21FEF0E4" w14:textId="77777777" w:rsidR="00A77B3E" w:rsidRDefault="00A77B3E">
      <w:pPr>
        <w:spacing w:line="360" w:lineRule="auto"/>
        <w:jc w:val="both"/>
      </w:pPr>
    </w:p>
    <w:p w14:paraId="4C6C150C" w14:textId="77777777" w:rsidR="00A77B3E" w:rsidRDefault="00B80431">
      <w:pPr>
        <w:spacing w:line="360" w:lineRule="auto"/>
        <w:jc w:val="both"/>
      </w:pPr>
      <w:r>
        <w:rPr>
          <w:rFonts w:ascii="Book Antiqua" w:eastAsia="Book Antiqua" w:hAnsi="Book Antiqua" w:cs="Book Antiqua"/>
          <w:b/>
          <w:color w:val="000000"/>
        </w:rPr>
        <w:t>REFERENCES</w:t>
      </w:r>
    </w:p>
    <w:p w14:paraId="69704C5E" w14:textId="77777777" w:rsidR="00A77B3E" w:rsidRDefault="00B80431">
      <w:pPr>
        <w:spacing w:line="360" w:lineRule="auto"/>
        <w:jc w:val="both"/>
      </w:pPr>
      <w:r>
        <w:rPr>
          <w:rFonts w:ascii="Book Antiqua" w:eastAsia="Book Antiqua" w:hAnsi="Book Antiqua" w:cs="Book Antiqua"/>
          <w:color w:val="000000"/>
        </w:rPr>
        <w:t xml:space="preserve">1 </w:t>
      </w:r>
      <w:r>
        <w:rPr>
          <w:rFonts w:ascii="Book Antiqua" w:eastAsia="Book Antiqua" w:hAnsi="Book Antiqua" w:cs="Book Antiqua"/>
          <w:b/>
          <w:bCs/>
          <w:color w:val="000000"/>
        </w:rPr>
        <w:t>Zhu L</w:t>
      </w:r>
      <w:r>
        <w:rPr>
          <w:rFonts w:ascii="Book Antiqua" w:eastAsia="Book Antiqua" w:hAnsi="Book Antiqua" w:cs="Book Antiqua"/>
          <w:color w:val="000000"/>
        </w:rPr>
        <w:t xml:space="preserve">, Xu X, Ma K, Yang J, Guan H, Chen S, Chen Z, Chen G. Successful recovery of COVID-19 pneumonia in a renal transplant recipient with long-term immunosuppression. </w:t>
      </w:r>
      <w:r>
        <w:rPr>
          <w:rFonts w:ascii="Book Antiqua" w:eastAsia="Book Antiqua" w:hAnsi="Book Antiqua" w:cs="Book Antiqua"/>
          <w:i/>
          <w:iCs/>
          <w:color w:val="000000"/>
        </w:rPr>
        <w:t>Am J Transplant</w:t>
      </w:r>
      <w:r>
        <w:rPr>
          <w:rFonts w:ascii="Book Antiqua" w:eastAsia="Book Antiqua" w:hAnsi="Book Antiqua" w:cs="Book Antiqua"/>
          <w:color w:val="000000"/>
        </w:rPr>
        <w:t xml:space="preserve"> 2020; </w:t>
      </w:r>
      <w:r>
        <w:rPr>
          <w:rFonts w:ascii="Book Antiqua" w:eastAsia="Book Antiqua" w:hAnsi="Book Antiqua" w:cs="Book Antiqua"/>
          <w:b/>
          <w:bCs/>
          <w:color w:val="000000"/>
        </w:rPr>
        <w:t>20</w:t>
      </w:r>
      <w:r>
        <w:rPr>
          <w:rFonts w:ascii="Book Antiqua" w:eastAsia="Book Antiqua" w:hAnsi="Book Antiqua" w:cs="Book Antiqua"/>
          <w:color w:val="000000"/>
        </w:rPr>
        <w:t>: 1859-1863 [PMID: 32181990 DOI: 10.1111/ajt.15869]</w:t>
      </w:r>
    </w:p>
    <w:p w14:paraId="142E9847" w14:textId="77777777" w:rsidR="00A77B3E" w:rsidRDefault="00B80431">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Zhang H</w:t>
      </w:r>
      <w:r>
        <w:rPr>
          <w:rFonts w:ascii="Book Antiqua" w:eastAsia="Book Antiqua" w:hAnsi="Book Antiqua" w:cs="Book Antiqua"/>
          <w:color w:val="000000"/>
        </w:rPr>
        <w:t xml:space="preserve">, Chen Y, Yuan Q, Xia QX, Zeng XP, Peng JT, Liu J, Xiao XY, Jiang GS, Xiao HY, </w:t>
      </w:r>
      <w:proofErr w:type="spellStart"/>
      <w:r>
        <w:rPr>
          <w:rFonts w:ascii="Book Antiqua" w:eastAsia="Book Antiqua" w:hAnsi="Book Antiqua" w:cs="Book Antiqua"/>
          <w:color w:val="000000"/>
        </w:rPr>
        <w:t>Xie</w:t>
      </w:r>
      <w:proofErr w:type="spellEnd"/>
      <w:r>
        <w:rPr>
          <w:rFonts w:ascii="Book Antiqua" w:eastAsia="Book Antiqua" w:hAnsi="Book Antiqua" w:cs="Book Antiqua"/>
          <w:color w:val="000000"/>
        </w:rPr>
        <w:t xml:space="preserve"> LB, Chen J, Liu JL, Xiao X, Su H, Zhang C, Zhang XP, Yang H, Li H, Wang ZD. Identification of Kidney Transplant Recipients with Coronavirus Disease 2019. </w:t>
      </w:r>
      <w:proofErr w:type="spellStart"/>
      <w:r>
        <w:rPr>
          <w:rFonts w:ascii="Book Antiqua" w:eastAsia="Book Antiqua" w:hAnsi="Book Antiqua" w:cs="Book Antiqua"/>
          <w:i/>
          <w:iCs/>
          <w:color w:val="000000"/>
        </w:rPr>
        <w:t>Eur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Urol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77</w:t>
      </w:r>
      <w:r>
        <w:rPr>
          <w:rFonts w:ascii="Book Antiqua" w:eastAsia="Book Antiqua" w:hAnsi="Book Antiqua" w:cs="Book Antiqua"/>
          <w:color w:val="000000"/>
        </w:rPr>
        <w:t>: 742-747 [PMID: 32249089 DOI: 10.1016/j.eururo.2020.03.030]</w:t>
      </w:r>
    </w:p>
    <w:p w14:paraId="5A94A55F" w14:textId="77777777" w:rsidR="00A77B3E" w:rsidRDefault="00B80431">
      <w:pPr>
        <w:spacing w:line="360" w:lineRule="auto"/>
        <w:jc w:val="both"/>
      </w:pPr>
      <w:r>
        <w:rPr>
          <w:rFonts w:ascii="Book Antiqua" w:eastAsia="Book Antiqua" w:hAnsi="Book Antiqua" w:cs="Book Antiqua"/>
          <w:color w:val="000000"/>
        </w:rPr>
        <w:t xml:space="preserve">3 </w:t>
      </w:r>
      <w:proofErr w:type="spellStart"/>
      <w:r>
        <w:rPr>
          <w:rFonts w:ascii="Book Antiqua" w:eastAsia="Book Antiqua" w:hAnsi="Book Antiqua" w:cs="Book Antiqua"/>
          <w:b/>
          <w:bCs/>
          <w:color w:val="000000"/>
        </w:rPr>
        <w:t>Carbajo-Lozoya</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Müller MA, </w:t>
      </w:r>
      <w:proofErr w:type="spellStart"/>
      <w:r>
        <w:rPr>
          <w:rFonts w:ascii="Book Antiqua" w:eastAsia="Book Antiqua" w:hAnsi="Book Antiqua" w:cs="Book Antiqua"/>
          <w:color w:val="000000"/>
        </w:rPr>
        <w:t>Kallies</w:t>
      </w:r>
      <w:proofErr w:type="spellEnd"/>
      <w:r>
        <w:rPr>
          <w:rFonts w:ascii="Book Antiqua" w:eastAsia="Book Antiqua" w:hAnsi="Book Antiqua" w:cs="Book Antiqua"/>
          <w:color w:val="000000"/>
        </w:rPr>
        <w:t xml:space="preserve"> S, Thiel V, </w:t>
      </w:r>
      <w:proofErr w:type="spellStart"/>
      <w:r>
        <w:rPr>
          <w:rFonts w:ascii="Book Antiqua" w:eastAsia="Book Antiqua" w:hAnsi="Book Antiqua" w:cs="Book Antiqua"/>
          <w:color w:val="000000"/>
        </w:rPr>
        <w:t>Drosten</w:t>
      </w:r>
      <w:proofErr w:type="spellEnd"/>
      <w:r>
        <w:rPr>
          <w:rFonts w:ascii="Book Antiqua" w:eastAsia="Book Antiqua" w:hAnsi="Book Antiqua" w:cs="Book Antiqua"/>
          <w:color w:val="000000"/>
        </w:rPr>
        <w:t xml:space="preserve"> C, von </w:t>
      </w:r>
      <w:proofErr w:type="spellStart"/>
      <w:r>
        <w:rPr>
          <w:rFonts w:ascii="Book Antiqua" w:eastAsia="Book Antiqua" w:hAnsi="Book Antiqua" w:cs="Book Antiqua"/>
          <w:color w:val="000000"/>
        </w:rPr>
        <w:t>Brunn</w:t>
      </w:r>
      <w:proofErr w:type="spellEnd"/>
      <w:r>
        <w:rPr>
          <w:rFonts w:ascii="Book Antiqua" w:eastAsia="Book Antiqua" w:hAnsi="Book Antiqua" w:cs="Book Antiqua"/>
          <w:color w:val="000000"/>
        </w:rPr>
        <w:t xml:space="preserve"> A. Replication of human coronaviruses SARS-</w:t>
      </w:r>
      <w:proofErr w:type="spellStart"/>
      <w:r>
        <w:rPr>
          <w:rFonts w:ascii="Book Antiqua" w:eastAsia="Book Antiqua" w:hAnsi="Book Antiqua" w:cs="Book Antiqua"/>
          <w:color w:val="000000"/>
        </w:rPr>
        <w:t>CoV</w:t>
      </w:r>
      <w:proofErr w:type="spellEnd"/>
      <w:r>
        <w:rPr>
          <w:rFonts w:ascii="Book Antiqua" w:eastAsia="Book Antiqua" w:hAnsi="Book Antiqua" w:cs="Book Antiqua"/>
          <w:color w:val="000000"/>
        </w:rPr>
        <w:t xml:space="preserve">, HCoV-NL63 and HCoV-229E is inhibited by the </w:t>
      </w:r>
      <w:r>
        <w:rPr>
          <w:rFonts w:ascii="Book Antiqua" w:eastAsia="Book Antiqua" w:hAnsi="Book Antiqua" w:cs="Book Antiqua"/>
          <w:color w:val="000000"/>
        </w:rPr>
        <w:lastRenderedPageBreak/>
        <w:t xml:space="preserve">drug FK506. </w:t>
      </w:r>
      <w:r>
        <w:rPr>
          <w:rFonts w:ascii="Book Antiqua" w:eastAsia="Book Antiqua" w:hAnsi="Book Antiqua" w:cs="Book Antiqua"/>
          <w:i/>
          <w:iCs/>
          <w:color w:val="000000"/>
        </w:rPr>
        <w:t>Virus Res</w:t>
      </w:r>
      <w:r>
        <w:rPr>
          <w:rFonts w:ascii="Book Antiqua" w:eastAsia="Book Antiqua" w:hAnsi="Book Antiqua" w:cs="Book Antiqua"/>
          <w:color w:val="000000"/>
        </w:rPr>
        <w:t xml:space="preserve"> 2012; </w:t>
      </w:r>
      <w:r>
        <w:rPr>
          <w:rFonts w:ascii="Book Antiqua" w:eastAsia="Book Antiqua" w:hAnsi="Book Antiqua" w:cs="Book Antiqua"/>
          <w:b/>
          <w:bCs/>
          <w:color w:val="000000"/>
        </w:rPr>
        <w:t>165</w:t>
      </w:r>
      <w:r>
        <w:rPr>
          <w:rFonts w:ascii="Book Antiqua" w:eastAsia="Book Antiqua" w:hAnsi="Book Antiqua" w:cs="Book Antiqua"/>
          <w:color w:val="000000"/>
        </w:rPr>
        <w:t>: 112-117 [PMID: 22349148 DOI: 10.1016/j.virusres.2012.02.002]</w:t>
      </w:r>
    </w:p>
    <w:p w14:paraId="13991597" w14:textId="77777777" w:rsidR="00A77B3E" w:rsidRDefault="00B80431">
      <w:pPr>
        <w:spacing w:line="360" w:lineRule="auto"/>
        <w:jc w:val="both"/>
      </w:pPr>
      <w:r>
        <w:rPr>
          <w:rFonts w:ascii="Book Antiqua" w:eastAsia="Book Antiqua" w:hAnsi="Book Antiqua" w:cs="Book Antiqua"/>
          <w:color w:val="000000"/>
        </w:rPr>
        <w:t xml:space="preserve">4 </w:t>
      </w:r>
      <w:proofErr w:type="spellStart"/>
      <w:r>
        <w:rPr>
          <w:rFonts w:ascii="Book Antiqua" w:eastAsia="Book Antiqua" w:hAnsi="Book Antiqua" w:cs="Book Antiqua"/>
          <w:b/>
          <w:bCs/>
          <w:color w:val="000000"/>
        </w:rPr>
        <w:t>Pfefferle</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Schöpf</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Kögl</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Friedel</w:t>
      </w:r>
      <w:proofErr w:type="spellEnd"/>
      <w:r>
        <w:rPr>
          <w:rFonts w:ascii="Book Antiqua" w:eastAsia="Book Antiqua" w:hAnsi="Book Antiqua" w:cs="Book Antiqua"/>
          <w:color w:val="000000"/>
        </w:rPr>
        <w:t xml:space="preserve"> CC, Müller MA, </w:t>
      </w:r>
      <w:proofErr w:type="spellStart"/>
      <w:r>
        <w:rPr>
          <w:rFonts w:ascii="Book Antiqua" w:eastAsia="Book Antiqua" w:hAnsi="Book Antiqua" w:cs="Book Antiqua"/>
          <w:color w:val="000000"/>
        </w:rPr>
        <w:t>Carbajo-Lozoya</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Stellberger</w:t>
      </w:r>
      <w:proofErr w:type="spellEnd"/>
      <w:r>
        <w:rPr>
          <w:rFonts w:ascii="Book Antiqua" w:eastAsia="Book Antiqua" w:hAnsi="Book Antiqua" w:cs="Book Antiqua"/>
          <w:color w:val="000000"/>
        </w:rPr>
        <w:t xml:space="preserve"> T, von </w:t>
      </w:r>
      <w:proofErr w:type="spellStart"/>
      <w:r>
        <w:rPr>
          <w:rFonts w:ascii="Book Antiqua" w:eastAsia="Book Antiqua" w:hAnsi="Book Antiqua" w:cs="Book Antiqua"/>
          <w:color w:val="000000"/>
        </w:rPr>
        <w:t>Dall'Armi</w:t>
      </w:r>
      <w:proofErr w:type="spellEnd"/>
      <w:r>
        <w:rPr>
          <w:rFonts w:ascii="Book Antiqua" w:eastAsia="Book Antiqua" w:hAnsi="Book Antiqua" w:cs="Book Antiqua"/>
          <w:color w:val="000000"/>
        </w:rPr>
        <w:t xml:space="preserve"> E, Herzog P, </w:t>
      </w:r>
      <w:proofErr w:type="spellStart"/>
      <w:r>
        <w:rPr>
          <w:rFonts w:ascii="Book Antiqua" w:eastAsia="Book Antiqua" w:hAnsi="Book Antiqua" w:cs="Book Antiqua"/>
          <w:color w:val="000000"/>
        </w:rPr>
        <w:t>Kallies</w:t>
      </w:r>
      <w:proofErr w:type="spellEnd"/>
      <w:r>
        <w:rPr>
          <w:rFonts w:ascii="Book Antiqua" w:eastAsia="Book Antiqua" w:hAnsi="Book Antiqua" w:cs="Book Antiqua"/>
          <w:color w:val="000000"/>
        </w:rPr>
        <w:t xml:space="preserve"> S, Niemeyer D, </w:t>
      </w:r>
      <w:proofErr w:type="spellStart"/>
      <w:r>
        <w:rPr>
          <w:rFonts w:ascii="Book Antiqua" w:eastAsia="Book Antiqua" w:hAnsi="Book Antiqua" w:cs="Book Antiqua"/>
          <w:color w:val="000000"/>
        </w:rPr>
        <w:t>Ditt</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Kuri</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Züst</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Pumpor</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Hilgenfeld</w:t>
      </w:r>
      <w:proofErr w:type="spellEnd"/>
      <w:r>
        <w:rPr>
          <w:rFonts w:ascii="Book Antiqua" w:eastAsia="Book Antiqua" w:hAnsi="Book Antiqua" w:cs="Book Antiqua"/>
          <w:color w:val="000000"/>
        </w:rPr>
        <w:t xml:space="preserve"> R, Schwarz F, Zimmer R, Steffen I, Weber F, Thiel V, </w:t>
      </w:r>
      <w:proofErr w:type="spellStart"/>
      <w:r>
        <w:rPr>
          <w:rFonts w:ascii="Book Antiqua" w:eastAsia="Book Antiqua" w:hAnsi="Book Antiqua" w:cs="Book Antiqua"/>
          <w:color w:val="000000"/>
        </w:rPr>
        <w:t>Herrler</w:t>
      </w:r>
      <w:proofErr w:type="spellEnd"/>
      <w:r>
        <w:rPr>
          <w:rFonts w:ascii="Book Antiqua" w:eastAsia="Book Antiqua" w:hAnsi="Book Antiqua" w:cs="Book Antiqua"/>
          <w:color w:val="000000"/>
        </w:rPr>
        <w:t xml:space="preserve"> G, Thiel HJ, </w:t>
      </w:r>
      <w:proofErr w:type="spellStart"/>
      <w:r>
        <w:rPr>
          <w:rFonts w:ascii="Book Antiqua" w:eastAsia="Book Antiqua" w:hAnsi="Book Antiqua" w:cs="Book Antiqua"/>
          <w:color w:val="000000"/>
        </w:rPr>
        <w:t>Schwegmann-Wessels</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Pöhlmann</w:t>
      </w:r>
      <w:proofErr w:type="spellEnd"/>
      <w:r>
        <w:rPr>
          <w:rFonts w:ascii="Book Antiqua" w:eastAsia="Book Antiqua" w:hAnsi="Book Antiqua" w:cs="Book Antiqua"/>
          <w:color w:val="000000"/>
        </w:rPr>
        <w:t xml:space="preserve"> S, Haas J, </w:t>
      </w:r>
      <w:proofErr w:type="spellStart"/>
      <w:r>
        <w:rPr>
          <w:rFonts w:ascii="Book Antiqua" w:eastAsia="Book Antiqua" w:hAnsi="Book Antiqua" w:cs="Book Antiqua"/>
          <w:color w:val="000000"/>
        </w:rPr>
        <w:t>Drosten</w:t>
      </w:r>
      <w:proofErr w:type="spellEnd"/>
      <w:r>
        <w:rPr>
          <w:rFonts w:ascii="Book Antiqua" w:eastAsia="Book Antiqua" w:hAnsi="Book Antiqua" w:cs="Book Antiqua"/>
          <w:color w:val="000000"/>
        </w:rPr>
        <w:t xml:space="preserve"> C, von </w:t>
      </w:r>
      <w:proofErr w:type="spellStart"/>
      <w:r>
        <w:rPr>
          <w:rFonts w:ascii="Book Antiqua" w:eastAsia="Book Antiqua" w:hAnsi="Book Antiqua" w:cs="Book Antiqua"/>
          <w:color w:val="000000"/>
        </w:rPr>
        <w:t>Brunn</w:t>
      </w:r>
      <w:proofErr w:type="spellEnd"/>
      <w:r>
        <w:rPr>
          <w:rFonts w:ascii="Book Antiqua" w:eastAsia="Book Antiqua" w:hAnsi="Book Antiqua" w:cs="Book Antiqua"/>
          <w:color w:val="000000"/>
        </w:rPr>
        <w:t xml:space="preserve"> A. The SARS-coronavirus-host interactome: identification of cyclophilins as target for pan-coronavirus inhibitors.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Pathog</w:t>
      </w:r>
      <w:proofErr w:type="spellEnd"/>
      <w:r>
        <w:rPr>
          <w:rFonts w:ascii="Book Antiqua" w:eastAsia="Book Antiqua" w:hAnsi="Book Antiqua" w:cs="Book Antiqua"/>
          <w:color w:val="000000"/>
        </w:rPr>
        <w:t xml:space="preserve"> 2011; </w:t>
      </w:r>
      <w:r>
        <w:rPr>
          <w:rFonts w:ascii="Book Antiqua" w:eastAsia="Book Antiqua" w:hAnsi="Book Antiqua" w:cs="Book Antiqua"/>
          <w:b/>
          <w:bCs/>
          <w:color w:val="000000"/>
        </w:rPr>
        <w:t>7</w:t>
      </w:r>
      <w:r>
        <w:rPr>
          <w:rFonts w:ascii="Book Antiqua" w:eastAsia="Book Antiqua" w:hAnsi="Book Antiqua" w:cs="Book Antiqua"/>
          <w:color w:val="000000"/>
        </w:rPr>
        <w:t>: e1002331 [PMID: 22046132 DOI: 10.1371/journal.ppat.1002331]</w:t>
      </w:r>
    </w:p>
    <w:p w14:paraId="72DE00CB" w14:textId="77777777" w:rsidR="00A77B3E" w:rsidRDefault="00B80431">
      <w:pPr>
        <w:spacing w:line="360" w:lineRule="auto"/>
        <w:jc w:val="both"/>
      </w:pPr>
      <w:r>
        <w:rPr>
          <w:rFonts w:ascii="Book Antiqua" w:eastAsia="Book Antiqua" w:hAnsi="Book Antiqua" w:cs="Book Antiqua"/>
          <w:color w:val="000000"/>
        </w:rPr>
        <w:t xml:space="preserve">5 </w:t>
      </w:r>
      <w:proofErr w:type="spellStart"/>
      <w:r>
        <w:rPr>
          <w:rFonts w:ascii="Book Antiqua" w:eastAsia="Book Antiqua" w:hAnsi="Book Antiqua" w:cs="Book Antiqua"/>
          <w:b/>
          <w:bCs/>
          <w:color w:val="000000"/>
        </w:rPr>
        <w:t>Willicombe</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Thomas D, McAdoo S. COVID-19 and Calcineurin Inhibitors: Should They Get Left Out in the Storm? </w:t>
      </w:r>
      <w:r>
        <w:rPr>
          <w:rFonts w:ascii="Book Antiqua" w:eastAsia="Book Antiqua" w:hAnsi="Book Antiqua" w:cs="Book Antiqua"/>
          <w:i/>
          <w:iCs/>
          <w:color w:val="000000"/>
        </w:rPr>
        <w:t>J Am Soc Nephrol</w:t>
      </w:r>
      <w:r>
        <w:rPr>
          <w:rFonts w:ascii="Book Antiqua" w:eastAsia="Book Antiqua" w:hAnsi="Book Antiqua" w:cs="Book Antiqua"/>
          <w:color w:val="000000"/>
        </w:rPr>
        <w:t xml:space="preserve"> 2020; </w:t>
      </w:r>
      <w:r>
        <w:rPr>
          <w:rFonts w:ascii="Book Antiqua" w:eastAsia="Book Antiqua" w:hAnsi="Book Antiqua" w:cs="Book Antiqua"/>
          <w:b/>
          <w:bCs/>
          <w:color w:val="000000"/>
        </w:rPr>
        <w:t>31</w:t>
      </w:r>
      <w:r>
        <w:rPr>
          <w:rFonts w:ascii="Book Antiqua" w:eastAsia="Book Antiqua" w:hAnsi="Book Antiqua" w:cs="Book Antiqua"/>
          <w:color w:val="000000"/>
        </w:rPr>
        <w:t>: 1145-1146 [PMID: 32312797 DOI: 10.1681/ASN.2020030348]</w:t>
      </w:r>
    </w:p>
    <w:p w14:paraId="49D15BC3" w14:textId="77777777" w:rsidR="00A77B3E" w:rsidRDefault="00B80431">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Huang C</w:t>
      </w:r>
      <w:r>
        <w:rPr>
          <w:rFonts w:ascii="Book Antiqua" w:eastAsia="Book Antiqua" w:hAnsi="Book Antiqua" w:cs="Book Antiqua"/>
          <w:color w:val="000000"/>
        </w:rPr>
        <w:t xml:space="preserve">, Wang Y, Li X, Ren L, Zhao J, Hu Y, Zhang L, Fan G, Xu J, Gu X, Cheng Z, Yu T, Xia J, Wei Y, Wu W, </w:t>
      </w:r>
      <w:proofErr w:type="spellStart"/>
      <w:r>
        <w:rPr>
          <w:rFonts w:ascii="Book Antiqua" w:eastAsia="Book Antiqua" w:hAnsi="Book Antiqua" w:cs="Book Antiqua"/>
          <w:color w:val="000000"/>
        </w:rPr>
        <w:t>Xie</w:t>
      </w:r>
      <w:proofErr w:type="spellEnd"/>
      <w:r>
        <w:rPr>
          <w:rFonts w:ascii="Book Antiqua" w:eastAsia="Book Antiqua" w:hAnsi="Book Antiqua" w:cs="Book Antiqua"/>
          <w:color w:val="000000"/>
        </w:rPr>
        <w:t xml:space="preserve"> X, Yin W, Li H, Liu M, Xiao Y, </w:t>
      </w:r>
      <w:proofErr w:type="spellStart"/>
      <w:r>
        <w:rPr>
          <w:rFonts w:ascii="Book Antiqua" w:eastAsia="Book Antiqua" w:hAnsi="Book Antiqua" w:cs="Book Antiqua"/>
          <w:color w:val="000000"/>
        </w:rPr>
        <w:t>Gao</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Guo</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Xie</w:t>
      </w:r>
      <w:proofErr w:type="spellEnd"/>
      <w:r>
        <w:rPr>
          <w:rFonts w:ascii="Book Antiqua" w:eastAsia="Book Antiqua" w:hAnsi="Book Antiqua" w:cs="Book Antiqua"/>
          <w:color w:val="000000"/>
        </w:rPr>
        <w:t xml:space="preserve"> J, Wang G, Jiang R, </w:t>
      </w:r>
      <w:proofErr w:type="spellStart"/>
      <w:r>
        <w:rPr>
          <w:rFonts w:ascii="Book Antiqua" w:eastAsia="Book Antiqua" w:hAnsi="Book Antiqua" w:cs="Book Antiqua"/>
          <w:color w:val="000000"/>
        </w:rPr>
        <w:t>Gao</w:t>
      </w:r>
      <w:proofErr w:type="spellEnd"/>
      <w:r>
        <w:rPr>
          <w:rFonts w:ascii="Book Antiqua" w:eastAsia="Book Antiqua" w:hAnsi="Book Antiqua" w:cs="Book Antiqua"/>
          <w:color w:val="000000"/>
        </w:rPr>
        <w:t xml:space="preserve"> Z, Jin Q, Wang J, Cao B. Clinical features of patients infected with 2019 novel coronavirus in Wuhan, China.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2020; </w:t>
      </w:r>
      <w:r>
        <w:rPr>
          <w:rFonts w:ascii="Book Antiqua" w:eastAsia="Book Antiqua" w:hAnsi="Book Antiqua" w:cs="Book Antiqua"/>
          <w:b/>
          <w:bCs/>
          <w:color w:val="000000"/>
        </w:rPr>
        <w:t>395</w:t>
      </w:r>
      <w:r>
        <w:rPr>
          <w:rFonts w:ascii="Book Antiqua" w:eastAsia="Book Antiqua" w:hAnsi="Book Antiqua" w:cs="Book Antiqua"/>
          <w:color w:val="000000"/>
        </w:rPr>
        <w:t>: 497-506 [PMID: 31986264 DOI: 10.1016/S0140-6736(20)30183-5]</w:t>
      </w:r>
    </w:p>
    <w:p w14:paraId="7FBA36F4" w14:textId="77777777" w:rsidR="00A77B3E" w:rsidRDefault="00B80431">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Guo YR</w:t>
      </w:r>
      <w:r>
        <w:rPr>
          <w:rFonts w:ascii="Book Antiqua" w:eastAsia="Book Antiqua" w:hAnsi="Book Antiqua" w:cs="Book Antiqua"/>
          <w:color w:val="000000"/>
        </w:rPr>
        <w:t xml:space="preserve">, Cao QD, Hong ZS, Tan YY, Chen SD, Jin HJ, Tan KS, Wang DY, Yan Y. </w:t>
      </w:r>
      <w:proofErr w:type="gramStart"/>
      <w:r>
        <w:rPr>
          <w:rFonts w:ascii="Book Antiqua" w:eastAsia="Book Antiqua" w:hAnsi="Book Antiqua" w:cs="Book Antiqua"/>
          <w:color w:val="000000"/>
        </w:rPr>
        <w:t>The origin, transmission and clinical therapies on coronavirus disease 2019 (COVID-19) outbreak - an update on the status.</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Mil Med Res</w:t>
      </w:r>
      <w:r>
        <w:rPr>
          <w:rFonts w:ascii="Book Antiqua" w:eastAsia="Book Antiqua" w:hAnsi="Book Antiqua" w:cs="Book Antiqua"/>
          <w:color w:val="000000"/>
        </w:rPr>
        <w:t xml:space="preserve"> 2020; </w:t>
      </w:r>
      <w:r>
        <w:rPr>
          <w:rFonts w:ascii="Book Antiqua" w:eastAsia="Book Antiqua" w:hAnsi="Book Antiqua" w:cs="Book Antiqua"/>
          <w:b/>
          <w:bCs/>
          <w:color w:val="000000"/>
        </w:rPr>
        <w:t>7</w:t>
      </w:r>
      <w:r>
        <w:rPr>
          <w:rFonts w:ascii="Book Antiqua" w:eastAsia="Book Antiqua" w:hAnsi="Book Antiqua" w:cs="Book Antiqua"/>
          <w:color w:val="000000"/>
        </w:rPr>
        <w:t>: 11 [PMID: 32169119 DOI: 10.1186/s40779-020-00240-0]</w:t>
      </w:r>
    </w:p>
    <w:p w14:paraId="25DB3D28" w14:textId="77777777" w:rsidR="00A77B3E" w:rsidRDefault="00B80431">
      <w:pPr>
        <w:spacing w:line="360" w:lineRule="auto"/>
        <w:jc w:val="both"/>
      </w:pPr>
      <w:r>
        <w:rPr>
          <w:rFonts w:ascii="Book Antiqua" w:eastAsia="Book Antiqua" w:hAnsi="Book Antiqua" w:cs="Book Antiqua"/>
          <w:color w:val="000000"/>
        </w:rPr>
        <w:t xml:space="preserve">8 </w:t>
      </w:r>
      <w:proofErr w:type="spellStart"/>
      <w:r>
        <w:rPr>
          <w:rFonts w:ascii="Book Antiqua" w:eastAsia="Book Antiqua" w:hAnsi="Book Antiqua" w:cs="Book Antiqua"/>
          <w:b/>
          <w:bCs/>
          <w:color w:val="000000"/>
        </w:rPr>
        <w:t>Guillen</w:t>
      </w:r>
      <w:proofErr w:type="spellEnd"/>
      <w:r>
        <w:rPr>
          <w:rFonts w:ascii="Book Antiqua" w:eastAsia="Book Antiqua" w:hAnsi="Book Antiqua" w:cs="Book Antiqua"/>
          <w:b/>
          <w:bCs/>
          <w:color w:val="000000"/>
        </w:rPr>
        <w:t xml:space="preserve"> 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Pineiro</w:t>
      </w:r>
      <w:proofErr w:type="spellEnd"/>
      <w:r>
        <w:rPr>
          <w:rFonts w:ascii="Book Antiqua" w:eastAsia="Book Antiqua" w:hAnsi="Book Antiqua" w:cs="Book Antiqua"/>
          <w:color w:val="000000"/>
        </w:rPr>
        <w:t xml:space="preserve"> GJ, </w:t>
      </w:r>
      <w:proofErr w:type="spellStart"/>
      <w:r>
        <w:rPr>
          <w:rFonts w:ascii="Book Antiqua" w:eastAsia="Book Antiqua" w:hAnsi="Book Antiqua" w:cs="Book Antiqua"/>
          <w:color w:val="000000"/>
        </w:rPr>
        <w:t>Revuelta</w:t>
      </w:r>
      <w:proofErr w:type="spellEnd"/>
      <w:r>
        <w:rPr>
          <w:rFonts w:ascii="Book Antiqua" w:eastAsia="Book Antiqua" w:hAnsi="Book Antiqua" w:cs="Book Antiqua"/>
          <w:color w:val="000000"/>
        </w:rPr>
        <w:t xml:space="preserve"> I, Rodriguez D, </w:t>
      </w:r>
      <w:proofErr w:type="spellStart"/>
      <w:r>
        <w:rPr>
          <w:rFonts w:ascii="Book Antiqua" w:eastAsia="Book Antiqua" w:hAnsi="Book Antiqua" w:cs="Book Antiqua"/>
          <w:color w:val="000000"/>
        </w:rPr>
        <w:t>Bodro</w:t>
      </w:r>
      <w:proofErr w:type="spellEnd"/>
      <w:r>
        <w:rPr>
          <w:rFonts w:ascii="Book Antiqua" w:eastAsia="Book Antiqua" w:hAnsi="Book Antiqua" w:cs="Book Antiqua"/>
          <w:color w:val="000000"/>
        </w:rPr>
        <w:t xml:space="preserve"> M, Moreno A, </w:t>
      </w:r>
      <w:proofErr w:type="spellStart"/>
      <w:r>
        <w:rPr>
          <w:rFonts w:ascii="Book Antiqua" w:eastAsia="Book Antiqua" w:hAnsi="Book Antiqua" w:cs="Book Antiqua"/>
          <w:color w:val="000000"/>
        </w:rPr>
        <w:t>Campistol</w:t>
      </w:r>
      <w:proofErr w:type="spellEnd"/>
      <w:r>
        <w:rPr>
          <w:rFonts w:ascii="Book Antiqua" w:eastAsia="Book Antiqua" w:hAnsi="Book Antiqua" w:cs="Book Antiqua"/>
          <w:color w:val="000000"/>
        </w:rPr>
        <w:t xml:space="preserve"> JM, </w:t>
      </w:r>
      <w:proofErr w:type="spellStart"/>
      <w:r>
        <w:rPr>
          <w:rFonts w:ascii="Book Antiqua" w:eastAsia="Book Antiqua" w:hAnsi="Book Antiqua" w:cs="Book Antiqua"/>
          <w:color w:val="000000"/>
        </w:rPr>
        <w:t>Diekmann</w:t>
      </w:r>
      <w:proofErr w:type="spellEnd"/>
      <w:r>
        <w:rPr>
          <w:rFonts w:ascii="Book Antiqua" w:eastAsia="Book Antiqua" w:hAnsi="Book Antiqua" w:cs="Book Antiqua"/>
          <w:color w:val="000000"/>
        </w:rPr>
        <w:t xml:space="preserve"> F, Ventura-Aguiar P. Case report of COVID-19 in a kidney transplant recipient: Does immunosuppression alter the clinical presentation? </w:t>
      </w:r>
      <w:r>
        <w:rPr>
          <w:rFonts w:ascii="Book Antiqua" w:eastAsia="Book Antiqua" w:hAnsi="Book Antiqua" w:cs="Book Antiqua"/>
          <w:i/>
          <w:iCs/>
          <w:color w:val="000000"/>
        </w:rPr>
        <w:t>Am J Transplant</w:t>
      </w:r>
      <w:r>
        <w:rPr>
          <w:rFonts w:ascii="Book Antiqua" w:eastAsia="Book Antiqua" w:hAnsi="Book Antiqua" w:cs="Book Antiqua"/>
          <w:color w:val="000000"/>
        </w:rPr>
        <w:t xml:space="preserve"> 2020; </w:t>
      </w:r>
      <w:r>
        <w:rPr>
          <w:rFonts w:ascii="Book Antiqua" w:eastAsia="Book Antiqua" w:hAnsi="Book Antiqua" w:cs="Book Antiqua"/>
          <w:b/>
          <w:bCs/>
          <w:color w:val="000000"/>
        </w:rPr>
        <w:t>20</w:t>
      </w:r>
      <w:r>
        <w:rPr>
          <w:rFonts w:ascii="Book Antiqua" w:eastAsia="Book Antiqua" w:hAnsi="Book Antiqua" w:cs="Book Antiqua"/>
          <w:color w:val="000000"/>
        </w:rPr>
        <w:t>: 1875-1878 [PMID: 32198834 DOI: 10.1111/ajt.15874]</w:t>
      </w:r>
    </w:p>
    <w:p w14:paraId="66C5ED96" w14:textId="77777777" w:rsidR="00A77B3E" w:rsidRDefault="00B80431">
      <w:pPr>
        <w:spacing w:line="360" w:lineRule="auto"/>
        <w:jc w:val="both"/>
      </w:pPr>
      <w:r>
        <w:rPr>
          <w:rFonts w:ascii="Book Antiqua" w:eastAsia="Book Antiqua" w:hAnsi="Book Antiqua" w:cs="Book Antiqua"/>
          <w:color w:val="000000"/>
        </w:rPr>
        <w:t xml:space="preserve">9 </w:t>
      </w:r>
      <w:proofErr w:type="spellStart"/>
      <w:r>
        <w:rPr>
          <w:rFonts w:ascii="Book Antiqua" w:eastAsia="Book Antiqua" w:hAnsi="Book Antiqua" w:cs="Book Antiqua"/>
          <w:b/>
          <w:bCs/>
          <w:color w:val="000000"/>
        </w:rPr>
        <w:t>Gandolfini</w:t>
      </w:r>
      <w:proofErr w:type="spellEnd"/>
      <w:r>
        <w:rPr>
          <w:rFonts w:ascii="Book Antiqua" w:eastAsia="Book Antiqua" w:hAnsi="Book Antiqua" w:cs="Book Antiqua"/>
          <w:b/>
          <w:bCs/>
          <w:color w:val="000000"/>
        </w:rPr>
        <w:t xml:space="preserve"> I</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Delsante</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Fiaccadori</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Zaza</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Manenti</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Degli</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Antoni</w:t>
      </w:r>
      <w:proofErr w:type="spellEnd"/>
      <w:r>
        <w:rPr>
          <w:rFonts w:ascii="Book Antiqua" w:eastAsia="Book Antiqua" w:hAnsi="Book Antiqua" w:cs="Book Antiqua"/>
          <w:color w:val="000000"/>
        </w:rPr>
        <w:t xml:space="preserve"> A, Peruzzi L, </w:t>
      </w:r>
      <w:proofErr w:type="spellStart"/>
      <w:r>
        <w:rPr>
          <w:rFonts w:ascii="Book Antiqua" w:eastAsia="Book Antiqua" w:hAnsi="Book Antiqua" w:cs="Book Antiqua"/>
          <w:color w:val="000000"/>
        </w:rPr>
        <w:t>Riella</w:t>
      </w:r>
      <w:proofErr w:type="spellEnd"/>
      <w:r>
        <w:rPr>
          <w:rFonts w:ascii="Book Antiqua" w:eastAsia="Book Antiqua" w:hAnsi="Book Antiqua" w:cs="Book Antiqua"/>
          <w:color w:val="000000"/>
        </w:rPr>
        <w:t xml:space="preserve"> LV, </w:t>
      </w:r>
      <w:proofErr w:type="spellStart"/>
      <w:r>
        <w:rPr>
          <w:rFonts w:ascii="Book Antiqua" w:eastAsia="Book Antiqua" w:hAnsi="Book Antiqua" w:cs="Book Antiqua"/>
          <w:color w:val="000000"/>
        </w:rPr>
        <w:t>Cravedi</w:t>
      </w:r>
      <w:proofErr w:type="spellEnd"/>
      <w:r>
        <w:rPr>
          <w:rFonts w:ascii="Book Antiqua" w:eastAsia="Book Antiqua" w:hAnsi="Book Antiqua" w:cs="Book Antiqua"/>
          <w:color w:val="000000"/>
        </w:rPr>
        <w:t xml:space="preserve"> P, Maggiore U. COVID-19 in kidney transplant recipients. </w:t>
      </w:r>
      <w:r>
        <w:rPr>
          <w:rFonts w:ascii="Book Antiqua" w:eastAsia="Book Antiqua" w:hAnsi="Book Antiqua" w:cs="Book Antiqua"/>
          <w:i/>
          <w:iCs/>
          <w:color w:val="000000"/>
        </w:rPr>
        <w:t>Am J Transplant</w:t>
      </w:r>
      <w:r>
        <w:rPr>
          <w:rFonts w:ascii="Book Antiqua" w:eastAsia="Book Antiqua" w:hAnsi="Book Antiqua" w:cs="Book Antiqua"/>
          <w:color w:val="000000"/>
        </w:rPr>
        <w:t xml:space="preserve"> 2020; </w:t>
      </w:r>
      <w:r>
        <w:rPr>
          <w:rFonts w:ascii="Book Antiqua" w:eastAsia="Book Antiqua" w:hAnsi="Book Antiqua" w:cs="Book Antiqua"/>
          <w:b/>
          <w:bCs/>
          <w:color w:val="000000"/>
        </w:rPr>
        <w:t>20</w:t>
      </w:r>
      <w:r>
        <w:rPr>
          <w:rFonts w:ascii="Book Antiqua" w:eastAsia="Book Antiqua" w:hAnsi="Book Antiqua" w:cs="Book Antiqua"/>
          <w:color w:val="000000"/>
        </w:rPr>
        <w:t>: 1941-1943 [PMID: 32233067 DOI: 10.1111/ajt.15891]</w:t>
      </w:r>
    </w:p>
    <w:p w14:paraId="52388D53" w14:textId="77777777" w:rsidR="00A77B3E" w:rsidRDefault="00B80431">
      <w:pPr>
        <w:spacing w:line="360" w:lineRule="auto"/>
        <w:jc w:val="both"/>
      </w:pPr>
      <w:r>
        <w:rPr>
          <w:rFonts w:ascii="Book Antiqua" w:eastAsia="Book Antiqua" w:hAnsi="Book Antiqua" w:cs="Book Antiqua"/>
          <w:color w:val="000000"/>
        </w:rPr>
        <w:lastRenderedPageBreak/>
        <w:t xml:space="preserve">10 </w:t>
      </w:r>
      <w:r>
        <w:rPr>
          <w:rFonts w:ascii="Book Antiqua" w:eastAsia="Book Antiqua" w:hAnsi="Book Antiqua" w:cs="Book Antiqua"/>
          <w:b/>
          <w:bCs/>
          <w:color w:val="000000"/>
        </w:rPr>
        <w:t>Huang J</w:t>
      </w:r>
      <w:r>
        <w:rPr>
          <w:rFonts w:ascii="Book Antiqua" w:eastAsia="Book Antiqua" w:hAnsi="Book Antiqua" w:cs="Book Antiqua"/>
          <w:color w:val="000000"/>
        </w:rPr>
        <w:t xml:space="preserve">, Lin H, Wu Y, Fang Y, Kumar R, Chen G, Lin S. COVID-19 in posttransplant patients-report of 2 cases. </w:t>
      </w:r>
      <w:r>
        <w:rPr>
          <w:rFonts w:ascii="Book Antiqua" w:eastAsia="Book Antiqua" w:hAnsi="Book Antiqua" w:cs="Book Antiqua"/>
          <w:i/>
          <w:iCs/>
          <w:color w:val="000000"/>
        </w:rPr>
        <w:t>Am J Transplant</w:t>
      </w:r>
      <w:r>
        <w:rPr>
          <w:rFonts w:ascii="Book Antiqua" w:eastAsia="Book Antiqua" w:hAnsi="Book Antiqua" w:cs="Book Antiqua"/>
          <w:color w:val="000000"/>
        </w:rPr>
        <w:t xml:space="preserve"> 2020; </w:t>
      </w:r>
      <w:r>
        <w:rPr>
          <w:rFonts w:ascii="Book Antiqua" w:eastAsia="Book Antiqua" w:hAnsi="Book Antiqua" w:cs="Book Antiqua"/>
          <w:b/>
          <w:bCs/>
          <w:color w:val="000000"/>
        </w:rPr>
        <w:t>20</w:t>
      </w:r>
      <w:r>
        <w:rPr>
          <w:rFonts w:ascii="Book Antiqua" w:eastAsia="Book Antiqua" w:hAnsi="Book Antiqua" w:cs="Book Antiqua"/>
          <w:color w:val="000000"/>
        </w:rPr>
        <w:t>: 1879-1881 [PMID: 32243697 DOI: 10.1111/ajt.15896]</w:t>
      </w:r>
    </w:p>
    <w:p w14:paraId="5E929054" w14:textId="77777777" w:rsidR="00A77B3E" w:rsidRDefault="00B80431">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Zhou F</w:t>
      </w:r>
      <w:r>
        <w:rPr>
          <w:rFonts w:ascii="Book Antiqua" w:eastAsia="Book Antiqua" w:hAnsi="Book Antiqua" w:cs="Book Antiqua"/>
          <w:color w:val="000000"/>
        </w:rPr>
        <w:t xml:space="preserve">, Yu T, Du R, Fan G, Liu Y, Liu Z, Xiang J, Wang Y, Song B, Gu X, Guan L, Wei Y, Li H, Wu X, Xu J, Tu S, Zhang Y, Chen H, Cao B. Clinical course and risk factors for mortality of adult inpatients with COVID-19 in Wuhan, China: a retrospective cohort study.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2020; </w:t>
      </w:r>
      <w:r>
        <w:rPr>
          <w:rFonts w:ascii="Book Antiqua" w:eastAsia="Book Antiqua" w:hAnsi="Book Antiqua" w:cs="Book Antiqua"/>
          <w:b/>
          <w:bCs/>
          <w:color w:val="000000"/>
        </w:rPr>
        <w:t>395</w:t>
      </w:r>
      <w:r>
        <w:rPr>
          <w:rFonts w:ascii="Book Antiqua" w:eastAsia="Book Antiqua" w:hAnsi="Book Antiqua" w:cs="Book Antiqua"/>
          <w:color w:val="000000"/>
        </w:rPr>
        <w:t>: 1054-1062 [PMID: 32171076 DOI: 10.1016/S0140-6736(20)30566-3]</w:t>
      </w:r>
    </w:p>
    <w:p w14:paraId="37B7C4ED" w14:textId="77777777" w:rsidR="00A77B3E" w:rsidRDefault="00B80431">
      <w:pPr>
        <w:spacing w:line="360" w:lineRule="auto"/>
        <w:jc w:val="both"/>
      </w:pPr>
      <w:r>
        <w:rPr>
          <w:rFonts w:ascii="Book Antiqua" w:eastAsia="Book Antiqua" w:hAnsi="Book Antiqua" w:cs="Book Antiqua"/>
          <w:color w:val="000000"/>
        </w:rPr>
        <w:t xml:space="preserve">12 </w:t>
      </w:r>
      <w:proofErr w:type="spellStart"/>
      <w:r>
        <w:rPr>
          <w:rFonts w:ascii="Book Antiqua" w:eastAsia="Book Antiqua" w:hAnsi="Book Antiqua" w:cs="Book Antiqua"/>
          <w:b/>
          <w:bCs/>
          <w:color w:val="000000"/>
        </w:rPr>
        <w:t>Ahmadpoor</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Rostaing</w:t>
      </w:r>
      <w:proofErr w:type="spellEnd"/>
      <w:r>
        <w:rPr>
          <w:rFonts w:ascii="Book Antiqua" w:eastAsia="Book Antiqua" w:hAnsi="Book Antiqua" w:cs="Book Antiqua"/>
          <w:color w:val="000000"/>
        </w:rPr>
        <w:t xml:space="preserve"> L. Why the immune system fails to mount an adaptive immune response to a COVID-19 infection. </w:t>
      </w:r>
      <w:proofErr w:type="spellStart"/>
      <w:r>
        <w:rPr>
          <w:rFonts w:ascii="Book Antiqua" w:eastAsia="Book Antiqua" w:hAnsi="Book Antiqua" w:cs="Book Antiqua"/>
          <w:i/>
          <w:iCs/>
          <w:color w:val="000000"/>
        </w:rPr>
        <w:t>Transpl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Int</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33</w:t>
      </w:r>
      <w:r>
        <w:rPr>
          <w:rFonts w:ascii="Book Antiqua" w:eastAsia="Book Antiqua" w:hAnsi="Book Antiqua" w:cs="Book Antiqua"/>
          <w:color w:val="000000"/>
        </w:rPr>
        <w:t>: 824-825 [PMID: 32236983 DOI: 10.1111/tri.13611]</w:t>
      </w:r>
    </w:p>
    <w:p w14:paraId="200A8CD8" w14:textId="77777777" w:rsidR="00A77B3E" w:rsidRDefault="00B80431">
      <w:pPr>
        <w:spacing w:line="360" w:lineRule="auto"/>
        <w:jc w:val="both"/>
      </w:pPr>
      <w:r>
        <w:rPr>
          <w:rFonts w:ascii="Book Antiqua" w:eastAsia="Book Antiqua" w:hAnsi="Book Antiqua" w:cs="Book Antiqua"/>
          <w:color w:val="000000"/>
        </w:rPr>
        <w:t xml:space="preserve">13 </w:t>
      </w:r>
      <w:proofErr w:type="spellStart"/>
      <w:r>
        <w:rPr>
          <w:rFonts w:ascii="Book Antiqua" w:eastAsia="Book Antiqua" w:hAnsi="Book Antiqua" w:cs="Book Antiqua"/>
          <w:b/>
          <w:bCs/>
          <w:color w:val="000000"/>
        </w:rPr>
        <w:t>Bessière</w:t>
      </w:r>
      <w:proofErr w:type="spellEnd"/>
      <w:r>
        <w:rPr>
          <w:rFonts w:ascii="Book Antiqua" w:eastAsia="Book Antiqua" w:hAnsi="Book Antiqua" w:cs="Book Antiqua"/>
          <w:b/>
          <w:bCs/>
          <w:color w:val="000000"/>
        </w:rPr>
        <w:t xml:space="preserve"> 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Roccia</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Delinière</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Charrière</w:t>
      </w:r>
      <w:proofErr w:type="spellEnd"/>
      <w:r>
        <w:rPr>
          <w:rFonts w:ascii="Book Antiqua" w:eastAsia="Book Antiqua" w:hAnsi="Book Antiqua" w:cs="Book Antiqua"/>
          <w:color w:val="000000"/>
        </w:rPr>
        <w:t xml:space="preserve"> R, Chevalier P, </w:t>
      </w:r>
      <w:proofErr w:type="spellStart"/>
      <w:r>
        <w:rPr>
          <w:rFonts w:ascii="Book Antiqua" w:eastAsia="Book Antiqua" w:hAnsi="Book Antiqua" w:cs="Book Antiqua"/>
          <w:color w:val="000000"/>
        </w:rPr>
        <w:t>Argaud</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Cour</w:t>
      </w:r>
      <w:proofErr w:type="spellEnd"/>
      <w:r>
        <w:rPr>
          <w:rFonts w:ascii="Book Antiqua" w:eastAsia="Book Antiqua" w:hAnsi="Book Antiqua" w:cs="Book Antiqua"/>
          <w:color w:val="000000"/>
        </w:rPr>
        <w:t xml:space="preserve"> M. Assessment of QT Intervals in a Case Series of Patients With Coronavirus Disease 2019 (COVID-19) Infection Treated With Hydroxychloroquine Alone or in Combination With Azithromycin in an Intensive Care Unit. </w:t>
      </w:r>
      <w:r>
        <w:rPr>
          <w:rFonts w:ascii="Book Antiqua" w:eastAsia="Book Antiqua" w:hAnsi="Book Antiqua" w:cs="Book Antiqua"/>
          <w:i/>
          <w:iCs/>
          <w:color w:val="000000"/>
        </w:rPr>
        <w:t xml:space="preserve">JAMA </w:t>
      </w:r>
      <w:proofErr w:type="spellStart"/>
      <w:r>
        <w:rPr>
          <w:rFonts w:ascii="Book Antiqua" w:eastAsia="Book Antiqua" w:hAnsi="Book Antiqua" w:cs="Book Antiqua"/>
          <w:i/>
          <w:iCs/>
          <w:color w:val="000000"/>
        </w:rPr>
        <w:t>Cardiol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5</w:t>
      </w:r>
      <w:r>
        <w:rPr>
          <w:rFonts w:ascii="Book Antiqua" w:eastAsia="Book Antiqua" w:hAnsi="Book Antiqua" w:cs="Book Antiqua"/>
          <w:color w:val="000000"/>
        </w:rPr>
        <w:t>: 1067-1069 [PMID: 32936266 DOI: 10.1001/jamacardio.2020.1787]</w:t>
      </w:r>
    </w:p>
    <w:p w14:paraId="4FC9FEA7" w14:textId="77777777" w:rsidR="00A77B3E" w:rsidRDefault="00B80431">
      <w:pPr>
        <w:spacing w:line="360" w:lineRule="auto"/>
        <w:jc w:val="both"/>
      </w:pPr>
      <w:r>
        <w:rPr>
          <w:rFonts w:ascii="Book Antiqua" w:eastAsia="Book Antiqua" w:hAnsi="Book Antiqua" w:cs="Book Antiqua"/>
          <w:color w:val="000000"/>
        </w:rPr>
        <w:t xml:space="preserve">14 </w:t>
      </w:r>
      <w:proofErr w:type="spellStart"/>
      <w:r>
        <w:rPr>
          <w:rFonts w:ascii="Book Antiqua" w:eastAsia="Book Antiqua" w:hAnsi="Book Antiqua" w:cs="Book Antiqua"/>
          <w:b/>
          <w:bCs/>
          <w:color w:val="000000"/>
        </w:rPr>
        <w:t>Bartiromo</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Borchi</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Botta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Bagalà</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Lugli</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Tilli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Cavallo</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Xhaferi</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Cutruzzulà</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Vaglio</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Bresci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Larti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Bartoloni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Cirami</w:t>
      </w:r>
      <w:proofErr w:type="spellEnd"/>
      <w:r>
        <w:rPr>
          <w:rFonts w:ascii="Book Antiqua" w:eastAsia="Book Antiqua" w:hAnsi="Book Antiqua" w:cs="Book Antiqua"/>
          <w:color w:val="000000"/>
        </w:rPr>
        <w:t xml:space="preserve"> C. Threatening drug-drug interaction in a kidney transplant patient with coronavirus disease 2019 (COVID-19). </w:t>
      </w:r>
      <w:proofErr w:type="spellStart"/>
      <w:r>
        <w:rPr>
          <w:rFonts w:ascii="Book Antiqua" w:eastAsia="Book Antiqua" w:hAnsi="Book Antiqua" w:cs="Book Antiqua"/>
          <w:i/>
          <w:iCs/>
          <w:color w:val="000000"/>
        </w:rPr>
        <w:t>Transpl</w:t>
      </w:r>
      <w:proofErr w:type="spellEnd"/>
      <w:r>
        <w:rPr>
          <w:rFonts w:ascii="Book Antiqua" w:eastAsia="Book Antiqua" w:hAnsi="Book Antiqua" w:cs="Book Antiqua"/>
          <w:i/>
          <w:iCs/>
          <w:color w:val="000000"/>
        </w:rPr>
        <w:t xml:space="preserve"> Infect Dis</w:t>
      </w:r>
      <w:r>
        <w:rPr>
          <w:rFonts w:ascii="Book Antiqua" w:eastAsia="Book Antiqua" w:hAnsi="Book Antiqua" w:cs="Book Antiqua"/>
          <w:color w:val="000000"/>
        </w:rPr>
        <w:t xml:space="preserve"> 2020; </w:t>
      </w:r>
      <w:r>
        <w:rPr>
          <w:rFonts w:ascii="Book Antiqua" w:eastAsia="Book Antiqua" w:hAnsi="Book Antiqua" w:cs="Book Antiqua"/>
          <w:b/>
          <w:bCs/>
          <w:color w:val="000000"/>
        </w:rPr>
        <w:t>22</w:t>
      </w:r>
      <w:r>
        <w:rPr>
          <w:rFonts w:ascii="Book Antiqua" w:eastAsia="Book Antiqua" w:hAnsi="Book Antiqua" w:cs="Book Antiqua"/>
          <w:color w:val="000000"/>
        </w:rPr>
        <w:t>: e13286 [PMID: 32279418 DOI: 10.1111/tid.13286]</w:t>
      </w:r>
    </w:p>
    <w:p w14:paraId="133B31C0" w14:textId="33FA5828" w:rsidR="00A77B3E" w:rsidRDefault="00B80431">
      <w:pPr>
        <w:spacing w:line="360" w:lineRule="auto"/>
        <w:jc w:val="both"/>
      </w:pPr>
      <w:r w:rsidRPr="008146CB">
        <w:rPr>
          <w:rFonts w:ascii="Book Antiqua" w:eastAsia="Book Antiqua" w:hAnsi="Book Antiqua" w:cs="Book Antiqua"/>
          <w:color w:val="000000"/>
        </w:rPr>
        <w:t>15</w:t>
      </w:r>
      <w:r w:rsidR="00F22748" w:rsidRPr="008146CB">
        <w:rPr>
          <w:rFonts w:ascii="Book Antiqua" w:eastAsia="Book Antiqua" w:hAnsi="Book Antiqua" w:cs="Book Antiqua"/>
          <w:color w:val="000000"/>
        </w:rPr>
        <w:t xml:space="preserve"> </w:t>
      </w:r>
      <w:r w:rsidR="00A55DF4" w:rsidRPr="008146CB">
        <w:rPr>
          <w:rFonts w:ascii="Book Antiqua" w:eastAsia="Book Antiqua" w:hAnsi="Book Antiqua" w:cs="Book Antiqua"/>
          <w:b/>
          <w:color w:val="000000"/>
        </w:rPr>
        <w:t>Liverpool Drug Interaction Group</w:t>
      </w:r>
      <w:r w:rsidR="00A55DF4" w:rsidRPr="008146CB">
        <w:rPr>
          <w:rFonts w:ascii="Book Antiqua" w:eastAsia="Book Antiqua" w:hAnsi="Book Antiqua" w:cs="Book Antiqua"/>
          <w:color w:val="000000"/>
        </w:rPr>
        <w:t xml:space="preserve">. COVID-19 Drug Interactions. Available from: </w:t>
      </w:r>
      <w:r w:rsidR="00A55DF4" w:rsidRPr="008146CB">
        <w:rPr>
          <w:rFonts w:ascii="Book Antiqua" w:eastAsia="Book Antiqua" w:hAnsi="Book Antiqua" w:cs="Book Antiqua"/>
        </w:rPr>
        <w:t>http://www.covi</w:t>
      </w:r>
      <w:bookmarkStart w:id="0" w:name="_GoBack"/>
      <w:bookmarkEnd w:id="0"/>
      <w:r w:rsidR="00A55DF4" w:rsidRPr="008146CB">
        <w:rPr>
          <w:rFonts w:ascii="Book Antiqua" w:eastAsia="Book Antiqua" w:hAnsi="Book Antiqua" w:cs="Book Antiqua"/>
        </w:rPr>
        <w:t>d19-druginteractions.org</w:t>
      </w:r>
      <w:r w:rsidR="00A55DF4">
        <w:rPr>
          <w:rFonts w:ascii="Book Antiqua" w:eastAsia="Book Antiqua" w:hAnsi="Book Antiqua" w:cs="Book Antiqua"/>
          <w:color w:val="000000"/>
        </w:rPr>
        <w:t xml:space="preserve"> </w:t>
      </w:r>
    </w:p>
    <w:p w14:paraId="60F0477F" w14:textId="77777777" w:rsidR="00A77B3E" w:rsidRDefault="00B80431">
      <w:pPr>
        <w:spacing w:line="360" w:lineRule="auto"/>
        <w:jc w:val="both"/>
      </w:pPr>
      <w:r>
        <w:rPr>
          <w:rFonts w:ascii="Book Antiqua" w:eastAsia="Book Antiqua" w:hAnsi="Book Antiqua" w:cs="Book Antiqua"/>
          <w:color w:val="000000"/>
        </w:rPr>
        <w:t xml:space="preserve">16 </w:t>
      </w:r>
      <w:proofErr w:type="spellStart"/>
      <w:r>
        <w:rPr>
          <w:rFonts w:ascii="Book Antiqua" w:eastAsia="Book Antiqua" w:hAnsi="Book Antiqua" w:cs="Book Antiqua"/>
          <w:b/>
          <w:bCs/>
          <w:color w:val="000000"/>
        </w:rPr>
        <w:t>Jeong</w:t>
      </w:r>
      <w:proofErr w:type="spellEnd"/>
      <w:r>
        <w:rPr>
          <w:rFonts w:ascii="Book Antiqua" w:eastAsia="Book Antiqua" w:hAnsi="Book Antiqua" w:cs="Book Antiqua"/>
          <w:b/>
          <w:bCs/>
          <w:color w:val="000000"/>
        </w:rPr>
        <w:t xml:space="preserve"> R</w:t>
      </w:r>
      <w:r>
        <w:rPr>
          <w:rFonts w:ascii="Book Antiqua" w:eastAsia="Book Antiqua" w:hAnsi="Book Antiqua" w:cs="Book Antiqua"/>
          <w:color w:val="000000"/>
        </w:rPr>
        <w:t xml:space="preserve">, Quinn RR, </w:t>
      </w:r>
      <w:proofErr w:type="spellStart"/>
      <w:r>
        <w:rPr>
          <w:rFonts w:ascii="Book Antiqua" w:eastAsia="Book Antiqua" w:hAnsi="Book Antiqua" w:cs="Book Antiqua"/>
          <w:color w:val="000000"/>
        </w:rPr>
        <w:t>Lentine</w:t>
      </w:r>
      <w:proofErr w:type="spellEnd"/>
      <w:r>
        <w:rPr>
          <w:rFonts w:ascii="Book Antiqua" w:eastAsia="Book Antiqua" w:hAnsi="Book Antiqua" w:cs="Book Antiqua"/>
          <w:color w:val="000000"/>
        </w:rPr>
        <w:t xml:space="preserve"> KL, Lloyd A, </w:t>
      </w:r>
      <w:proofErr w:type="spellStart"/>
      <w:r>
        <w:rPr>
          <w:rFonts w:ascii="Book Antiqua" w:eastAsia="Book Antiqua" w:hAnsi="Book Antiqua" w:cs="Book Antiqua"/>
          <w:color w:val="000000"/>
        </w:rPr>
        <w:t>Ravani</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Hemmelgarn</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Braam</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Garg</w:t>
      </w:r>
      <w:proofErr w:type="spellEnd"/>
      <w:r>
        <w:rPr>
          <w:rFonts w:ascii="Book Antiqua" w:eastAsia="Book Antiqua" w:hAnsi="Book Antiqua" w:cs="Book Antiqua"/>
          <w:color w:val="000000"/>
        </w:rPr>
        <w:t xml:space="preserve"> AX, Wen K, Wong-Chan A, </w:t>
      </w:r>
      <w:proofErr w:type="spellStart"/>
      <w:r>
        <w:rPr>
          <w:rFonts w:ascii="Book Antiqua" w:eastAsia="Book Antiqua" w:hAnsi="Book Antiqua" w:cs="Book Antiqua"/>
          <w:color w:val="000000"/>
        </w:rPr>
        <w:t>Gourishankar</w:t>
      </w:r>
      <w:proofErr w:type="spellEnd"/>
      <w:r>
        <w:rPr>
          <w:rFonts w:ascii="Book Antiqua" w:eastAsia="Book Antiqua" w:hAnsi="Book Antiqua" w:cs="Book Antiqua"/>
          <w:color w:val="000000"/>
        </w:rPr>
        <w:t xml:space="preserve"> S, Lam NN. Outcomes Following Macrolide Use in Kidney Transplant Recipients. </w:t>
      </w:r>
      <w:r>
        <w:rPr>
          <w:rFonts w:ascii="Book Antiqua" w:eastAsia="Book Antiqua" w:hAnsi="Book Antiqua" w:cs="Book Antiqua"/>
          <w:i/>
          <w:iCs/>
          <w:color w:val="000000"/>
        </w:rPr>
        <w:t>Can J Kidney Health Dis</w:t>
      </w:r>
      <w:r>
        <w:rPr>
          <w:rFonts w:ascii="Book Antiqua" w:eastAsia="Book Antiqua" w:hAnsi="Book Antiqua" w:cs="Book Antiqua"/>
          <w:color w:val="000000"/>
        </w:rPr>
        <w:t xml:space="preserve"> 2019; </w:t>
      </w:r>
      <w:r>
        <w:rPr>
          <w:rFonts w:ascii="Book Antiqua" w:eastAsia="Book Antiqua" w:hAnsi="Book Antiqua" w:cs="Book Antiqua"/>
          <w:b/>
          <w:bCs/>
          <w:color w:val="000000"/>
        </w:rPr>
        <w:t>6</w:t>
      </w:r>
      <w:r>
        <w:rPr>
          <w:rFonts w:ascii="Book Antiqua" w:eastAsia="Book Antiqua" w:hAnsi="Book Antiqua" w:cs="Book Antiqua"/>
          <w:color w:val="000000"/>
        </w:rPr>
        <w:t>: 2054358119830706 [PMID: 30815270 DOI: 10.1177/2054358119830706]</w:t>
      </w:r>
    </w:p>
    <w:p w14:paraId="7CF3CE8A" w14:textId="77777777" w:rsidR="00A77B3E" w:rsidRDefault="00A77B3E">
      <w:pPr>
        <w:spacing w:line="360" w:lineRule="auto"/>
        <w:jc w:val="both"/>
        <w:sectPr w:rsidR="00A77B3E">
          <w:footerReference w:type="default" r:id="rId7"/>
          <w:pgSz w:w="12240" w:h="15840"/>
          <w:pgMar w:top="1440" w:right="1440" w:bottom="1440" w:left="1440" w:header="720" w:footer="720" w:gutter="0"/>
          <w:cols w:space="720"/>
          <w:docGrid w:linePitch="360"/>
        </w:sectPr>
      </w:pPr>
    </w:p>
    <w:p w14:paraId="30478A8E" w14:textId="77777777" w:rsidR="00A77B3E" w:rsidRDefault="00B80431">
      <w:pPr>
        <w:spacing w:line="360" w:lineRule="auto"/>
        <w:jc w:val="both"/>
      </w:pPr>
      <w:r>
        <w:rPr>
          <w:rFonts w:ascii="Book Antiqua" w:eastAsia="Book Antiqua" w:hAnsi="Book Antiqua" w:cs="Book Antiqua"/>
          <w:b/>
          <w:color w:val="000000"/>
        </w:rPr>
        <w:lastRenderedPageBreak/>
        <w:t>Footnotes</w:t>
      </w:r>
    </w:p>
    <w:p w14:paraId="439B3E54" w14:textId="06B765C4" w:rsidR="00A77B3E" w:rsidRDefault="00B80431">
      <w:pPr>
        <w:spacing w:line="360" w:lineRule="auto"/>
        <w:jc w:val="both"/>
      </w:pPr>
      <w:r>
        <w:rPr>
          <w:rFonts w:ascii="Book Antiqua" w:eastAsia="Book Antiqua" w:hAnsi="Book Antiqua" w:cs="Book Antiqua"/>
          <w:b/>
          <w:bCs/>
          <w:color w:val="000000"/>
        </w:rPr>
        <w:t xml:space="preserve">Informed consent statement: </w:t>
      </w:r>
      <w:r>
        <w:rPr>
          <w:rFonts w:ascii="Book Antiqua" w:eastAsia="Book Antiqua" w:hAnsi="Book Antiqua" w:cs="Book Antiqua"/>
          <w:color w:val="000000"/>
        </w:rPr>
        <w:t xml:space="preserve">Informed consent </w:t>
      </w:r>
      <w:r w:rsidR="00CD7979">
        <w:rPr>
          <w:rFonts w:ascii="Book Antiqua" w:eastAsia="Book Antiqua" w:hAnsi="Book Antiqua" w:cs="Book Antiqua"/>
          <w:color w:val="000000"/>
        </w:rPr>
        <w:t>w</w:t>
      </w:r>
      <w:r>
        <w:rPr>
          <w:rFonts w:ascii="Book Antiqua" w:eastAsia="Book Antiqua" w:hAnsi="Book Antiqua" w:cs="Book Antiqua"/>
          <w:color w:val="000000"/>
        </w:rPr>
        <w:t xml:space="preserve">as obtained </w:t>
      </w:r>
      <w:r w:rsidR="00CD7979">
        <w:rPr>
          <w:rFonts w:ascii="Book Antiqua" w:eastAsia="Book Antiqua" w:hAnsi="Book Antiqua" w:cs="Book Antiqua"/>
          <w:color w:val="000000"/>
        </w:rPr>
        <w:t xml:space="preserve">from the patient </w:t>
      </w:r>
      <w:r>
        <w:rPr>
          <w:rFonts w:ascii="Book Antiqua" w:eastAsia="Book Antiqua" w:hAnsi="Book Antiqua" w:cs="Book Antiqua"/>
          <w:color w:val="000000"/>
        </w:rPr>
        <w:t>and a scanned copy has been provided with the submission documents.</w:t>
      </w:r>
    </w:p>
    <w:p w14:paraId="35B30711" w14:textId="77777777" w:rsidR="00A77B3E" w:rsidRDefault="00A77B3E">
      <w:pPr>
        <w:spacing w:line="360" w:lineRule="auto"/>
        <w:jc w:val="both"/>
      </w:pPr>
    </w:p>
    <w:p w14:paraId="3022D5E4" w14:textId="44C7B3DE" w:rsidR="00A77B3E" w:rsidRDefault="00B80431">
      <w:pPr>
        <w:spacing w:line="360" w:lineRule="auto"/>
        <w:jc w:val="both"/>
      </w:pPr>
      <w:r>
        <w:rPr>
          <w:rFonts w:ascii="Book Antiqua" w:eastAsia="Book Antiqua" w:hAnsi="Book Antiqua" w:cs="Book Antiqua"/>
          <w:b/>
          <w:bCs/>
          <w:color w:val="000000"/>
        </w:rPr>
        <w:t xml:space="preserve">Conflict-of-interest statement: </w:t>
      </w:r>
      <w:r w:rsidR="00CD7979" w:rsidRPr="00FB4929">
        <w:rPr>
          <w:rFonts w:ascii="Book Antiqua" w:eastAsia="Book Antiqua" w:hAnsi="Book Antiqua" w:cs="Book Antiqua"/>
          <w:bCs/>
          <w:color w:val="000000"/>
        </w:rPr>
        <w:t>T</w:t>
      </w:r>
      <w:r w:rsidR="00CD7979">
        <w:rPr>
          <w:rFonts w:ascii="Book Antiqua" w:eastAsia="Book Antiqua" w:hAnsi="Book Antiqua" w:cs="Book Antiqua"/>
          <w:color w:val="000000"/>
        </w:rPr>
        <w:t>he a</w:t>
      </w:r>
      <w:r>
        <w:rPr>
          <w:rFonts w:ascii="Book Antiqua" w:eastAsia="Book Antiqua" w:hAnsi="Book Antiqua" w:cs="Book Antiqua"/>
          <w:color w:val="000000"/>
        </w:rPr>
        <w:t>uthors have no conflict of interest.</w:t>
      </w:r>
    </w:p>
    <w:p w14:paraId="437466F1" w14:textId="77777777" w:rsidR="00A77B3E" w:rsidRDefault="00A77B3E">
      <w:pPr>
        <w:spacing w:line="360" w:lineRule="auto"/>
        <w:jc w:val="both"/>
      </w:pPr>
    </w:p>
    <w:p w14:paraId="639E0098" w14:textId="77777777" w:rsidR="00A77B3E" w:rsidRDefault="00B80431">
      <w:pPr>
        <w:spacing w:line="360" w:lineRule="auto"/>
        <w:jc w:val="both"/>
      </w:pPr>
      <w:r>
        <w:rPr>
          <w:rFonts w:ascii="Book Antiqua" w:eastAsia="Book Antiqua" w:hAnsi="Book Antiqua" w:cs="Book Antiqua"/>
          <w:b/>
          <w:bCs/>
          <w:color w:val="000000"/>
          <w:szCs w:val="21"/>
        </w:rPr>
        <w:t xml:space="preserve">CARE Checklist (2016) statement: </w:t>
      </w:r>
      <w:r>
        <w:rPr>
          <w:rFonts w:ascii="Book Antiqua" w:eastAsia="Book Antiqua" w:hAnsi="Book Antiqua" w:cs="Book Antiqua"/>
          <w:color w:val="000000"/>
        </w:rPr>
        <w:t>The authors have read the CARE Checklist (2016), and the manuscript was prepared and revised according to the CARE Checklist (2016).</w:t>
      </w:r>
    </w:p>
    <w:p w14:paraId="3F89A747" w14:textId="77777777" w:rsidR="00A77B3E" w:rsidRDefault="00A77B3E">
      <w:pPr>
        <w:spacing w:line="360" w:lineRule="auto"/>
        <w:jc w:val="both"/>
      </w:pPr>
    </w:p>
    <w:p w14:paraId="1EE32364" w14:textId="77777777" w:rsidR="00A77B3E" w:rsidRDefault="00B80431">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AD16994" w14:textId="77777777" w:rsidR="00A77B3E" w:rsidRDefault="00A77B3E">
      <w:pPr>
        <w:spacing w:line="360" w:lineRule="auto"/>
        <w:jc w:val="both"/>
      </w:pPr>
    </w:p>
    <w:p w14:paraId="1ECC19BA" w14:textId="4C37FD59" w:rsidR="00A77B3E" w:rsidRDefault="00B80431">
      <w:pPr>
        <w:spacing w:line="360" w:lineRule="auto"/>
        <w:jc w:val="both"/>
        <w:rPr>
          <w:rFonts w:ascii="Book Antiqua" w:eastAsia="Book Antiqua" w:hAnsi="Book Antiqua" w:cs="Book Antiqua"/>
          <w:color w:val="000000"/>
        </w:rPr>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Unsolicite</w:t>
      </w:r>
      <w:r w:rsidR="008754C6">
        <w:rPr>
          <w:rFonts w:ascii="Book Antiqua" w:eastAsia="Book Antiqua" w:hAnsi="Book Antiqua" w:cs="Book Antiqua"/>
          <w:color w:val="000000"/>
        </w:rPr>
        <w:t>d m</w:t>
      </w:r>
      <w:r>
        <w:rPr>
          <w:rFonts w:ascii="Book Antiqua" w:eastAsia="Book Antiqua" w:hAnsi="Book Antiqua" w:cs="Book Antiqua"/>
          <w:color w:val="000000"/>
        </w:rPr>
        <w:t>anuscript</w:t>
      </w:r>
    </w:p>
    <w:p w14:paraId="34849F1B" w14:textId="77777777" w:rsidR="001368BC" w:rsidRDefault="001368BC">
      <w:pPr>
        <w:spacing w:line="360" w:lineRule="auto"/>
        <w:jc w:val="both"/>
      </w:pPr>
    </w:p>
    <w:p w14:paraId="1703A893" w14:textId="4E09518D" w:rsidR="00A77B3E" w:rsidRDefault="00B80431">
      <w:pPr>
        <w:spacing w:line="360" w:lineRule="auto"/>
        <w:jc w:val="both"/>
      </w:pPr>
      <w:r>
        <w:rPr>
          <w:rFonts w:ascii="Book Antiqua" w:eastAsia="Book Antiqua" w:hAnsi="Book Antiqua" w:cs="Book Antiqua"/>
          <w:b/>
          <w:color w:val="000000"/>
        </w:rPr>
        <w:t xml:space="preserve">Corresponding Author's Membership in Professional Societies: </w:t>
      </w:r>
      <w:r>
        <w:rPr>
          <w:rFonts w:ascii="Book Antiqua" w:eastAsia="Book Antiqua" w:hAnsi="Book Antiqua" w:cs="Book Antiqua"/>
          <w:color w:val="000000"/>
        </w:rPr>
        <w:t>Turkish Society of Gastroenterology, He</w:t>
      </w:r>
      <w:r w:rsidR="008754C6">
        <w:rPr>
          <w:rFonts w:ascii="Book Antiqua" w:eastAsia="Book Antiqua" w:hAnsi="Book Antiqua" w:cs="Book Antiqua"/>
          <w:color w:val="000000"/>
        </w:rPr>
        <w:t>a</w:t>
      </w:r>
      <w:r>
        <w:rPr>
          <w:rFonts w:ascii="Book Antiqua" w:eastAsia="Book Antiqua" w:hAnsi="Book Antiqua" w:cs="Book Antiqua"/>
          <w:color w:val="000000"/>
        </w:rPr>
        <w:t>lth Sciences Univers</w:t>
      </w:r>
      <w:r w:rsidR="008754C6">
        <w:rPr>
          <w:rFonts w:ascii="Book Antiqua" w:eastAsia="Book Antiqua" w:hAnsi="Book Antiqua" w:cs="Book Antiqua"/>
          <w:color w:val="000000"/>
        </w:rPr>
        <w:t>i</w:t>
      </w:r>
      <w:r>
        <w:rPr>
          <w:rFonts w:ascii="Book Antiqua" w:eastAsia="Book Antiqua" w:hAnsi="Book Antiqua" w:cs="Book Antiqua"/>
          <w:color w:val="000000"/>
        </w:rPr>
        <w:t>ty.</w:t>
      </w:r>
    </w:p>
    <w:p w14:paraId="0266C521" w14:textId="77777777" w:rsidR="00A77B3E" w:rsidRDefault="00A77B3E">
      <w:pPr>
        <w:spacing w:line="360" w:lineRule="auto"/>
        <w:jc w:val="both"/>
      </w:pPr>
    </w:p>
    <w:p w14:paraId="3BA53F88" w14:textId="77777777" w:rsidR="00A77B3E" w:rsidRDefault="00B80431">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July 26, 2020</w:t>
      </w:r>
    </w:p>
    <w:p w14:paraId="4D831541" w14:textId="77777777" w:rsidR="00A77B3E" w:rsidRDefault="00B80431">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October 21, 2020</w:t>
      </w:r>
    </w:p>
    <w:p w14:paraId="38D34F15" w14:textId="46D64E5C" w:rsidR="00A77B3E" w:rsidRDefault="00B80431">
      <w:pPr>
        <w:spacing w:line="360" w:lineRule="auto"/>
        <w:jc w:val="both"/>
      </w:pPr>
      <w:r>
        <w:rPr>
          <w:rFonts w:ascii="Book Antiqua" w:eastAsia="Book Antiqua" w:hAnsi="Book Antiqua" w:cs="Book Antiqua"/>
          <w:b/>
          <w:color w:val="000000"/>
        </w:rPr>
        <w:t xml:space="preserve">Article in press: </w:t>
      </w:r>
      <w:r w:rsidR="0071777B" w:rsidRPr="00E36FB6">
        <w:rPr>
          <w:rFonts w:ascii="Book Antiqua" w:eastAsia="Book Antiqua" w:hAnsi="Book Antiqua" w:cs="Book Antiqua"/>
          <w:bCs/>
          <w:color w:val="000000"/>
        </w:rPr>
        <w:t>November 5, 2020</w:t>
      </w:r>
    </w:p>
    <w:p w14:paraId="1D8DA4C2" w14:textId="77777777" w:rsidR="00A77B3E" w:rsidRDefault="00A77B3E">
      <w:pPr>
        <w:spacing w:line="360" w:lineRule="auto"/>
        <w:jc w:val="both"/>
      </w:pPr>
    </w:p>
    <w:p w14:paraId="5DF66EEE" w14:textId="77777777" w:rsidR="00A77B3E" w:rsidRDefault="00B80431">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Transplantation</w:t>
      </w:r>
    </w:p>
    <w:p w14:paraId="520A931A" w14:textId="77777777" w:rsidR="00A77B3E" w:rsidRDefault="00B80431">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Turkey</w:t>
      </w:r>
    </w:p>
    <w:p w14:paraId="7ABA22D6" w14:textId="77777777" w:rsidR="00A77B3E" w:rsidRDefault="00B80431">
      <w:pPr>
        <w:spacing w:line="360" w:lineRule="auto"/>
        <w:jc w:val="both"/>
      </w:pPr>
      <w:r>
        <w:rPr>
          <w:rFonts w:ascii="Book Antiqua" w:eastAsia="Book Antiqua" w:hAnsi="Book Antiqua" w:cs="Book Antiqua"/>
          <w:b/>
          <w:color w:val="000000"/>
        </w:rPr>
        <w:t>Peer-review report’s scientific quality classification</w:t>
      </w:r>
    </w:p>
    <w:p w14:paraId="51D75624" w14:textId="77777777" w:rsidR="00A77B3E" w:rsidRDefault="00B80431">
      <w:pPr>
        <w:spacing w:line="360" w:lineRule="auto"/>
        <w:jc w:val="both"/>
      </w:pPr>
      <w:r>
        <w:rPr>
          <w:rFonts w:ascii="Book Antiqua" w:eastAsia="Book Antiqua" w:hAnsi="Book Antiqua" w:cs="Book Antiqua"/>
          <w:color w:val="000000"/>
        </w:rPr>
        <w:lastRenderedPageBreak/>
        <w:t>Grade A (Excellent): 0</w:t>
      </w:r>
    </w:p>
    <w:p w14:paraId="4D107A38" w14:textId="77777777" w:rsidR="00A77B3E" w:rsidRDefault="00B80431">
      <w:pPr>
        <w:spacing w:line="360" w:lineRule="auto"/>
        <w:jc w:val="both"/>
      </w:pPr>
      <w:r>
        <w:rPr>
          <w:rFonts w:ascii="Book Antiqua" w:eastAsia="Book Antiqua" w:hAnsi="Book Antiqua" w:cs="Book Antiqua"/>
          <w:color w:val="000000"/>
        </w:rPr>
        <w:t>Grade B (Very good): 0</w:t>
      </w:r>
    </w:p>
    <w:p w14:paraId="0C2D99B4" w14:textId="38B879C8" w:rsidR="00A77B3E" w:rsidRDefault="00B80431">
      <w:pPr>
        <w:spacing w:line="360" w:lineRule="auto"/>
        <w:jc w:val="both"/>
      </w:pPr>
      <w:r>
        <w:rPr>
          <w:rFonts w:ascii="Book Antiqua" w:eastAsia="Book Antiqua" w:hAnsi="Book Antiqua" w:cs="Book Antiqua"/>
          <w:color w:val="000000"/>
        </w:rPr>
        <w:t>Grade C (Good): C</w:t>
      </w:r>
      <w:r w:rsidR="008754C6">
        <w:rPr>
          <w:rFonts w:ascii="Book Antiqua" w:eastAsia="Book Antiqua" w:hAnsi="Book Antiqua" w:cs="Book Antiqua"/>
          <w:color w:val="000000"/>
        </w:rPr>
        <w:t>, C</w:t>
      </w:r>
    </w:p>
    <w:p w14:paraId="4C6E3C52" w14:textId="77777777" w:rsidR="00A77B3E" w:rsidRDefault="00B80431">
      <w:pPr>
        <w:spacing w:line="360" w:lineRule="auto"/>
        <w:jc w:val="both"/>
      </w:pPr>
      <w:r>
        <w:rPr>
          <w:rFonts w:ascii="Book Antiqua" w:eastAsia="Book Antiqua" w:hAnsi="Book Antiqua" w:cs="Book Antiqua"/>
          <w:color w:val="000000"/>
        </w:rPr>
        <w:t>Grade D (Fair): 0</w:t>
      </w:r>
    </w:p>
    <w:p w14:paraId="3C0CFCE4" w14:textId="77777777" w:rsidR="00A77B3E" w:rsidRDefault="00B80431">
      <w:pPr>
        <w:spacing w:line="360" w:lineRule="auto"/>
        <w:jc w:val="both"/>
      </w:pPr>
      <w:r>
        <w:rPr>
          <w:rFonts w:ascii="Book Antiqua" w:eastAsia="Book Antiqua" w:hAnsi="Book Antiqua" w:cs="Book Antiqua"/>
          <w:color w:val="000000"/>
        </w:rPr>
        <w:t>Grade E (Poor): E</w:t>
      </w:r>
    </w:p>
    <w:p w14:paraId="594E8E45" w14:textId="77777777" w:rsidR="00A77B3E" w:rsidRDefault="00A77B3E">
      <w:pPr>
        <w:spacing w:line="360" w:lineRule="auto"/>
        <w:jc w:val="both"/>
      </w:pPr>
    </w:p>
    <w:p w14:paraId="35B4C5EF" w14:textId="2409D9A7" w:rsidR="00A77B3E" w:rsidRPr="0071777B" w:rsidRDefault="00B80431">
      <w:pPr>
        <w:spacing w:line="360" w:lineRule="auto"/>
        <w:jc w:val="both"/>
        <w:rPr>
          <w:rFonts w:ascii="Book Antiqua" w:hAnsi="Book Antiqua" w:cs="Book Antiqua"/>
          <w:color w:val="000000"/>
          <w:lang w:eastAsia="zh-CN"/>
        </w:rPr>
      </w:pPr>
      <w:r>
        <w:rPr>
          <w:rFonts w:ascii="Book Antiqua" w:eastAsia="Book Antiqua" w:hAnsi="Book Antiqua" w:cs="Book Antiqua"/>
          <w:b/>
          <w:color w:val="000000"/>
        </w:rPr>
        <w:t xml:space="preserve">P-Reviewer: </w:t>
      </w:r>
      <w:proofErr w:type="spellStart"/>
      <w:r w:rsidR="00C46CD8" w:rsidRPr="00C46CD8">
        <w:rPr>
          <w:rFonts w:ascii="Book Antiqua" w:eastAsia="Book Antiqua" w:hAnsi="Book Antiqua" w:cs="Book Antiqua"/>
          <w:color w:val="000000"/>
        </w:rPr>
        <w:t>Hilmi</w:t>
      </w:r>
      <w:proofErr w:type="spellEnd"/>
      <w:r w:rsidR="00C46CD8">
        <w:rPr>
          <w:rFonts w:ascii="Book Antiqua" w:eastAsia="Book Antiqua" w:hAnsi="Book Antiqua" w:cs="Book Antiqua"/>
          <w:color w:val="000000"/>
        </w:rPr>
        <w:t xml:space="preserve"> I</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Sureshkumar</w:t>
      </w:r>
      <w:proofErr w:type="spellEnd"/>
      <w:r>
        <w:rPr>
          <w:rFonts w:ascii="Book Antiqua" w:eastAsia="Book Antiqua" w:hAnsi="Book Antiqua" w:cs="Book Antiqua"/>
          <w:color w:val="000000"/>
        </w:rPr>
        <w:t xml:space="preserve"> K</w:t>
      </w:r>
      <w:r>
        <w:rPr>
          <w:rFonts w:ascii="Book Antiqua" w:eastAsia="Book Antiqua" w:hAnsi="Book Antiqua" w:cs="Book Antiqua"/>
          <w:b/>
          <w:color w:val="000000"/>
        </w:rPr>
        <w:t xml:space="preserve"> S-Editor: </w:t>
      </w:r>
      <w:proofErr w:type="gramStart"/>
      <w:r>
        <w:rPr>
          <w:rFonts w:ascii="Book Antiqua" w:eastAsia="Book Antiqua" w:hAnsi="Book Antiqua" w:cs="Book Antiqua"/>
          <w:color w:val="000000"/>
        </w:rPr>
        <w:t>Gao</w:t>
      </w:r>
      <w:proofErr w:type="gramEnd"/>
      <w:r>
        <w:rPr>
          <w:rFonts w:ascii="Book Antiqua" w:eastAsia="Book Antiqua" w:hAnsi="Book Antiqua" w:cs="Book Antiqua"/>
          <w:color w:val="000000"/>
        </w:rPr>
        <w:t xml:space="preserve"> CC</w:t>
      </w:r>
      <w:r>
        <w:rPr>
          <w:rFonts w:ascii="Book Antiqua" w:eastAsia="Book Antiqua" w:hAnsi="Book Antiqua" w:cs="Book Antiqua"/>
          <w:b/>
          <w:color w:val="000000"/>
        </w:rPr>
        <w:t xml:space="preserve"> L-Editor: </w:t>
      </w:r>
      <w:r w:rsidR="00CD7979">
        <w:rPr>
          <w:rFonts w:ascii="Book Antiqua" w:eastAsia="Book Antiqua" w:hAnsi="Book Antiqua" w:cs="Book Antiqua"/>
          <w:color w:val="000000"/>
        </w:rPr>
        <w:t>Webster JR</w:t>
      </w:r>
      <w:r>
        <w:rPr>
          <w:rFonts w:ascii="Book Antiqua" w:eastAsia="Book Antiqua" w:hAnsi="Book Antiqua" w:cs="Book Antiqua"/>
          <w:b/>
          <w:color w:val="000000"/>
        </w:rPr>
        <w:t xml:space="preserve"> P-Editor: </w:t>
      </w:r>
      <w:r w:rsidR="0071777B" w:rsidRPr="0071777B">
        <w:rPr>
          <w:rFonts w:ascii="Book Antiqua" w:hAnsi="Book Antiqua" w:cs="Book Antiqua" w:hint="eastAsia"/>
          <w:color w:val="000000"/>
          <w:lang w:eastAsia="zh-CN"/>
        </w:rPr>
        <w:t>Li X</w:t>
      </w:r>
    </w:p>
    <w:p w14:paraId="6F1B0D74" w14:textId="77777777" w:rsidR="0071777B" w:rsidRDefault="0071777B">
      <w:pPr>
        <w:spacing w:line="360" w:lineRule="auto"/>
        <w:jc w:val="both"/>
        <w:rPr>
          <w:rFonts w:ascii="Book Antiqua" w:hAnsi="Book Antiqua" w:cs="Book Antiqua"/>
          <w:b/>
          <w:color w:val="000000"/>
          <w:lang w:eastAsia="zh-CN"/>
        </w:rPr>
      </w:pPr>
    </w:p>
    <w:p w14:paraId="731A25A2" w14:textId="000706B9" w:rsidR="00A77B3E" w:rsidRDefault="00B80431">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Figure Legends</w:t>
      </w:r>
    </w:p>
    <w:p w14:paraId="28998DF2" w14:textId="37548DE4" w:rsidR="00F22748" w:rsidRDefault="00F22748">
      <w:pPr>
        <w:spacing w:line="360" w:lineRule="auto"/>
        <w:jc w:val="both"/>
      </w:pPr>
      <w:r>
        <w:rPr>
          <w:noProof/>
          <w:lang w:eastAsia="zh-CN"/>
        </w:rPr>
        <w:drawing>
          <wp:inline distT="0" distB="0" distL="0" distR="0" wp14:anchorId="3FC8199D" wp14:editId="480364AB">
            <wp:extent cx="4998983" cy="2823216"/>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07844" cy="2828221"/>
                    </a:xfrm>
                    <a:prstGeom prst="rect">
                      <a:avLst/>
                    </a:prstGeom>
                    <a:noFill/>
                  </pic:spPr>
                </pic:pic>
              </a:graphicData>
            </a:graphic>
          </wp:inline>
        </w:drawing>
      </w:r>
    </w:p>
    <w:p w14:paraId="4D22A073" w14:textId="7777E336" w:rsidR="0054105E" w:rsidRDefault="00B80431">
      <w:pPr>
        <w:spacing w:line="360" w:lineRule="auto"/>
        <w:jc w:val="both"/>
        <w:rPr>
          <w:rFonts w:ascii="Book Antiqua" w:eastAsia="Book Antiqua" w:hAnsi="Book Antiqua" w:cs="Book Antiqua"/>
          <w:b/>
          <w:bCs/>
          <w:color w:val="000000"/>
        </w:rPr>
      </w:pPr>
      <w:r w:rsidRPr="00F22748">
        <w:rPr>
          <w:rFonts w:ascii="Book Antiqua" w:eastAsia="Book Antiqua" w:hAnsi="Book Antiqua" w:cs="Book Antiqua"/>
          <w:b/>
          <w:bCs/>
          <w:color w:val="000000"/>
        </w:rPr>
        <w:t>Figure 1</w:t>
      </w:r>
      <w:r w:rsidR="00F22748" w:rsidRPr="00F22748">
        <w:rPr>
          <w:rFonts w:ascii="Book Antiqua" w:eastAsia="Book Antiqua" w:hAnsi="Book Antiqua" w:cs="Book Antiqua"/>
          <w:b/>
          <w:bCs/>
          <w:color w:val="000000"/>
        </w:rPr>
        <w:t xml:space="preserve"> Computed tomography</w:t>
      </w:r>
      <w:r w:rsidRPr="00F22748">
        <w:rPr>
          <w:rFonts w:ascii="Book Antiqua" w:eastAsia="Book Antiqua" w:hAnsi="Book Antiqua" w:cs="Book Antiqua"/>
          <w:b/>
          <w:bCs/>
          <w:color w:val="000000"/>
        </w:rPr>
        <w:t xml:space="preserve"> scan of the chest, which showed consolidation areas with air bronchogram in </w:t>
      </w:r>
      <w:r w:rsidR="00CD7979">
        <w:rPr>
          <w:rFonts w:ascii="Book Antiqua" w:eastAsia="Book Antiqua" w:hAnsi="Book Antiqua" w:cs="Book Antiqua"/>
          <w:b/>
          <w:bCs/>
          <w:color w:val="000000"/>
        </w:rPr>
        <w:t xml:space="preserve">the </w:t>
      </w:r>
      <w:r w:rsidRPr="00F22748">
        <w:rPr>
          <w:rFonts w:ascii="Book Antiqua" w:eastAsia="Book Antiqua" w:hAnsi="Book Antiqua" w:cs="Book Antiqua"/>
          <w:b/>
          <w:bCs/>
          <w:color w:val="000000"/>
        </w:rPr>
        <w:t xml:space="preserve">left lung lower lobe, </w:t>
      </w:r>
      <w:r w:rsidR="00CD7979">
        <w:rPr>
          <w:rFonts w:ascii="Book Antiqua" w:eastAsia="Book Antiqua" w:hAnsi="Book Antiqua" w:cs="Book Antiqua"/>
          <w:b/>
          <w:bCs/>
          <w:color w:val="000000"/>
        </w:rPr>
        <w:t xml:space="preserve">and </w:t>
      </w:r>
      <w:r w:rsidRPr="00F22748">
        <w:rPr>
          <w:rFonts w:ascii="Book Antiqua" w:eastAsia="Book Antiqua" w:hAnsi="Book Antiqua" w:cs="Book Antiqua"/>
          <w:b/>
          <w:bCs/>
          <w:color w:val="000000"/>
        </w:rPr>
        <w:t>pneumonic infiltration</w:t>
      </w:r>
      <w:r w:rsidR="00CD7979">
        <w:rPr>
          <w:rFonts w:ascii="Book Antiqua" w:eastAsia="Book Antiqua" w:hAnsi="Book Antiqua" w:cs="Book Antiqua"/>
          <w:b/>
          <w:bCs/>
          <w:color w:val="000000"/>
        </w:rPr>
        <w:t>. C</w:t>
      </w:r>
      <w:r w:rsidR="00F22748" w:rsidRPr="00F22748">
        <w:rPr>
          <w:rFonts w:ascii="Book Antiqua" w:eastAsia="Book Antiqua" w:hAnsi="Book Antiqua" w:cs="Book Antiqua"/>
          <w:b/>
          <w:bCs/>
          <w:color w:val="000000"/>
        </w:rPr>
        <w:t>oronavirus disease 2019</w:t>
      </w:r>
      <w:r w:rsidRPr="00F22748">
        <w:rPr>
          <w:rFonts w:ascii="Book Antiqua" w:eastAsia="Book Antiqua" w:hAnsi="Book Antiqua" w:cs="Book Antiqua"/>
          <w:b/>
          <w:bCs/>
          <w:color w:val="000000"/>
        </w:rPr>
        <w:t xml:space="preserve"> was not eliminated</w:t>
      </w:r>
      <w:r w:rsidR="00F22748" w:rsidRPr="00F22748">
        <w:rPr>
          <w:rFonts w:ascii="Book Antiqua" w:eastAsia="Book Antiqua" w:hAnsi="Book Antiqua" w:cs="Book Antiqua"/>
          <w:b/>
          <w:bCs/>
          <w:color w:val="000000"/>
        </w:rPr>
        <w:t>.</w:t>
      </w:r>
    </w:p>
    <w:p w14:paraId="2DC2FED0" w14:textId="67211EEA" w:rsidR="00A77B3E" w:rsidRDefault="0054105E">
      <w:pPr>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br w:type="page"/>
      </w:r>
      <w:r w:rsidRPr="0054105E">
        <w:rPr>
          <w:rFonts w:ascii="Book Antiqua" w:eastAsia="Book Antiqua" w:hAnsi="Book Antiqua" w:cs="Book Antiqua"/>
          <w:b/>
          <w:bCs/>
          <w:color w:val="000000"/>
        </w:rPr>
        <w:lastRenderedPageBreak/>
        <w:t>Table 1</w:t>
      </w:r>
      <w:r>
        <w:rPr>
          <w:rFonts w:ascii="Book Antiqua" w:eastAsia="Book Antiqua" w:hAnsi="Book Antiqua" w:cs="Book Antiqua"/>
          <w:b/>
          <w:bCs/>
          <w:color w:val="000000"/>
        </w:rPr>
        <w:t xml:space="preserve"> </w:t>
      </w:r>
      <w:r w:rsidRPr="0054105E">
        <w:rPr>
          <w:rFonts w:ascii="Book Antiqua" w:eastAsia="Book Antiqua" w:hAnsi="Book Antiqua" w:cs="Book Antiqua"/>
          <w:b/>
          <w:bCs/>
          <w:color w:val="000000"/>
        </w:rPr>
        <w:t>Laboratory findings on admission and follow-up of the patient</w:t>
      </w:r>
    </w:p>
    <w:tbl>
      <w:tblPr>
        <w:tblStyle w:val="aa"/>
        <w:tblW w:w="10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88"/>
        <w:gridCol w:w="1416"/>
        <w:gridCol w:w="995"/>
        <w:gridCol w:w="1026"/>
        <w:gridCol w:w="1041"/>
        <w:gridCol w:w="991"/>
        <w:gridCol w:w="1140"/>
        <w:gridCol w:w="883"/>
      </w:tblGrid>
      <w:tr w:rsidR="00213977" w:rsidRPr="008C58B2" w14:paraId="1FFF69DC" w14:textId="77777777" w:rsidTr="008C58B2">
        <w:tc>
          <w:tcPr>
            <w:tcW w:w="2698" w:type="dxa"/>
            <w:tcBorders>
              <w:top w:val="single" w:sz="4" w:space="0" w:color="auto"/>
              <w:bottom w:val="single" w:sz="4" w:space="0" w:color="auto"/>
            </w:tcBorders>
          </w:tcPr>
          <w:p w14:paraId="078BC165" w14:textId="77777777" w:rsidR="00213977" w:rsidRPr="008C58B2" w:rsidRDefault="00213977" w:rsidP="008C58B2">
            <w:pPr>
              <w:spacing w:line="360" w:lineRule="auto"/>
              <w:rPr>
                <w:rFonts w:ascii="Book Antiqua" w:hAnsi="Book Antiqua"/>
                <w:bCs/>
                <w:lang w:eastAsia="en-US"/>
              </w:rPr>
            </w:pPr>
          </w:p>
        </w:tc>
        <w:tc>
          <w:tcPr>
            <w:tcW w:w="1117" w:type="dxa"/>
            <w:tcBorders>
              <w:top w:val="single" w:sz="4" w:space="0" w:color="auto"/>
              <w:bottom w:val="single" w:sz="4" w:space="0" w:color="auto"/>
            </w:tcBorders>
          </w:tcPr>
          <w:p w14:paraId="1786F62B" w14:textId="77777777" w:rsidR="00213977" w:rsidRPr="008C58B2" w:rsidRDefault="00213977" w:rsidP="008C58B2">
            <w:pPr>
              <w:spacing w:line="360" w:lineRule="auto"/>
              <w:rPr>
                <w:rFonts w:ascii="Book Antiqua" w:hAnsi="Book Antiqua"/>
                <w:b/>
                <w:bCs/>
                <w:lang w:eastAsia="en-US"/>
              </w:rPr>
            </w:pPr>
            <w:r w:rsidRPr="008C58B2">
              <w:rPr>
                <w:rFonts w:ascii="Book Antiqua" w:hAnsi="Book Antiqua"/>
                <w:b/>
                <w:bCs/>
                <w:lang w:eastAsia="en-US"/>
              </w:rPr>
              <w:t xml:space="preserve">Admission </w:t>
            </w:r>
          </w:p>
        </w:tc>
        <w:tc>
          <w:tcPr>
            <w:tcW w:w="1045" w:type="dxa"/>
            <w:tcBorders>
              <w:top w:val="single" w:sz="4" w:space="0" w:color="auto"/>
              <w:bottom w:val="single" w:sz="4" w:space="0" w:color="auto"/>
            </w:tcBorders>
          </w:tcPr>
          <w:p w14:paraId="2F9E851F" w14:textId="1C6399A1" w:rsidR="00213977" w:rsidRPr="008C58B2" w:rsidRDefault="00213977" w:rsidP="008C58B2">
            <w:pPr>
              <w:spacing w:line="360" w:lineRule="auto"/>
              <w:rPr>
                <w:rFonts w:ascii="Book Antiqua" w:hAnsi="Book Antiqua"/>
                <w:b/>
                <w:bCs/>
                <w:lang w:eastAsia="en-US"/>
              </w:rPr>
            </w:pPr>
            <w:r w:rsidRPr="008C58B2">
              <w:rPr>
                <w:rFonts w:ascii="Book Antiqua" w:hAnsi="Book Antiqua"/>
                <w:b/>
                <w:bCs/>
                <w:lang w:eastAsia="en-US"/>
              </w:rPr>
              <w:t>PA-</w:t>
            </w:r>
            <w:r w:rsidR="008C58B2">
              <w:rPr>
                <w:rFonts w:ascii="Book Antiqua" w:hAnsi="Book Antiqua"/>
                <w:b/>
                <w:bCs/>
                <w:lang w:eastAsia="en-US"/>
              </w:rPr>
              <w:t>d</w:t>
            </w:r>
            <w:r w:rsidRPr="008C58B2">
              <w:rPr>
                <w:rFonts w:ascii="Book Antiqua" w:hAnsi="Book Antiqua"/>
                <w:b/>
                <w:bCs/>
                <w:lang w:eastAsia="en-US"/>
              </w:rPr>
              <w:t>ay 2</w:t>
            </w:r>
          </w:p>
        </w:tc>
        <w:tc>
          <w:tcPr>
            <w:tcW w:w="1080" w:type="dxa"/>
            <w:tcBorders>
              <w:top w:val="single" w:sz="4" w:space="0" w:color="auto"/>
              <w:bottom w:val="single" w:sz="4" w:space="0" w:color="auto"/>
            </w:tcBorders>
          </w:tcPr>
          <w:p w14:paraId="6F65C442" w14:textId="687CB85B" w:rsidR="00213977" w:rsidRPr="008C58B2" w:rsidRDefault="00213977" w:rsidP="008C58B2">
            <w:pPr>
              <w:spacing w:line="360" w:lineRule="auto"/>
              <w:rPr>
                <w:rFonts w:ascii="Book Antiqua" w:hAnsi="Book Antiqua"/>
                <w:b/>
                <w:bCs/>
                <w:lang w:eastAsia="en-US"/>
              </w:rPr>
            </w:pPr>
            <w:r w:rsidRPr="008C58B2">
              <w:rPr>
                <w:rFonts w:ascii="Book Antiqua" w:hAnsi="Book Antiqua"/>
                <w:b/>
                <w:bCs/>
                <w:lang w:eastAsia="en-US"/>
              </w:rPr>
              <w:t>PA-</w:t>
            </w:r>
            <w:r w:rsidR="008C58B2">
              <w:rPr>
                <w:rFonts w:ascii="Book Antiqua" w:hAnsi="Book Antiqua"/>
                <w:b/>
                <w:bCs/>
                <w:lang w:eastAsia="en-US"/>
              </w:rPr>
              <w:t>d</w:t>
            </w:r>
            <w:r w:rsidRPr="008C58B2">
              <w:rPr>
                <w:rFonts w:ascii="Book Antiqua" w:hAnsi="Book Antiqua"/>
                <w:b/>
                <w:bCs/>
                <w:lang w:eastAsia="en-US"/>
              </w:rPr>
              <w:t>ay 4</w:t>
            </w:r>
          </w:p>
        </w:tc>
        <w:tc>
          <w:tcPr>
            <w:tcW w:w="1080" w:type="dxa"/>
            <w:tcBorders>
              <w:top w:val="single" w:sz="4" w:space="0" w:color="auto"/>
              <w:bottom w:val="single" w:sz="4" w:space="0" w:color="auto"/>
            </w:tcBorders>
          </w:tcPr>
          <w:p w14:paraId="2E271B8D" w14:textId="7FFD5AAA" w:rsidR="00213977" w:rsidRPr="008C58B2" w:rsidRDefault="00213977" w:rsidP="008C58B2">
            <w:pPr>
              <w:spacing w:line="360" w:lineRule="auto"/>
              <w:rPr>
                <w:rFonts w:ascii="Book Antiqua" w:hAnsi="Book Antiqua"/>
                <w:b/>
                <w:bCs/>
                <w:lang w:eastAsia="en-US"/>
              </w:rPr>
            </w:pPr>
            <w:r w:rsidRPr="008C58B2">
              <w:rPr>
                <w:rFonts w:ascii="Book Antiqua" w:hAnsi="Book Antiqua"/>
                <w:b/>
                <w:bCs/>
                <w:lang w:eastAsia="en-US"/>
              </w:rPr>
              <w:t>PA-</w:t>
            </w:r>
            <w:r w:rsidR="008C58B2">
              <w:rPr>
                <w:rFonts w:ascii="Book Antiqua" w:hAnsi="Book Antiqua"/>
                <w:b/>
                <w:bCs/>
                <w:lang w:eastAsia="en-US"/>
              </w:rPr>
              <w:t>d</w:t>
            </w:r>
            <w:r w:rsidRPr="008C58B2">
              <w:rPr>
                <w:rFonts w:ascii="Book Antiqua" w:hAnsi="Book Antiqua"/>
                <w:b/>
                <w:bCs/>
                <w:lang w:eastAsia="en-US"/>
              </w:rPr>
              <w:t>ay 6</w:t>
            </w:r>
          </w:p>
        </w:tc>
        <w:tc>
          <w:tcPr>
            <w:tcW w:w="1040" w:type="dxa"/>
            <w:tcBorders>
              <w:top w:val="single" w:sz="4" w:space="0" w:color="auto"/>
              <w:bottom w:val="single" w:sz="4" w:space="0" w:color="auto"/>
            </w:tcBorders>
          </w:tcPr>
          <w:p w14:paraId="2D58C891" w14:textId="5E627AE6" w:rsidR="00213977" w:rsidRPr="008C58B2" w:rsidRDefault="00213977" w:rsidP="008C58B2">
            <w:pPr>
              <w:spacing w:line="360" w:lineRule="auto"/>
              <w:rPr>
                <w:rFonts w:ascii="Book Antiqua" w:hAnsi="Book Antiqua"/>
                <w:b/>
                <w:bCs/>
                <w:lang w:eastAsia="en-US"/>
              </w:rPr>
            </w:pPr>
            <w:r w:rsidRPr="008C58B2">
              <w:rPr>
                <w:rFonts w:ascii="Book Antiqua" w:hAnsi="Book Antiqua"/>
                <w:b/>
                <w:bCs/>
                <w:lang w:eastAsia="en-US"/>
              </w:rPr>
              <w:t>PA-</w:t>
            </w:r>
            <w:r w:rsidR="008C58B2">
              <w:rPr>
                <w:rFonts w:ascii="Book Antiqua" w:hAnsi="Book Antiqua"/>
                <w:b/>
                <w:bCs/>
                <w:lang w:eastAsia="en-US"/>
              </w:rPr>
              <w:t>d</w:t>
            </w:r>
            <w:r w:rsidRPr="008C58B2">
              <w:rPr>
                <w:rFonts w:ascii="Book Antiqua" w:hAnsi="Book Antiqua"/>
                <w:b/>
                <w:bCs/>
                <w:lang w:eastAsia="en-US"/>
              </w:rPr>
              <w:t>ay 8</w:t>
            </w:r>
          </w:p>
        </w:tc>
        <w:tc>
          <w:tcPr>
            <w:tcW w:w="1210" w:type="dxa"/>
            <w:tcBorders>
              <w:top w:val="single" w:sz="4" w:space="0" w:color="auto"/>
              <w:bottom w:val="single" w:sz="4" w:space="0" w:color="auto"/>
            </w:tcBorders>
          </w:tcPr>
          <w:p w14:paraId="42131C12" w14:textId="59486DBF" w:rsidR="00213977" w:rsidRPr="008C58B2" w:rsidRDefault="00213977" w:rsidP="008C58B2">
            <w:pPr>
              <w:spacing w:line="360" w:lineRule="auto"/>
              <w:rPr>
                <w:rFonts w:ascii="Book Antiqua" w:hAnsi="Book Antiqua"/>
                <w:b/>
                <w:bCs/>
                <w:lang w:eastAsia="en-US"/>
              </w:rPr>
            </w:pPr>
            <w:r w:rsidRPr="008C58B2">
              <w:rPr>
                <w:rFonts w:ascii="Book Antiqua" w:hAnsi="Book Antiqua"/>
                <w:b/>
                <w:bCs/>
                <w:lang w:eastAsia="en-US"/>
              </w:rPr>
              <w:t>PA-</w:t>
            </w:r>
            <w:r w:rsidR="008C58B2">
              <w:rPr>
                <w:rFonts w:ascii="Book Antiqua" w:hAnsi="Book Antiqua"/>
                <w:b/>
                <w:bCs/>
                <w:lang w:eastAsia="en-US"/>
              </w:rPr>
              <w:t>d</w:t>
            </w:r>
            <w:r w:rsidRPr="008C58B2">
              <w:rPr>
                <w:rFonts w:ascii="Book Antiqua" w:hAnsi="Book Antiqua"/>
                <w:b/>
                <w:bCs/>
                <w:lang w:eastAsia="en-US"/>
              </w:rPr>
              <w:t>ay 10</w:t>
            </w:r>
          </w:p>
        </w:tc>
        <w:tc>
          <w:tcPr>
            <w:tcW w:w="810" w:type="dxa"/>
            <w:tcBorders>
              <w:top w:val="single" w:sz="4" w:space="0" w:color="auto"/>
              <w:bottom w:val="single" w:sz="4" w:space="0" w:color="auto"/>
            </w:tcBorders>
          </w:tcPr>
          <w:p w14:paraId="7228BD9F" w14:textId="77777777" w:rsidR="00213977" w:rsidRPr="008C58B2" w:rsidRDefault="00213977" w:rsidP="008C58B2">
            <w:pPr>
              <w:spacing w:line="360" w:lineRule="auto"/>
              <w:rPr>
                <w:rFonts w:ascii="Book Antiqua" w:hAnsi="Book Antiqua"/>
                <w:b/>
                <w:bCs/>
                <w:lang w:eastAsia="en-US"/>
              </w:rPr>
            </w:pPr>
            <w:r w:rsidRPr="008C58B2">
              <w:rPr>
                <w:rFonts w:ascii="Book Antiqua" w:hAnsi="Book Antiqua"/>
                <w:b/>
                <w:bCs/>
                <w:lang w:eastAsia="en-US"/>
              </w:rPr>
              <w:t>Clinic</w:t>
            </w:r>
          </w:p>
        </w:tc>
      </w:tr>
      <w:tr w:rsidR="00213977" w:rsidRPr="008C58B2" w14:paraId="5EFD540D" w14:textId="77777777" w:rsidTr="008C58B2">
        <w:tc>
          <w:tcPr>
            <w:tcW w:w="2698" w:type="dxa"/>
            <w:tcBorders>
              <w:top w:val="single" w:sz="4" w:space="0" w:color="auto"/>
            </w:tcBorders>
          </w:tcPr>
          <w:p w14:paraId="248CE262" w14:textId="77777777" w:rsidR="00213977" w:rsidRPr="008C58B2" w:rsidRDefault="00213977" w:rsidP="008C58B2">
            <w:pPr>
              <w:spacing w:line="360" w:lineRule="auto"/>
              <w:rPr>
                <w:rFonts w:ascii="Book Antiqua" w:hAnsi="Book Antiqua"/>
                <w:lang w:eastAsia="en-US"/>
              </w:rPr>
            </w:pPr>
            <w:r w:rsidRPr="008C58B2">
              <w:rPr>
                <w:rFonts w:ascii="Book Antiqua" w:hAnsi="Book Antiqua"/>
                <w:lang w:eastAsia="en-US"/>
              </w:rPr>
              <w:t>Urea (mg/dL)</w:t>
            </w:r>
          </w:p>
        </w:tc>
        <w:tc>
          <w:tcPr>
            <w:tcW w:w="1117" w:type="dxa"/>
            <w:tcBorders>
              <w:top w:val="single" w:sz="4" w:space="0" w:color="auto"/>
            </w:tcBorders>
          </w:tcPr>
          <w:p w14:paraId="4BD58BB0" w14:textId="77777777" w:rsidR="00213977" w:rsidRPr="008C58B2" w:rsidRDefault="00213977" w:rsidP="008C58B2">
            <w:pPr>
              <w:spacing w:line="360" w:lineRule="auto"/>
              <w:rPr>
                <w:rFonts w:ascii="Book Antiqua" w:hAnsi="Book Antiqua"/>
                <w:bCs/>
                <w:lang w:eastAsia="en-US"/>
              </w:rPr>
            </w:pPr>
            <w:r w:rsidRPr="008C58B2">
              <w:rPr>
                <w:rFonts w:ascii="Book Antiqua" w:hAnsi="Book Antiqua"/>
                <w:bCs/>
                <w:lang w:eastAsia="en-US"/>
              </w:rPr>
              <w:t>45</w:t>
            </w:r>
          </w:p>
        </w:tc>
        <w:tc>
          <w:tcPr>
            <w:tcW w:w="1045" w:type="dxa"/>
            <w:tcBorders>
              <w:top w:val="single" w:sz="4" w:space="0" w:color="auto"/>
            </w:tcBorders>
          </w:tcPr>
          <w:p w14:paraId="5A5CC0B8" w14:textId="77777777" w:rsidR="00213977" w:rsidRPr="008C58B2" w:rsidRDefault="00213977" w:rsidP="008C58B2">
            <w:pPr>
              <w:spacing w:line="360" w:lineRule="auto"/>
              <w:rPr>
                <w:rFonts w:ascii="Book Antiqua" w:hAnsi="Book Antiqua"/>
                <w:bCs/>
                <w:lang w:eastAsia="en-US"/>
              </w:rPr>
            </w:pPr>
            <w:r w:rsidRPr="008C58B2">
              <w:rPr>
                <w:rFonts w:ascii="Book Antiqua" w:hAnsi="Book Antiqua"/>
                <w:bCs/>
                <w:lang w:eastAsia="en-US"/>
              </w:rPr>
              <w:t>49</w:t>
            </w:r>
          </w:p>
        </w:tc>
        <w:tc>
          <w:tcPr>
            <w:tcW w:w="1080" w:type="dxa"/>
            <w:tcBorders>
              <w:top w:val="single" w:sz="4" w:space="0" w:color="auto"/>
            </w:tcBorders>
          </w:tcPr>
          <w:p w14:paraId="335A2E42" w14:textId="77777777" w:rsidR="00213977" w:rsidRPr="008C58B2" w:rsidRDefault="00213977" w:rsidP="008C58B2">
            <w:pPr>
              <w:spacing w:line="360" w:lineRule="auto"/>
              <w:rPr>
                <w:rFonts w:ascii="Book Antiqua" w:hAnsi="Book Antiqua"/>
                <w:bCs/>
                <w:lang w:eastAsia="en-US"/>
              </w:rPr>
            </w:pPr>
            <w:r w:rsidRPr="008C58B2">
              <w:rPr>
                <w:rFonts w:ascii="Book Antiqua" w:hAnsi="Book Antiqua"/>
                <w:bCs/>
                <w:lang w:eastAsia="en-US"/>
              </w:rPr>
              <w:t>53</w:t>
            </w:r>
          </w:p>
        </w:tc>
        <w:tc>
          <w:tcPr>
            <w:tcW w:w="1080" w:type="dxa"/>
            <w:tcBorders>
              <w:top w:val="single" w:sz="4" w:space="0" w:color="auto"/>
            </w:tcBorders>
          </w:tcPr>
          <w:p w14:paraId="25AD6488" w14:textId="77777777" w:rsidR="00213977" w:rsidRPr="008C58B2" w:rsidRDefault="00213977" w:rsidP="008C58B2">
            <w:pPr>
              <w:spacing w:line="360" w:lineRule="auto"/>
              <w:rPr>
                <w:rFonts w:ascii="Book Antiqua" w:hAnsi="Book Antiqua"/>
                <w:bCs/>
                <w:lang w:eastAsia="en-US"/>
              </w:rPr>
            </w:pPr>
            <w:r w:rsidRPr="008C58B2">
              <w:rPr>
                <w:rFonts w:ascii="Book Antiqua" w:hAnsi="Book Antiqua"/>
                <w:bCs/>
                <w:lang w:eastAsia="en-US"/>
              </w:rPr>
              <w:t>59</w:t>
            </w:r>
          </w:p>
        </w:tc>
        <w:tc>
          <w:tcPr>
            <w:tcW w:w="1040" w:type="dxa"/>
            <w:tcBorders>
              <w:top w:val="single" w:sz="4" w:space="0" w:color="auto"/>
            </w:tcBorders>
          </w:tcPr>
          <w:p w14:paraId="07F684FC" w14:textId="77777777" w:rsidR="00213977" w:rsidRPr="008C58B2" w:rsidRDefault="00213977" w:rsidP="008C58B2">
            <w:pPr>
              <w:spacing w:line="360" w:lineRule="auto"/>
              <w:rPr>
                <w:rFonts w:ascii="Book Antiqua" w:hAnsi="Book Antiqua"/>
                <w:bCs/>
                <w:lang w:eastAsia="en-US"/>
              </w:rPr>
            </w:pPr>
            <w:r w:rsidRPr="008C58B2">
              <w:rPr>
                <w:rFonts w:ascii="Book Antiqua" w:hAnsi="Book Antiqua"/>
                <w:bCs/>
                <w:lang w:eastAsia="en-US"/>
              </w:rPr>
              <w:t>50</w:t>
            </w:r>
          </w:p>
        </w:tc>
        <w:tc>
          <w:tcPr>
            <w:tcW w:w="1210" w:type="dxa"/>
            <w:tcBorders>
              <w:top w:val="single" w:sz="4" w:space="0" w:color="auto"/>
            </w:tcBorders>
          </w:tcPr>
          <w:p w14:paraId="17586747" w14:textId="77777777" w:rsidR="00213977" w:rsidRPr="008C58B2" w:rsidRDefault="00213977" w:rsidP="008C58B2">
            <w:pPr>
              <w:spacing w:line="360" w:lineRule="auto"/>
              <w:rPr>
                <w:rFonts w:ascii="Book Antiqua" w:hAnsi="Book Antiqua"/>
                <w:bCs/>
                <w:lang w:eastAsia="en-US"/>
              </w:rPr>
            </w:pPr>
            <w:r w:rsidRPr="008C58B2">
              <w:rPr>
                <w:rFonts w:ascii="Book Antiqua" w:hAnsi="Book Antiqua"/>
                <w:bCs/>
                <w:lang w:eastAsia="en-US"/>
              </w:rPr>
              <w:t>42</w:t>
            </w:r>
          </w:p>
        </w:tc>
        <w:tc>
          <w:tcPr>
            <w:tcW w:w="810" w:type="dxa"/>
            <w:tcBorders>
              <w:top w:val="single" w:sz="4" w:space="0" w:color="auto"/>
            </w:tcBorders>
          </w:tcPr>
          <w:p w14:paraId="357EDD52" w14:textId="77777777" w:rsidR="00213977" w:rsidRPr="008C58B2" w:rsidRDefault="00213977" w:rsidP="008C58B2">
            <w:pPr>
              <w:spacing w:line="360" w:lineRule="auto"/>
              <w:rPr>
                <w:rFonts w:ascii="Book Antiqua" w:hAnsi="Book Antiqua"/>
                <w:bCs/>
                <w:lang w:eastAsia="en-US"/>
              </w:rPr>
            </w:pPr>
            <w:r w:rsidRPr="008C58B2">
              <w:rPr>
                <w:rFonts w:ascii="Book Antiqua" w:hAnsi="Book Antiqua"/>
                <w:bCs/>
                <w:lang w:eastAsia="en-US"/>
              </w:rPr>
              <w:t>40</w:t>
            </w:r>
          </w:p>
        </w:tc>
      </w:tr>
      <w:tr w:rsidR="00213977" w:rsidRPr="008C58B2" w14:paraId="1368FB5C" w14:textId="77777777" w:rsidTr="008C58B2">
        <w:tc>
          <w:tcPr>
            <w:tcW w:w="2698" w:type="dxa"/>
          </w:tcPr>
          <w:p w14:paraId="378E5894" w14:textId="77777777" w:rsidR="00213977" w:rsidRPr="008C58B2" w:rsidRDefault="00213977" w:rsidP="008C58B2">
            <w:pPr>
              <w:spacing w:line="360" w:lineRule="auto"/>
              <w:rPr>
                <w:rFonts w:ascii="Book Antiqua" w:hAnsi="Book Antiqua"/>
                <w:lang w:eastAsia="en-US"/>
              </w:rPr>
            </w:pPr>
            <w:r w:rsidRPr="008C58B2">
              <w:rPr>
                <w:rFonts w:ascii="Book Antiqua" w:hAnsi="Book Antiqua"/>
                <w:lang w:eastAsia="en-US"/>
              </w:rPr>
              <w:t>Creatinine (mg/dL)</w:t>
            </w:r>
          </w:p>
        </w:tc>
        <w:tc>
          <w:tcPr>
            <w:tcW w:w="1117" w:type="dxa"/>
          </w:tcPr>
          <w:p w14:paraId="6AE90825" w14:textId="77777777" w:rsidR="00213977" w:rsidRPr="008C58B2" w:rsidRDefault="00213977" w:rsidP="008C58B2">
            <w:pPr>
              <w:spacing w:line="360" w:lineRule="auto"/>
              <w:rPr>
                <w:rFonts w:ascii="Book Antiqua" w:hAnsi="Book Antiqua"/>
                <w:bCs/>
                <w:lang w:eastAsia="en-US"/>
              </w:rPr>
            </w:pPr>
            <w:r w:rsidRPr="008C58B2">
              <w:rPr>
                <w:rFonts w:ascii="Book Antiqua" w:hAnsi="Book Antiqua"/>
                <w:bCs/>
                <w:lang w:eastAsia="en-US"/>
              </w:rPr>
              <w:t>1.1</w:t>
            </w:r>
          </w:p>
        </w:tc>
        <w:tc>
          <w:tcPr>
            <w:tcW w:w="1045" w:type="dxa"/>
          </w:tcPr>
          <w:p w14:paraId="08EA603E" w14:textId="77777777" w:rsidR="00213977" w:rsidRPr="008C58B2" w:rsidRDefault="00213977" w:rsidP="008C58B2">
            <w:pPr>
              <w:spacing w:line="360" w:lineRule="auto"/>
              <w:rPr>
                <w:rFonts w:ascii="Book Antiqua" w:hAnsi="Book Antiqua"/>
                <w:bCs/>
                <w:lang w:eastAsia="en-US"/>
              </w:rPr>
            </w:pPr>
            <w:r w:rsidRPr="008C58B2">
              <w:rPr>
                <w:rFonts w:ascii="Book Antiqua" w:hAnsi="Book Antiqua"/>
                <w:bCs/>
                <w:lang w:eastAsia="en-US"/>
              </w:rPr>
              <w:t>1.2</w:t>
            </w:r>
          </w:p>
        </w:tc>
        <w:tc>
          <w:tcPr>
            <w:tcW w:w="1080" w:type="dxa"/>
          </w:tcPr>
          <w:p w14:paraId="227AD41C" w14:textId="77777777" w:rsidR="00213977" w:rsidRPr="008C58B2" w:rsidRDefault="00213977" w:rsidP="008C58B2">
            <w:pPr>
              <w:spacing w:line="360" w:lineRule="auto"/>
              <w:rPr>
                <w:rFonts w:ascii="Book Antiqua" w:hAnsi="Book Antiqua"/>
                <w:bCs/>
                <w:lang w:eastAsia="en-US"/>
              </w:rPr>
            </w:pPr>
            <w:r w:rsidRPr="008C58B2">
              <w:rPr>
                <w:rFonts w:ascii="Book Antiqua" w:hAnsi="Book Antiqua"/>
                <w:bCs/>
                <w:lang w:eastAsia="en-US"/>
              </w:rPr>
              <w:t>1.3</w:t>
            </w:r>
          </w:p>
        </w:tc>
        <w:tc>
          <w:tcPr>
            <w:tcW w:w="1080" w:type="dxa"/>
          </w:tcPr>
          <w:p w14:paraId="5D2808BE" w14:textId="77777777" w:rsidR="00213977" w:rsidRPr="008C58B2" w:rsidRDefault="00213977" w:rsidP="008C58B2">
            <w:pPr>
              <w:spacing w:line="360" w:lineRule="auto"/>
              <w:rPr>
                <w:rFonts w:ascii="Book Antiqua" w:hAnsi="Book Antiqua"/>
                <w:bCs/>
                <w:lang w:eastAsia="en-US"/>
              </w:rPr>
            </w:pPr>
            <w:r w:rsidRPr="008C58B2">
              <w:rPr>
                <w:rFonts w:ascii="Book Antiqua" w:hAnsi="Book Antiqua"/>
                <w:bCs/>
                <w:lang w:eastAsia="en-US"/>
              </w:rPr>
              <w:t>1.4</w:t>
            </w:r>
          </w:p>
        </w:tc>
        <w:tc>
          <w:tcPr>
            <w:tcW w:w="1040" w:type="dxa"/>
          </w:tcPr>
          <w:p w14:paraId="63E4414E" w14:textId="77777777" w:rsidR="00213977" w:rsidRPr="008C58B2" w:rsidRDefault="00213977" w:rsidP="008C58B2">
            <w:pPr>
              <w:spacing w:line="360" w:lineRule="auto"/>
              <w:rPr>
                <w:rFonts w:ascii="Book Antiqua" w:hAnsi="Book Antiqua"/>
                <w:bCs/>
                <w:lang w:eastAsia="en-US"/>
              </w:rPr>
            </w:pPr>
            <w:r w:rsidRPr="008C58B2">
              <w:rPr>
                <w:rFonts w:ascii="Book Antiqua" w:hAnsi="Book Antiqua"/>
                <w:bCs/>
                <w:lang w:eastAsia="en-US"/>
              </w:rPr>
              <w:t>1.2</w:t>
            </w:r>
          </w:p>
        </w:tc>
        <w:tc>
          <w:tcPr>
            <w:tcW w:w="1210" w:type="dxa"/>
          </w:tcPr>
          <w:p w14:paraId="46AA36D6" w14:textId="77777777" w:rsidR="00213977" w:rsidRPr="008C58B2" w:rsidRDefault="00213977" w:rsidP="008C58B2">
            <w:pPr>
              <w:spacing w:line="360" w:lineRule="auto"/>
              <w:rPr>
                <w:rFonts w:ascii="Book Antiqua" w:hAnsi="Book Antiqua"/>
                <w:bCs/>
                <w:lang w:eastAsia="en-US"/>
              </w:rPr>
            </w:pPr>
            <w:r w:rsidRPr="008C58B2">
              <w:rPr>
                <w:rFonts w:ascii="Book Antiqua" w:hAnsi="Book Antiqua"/>
                <w:bCs/>
                <w:lang w:eastAsia="en-US"/>
              </w:rPr>
              <w:t>1.1</w:t>
            </w:r>
          </w:p>
        </w:tc>
        <w:tc>
          <w:tcPr>
            <w:tcW w:w="810" w:type="dxa"/>
          </w:tcPr>
          <w:p w14:paraId="0B067FFE" w14:textId="77777777" w:rsidR="00213977" w:rsidRPr="008C58B2" w:rsidRDefault="00213977" w:rsidP="008C58B2">
            <w:pPr>
              <w:spacing w:line="360" w:lineRule="auto"/>
              <w:rPr>
                <w:rFonts w:ascii="Book Antiqua" w:hAnsi="Book Antiqua"/>
                <w:bCs/>
                <w:lang w:eastAsia="en-US"/>
              </w:rPr>
            </w:pPr>
            <w:r w:rsidRPr="008C58B2">
              <w:rPr>
                <w:rFonts w:ascii="Book Antiqua" w:hAnsi="Book Antiqua"/>
                <w:bCs/>
                <w:lang w:eastAsia="en-US"/>
              </w:rPr>
              <w:t>0.9</w:t>
            </w:r>
          </w:p>
        </w:tc>
      </w:tr>
      <w:tr w:rsidR="00213977" w:rsidRPr="008C58B2" w14:paraId="30B5A72A" w14:textId="77777777" w:rsidTr="008C58B2">
        <w:tc>
          <w:tcPr>
            <w:tcW w:w="2698" w:type="dxa"/>
          </w:tcPr>
          <w:p w14:paraId="3D7FA1DC" w14:textId="52B3DB8E" w:rsidR="00213977" w:rsidRPr="008C58B2" w:rsidRDefault="00213977" w:rsidP="008C58B2">
            <w:pPr>
              <w:spacing w:line="360" w:lineRule="auto"/>
              <w:rPr>
                <w:rFonts w:ascii="Book Antiqua" w:hAnsi="Book Antiqua"/>
                <w:lang w:eastAsia="en-US"/>
              </w:rPr>
            </w:pPr>
            <w:r w:rsidRPr="008C58B2">
              <w:rPr>
                <w:rFonts w:ascii="Book Antiqua" w:hAnsi="Book Antiqua"/>
                <w:lang w:val="en-US" w:eastAsia="en-US"/>
              </w:rPr>
              <w:t>eGFR</w:t>
            </w:r>
            <w:r w:rsidR="008C58B2" w:rsidRPr="008C58B2">
              <w:rPr>
                <w:rFonts w:ascii="Book Antiqua" w:hAnsi="Book Antiqua"/>
                <w:lang w:val="en-US" w:eastAsia="en-US"/>
              </w:rPr>
              <w:t xml:space="preserve"> </w:t>
            </w:r>
            <w:r w:rsidRPr="008C58B2">
              <w:rPr>
                <w:rFonts w:ascii="Book Antiqua" w:hAnsi="Book Antiqua"/>
                <w:lang w:val="en-US" w:eastAsia="en-US"/>
              </w:rPr>
              <w:t>(CKD-EPI) (mL/min/1.73</w:t>
            </w:r>
            <w:r w:rsidR="008733E3">
              <w:rPr>
                <w:rFonts w:ascii="Book Antiqua" w:hAnsi="Book Antiqua"/>
                <w:lang w:val="en-US" w:eastAsia="en-US"/>
              </w:rPr>
              <w:t xml:space="preserve"> </w:t>
            </w:r>
            <w:r w:rsidRPr="008C58B2">
              <w:rPr>
                <w:rFonts w:ascii="Book Antiqua" w:hAnsi="Book Antiqua"/>
                <w:lang w:val="en-US" w:eastAsia="en-US"/>
              </w:rPr>
              <w:t>m²)</w:t>
            </w:r>
          </w:p>
        </w:tc>
        <w:tc>
          <w:tcPr>
            <w:tcW w:w="1117" w:type="dxa"/>
          </w:tcPr>
          <w:p w14:paraId="6471398E" w14:textId="77777777" w:rsidR="00213977" w:rsidRPr="008C58B2" w:rsidRDefault="00213977" w:rsidP="008C58B2">
            <w:pPr>
              <w:spacing w:line="360" w:lineRule="auto"/>
              <w:rPr>
                <w:rFonts w:ascii="Book Antiqua" w:hAnsi="Book Antiqua"/>
                <w:bCs/>
                <w:lang w:eastAsia="en-US"/>
              </w:rPr>
            </w:pPr>
            <w:r w:rsidRPr="008C58B2">
              <w:rPr>
                <w:rFonts w:ascii="Book Antiqua" w:hAnsi="Book Antiqua"/>
                <w:bCs/>
                <w:lang w:eastAsia="en-US"/>
              </w:rPr>
              <w:t>58.5</w:t>
            </w:r>
          </w:p>
        </w:tc>
        <w:tc>
          <w:tcPr>
            <w:tcW w:w="1045" w:type="dxa"/>
          </w:tcPr>
          <w:p w14:paraId="66B9E51C" w14:textId="77777777" w:rsidR="00213977" w:rsidRPr="008C58B2" w:rsidRDefault="00213977" w:rsidP="008C58B2">
            <w:pPr>
              <w:spacing w:line="360" w:lineRule="auto"/>
              <w:rPr>
                <w:rFonts w:ascii="Book Antiqua" w:hAnsi="Book Antiqua"/>
                <w:bCs/>
                <w:lang w:eastAsia="en-US"/>
              </w:rPr>
            </w:pPr>
            <w:r w:rsidRPr="008C58B2">
              <w:rPr>
                <w:rFonts w:ascii="Book Antiqua" w:hAnsi="Book Antiqua"/>
                <w:bCs/>
                <w:lang w:eastAsia="en-US"/>
              </w:rPr>
              <w:t>52.7</w:t>
            </w:r>
          </w:p>
        </w:tc>
        <w:tc>
          <w:tcPr>
            <w:tcW w:w="1080" w:type="dxa"/>
          </w:tcPr>
          <w:p w14:paraId="04974BED" w14:textId="77777777" w:rsidR="00213977" w:rsidRPr="008C58B2" w:rsidRDefault="00213977" w:rsidP="008C58B2">
            <w:pPr>
              <w:spacing w:line="360" w:lineRule="auto"/>
              <w:rPr>
                <w:rFonts w:ascii="Book Antiqua" w:hAnsi="Book Antiqua"/>
                <w:bCs/>
                <w:lang w:eastAsia="en-US"/>
              </w:rPr>
            </w:pPr>
            <w:r w:rsidRPr="008C58B2">
              <w:rPr>
                <w:rFonts w:ascii="Book Antiqua" w:hAnsi="Book Antiqua"/>
                <w:bCs/>
                <w:lang w:eastAsia="en-US"/>
              </w:rPr>
              <w:t>47.8</w:t>
            </w:r>
          </w:p>
        </w:tc>
        <w:tc>
          <w:tcPr>
            <w:tcW w:w="1080" w:type="dxa"/>
          </w:tcPr>
          <w:p w14:paraId="3B487407" w14:textId="77777777" w:rsidR="00213977" w:rsidRPr="008C58B2" w:rsidRDefault="00213977" w:rsidP="008C58B2">
            <w:pPr>
              <w:spacing w:line="360" w:lineRule="auto"/>
              <w:rPr>
                <w:rFonts w:ascii="Book Antiqua" w:hAnsi="Book Antiqua"/>
                <w:bCs/>
                <w:lang w:eastAsia="en-US"/>
              </w:rPr>
            </w:pPr>
            <w:r w:rsidRPr="008C58B2">
              <w:rPr>
                <w:rFonts w:ascii="Book Antiqua" w:hAnsi="Book Antiqua"/>
                <w:bCs/>
                <w:lang w:eastAsia="en-US"/>
              </w:rPr>
              <w:t>43.7</w:t>
            </w:r>
          </w:p>
        </w:tc>
        <w:tc>
          <w:tcPr>
            <w:tcW w:w="1040" w:type="dxa"/>
          </w:tcPr>
          <w:p w14:paraId="6597FB78" w14:textId="77777777" w:rsidR="00213977" w:rsidRPr="008C58B2" w:rsidRDefault="00213977" w:rsidP="008C58B2">
            <w:pPr>
              <w:spacing w:line="360" w:lineRule="auto"/>
              <w:rPr>
                <w:rFonts w:ascii="Book Antiqua" w:hAnsi="Book Antiqua"/>
                <w:bCs/>
                <w:lang w:eastAsia="en-US"/>
              </w:rPr>
            </w:pPr>
            <w:r w:rsidRPr="008C58B2">
              <w:rPr>
                <w:rFonts w:ascii="Book Antiqua" w:hAnsi="Book Antiqua"/>
                <w:bCs/>
                <w:lang w:eastAsia="en-US"/>
              </w:rPr>
              <w:t>52.7</w:t>
            </w:r>
          </w:p>
        </w:tc>
        <w:tc>
          <w:tcPr>
            <w:tcW w:w="1210" w:type="dxa"/>
          </w:tcPr>
          <w:p w14:paraId="12971D03" w14:textId="77777777" w:rsidR="00213977" w:rsidRPr="008C58B2" w:rsidRDefault="00213977" w:rsidP="008C58B2">
            <w:pPr>
              <w:spacing w:line="360" w:lineRule="auto"/>
              <w:rPr>
                <w:rFonts w:ascii="Book Antiqua" w:hAnsi="Book Antiqua"/>
                <w:bCs/>
                <w:lang w:eastAsia="en-US"/>
              </w:rPr>
            </w:pPr>
            <w:r w:rsidRPr="008C58B2">
              <w:rPr>
                <w:rFonts w:ascii="Book Antiqua" w:hAnsi="Book Antiqua"/>
                <w:bCs/>
                <w:lang w:eastAsia="en-US"/>
              </w:rPr>
              <w:t>58.5</w:t>
            </w:r>
          </w:p>
        </w:tc>
        <w:tc>
          <w:tcPr>
            <w:tcW w:w="810" w:type="dxa"/>
          </w:tcPr>
          <w:p w14:paraId="4A40BD94" w14:textId="77777777" w:rsidR="00213977" w:rsidRPr="008C58B2" w:rsidRDefault="00213977" w:rsidP="008C58B2">
            <w:pPr>
              <w:spacing w:line="360" w:lineRule="auto"/>
              <w:rPr>
                <w:rFonts w:ascii="Book Antiqua" w:hAnsi="Book Antiqua"/>
                <w:bCs/>
                <w:lang w:eastAsia="en-US"/>
              </w:rPr>
            </w:pPr>
            <w:r w:rsidRPr="008C58B2">
              <w:rPr>
                <w:rFonts w:ascii="Book Antiqua" w:hAnsi="Book Antiqua"/>
                <w:bCs/>
                <w:lang w:eastAsia="en-US"/>
              </w:rPr>
              <w:t>76.4</w:t>
            </w:r>
          </w:p>
        </w:tc>
      </w:tr>
      <w:tr w:rsidR="00213977" w:rsidRPr="008C58B2" w14:paraId="460CCBD4" w14:textId="77777777" w:rsidTr="008C58B2">
        <w:tc>
          <w:tcPr>
            <w:tcW w:w="2698" w:type="dxa"/>
            <w:tcBorders>
              <w:bottom w:val="single" w:sz="4" w:space="0" w:color="auto"/>
            </w:tcBorders>
          </w:tcPr>
          <w:p w14:paraId="43DACC47" w14:textId="4AA72123" w:rsidR="00213977" w:rsidRPr="008C58B2" w:rsidRDefault="00213977" w:rsidP="008C58B2">
            <w:pPr>
              <w:spacing w:line="360" w:lineRule="auto"/>
              <w:rPr>
                <w:rFonts w:ascii="Book Antiqua" w:hAnsi="Book Antiqua"/>
                <w:lang w:eastAsia="en-US"/>
              </w:rPr>
            </w:pPr>
            <w:r w:rsidRPr="008C58B2">
              <w:rPr>
                <w:rFonts w:ascii="Book Antiqua" w:hAnsi="Book Antiqua"/>
                <w:lang w:eastAsia="en-US"/>
              </w:rPr>
              <w:t>Tacrolimus level (ng/mL)</w:t>
            </w:r>
          </w:p>
        </w:tc>
        <w:tc>
          <w:tcPr>
            <w:tcW w:w="1117" w:type="dxa"/>
            <w:tcBorders>
              <w:bottom w:val="single" w:sz="4" w:space="0" w:color="auto"/>
            </w:tcBorders>
          </w:tcPr>
          <w:p w14:paraId="3BDB875A" w14:textId="77777777" w:rsidR="00213977" w:rsidRPr="008C58B2" w:rsidRDefault="00213977" w:rsidP="008C58B2">
            <w:pPr>
              <w:spacing w:line="360" w:lineRule="auto"/>
              <w:rPr>
                <w:rFonts w:ascii="Book Antiqua" w:hAnsi="Book Antiqua"/>
                <w:bCs/>
                <w:lang w:eastAsia="en-US"/>
              </w:rPr>
            </w:pPr>
            <w:r w:rsidRPr="008C58B2">
              <w:rPr>
                <w:rFonts w:ascii="Book Antiqua" w:hAnsi="Book Antiqua"/>
                <w:bCs/>
                <w:lang w:eastAsia="en-US"/>
              </w:rPr>
              <w:t>5.5</w:t>
            </w:r>
          </w:p>
        </w:tc>
        <w:tc>
          <w:tcPr>
            <w:tcW w:w="1045" w:type="dxa"/>
            <w:tcBorders>
              <w:bottom w:val="single" w:sz="4" w:space="0" w:color="auto"/>
            </w:tcBorders>
          </w:tcPr>
          <w:p w14:paraId="6FE44D14" w14:textId="77777777" w:rsidR="00213977" w:rsidRPr="008C58B2" w:rsidRDefault="00213977" w:rsidP="008C58B2">
            <w:pPr>
              <w:spacing w:line="360" w:lineRule="auto"/>
              <w:rPr>
                <w:rFonts w:ascii="Book Antiqua" w:hAnsi="Book Antiqua"/>
                <w:bCs/>
                <w:lang w:eastAsia="en-US"/>
              </w:rPr>
            </w:pPr>
            <w:r w:rsidRPr="008C58B2">
              <w:rPr>
                <w:rFonts w:ascii="Book Antiqua" w:hAnsi="Book Antiqua"/>
                <w:bCs/>
                <w:lang w:eastAsia="en-US"/>
              </w:rPr>
              <w:t>7</w:t>
            </w:r>
          </w:p>
        </w:tc>
        <w:tc>
          <w:tcPr>
            <w:tcW w:w="1080" w:type="dxa"/>
            <w:tcBorders>
              <w:bottom w:val="single" w:sz="4" w:space="0" w:color="auto"/>
            </w:tcBorders>
          </w:tcPr>
          <w:p w14:paraId="246DD9C0" w14:textId="77777777" w:rsidR="00213977" w:rsidRPr="008C58B2" w:rsidRDefault="00213977" w:rsidP="008C58B2">
            <w:pPr>
              <w:spacing w:line="360" w:lineRule="auto"/>
              <w:rPr>
                <w:rFonts w:ascii="Book Antiqua" w:hAnsi="Book Antiqua"/>
                <w:bCs/>
                <w:lang w:eastAsia="en-US"/>
              </w:rPr>
            </w:pPr>
            <w:r w:rsidRPr="008C58B2">
              <w:rPr>
                <w:rFonts w:ascii="Book Antiqua" w:hAnsi="Book Antiqua"/>
                <w:bCs/>
                <w:lang w:eastAsia="en-US"/>
              </w:rPr>
              <w:t>-</w:t>
            </w:r>
          </w:p>
        </w:tc>
        <w:tc>
          <w:tcPr>
            <w:tcW w:w="1080" w:type="dxa"/>
            <w:tcBorders>
              <w:bottom w:val="single" w:sz="4" w:space="0" w:color="auto"/>
            </w:tcBorders>
          </w:tcPr>
          <w:p w14:paraId="25475A5E" w14:textId="77777777" w:rsidR="00213977" w:rsidRPr="008C58B2" w:rsidRDefault="00213977" w:rsidP="008C58B2">
            <w:pPr>
              <w:spacing w:line="360" w:lineRule="auto"/>
              <w:rPr>
                <w:rFonts w:ascii="Book Antiqua" w:hAnsi="Book Antiqua"/>
                <w:bCs/>
                <w:lang w:eastAsia="en-US"/>
              </w:rPr>
            </w:pPr>
            <w:r w:rsidRPr="008C58B2">
              <w:rPr>
                <w:rFonts w:ascii="Book Antiqua" w:hAnsi="Book Antiqua"/>
                <w:bCs/>
                <w:lang w:eastAsia="en-US"/>
              </w:rPr>
              <w:t>23.58</w:t>
            </w:r>
          </w:p>
        </w:tc>
        <w:tc>
          <w:tcPr>
            <w:tcW w:w="1040" w:type="dxa"/>
            <w:tcBorders>
              <w:bottom w:val="single" w:sz="4" w:space="0" w:color="auto"/>
            </w:tcBorders>
          </w:tcPr>
          <w:p w14:paraId="3D6283CB" w14:textId="77777777" w:rsidR="00213977" w:rsidRPr="008C58B2" w:rsidRDefault="00213977" w:rsidP="008C58B2">
            <w:pPr>
              <w:spacing w:line="360" w:lineRule="auto"/>
              <w:rPr>
                <w:rFonts w:ascii="Book Antiqua" w:hAnsi="Book Antiqua"/>
                <w:bCs/>
                <w:lang w:eastAsia="en-US"/>
              </w:rPr>
            </w:pPr>
            <w:r w:rsidRPr="008C58B2">
              <w:rPr>
                <w:rFonts w:ascii="Book Antiqua" w:hAnsi="Book Antiqua"/>
                <w:bCs/>
                <w:lang w:eastAsia="en-US"/>
              </w:rPr>
              <w:t>12</w:t>
            </w:r>
          </w:p>
        </w:tc>
        <w:tc>
          <w:tcPr>
            <w:tcW w:w="1210" w:type="dxa"/>
            <w:tcBorders>
              <w:bottom w:val="single" w:sz="4" w:space="0" w:color="auto"/>
            </w:tcBorders>
          </w:tcPr>
          <w:p w14:paraId="0766CCB4" w14:textId="77777777" w:rsidR="00213977" w:rsidRPr="008C58B2" w:rsidRDefault="00213977" w:rsidP="008C58B2">
            <w:pPr>
              <w:spacing w:line="360" w:lineRule="auto"/>
              <w:rPr>
                <w:rFonts w:ascii="Book Antiqua" w:hAnsi="Book Antiqua"/>
                <w:bCs/>
                <w:lang w:eastAsia="en-US"/>
              </w:rPr>
            </w:pPr>
            <w:r w:rsidRPr="008C58B2">
              <w:rPr>
                <w:rFonts w:ascii="Book Antiqua" w:hAnsi="Book Antiqua"/>
                <w:bCs/>
                <w:lang w:eastAsia="en-US"/>
              </w:rPr>
              <w:t>6.3</w:t>
            </w:r>
          </w:p>
        </w:tc>
        <w:tc>
          <w:tcPr>
            <w:tcW w:w="810" w:type="dxa"/>
            <w:tcBorders>
              <w:bottom w:val="single" w:sz="4" w:space="0" w:color="auto"/>
            </w:tcBorders>
          </w:tcPr>
          <w:p w14:paraId="0DC7D396" w14:textId="77777777" w:rsidR="00213977" w:rsidRPr="008C58B2" w:rsidRDefault="00213977" w:rsidP="008C58B2">
            <w:pPr>
              <w:spacing w:line="360" w:lineRule="auto"/>
              <w:rPr>
                <w:rFonts w:ascii="Book Antiqua" w:hAnsi="Book Antiqua"/>
                <w:bCs/>
                <w:lang w:eastAsia="en-US"/>
              </w:rPr>
            </w:pPr>
            <w:r w:rsidRPr="008C58B2">
              <w:rPr>
                <w:rFonts w:ascii="Book Antiqua" w:hAnsi="Book Antiqua"/>
                <w:bCs/>
                <w:lang w:eastAsia="en-US"/>
              </w:rPr>
              <w:t>5.9</w:t>
            </w:r>
          </w:p>
        </w:tc>
      </w:tr>
    </w:tbl>
    <w:p w14:paraId="7CABE42D" w14:textId="5F002232" w:rsidR="0054105E" w:rsidRPr="008C58B2" w:rsidRDefault="00213977" w:rsidP="008C58B2">
      <w:pPr>
        <w:spacing w:line="360" w:lineRule="auto"/>
        <w:jc w:val="both"/>
        <w:rPr>
          <w:rFonts w:ascii="Book Antiqua" w:hAnsi="Book Antiqua"/>
          <w:b/>
          <w:bCs/>
          <w:lang w:val="en-GB"/>
        </w:rPr>
      </w:pPr>
      <w:r w:rsidRPr="008C58B2">
        <w:rPr>
          <w:rFonts w:ascii="Book Antiqua" w:hAnsi="Book Antiqua"/>
          <w:bCs/>
          <w:lang w:val="en-GB"/>
        </w:rPr>
        <w:t>eGFR</w:t>
      </w:r>
      <w:r w:rsidR="008C58B2">
        <w:rPr>
          <w:rFonts w:ascii="Book Antiqua" w:hAnsi="Book Antiqua"/>
          <w:bCs/>
          <w:lang w:val="en-GB"/>
        </w:rPr>
        <w:t>:</w:t>
      </w:r>
      <w:r w:rsidRPr="008C58B2">
        <w:rPr>
          <w:rFonts w:ascii="Book Antiqua" w:hAnsi="Book Antiqua"/>
          <w:bCs/>
          <w:lang w:val="en-GB"/>
        </w:rPr>
        <w:t xml:space="preserve"> Estimated </w:t>
      </w:r>
      <w:r w:rsidR="008C58B2" w:rsidRPr="008C58B2">
        <w:rPr>
          <w:rFonts w:ascii="Book Antiqua" w:hAnsi="Book Antiqua"/>
          <w:bCs/>
          <w:lang w:val="en-GB"/>
        </w:rPr>
        <w:t>glomerular filtration rat</w:t>
      </w:r>
      <w:r w:rsidRPr="008C58B2">
        <w:rPr>
          <w:rFonts w:ascii="Book Antiqua" w:hAnsi="Book Antiqua"/>
          <w:bCs/>
          <w:lang w:val="en-GB"/>
        </w:rPr>
        <w:t>e</w:t>
      </w:r>
      <w:r w:rsidR="008C58B2">
        <w:rPr>
          <w:rFonts w:ascii="Book Antiqua" w:hAnsi="Book Antiqua"/>
          <w:bCs/>
          <w:lang w:val="en-GB"/>
        </w:rPr>
        <w:t xml:space="preserve">; </w:t>
      </w:r>
      <w:r w:rsidRPr="008C58B2">
        <w:rPr>
          <w:rFonts w:ascii="Book Antiqua" w:hAnsi="Book Antiqua"/>
          <w:bCs/>
          <w:lang w:val="en-GB"/>
        </w:rPr>
        <w:t>PA</w:t>
      </w:r>
      <w:r w:rsidR="008C58B2">
        <w:rPr>
          <w:rFonts w:ascii="Book Antiqua" w:hAnsi="Book Antiqua"/>
          <w:bCs/>
          <w:lang w:val="en-GB"/>
        </w:rPr>
        <w:t>:</w:t>
      </w:r>
      <w:r w:rsidRPr="008C58B2">
        <w:rPr>
          <w:rFonts w:ascii="Book Antiqua" w:hAnsi="Book Antiqua"/>
          <w:bCs/>
          <w:lang w:val="en-GB"/>
        </w:rPr>
        <w:t xml:space="preserve"> Post admission</w:t>
      </w:r>
      <w:r w:rsidR="008C58B2">
        <w:rPr>
          <w:rFonts w:ascii="Book Antiqua" w:hAnsi="Book Antiqua"/>
          <w:bCs/>
          <w:lang w:val="en-GB"/>
        </w:rPr>
        <w:t>.</w:t>
      </w:r>
    </w:p>
    <w:sectPr w:rsidR="0054105E" w:rsidRPr="008C58B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2DCCE4" w14:textId="77777777" w:rsidR="00541CD0" w:rsidRDefault="00541CD0" w:rsidP="008754C6">
      <w:r>
        <w:separator/>
      </w:r>
    </w:p>
  </w:endnote>
  <w:endnote w:type="continuationSeparator" w:id="0">
    <w:p w14:paraId="7395C925" w14:textId="77777777" w:rsidR="00541CD0" w:rsidRDefault="00541CD0" w:rsidP="008754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1473309"/>
      <w:docPartObj>
        <w:docPartGallery w:val="Page Numbers (Bottom of Page)"/>
        <w:docPartUnique/>
      </w:docPartObj>
    </w:sdtPr>
    <w:sdtEndPr>
      <w:rPr>
        <w:rFonts w:ascii="Book Antiqua" w:hAnsi="Book Antiqua"/>
        <w:sz w:val="24"/>
        <w:szCs w:val="24"/>
      </w:rPr>
    </w:sdtEndPr>
    <w:sdtContent>
      <w:sdt>
        <w:sdtPr>
          <w:id w:val="-1705238520"/>
          <w:docPartObj>
            <w:docPartGallery w:val="Page Numbers (Top of Page)"/>
            <w:docPartUnique/>
          </w:docPartObj>
        </w:sdtPr>
        <w:sdtEndPr>
          <w:rPr>
            <w:rFonts w:ascii="Book Antiqua" w:hAnsi="Book Antiqua"/>
            <w:sz w:val="24"/>
            <w:szCs w:val="24"/>
          </w:rPr>
        </w:sdtEndPr>
        <w:sdtContent>
          <w:p w14:paraId="359854B7" w14:textId="1D1DCA2C" w:rsidR="00555E7F" w:rsidRPr="00555E7F" w:rsidRDefault="00555E7F" w:rsidP="00555E7F">
            <w:pPr>
              <w:pStyle w:val="a4"/>
              <w:jc w:val="right"/>
              <w:rPr>
                <w:rFonts w:ascii="Book Antiqua" w:hAnsi="Book Antiqua"/>
                <w:sz w:val="24"/>
                <w:szCs w:val="24"/>
              </w:rPr>
            </w:pPr>
            <w:r>
              <w:rPr>
                <w:lang w:val="zh-CN" w:eastAsia="zh-CN"/>
              </w:rPr>
              <w:t xml:space="preserve"> </w:t>
            </w:r>
            <w:r w:rsidRPr="00555E7F">
              <w:rPr>
                <w:rFonts w:ascii="Book Antiqua" w:hAnsi="Book Antiqua"/>
                <w:sz w:val="24"/>
                <w:szCs w:val="24"/>
              </w:rPr>
              <w:fldChar w:fldCharType="begin"/>
            </w:r>
            <w:r w:rsidRPr="00555E7F">
              <w:rPr>
                <w:rFonts w:ascii="Book Antiqua" w:hAnsi="Book Antiqua"/>
                <w:sz w:val="24"/>
                <w:szCs w:val="24"/>
              </w:rPr>
              <w:instrText>PAGE</w:instrText>
            </w:r>
            <w:r w:rsidRPr="00555E7F">
              <w:rPr>
                <w:rFonts w:ascii="Book Antiqua" w:hAnsi="Book Antiqua"/>
                <w:sz w:val="24"/>
                <w:szCs w:val="24"/>
              </w:rPr>
              <w:fldChar w:fldCharType="separate"/>
            </w:r>
            <w:r w:rsidR="008146CB">
              <w:rPr>
                <w:rFonts w:ascii="Book Antiqua" w:hAnsi="Book Antiqua"/>
                <w:noProof/>
                <w:sz w:val="24"/>
                <w:szCs w:val="24"/>
              </w:rPr>
              <w:t>13</w:t>
            </w:r>
            <w:r w:rsidRPr="00555E7F">
              <w:rPr>
                <w:rFonts w:ascii="Book Antiqua" w:hAnsi="Book Antiqua"/>
                <w:sz w:val="24"/>
                <w:szCs w:val="24"/>
              </w:rPr>
              <w:fldChar w:fldCharType="end"/>
            </w:r>
            <w:r w:rsidRPr="00555E7F">
              <w:rPr>
                <w:rFonts w:ascii="Book Antiqua" w:hAnsi="Book Antiqua"/>
                <w:sz w:val="24"/>
                <w:szCs w:val="24"/>
                <w:lang w:val="zh-CN" w:eastAsia="zh-CN"/>
              </w:rPr>
              <w:t xml:space="preserve"> / </w:t>
            </w:r>
            <w:r w:rsidRPr="00555E7F">
              <w:rPr>
                <w:rFonts w:ascii="Book Antiqua" w:hAnsi="Book Antiqua"/>
                <w:sz w:val="24"/>
                <w:szCs w:val="24"/>
              </w:rPr>
              <w:fldChar w:fldCharType="begin"/>
            </w:r>
            <w:r w:rsidRPr="00555E7F">
              <w:rPr>
                <w:rFonts w:ascii="Book Antiqua" w:hAnsi="Book Antiqua"/>
                <w:sz w:val="24"/>
                <w:szCs w:val="24"/>
              </w:rPr>
              <w:instrText>NUMPAGES</w:instrText>
            </w:r>
            <w:r w:rsidRPr="00555E7F">
              <w:rPr>
                <w:rFonts w:ascii="Book Antiqua" w:hAnsi="Book Antiqua"/>
                <w:sz w:val="24"/>
                <w:szCs w:val="24"/>
              </w:rPr>
              <w:fldChar w:fldCharType="separate"/>
            </w:r>
            <w:r w:rsidR="008146CB">
              <w:rPr>
                <w:rFonts w:ascii="Book Antiqua" w:hAnsi="Book Antiqua"/>
                <w:noProof/>
                <w:sz w:val="24"/>
                <w:szCs w:val="24"/>
              </w:rPr>
              <w:t>15</w:t>
            </w:r>
            <w:r w:rsidRPr="00555E7F">
              <w:rPr>
                <w:rFonts w:ascii="Book Antiqua" w:hAnsi="Book Antiqua"/>
                <w:sz w:val="24"/>
                <w:szCs w:val="24"/>
              </w:rPr>
              <w:fldChar w:fldCharType="end"/>
            </w:r>
          </w:p>
        </w:sdtContent>
      </w:sdt>
    </w:sdtContent>
  </w:sdt>
  <w:p w14:paraId="3FAD578A" w14:textId="77777777" w:rsidR="00555E7F" w:rsidRDefault="00555E7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A613AF" w14:textId="77777777" w:rsidR="00541CD0" w:rsidRDefault="00541CD0" w:rsidP="008754C6">
      <w:r>
        <w:separator/>
      </w:r>
    </w:p>
  </w:footnote>
  <w:footnote w:type="continuationSeparator" w:id="0">
    <w:p w14:paraId="380D8957" w14:textId="77777777" w:rsidR="00541CD0" w:rsidRDefault="00541CD0" w:rsidP="008754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6389A"/>
    <w:rsid w:val="00077B85"/>
    <w:rsid w:val="000D1B5F"/>
    <w:rsid w:val="001368BC"/>
    <w:rsid w:val="00161C9C"/>
    <w:rsid w:val="0016584E"/>
    <w:rsid w:val="00213977"/>
    <w:rsid w:val="002262E4"/>
    <w:rsid w:val="002329D8"/>
    <w:rsid w:val="00260985"/>
    <w:rsid w:val="002663A6"/>
    <w:rsid w:val="002E6C10"/>
    <w:rsid w:val="00333EE4"/>
    <w:rsid w:val="00385769"/>
    <w:rsid w:val="00432F4F"/>
    <w:rsid w:val="00443B18"/>
    <w:rsid w:val="00484029"/>
    <w:rsid w:val="004F3EB2"/>
    <w:rsid w:val="00524B32"/>
    <w:rsid w:val="0054105E"/>
    <w:rsid w:val="00541CD0"/>
    <w:rsid w:val="00555E7F"/>
    <w:rsid w:val="005A2985"/>
    <w:rsid w:val="00643D62"/>
    <w:rsid w:val="006772BB"/>
    <w:rsid w:val="006D5F12"/>
    <w:rsid w:val="006E65FF"/>
    <w:rsid w:val="006F070E"/>
    <w:rsid w:val="00710E5C"/>
    <w:rsid w:val="00712766"/>
    <w:rsid w:val="0071777B"/>
    <w:rsid w:val="0075334E"/>
    <w:rsid w:val="00757E42"/>
    <w:rsid w:val="008146CB"/>
    <w:rsid w:val="008733E3"/>
    <w:rsid w:val="008754C6"/>
    <w:rsid w:val="008772E6"/>
    <w:rsid w:val="008C58B2"/>
    <w:rsid w:val="00927C75"/>
    <w:rsid w:val="00956563"/>
    <w:rsid w:val="00966937"/>
    <w:rsid w:val="00A04553"/>
    <w:rsid w:val="00A21A38"/>
    <w:rsid w:val="00A55DF4"/>
    <w:rsid w:val="00A7100C"/>
    <w:rsid w:val="00A77B3E"/>
    <w:rsid w:val="00AB4F4C"/>
    <w:rsid w:val="00AB6482"/>
    <w:rsid w:val="00B10C9C"/>
    <w:rsid w:val="00B80431"/>
    <w:rsid w:val="00BF0B18"/>
    <w:rsid w:val="00BF553F"/>
    <w:rsid w:val="00C2729F"/>
    <w:rsid w:val="00C46CD8"/>
    <w:rsid w:val="00C77DFD"/>
    <w:rsid w:val="00CA2A55"/>
    <w:rsid w:val="00CB098D"/>
    <w:rsid w:val="00CD7979"/>
    <w:rsid w:val="00D7788F"/>
    <w:rsid w:val="00DB3614"/>
    <w:rsid w:val="00DF4556"/>
    <w:rsid w:val="00E36FB6"/>
    <w:rsid w:val="00EC7D92"/>
    <w:rsid w:val="00EE29F2"/>
    <w:rsid w:val="00F22748"/>
    <w:rsid w:val="00FB433E"/>
    <w:rsid w:val="00FB49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D17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8754C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8754C6"/>
    <w:rPr>
      <w:sz w:val="18"/>
      <w:szCs w:val="18"/>
    </w:rPr>
  </w:style>
  <w:style w:type="paragraph" w:styleId="a4">
    <w:name w:val="footer"/>
    <w:basedOn w:val="a"/>
    <w:link w:val="Char0"/>
    <w:uiPriority w:val="99"/>
    <w:unhideWhenUsed/>
    <w:rsid w:val="008754C6"/>
    <w:pPr>
      <w:tabs>
        <w:tab w:val="center" w:pos="4153"/>
        <w:tab w:val="right" w:pos="8306"/>
      </w:tabs>
      <w:snapToGrid w:val="0"/>
    </w:pPr>
    <w:rPr>
      <w:sz w:val="18"/>
      <w:szCs w:val="18"/>
    </w:rPr>
  </w:style>
  <w:style w:type="character" w:customStyle="1" w:styleId="Char0">
    <w:name w:val="页脚 Char"/>
    <w:basedOn w:val="a0"/>
    <w:link w:val="a4"/>
    <w:uiPriority w:val="99"/>
    <w:rsid w:val="008754C6"/>
    <w:rPr>
      <w:sz w:val="18"/>
      <w:szCs w:val="18"/>
    </w:rPr>
  </w:style>
  <w:style w:type="paragraph" w:styleId="a5">
    <w:name w:val="Balloon Text"/>
    <w:basedOn w:val="a"/>
    <w:link w:val="Char1"/>
    <w:rsid w:val="008754C6"/>
    <w:rPr>
      <w:sz w:val="18"/>
      <w:szCs w:val="18"/>
    </w:rPr>
  </w:style>
  <w:style w:type="character" w:customStyle="1" w:styleId="Char1">
    <w:name w:val="批注框文本 Char"/>
    <w:basedOn w:val="a0"/>
    <w:link w:val="a5"/>
    <w:rsid w:val="008754C6"/>
    <w:rPr>
      <w:sz w:val="18"/>
      <w:szCs w:val="18"/>
    </w:rPr>
  </w:style>
  <w:style w:type="character" w:styleId="a6">
    <w:name w:val="annotation reference"/>
    <w:basedOn w:val="a0"/>
    <w:semiHidden/>
    <w:unhideWhenUsed/>
    <w:rsid w:val="008754C6"/>
    <w:rPr>
      <w:sz w:val="21"/>
      <w:szCs w:val="21"/>
    </w:rPr>
  </w:style>
  <w:style w:type="paragraph" w:styleId="a7">
    <w:name w:val="annotation text"/>
    <w:basedOn w:val="a"/>
    <w:link w:val="Char2"/>
    <w:semiHidden/>
    <w:unhideWhenUsed/>
    <w:rsid w:val="008754C6"/>
  </w:style>
  <w:style w:type="character" w:customStyle="1" w:styleId="Char2">
    <w:name w:val="批注文字 Char"/>
    <w:basedOn w:val="a0"/>
    <w:link w:val="a7"/>
    <w:semiHidden/>
    <w:rsid w:val="008754C6"/>
    <w:rPr>
      <w:sz w:val="24"/>
      <w:szCs w:val="24"/>
    </w:rPr>
  </w:style>
  <w:style w:type="paragraph" w:styleId="a8">
    <w:name w:val="annotation subject"/>
    <w:basedOn w:val="a7"/>
    <w:next w:val="a7"/>
    <w:link w:val="Char3"/>
    <w:semiHidden/>
    <w:unhideWhenUsed/>
    <w:rsid w:val="008754C6"/>
    <w:rPr>
      <w:b/>
      <w:bCs/>
    </w:rPr>
  </w:style>
  <w:style w:type="character" w:customStyle="1" w:styleId="Char3">
    <w:name w:val="批注主题 Char"/>
    <w:basedOn w:val="Char2"/>
    <w:link w:val="a8"/>
    <w:semiHidden/>
    <w:rsid w:val="008754C6"/>
    <w:rPr>
      <w:b/>
      <w:bCs/>
      <w:sz w:val="24"/>
      <w:szCs w:val="24"/>
    </w:rPr>
  </w:style>
  <w:style w:type="character" w:styleId="a9">
    <w:name w:val="Hyperlink"/>
    <w:basedOn w:val="a0"/>
    <w:unhideWhenUsed/>
    <w:rsid w:val="00EE29F2"/>
    <w:rPr>
      <w:color w:val="0000FF" w:themeColor="hyperlink"/>
      <w:u w:val="single"/>
    </w:rPr>
  </w:style>
  <w:style w:type="table" w:styleId="aa">
    <w:name w:val="Table Grid"/>
    <w:basedOn w:val="a1"/>
    <w:uiPriority w:val="59"/>
    <w:rsid w:val="00213977"/>
    <w:pPr>
      <w:jc w:val="both"/>
    </w:pPr>
    <w:rPr>
      <w:rFonts w:asciiTheme="minorHAnsi" w:hAnsiTheme="minorHAnsi" w:cstheme="minorBidi"/>
      <w:lang w:val="tr-TR"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8754C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8754C6"/>
    <w:rPr>
      <w:sz w:val="18"/>
      <w:szCs w:val="18"/>
    </w:rPr>
  </w:style>
  <w:style w:type="paragraph" w:styleId="a4">
    <w:name w:val="footer"/>
    <w:basedOn w:val="a"/>
    <w:link w:val="Char0"/>
    <w:uiPriority w:val="99"/>
    <w:unhideWhenUsed/>
    <w:rsid w:val="008754C6"/>
    <w:pPr>
      <w:tabs>
        <w:tab w:val="center" w:pos="4153"/>
        <w:tab w:val="right" w:pos="8306"/>
      </w:tabs>
      <w:snapToGrid w:val="0"/>
    </w:pPr>
    <w:rPr>
      <w:sz w:val="18"/>
      <w:szCs w:val="18"/>
    </w:rPr>
  </w:style>
  <w:style w:type="character" w:customStyle="1" w:styleId="Char0">
    <w:name w:val="页脚 Char"/>
    <w:basedOn w:val="a0"/>
    <w:link w:val="a4"/>
    <w:uiPriority w:val="99"/>
    <w:rsid w:val="008754C6"/>
    <w:rPr>
      <w:sz w:val="18"/>
      <w:szCs w:val="18"/>
    </w:rPr>
  </w:style>
  <w:style w:type="paragraph" w:styleId="a5">
    <w:name w:val="Balloon Text"/>
    <w:basedOn w:val="a"/>
    <w:link w:val="Char1"/>
    <w:rsid w:val="008754C6"/>
    <w:rPr>
      <w:sz w:val="18"/>
      <w:szCs w:val="18"/>
    </w:rPr>
  </w:style>
  <w:style w:type="character" w:customStyle="1" w:styleId="Char1">
    <w:name w:val="批注框文本 Char"/>
    <w:basedOn w:val="a0"/>
    <w:link w:val="a5"/>
    <w:rsid w:val="008754C6"/>
    <w:rPr>
      <w:sz w:val="18"/>
      <w:szCs w:val="18"/>
    </w:rPr>
  </w:style>
  <w:style w:type="character" w:styleId="a6">
    <w:name w:val="annotation reference"/>
    <w:basedOn w:val="a0"/>
    <w:semiHidden/>
    <w:unhideWhenUsed/>
    <w:rsid w:val="008754C6"/>
    <w:rPr>
      <w:sz w:val="21"/>
      <w:szCs w:val="21"/>
    </w:rPr>
  </w:style>
  <w:style w:type="paragraph" w:styleId="a7">
    <w:name w:val="annotation text"/>
    <w:basedOn w:val="a"/>
    <w:link w:val="Char2"/>
    <w:semiHidden/>
    <w:unhideWhenUsed/>
    <w:rsid w:val="008754C6"/>
  </w:style>
  <w:style w:type="character" w:customStyle="1" w:styleId="Char2">
    <w:name w:val="批注文字 Char"/>
    <w:basedOn w:val="a0"/>
    <w:link w:val="a7"/>
    <w:semiHidden/>
    <w:rsid w:val="008754C6"/>
    <w:rPr>
      <w:sz w:val="24"/>
      <w:szCs w:val="24"/>
    </w:rPr>
  </w:style>
  <w:style w:type="paragraph" w:styleId="a8">
    <w:name w:val="annotation subject"/>
    <w:basedOn w:val="a7"/>
    <w:next w:val="a7"/>
    <w:link w:val="Char3"/>
    <w:semiHidden/>
    <w:unhideWhenUsed/>
    <w:rsid w:val="008754C6"/>
    <w:rPr>
      <w:b/>
      <w:bCs/>
    </w:rPr>
  </w:style>
  <w:style w:type="character" w:customStyle="1" w:styleId="Char3">
    <w:name w:val="批注主题 Char"/>
    <w:basedOn w:val="Char2"/>
    <w:link w:val="a8"/>
    <w:semiHidden/>
    <w:rsid w:val="008754C6"/>
    <w:rPr>
      <w:b/>
      <w:bCs/>
      <w:sz w:val="24"/>
      <w:szCs w:val="24"/>
    </w:rPr>
  </w:style>
  <w:style w:type="character" w:styleId="a9">
    <w:name w:val="Hyperlink"/>
    <w:basedOn w:val="a0"/>
    <w:unhideWhenUsed/>
    <w:rsid w:val="00EE29F2"/>
    <w:rPr>
      <w:color w:val="0000FF" w:themeColor="hyperlink"/>
      <w:u w:val="single"/>
    </w:rPr>
  </w:style>
  <w:style w:type="table" w:styleId="aa">
    <w:name w:val="Table Grid"/>
    <w:basedOn w:val="a1"/>
    <w:uiPriority w:val="59"/>
    <w:rsid w:val="00213977"/>
    <w:pPr>
      <w:jc w:val="both"/>
    </w:pPr>
    <w:rPr>
      <w:rFonts w:asciiTheme="minorHAnsi" w:hAnsiTheme="minorHAnsi" w:cstheme="minorBidi"/>
      <w:lang w:val="tr-TR"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15</Pages>
  <Words>3619</Words>
  <Characters>20630</Characters>
  <Application>Microsoft Office Word</Application>
  <DocSecurity>0</DocSecurity>
  <Lines>171</Lines>
  <Paragraphs>48</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Hewlett-Packard Company</Company>
  <LinksUpToDate>false</LinksUpToDate>
  <CharactersWithSpaces>24201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c:creator>
  <cp:lastModifiedBy>马玉杰</cp:lastModifiedBy>
  <cp:revision>8</cp:revision>
  <dcterms:created xsi:type="dcterms:W3CDTF">2020-11-10T14:48:00Z</dcterms:created>
  <dcterms:modified xsi:type="dcterms:W3CDTF">2020-11-20T10:33:00Z</dcterms:modified>
</cp:coreProperties>
</file>