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31C9" w14:textId="2A250A99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Name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of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Journal: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World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Journal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of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49EEE63A" w14:textId="0B1B3F6B" w:rsidR="00814270" w:rsidRPr="00AB7B72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NO: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6497</w:t>
      </w:r>
      <w:r w:rsidR="00AB7B72">
        <w:rPr>
          <w:rFonts w:ascii="Book Antiqua" w:hAnsi="Book Antiqua" w:cs="Book Antiqua" w:hint="eastAsia"/>
          <w:color w:val="000000"/>
          <w:lang w:eastAsia="zh-CN"/>
        </w:rPr>
        <w:t>3</w:t>
      </w:r>
    </w:p>
    <w:p w14:paraId="6D0322CC" w14:textId="6E638F42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Type: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MINIREVIEWS</w:t>
      </w:r>
    </w:p>
    <w:p w14:paraId="2C5AE33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CCBA89" w14:textId="679DF77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Post-transplant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transplantation: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0A1CDAA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FD446A" w14:textId="06629B15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10B53">
        <w:rPr>
          <w:rFonts w:ascii="Book Antiqua" w:eastAsia="Book Antiqua" w:hAnsi="Book Antiqua" w:cs="Book Antiqua"/>
          <w:color w:val="000000"/>
        </w:rPr>
        <w:t>Alzoubi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</w:p>
    <w:p w14:paraId="023640C5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5F8A1F" w14:textId="1D6FFF4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10B53">
        <w:rPr>
          <w:rFonts w:ascii="Book Antiqua" w:eastAsia="Book Antiqua" w:hAnsi="Book Antiqua" w:cs="Book Antiqua"/>
          <w:color w:val="000000"/>
        </w:rPr>
        <w:t>Beyann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Alzoubi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Abish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Kharel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Rushad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Machhi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Fahad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Aziz,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Kurtis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J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Swanson,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Sandesh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Parajuli</w:t>
      </w:r>
      <w:proofErr w:type="spellEnd"/>
    </w:p>
    <w:p w14:paraId="4A42CF2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31BAA" w14:textId="0B79190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Beyann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Alzoubi</w:t>
      </w:r>
      <w:proofErr w:type="spellEnd"/>
      <w:r w:rsidRPr="00A10B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Abish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Kharel</w:t>
      </w:r>
      <w:proofErr w:type="spellEnd"/>
      <w:r w:rsidRPr="00A10B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Rushad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Machhi</w:t>
      </w:r>
      <w:proofErr w:type="spellEnd"/>
      <w:r w:rsidRPr="00A10B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Fahad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Aziz,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Kurtis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J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Swanson,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Sandesh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Parajuli</w:t>
      </w:r>
      <w:proofErr w:type="spellEnd"/>
      <w:r w:rsidRPr="00A10B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Department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School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53705,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</w:p>
    <w:p w14:paraId="7818F736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D0C422" w14:textId="7729834C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Alzoubi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Kharel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Machhi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Swanson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KJ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Parajuli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original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idea,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designed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manuscript;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Aziz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edited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manuscript.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4013B06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21399" w14:textId="52C468D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b/>
          <w:bCs/>
          <w:color w:val="000000"/>
        </w:rPr>
        <w:t>Kurtis</w:t>
      </w:r>
      <w:proofErr w:type="spellEnd"/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J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Swanson,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Department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School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600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Highland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53705,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kswanson@uwhealth.org</w:t>
      </w:r>
    </w:p>
    <w:p w14:paraId="17F693D3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91C4D1" w14:textId="4AF8C2C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1838647D" w14:textId="6411C9E5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4673CBBA" w14:textId="3283078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4464" w:rsidRPr="00144464">
        <w:rPr>
          <w:rFonts w:ascii="Book Antiqua" w:eastAsia="Book Antiqua" w:hAnsi="Book Antiqua" w:cs="Book Antiqua"/>
          <w:bCs/>
          <w:color w:val="000000"/>
        </w:rPr>
        <w:t>May 24, 2021</w:t>
      </w:r>
    </w:p>
    <w:p w14:paraId="635B80E0" w14:textId="4FAE5FF3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673A" w:rsidRPr="0046673A">
        <w:rPr>
          <w:rFonts w:ascii="Book Antiqua" w:eastAsia="Book Antiqua" w:hAnsi="Book Antiqua" w:cs="Book Antiqua"/>
          <w:bCs/>
          <w:color w:val="000000"/>
        </w:rPr>
        <w:t>June 18, 2021</w:t>
      </w:r>
    </w:p>
    <w:p w14:paraId="486BF734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814270" w:rsidRPr="00A10B5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759F5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30490" w14:textId="4C02FF4B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independent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4015A0">
        <w:rPr>
          <w:rFonts w:ascii="Book Antiqua" w:hAnsi="Book Antiqua" w:cs="Book Antiqua" w:hint="eastAsia"/>
          <w:color w:val="000000"/>
          <w:lang w:eastAsia="zh-CN"/>
        </w:rPr>
        <w:t>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24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4015A0">
        <w:rPr>
          <w:rFonts w:ascii="Book Antiqua" w:hAnsi="Book Antiqua" w:cs="Book Antiqua" w:hint="eastAsia"/>
          <w:color w:val="000000"/>
          <w:lang w:eastAsia="zh-CN"/>
        </w:rPr>
        <w:t>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normal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hemoglobin/hematocrit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pre-transplant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(suggestive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native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production),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stenosis,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well-functioning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graft,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underlying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renin-angiotensin-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insulin-like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growth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experience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symptoms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headache,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dizziness.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tells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story-that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perhaps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lessened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(ACE-I)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(ARBs)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mainstays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field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212EC32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FBF282" w14:textId="7C015E0B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Epidemiology;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</w:p>
    <w:p w14:paraId="2E9355D8" w14:textId="77777777" w:rsidR="00814270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9AD50F6" w14:textId="41D49E99" w:rsidR="00810EFB" w:rsidRPr="00810EFB" w:rsidRDefault="00810EFB" w:rsidP="00810EFB">
      <w:pPr>
        <w:spacing w:line="360" w:lineRule="auto"/>
        <w:rPr>
          <w:rFonts w:ascii="Book Antiqua" w:hAnsi="Book Antiqua" w:cs="Book Antiqua" w:hint="eastAsi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4449550D" w14:textId="77777777" w:rsidR="00810EFB" w:rsidRPr="00810EFB" w:rsidRDefault="00810EFB" w:rsidP="00A10B53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E370A90" w14:textId="06C04542" w:rsidR="00810EFB" w:rsidRPr="00810EFB" w:rsidRDefault="00810EFB" w:rsidP="00A10B53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810EFB">
        <w:rPr>
          <w:rFonts w:ascii="Book Antiqua" w:eastAsia="Book Antiqua" w:hAnsi="Book Antiqua" w:cs="Book Antiqua"/>
          <w:b/>
          <w:color w:val="000000"/>
        </w:rPr>
        <w:lastRenderedPageBreak/>
        <w:t xml:space="preserve">Citation: </w:t>
      </w:r>
      <w:proofErr w:type="spellStart"/>
      <w:r w:rsidR="00814270" w:rsidRPr="00A10B53">
        <w:rPr>
          <w:rFonts w:ascii="Book Antiqua" w:eastAsia="Book Antiqua" w:hAnsi="Book Antiqua" w:cs="Book Antiqua"/>
          <w:color w:val="000000"/>
        </w:rPr>
        <w:t>Alzoubi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4270" w:rsidRPr="00A10B53">
        <w:rPr>
          <w:rFonts w:ascii="Book Antiqua" w:eastAsia="Book Antiqua" w:hAnsi="Book Antiqua" w:cs="Book Antiqua"/>
          <w:color w:val="000000"/>
        </w:rPr>
        <w:t>Kharel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4270" w:rsidRPr="00A10B53">
        <w:rPr>
          <w:rFonts w:ascii="Book Antiqua" w:eastAsia="Book Antiqua" w:hAnsi="Book Antiqua" w:cs="Book Antiqua"/>
          <w:color w:val="000000"/>
        </w:rPr>
        <w:t>Machhi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Aziz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14270" w:rsidRPr="00A10B53">
        <w:rPr>
          <w:rFonts w:ascii="Book Antiqua" w:eastAsia="Book Antiqua" w:hAnsi="Book Antiqua" w:cs="Book Antiqua"/>
          <w:color w:val="000000"/>
        </w:rPr>
        <w:t>Swanson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KJ,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4270" w:rsidRPr="00A10B53">
        <w:rPr>
          <w:rFonts w:ascii="Book Antiqua" w:eastAsia="Book Antiqua" w:hAnsi="Book Antiqua" w:cs="Book Antiqua"/>
          <w:color w:val="000000"/>
        </w:rPr>
        <w:t>Parajuli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4270"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transplantation: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review.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814270" w:rsidRPr="00A10B53">
        <w:rPr>
          <w:rFonts w:ascii="Book Antiqua" w:eastAsia="Book Antiqua" w:hAnsi="Book Antiqua" w:cs="Book Antiqua"/>
          <w:color w:val="000000"/>
        </w:rPr>
        <w:t>2021;</w:t>
      </w:r>
      <w:r w:rsidR="0046673A" w:rsidRPr="0046673A">
        <w:rPr>
          <w:rFonts w:ascii="Book Antiqua" w:eastAsia="Book Antiqua" w:hAnsi="Book Antiqua" w:cs="Book Antiqua"/>
          <w:color w:val="000000"/>
        </w:rPr>
        <w:t xml:space="preserve"> 11(6): </w:t>
      </w:r>
      <w:r>
        <w:rPr>
          <w:rFonts w:ascii="Book Antiqua" w:hAnsi="Book Antiqua" w:cs="Book Antiqua" w:hint="eastAsia"/>
          <w:color w:val="000000"/>
          <w:lang w:eastAsia="zh-CN"/>
        </w:rPr>
        <w:t>220</w:t>
      </w:r>
      <w:r w:rsidR="0046673A" w:rsidRPr="0046673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230</w:t>
      </w:r>
      <w:bookmarkStart w:id="0" w:name="_GoBack"/>
      <w:bookmarkEnd w:id="0"/>
    </w:p>
    <w:p w14:paraId="0C98A5EB" w14:textId="5447F650" w:rsidR="00810EFB" w:rsidRDefault="0046673A" w:rsidP="00A10B53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810EFB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46673A">
        <w:rPr>
          <w:rFonts w:ascii="Book Antiqua" w:eastAsia="Book Antiqua" w:hAnsi="Book Antiqua" w:cs="Book Antiqua"/>
          <w:color w:val="000000"/>
        </w:rPr>
        <w:t>https://www.wjgnet.com/2220-3230/full/v11/i6/</w:t>
      </w:r>
      <w:r w:rsidR="00810EFB">
        <w:rPr>
          <w:rFonts w:ascii="Book Antiqua" w:hAnsi="Book Antiqua" w:cs="Book Antiqua" w:hint="eastAsia"/>
          <w:color w:val="000000"/>
          <w:lang w:eastAsia="zh-CN"/>
        </w:rPr>
        <w:t>220</w:t>
      </w:r>
      <w:r w:rsidRPr="0046673A">
        <w:rPr>
          <w:rFonts w:ascii="Book Antiqua" w:eastAsia="Book Antiqua" w:hAnsi="Book Antiqua" w:cs="Book Antiqua"/>
          <w:color w:val="000000"/>
        </w:rPr>
        <w:t>.htm</w:t>
      </w:r>
    </w:p>
    <w:p w14:paraId="6551199B" w14:textId="6DD5854E" w:rsidR="00814270" w:rsidRPr="00810EFB" w:rsidRDefault="0046673A" w:rsidP="00A10B53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810EFB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46673A">
        <w:rPr>
          <w:rFonts w:ascii="Book Antiqua" w:eastAsia="Book Antiqua" w:hAnsi="Book Antiqua" w:cs="Book Antiqua"/>
          <w:color w:val="000000"/>
        </w:rPr>
        <w:t>https://dx.doi.org/10.5500/wjt.v11.i6.</w:t>
      </w:r>
      <w:r w:rsidR="00810EFB">
        <w:rPr>
          <w:rFonts w:ascii="Book Antiqua" w:hAnsi="Book Antiqua" w:cs="Book Antiqua" w:hint="eastAsia"/>
          <w:color w:val="000000"/>
          <w:lang w:eastAsia="zh-CN"/>
        </w:rPr>
        <w:t>220</w:t>
      </w:r>
    </w:p>
    <w:p w14:paraId="73503CDA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B6676" w14:textId="2FCDA399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population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pharmacotherapy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sequelae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favorable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minimal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survival.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recognize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appropriate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ominous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namely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49D6B307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9EFE8A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97DCA9" w14:textId="7497ADAF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Although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remains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choice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end-stage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require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follow-up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management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(PTE),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purpose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knowledge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epidemiology,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manifestations,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pathogenesis,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schema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illustrated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flowchart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Figure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EF901C7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C62CF3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1AB73148" w14:textId="4DB7BEA4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conducted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searches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PubMed,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EMBASE,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Cochrane,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CINAHL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(Cumulative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Nursing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Allied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database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inception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Google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relevant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search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available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text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English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language.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00EA6A2E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82414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EPIDEMIOLOGY</w:t>
      </w:r>
    </w:p>
    <w:p w14:paraId="398CE40A" w14:textId="6EA59736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1965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F4D5D" w:rsidRPr="00A10B53">
        <w:rPr>
          <w:rFonts w:ascii="Book Antiqua" w:eastAsia="Book Antiqua" w:hAnsi="Book Antiqua" w:cs="Book Antiqua"/>
          <w:color w:val="000000"/>
        </w:rPr>
        <w:t>22-year-old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undergoing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bilateral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nephrectomy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10B53">
        <w:rPr>
          <w:rFonts w:ascii="Book Antiqua" w:eastAsia="Book Antiqua" w:hAnsi="Book Antiqua" w:cs="Book Antiqua"/>
          <w:color w:val="000000"/>
        </w:rPr>
        <w:t>splenectomy</w:t>
      </w:r>
      <w:proofErr w:type="spell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22.2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%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3,5,6]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variability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explained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(1)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Lack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consensus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regarding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(2)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angiotensin-converting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(ACE-I),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(ARBs);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(3)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Aggressive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mycophenolic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(MPA)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derivatives.</w:t>
      </w:r>
    </w:p>
    <w:p w14:paraId="6D153197" w14:textId="5D112C12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ambiguity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surrounding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difficult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example,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biological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challenge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primarily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gender-specific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cutoffs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(53%-55%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48%-51%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just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same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threshold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men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1,7-</w:t>
      </w:r>
      <w:r w:rsidR="00E212C5" w:rsidRPr="00A10B53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consensus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field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Global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(KDIGO)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organization,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2009,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formed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workgroup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independent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12C5" w:rsidRPr="00A10B5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widely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accepted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Europe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emerged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time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15C41" w:rsidRPr="00A10B53">
        <w:rPr>
          <w:rFonts w:ascii="Book Antiqua" w:eastAsia="Book Antiqua" w:hAnsi="Book Antiqua" w:cs="Book Antiqua"/>
          <w:color w:val="000000"/>
          <w:vertAlign w:val="superscript"/>
        </w:rPr>
        <w:t>1-14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611C6584" w14:textId="0EB5D59D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widespread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mainstays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trials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1990s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2000s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efficacy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(KTRs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DA6" w:rsidRPr="00A10B53">
        <w:rPr>
          <w:rFonts w:ascii="Book Antiqua" w:eastAsia="Book Antiqua" w:hAnsi="Book Antiqua" w:cs="Book Antiqua"/>
          <w:color w:val="000000"/>
          <w:vertAlign w:val="superscript"/>
        </w:rPr>
        <w:t>15-38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illustrated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Pr="00B612E8">
        <w:rPr>
          <w:rFonts w:ascii="Book Antiqua" w:eastAsia="Book Antiqua" w:hAnsi="Book Antiqua" w:cs="Book Antiqua"/>
          <w:bCs/>
          <w:color w:val="000000"/>
        </w:rPr>
        <w:t>,</w:t>
      </w:r>
      <w:r w:rsidR="00A10B53" w:rsidRPr="00B612E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Vlahakos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pertinent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1D39">
        <w:rPr>
          <w:rFonts w:ascii="Book Antiqua" w:eastAsia="Book Antiqua" w:hAnsi="Book Antiqua" w:cs="Book Antiqua"/>
          <w:color w:val="000000"/>
          <w:vertAlign w:val="superscript"/>
        </w:rPr>
        <w:t>3,25</w:t>
      </w:r>
      <w:r w:rsidR="009B3096" w:rsidRPr="00A10B5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103F29" w:rsidRPr="00A10B53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elaborated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subsequent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96F55F1" w14:textId="40E57699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hypothesis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renin-angiotensin-aldosterone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(RAAS)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1993-1996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1997-2005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greater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131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lymphocyte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depleting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0.375)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F40C1FC" w14:textId="7A6D996B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short,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utilization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525ECCAB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9DE9A15" w14:textId="54358BC6" w:rsidR="00814270" w:rsidRPr="00BC108B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0BC9E8EE" w14:textId="6144F001" w:rsidR="00814270" w:rsidRPr="006866F6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E53E1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3,38-41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retention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native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erythropoiesis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E53E1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</w:t>
      </w:r>
      <w:r w:rsidR="002C5BD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,5,37,38,40,42-45]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036577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38,39,46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well-functioning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9316F2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[3,37,40,44,47]</w:t>
      </w:r>
      <w:r w:rsidR="006866F6" w:rsidRPr="006866F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</w:p>
    <w:p w14:paraId="5BF9A902" w14:textId="229483A3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demonstrated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Alasfar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younger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young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donor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polycystic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institution,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non-preemptive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[hazard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ratio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=2.32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1A239B"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color w:val="000000"/>
        </w:rPr>
        <w:t>95%</w:t>
      </w:r>
      <w:r w:rsidR="001A239B" w:rsidRPr="00A10B53">
        <w:rPr>
          <w:rFonts w:ascii="Book Antiqua" w:eastAsia="Book Antiqua" w:hAnsi="Book Antiqua" w:cs="Book Antiqua"/>
          <w:color w:val="000000"/>
        </w:rPr>
        <w:t>CI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(confidence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interval</w:t>
      </w:r>
      <w:r w:rsidR="001A239B"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</w:rPr>
        <w:t>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1.55-3.47),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&lt;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analysis);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3.86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1.56-9.56)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multivariate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analysis)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]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recently-published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plausible,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corroborate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well-established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</w:p>
    <w:p w14:paraId="13D5948F" w14:textId="3C814B9D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certain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mixed.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maintenance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regimen,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MPA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0.002)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0.315)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0.6915)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mycophenolate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mofetil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(7%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respectively;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0.013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[odds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ratio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0.33,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0.12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0.89),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0.028].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Similarly,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differences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population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cyclosporine,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cyclosporine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findings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interesting,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particularly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pertaining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mycophenolate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theory,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antiproliferative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marrow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suppression,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subsequently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mechanisms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discrepancies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03B0FBD5" w14:textId="49C4559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implied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sections,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insulin-like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(IGF-1)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implicated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erythroid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precursors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5C4A" w:rsidRPr="00A10B53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binding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proteins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suggesting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indirectly,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especially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production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4CD7" w:rsidRPr="00A10B53">
        <w:rPr>
          <w:rFonts w:ascii="Book Antiqua" w:eastAsia="Book Antiqua" w:hAnsi="Book Antiqua" w:cs="Book Antiqua"/>
          <w:color w:val="000000"/>
          <w:vertAlign w:val="superscript"/>
        </w:rPr>
        <w:t>27,50,51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flow,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contribute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26D6" w:rsidRPr="00A10B53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pathophysiology.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37B9D19A" w14:textId="6BAE025F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unmodifiable</w:t>
      </w:r>
      <w:proofErr w:type="spellEnd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surveillance/management.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modifiable,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opportunities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alike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impact,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AAD5C3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AD78B5C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2A0A0318" w14:textId="750CA3D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generally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well-functioning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demonstrated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controls,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rejection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54" w:rsidRPr="00A10B53">
        <w:rPr>
          <w:rFonts w:ascii="Book Antiqua" w:eastAsia="Book Antiqua" w:hAnsi="Book Antiqua" w:cs="Book Antiqua"/>
          <w:color w:val="000000"/>
          <w:vertAlign w:val="superscript"/>
        </w:rPr>
        <w:t>3,37,40,47,52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successful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</w:t>
      </w:r>
      <w:r w:rsidR="004015A0">
        <w:rPr>
          <w:rFonts w:ascii="Book Antiqua" w:hAnsi="Book Antiqua" w:cs="Book Antiqua" w:hint="eastAsia"/>
          <w:color w:val="000000"/>
          <w:lang w:eastAsia="zh-CN"/>
        </w:rPr>
        <w:t>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one-year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transplant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normal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physiology,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decreases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develops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continues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driven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kidneys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57132" w:rsidRPr="00A10B53">
        <w:rPr>
          <w:rFonts w:ascii="Book Antiqua" w:eastAsia="Book Antiqua" w:hAnsi="Book Antiqua" w:cs="Book Antiqua"/>
          <w:color w:val="000000"/>
          <w:vertAlign w:val="superscript"/>
        </w:rPr>
        <w:t>3,38,42,54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Vlahakos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akin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uncoupling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feedback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parathyroid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glands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prolonged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hyperparathyroidism,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autonomous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unregulated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“tertiary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hypererythropoetinemia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”.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connection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clear-cut.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controls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7132" w:rsidRPr="00A10B53">
        <w:rPr>
          <w:rFonts w:ascii="Book Antiqua" w:eastAsia="Book Antiqua" w:hAnsi="Book Antiqua" w:cs="Book Antiqua"/>
          <w:color w:val="000000"/>
          <w:vertAlign w:val="superscript"/>
        </w:rPr>
        <w:t>39,50,55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KTRs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B3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human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“protective”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against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sensitivity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erythroid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precursors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653E4F" w:rsidRPr="00A10B53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D256BCF" w14:textId="1EC5E309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redundant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IGF-1,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87175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3,27,50,51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murine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09CC" w:rsidRPr="00A10B53">
        <w:rPr>
          <w:rFonts w:ascii="Book Antiqua" w:eastAsia="Book Antiqua" w:hAnsi="Book Antiqua" w:cs="Book Antiqua"/>
          <w:color w:val="000000"/>
          <w:vertAlign w:val="superscript"/>
        </w:rPr>
        <w:t>3,56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similarly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androgen-mediated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ACE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IGF-1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F809CC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3,27,</w:t>
      </w:r>
      <w:r w:rsidR="005E5CE4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32,50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N-acetyl-</w:t>
      </w:r>
      <w:proofErr w:type="spell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seryl</w:t>
      </w:r>
      <w:proofErr w:type="spellEnd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proofErr w:type="spell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aspartyl-lysyl-proline</w:t>
      </w:r>
      <w:proofErr w:type="spellEnd"/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(ac-SKDP)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erythropoiesis,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augmented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ACE-I/ARB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degrades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ac-SKDP.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Therefore,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ac-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SKDP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CE4" w:rsidRPr="00A10B53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FA5D7F6" w14:textId="6BC7BB3F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learn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discoveries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5A0" w:rsidRPr="004015A0">
        <w:rPr>
          <w:rFonts w:ascii="Book Antiqua" w:eastAsia="Book Antiqua" w:hAnsi="Book Antiqua" w:cs="Book Antiqua"/>
          <w:color w:val="000000"/>
          <w:shd w:val="clear" w:color="auto" w:fill="FFFFFF"/>
        </w:rPr>
        <w:t>often overlapping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85AEA90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2E542E4" w14:textId="307E354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604427F3" w14:textId="43E5A7E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anywhere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gradually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period.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plethora,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lethargy,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dizziness)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modern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Possible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documented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(DVT),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pulmonary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(PE),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ischemic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stroke.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About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1%-2%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treated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vascular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aggressive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management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spontaneously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ergo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hypertension,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diabetes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mellitus,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acidosis,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injuries,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rejection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31BD90AF" w14:textId="3B654A76" w:rsidR="00814270" w:rsidRPr="00A10B53" w:rsidRDefault="00814270" w:rsidP="00A10B53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essence,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discovered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routine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laboratory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monitoring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standard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self-limited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506469A2" w14:textId="77777777" w:rsidR="00814270" w:rsidRPr="00A10B53" w:rsidRDefault="00814270" w:rsidP="00A10B53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37354072" w14:textId="1F3660C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10F63207" w14:textId="6A5CDF1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two-step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exclusion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nontransplant-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a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and/or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hemoconcentration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(extracellular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volume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contraction)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reason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chronic.</w:t>
      </w:r>
    </w:p>
    <w:p w14:paraId="4FE9FD80" w14:textId="080F05EC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Once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alternative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possible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received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thorough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completed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pulmonary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congenital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disorders.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breast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cancer,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hepatocellular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obstructive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sleep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apnea.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concentrations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measured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documented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levels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EAEF1DD" w14:textId="2BE039AC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brief,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ruling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indolent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uncovered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881875E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C332A6B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71EF1BB7" w14:textId="7F623C9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Given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devastating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KDIGO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organization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recommended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2009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Recipient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guidelines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101E" w:rsidRPr="00A10B5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goals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target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17.5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22BD0" w:rsidRPr="00A10B53">
        <w:rPr>
          <w:rFonts w:ascii="Book Antiqua" w:eastAsia="Book Antiqua" w:hAnsi="Book Antiqua" w:cs="Book Antiqua"/>
          <w:color w:val="000000"/>
          <w:vertAlign w:val="superscript"/>
        </w:rPr>
        <w:t>14</w:t>
      </w:r>
      <w:proofErr w:type="gramStart"/>
      <w:r w:rsidR="00F22BD0" w:rsidRPr="00A10B53">
        <w:rPr>
          <w:rFonts w:ascii="Book Antiqua" w:eastAsia="Book Antiqua" w:hAnsi="Book Antiqua" w:cs="Book Antiqua"/>
          <w:color w:val="000000"/>
          <w:vertAlign w:val="superscript"/>
        </w:rPr>
        <w:t>,54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20%-30%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large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proportion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recommended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continue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indefinitely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D073B4E" w14:textId="7AC69C9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mentioned,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inactivation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dose-dependent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behind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understood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</w:t>
      </w:r>
      <w:r w:rsidR="001A4DE2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39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424E8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hypothesis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proposed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PTE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4530" w:rsidRPr="00A10B53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pathways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implicated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ED3337" w:rsidRPr="00A10B53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r w:rsidR="007C716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proofErr w:type="gramStart"/>
      <w:r w:rsidR="007C716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A90C5C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27,32,50,51,56</w:t>
      </w:r>
      <w:proofErr w:type="gramEnd"/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nadir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sustained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1-3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years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97B1B0C" w14:textId="5587A1A6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Yildiz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716E" w:rsidRPr="00A10B53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conducted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comparison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enalapril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(losartan)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Enalapril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larger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losartan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0.05).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Withdrawal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losartan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0.11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F4D5D" w:rsidRPr="00A10B53">
        <w:rPr>
          <w:rFonts w:ascii="Book Antiqua" w:eastAsia="Book Antiqua" w:hAnsi="Book Antiqua" w:cs="Book Antiqua"/>
          <w:color w:val="000000"/>
        </w:rPr>
        <w:t>Generally,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drug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classes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classes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refractory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refractoriness,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mechanism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validated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E91FF6" w:rsidRPr="00A10B5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22C94AA4" w14:textId="65AA1C24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indicated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Vlahakos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pertinent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small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/3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points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F4140A9" w14:textId="59893E9A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contraindications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values,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approximately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lastRenderedPageBreak/>
        <w:t>weeks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5A0D" w:rsidRPr="00A10B53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iron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supplementation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iron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deficiency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prefer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results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mixed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70FE" w:rsidRPr="00A10B53">
        <w:rPr>
          <w:rFonts w:ascii="Book Antiqua" w:eastAsia="Book Antiqua" w:hAnsi="Book Antiqua" w:cs="Book Antiqua"/>
          <w:color w:val="000000"/>
          <w:vertAlign w:val="superscript"/>
        </w:rPr>
        <w:t>25,33,</w:t>
      </w:r>
      <w:r w:rsidR="00AB3303" w:rsidRPr="00A10B53">
        <w:rPr>
          <w:rFonts w:ascii="Book Antiqua" w:eastAsia="Book Antiqua" w:hAnsi="Book Antiqua" w:cs="Book Antiqua"/>
          <w:color w:val="000000"/>
          <w:vertAlign w:val="superscript"/>
        </w:rPr>
        <w:t>61-63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255A4706" w14:textId="4930FAC5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Theophylline,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adenosine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antagonist,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believed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modulate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stimulation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results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PTE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6426" w:rsidRPr="00A10B53">
        <w:rPr>
          <w:rFonts w:ascii="Book Antiqua" w:eastAsia="Book Antiqua" w:hAnsi="Book Antiqua" w:cs="Book Antiqua"/>
          <w:color w:val="000000"/>
          <w:vertAlign w:val="superscript"/>
        </w:rPr>
        <w:t>61,</w:t>
      </w:r>
      <w:r w:rsidR="00253C69" w:rsidRPr="00A10B53">
        <w:rPr>
          <w:rFonts w:ascii="Book Antiqua" w:eastAsia="Book Antiqua" w:hAnsi="Book Antiqua" w:cs="Book Antiqua"/>
          <w:color w:val="000000"/>
          <w:vertAlign w:val="superscript"/>
        </w:rPr>
        <w:t>62,</w:t>
      </w:r>
      <w:r w:rsidR="00666426" w:rsidRPr="00A10B53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ED3337"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Notably,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whereby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administration,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discontinued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weeks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Trivedi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10B53">
        <w:rPr>
          <w:rFonts w:ascii="Book Antiqua" w:eastAsia="Book Antiqua" w:hAnsi="Book Antiqua" w:cs="Book Antiqua"/>
          <w:color w:val="000000"/>
        </w:rPr>
        <w:t>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5701" w:rsidRPr="00A10B53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Trivedi</w:t>
      </w:r>
      <w:proofErr w:type="spellEnd"/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fosinopril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2.8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-0.7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gm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dL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0.017)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9.0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6.0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-2.3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2.7%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0.027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)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Notably,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half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(44.4%)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dropped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intolerance,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theophylline’s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narrow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therapeutic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index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40B0" w:rsidRPr="00A10B53">
        <w:rPr>
          <w:rFonts w:ascii="Book Antiqua" w:eastAsia="Book Antiqua" w:hAnsi="Book Antiqua" w:cs="Book Antiqua"/>
          <w:color w:val="000000"/>
          <w:vertAlign w:val="superscript"/>
        </w:rPr>
        <w:t>3,25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supporting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washout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period,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randomized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enalapril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saw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4015A0">
        <w:rPr>
          <w:rFonts w:ascii="Book Antiqua" w:hAnsi="Book Antiqua" w:cs="Book Antiqua" w:hint="eastAsia"/>
          <w:color w:val="000000"/>
          <w:lang w:eastAsia="zh-CN"/>
        </w:rPr>
        <w:t>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(pre-treatment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55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;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52-64)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(46%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40-53)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4015A0">
        <w:rPr>
          <w:rFonts w:ascii="Book Antiqua" w:hAnsi="Book Antiqua" w:cs="Book Antiqua" w:hint="eastAsia"/>
          <w:color w:val="000000"/>
          <w:lang w:eastAsia="zh-CN"/>
        </w:rPr>
        <w:t>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(post-treatment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41%;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33-47)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40B0" w:rsidRPr="00A10B53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3636A6E" w14:textId="400A5C5F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prefer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antiproliferative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switched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mycophenolate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administered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latter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agent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3FB" w:rsidRPr="00A10B5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adverse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namely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stomatitis,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proteinuria,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hyperlipidemia,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impaired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interstitial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pneumonitis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701" w:rsidRPr="00A10B53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67F6A8BE" w14:textId="2DCA5968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brief,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first-line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second-line,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alternative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efficacy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tolerance.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CB4765C" w14:textId="43A25205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Additionally,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aspirin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prevention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(VTE)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10B53">
        <w:rPr>
          <w:rFonts w:ascii="Book Antiqua" w:eastAsia="Book Antiqua" w:hAnsi="Book Antiqua" w:cs="Book Antiqua"/>
          <w:color w:val="000000"/>
        </w:rPr>
        <w:t>vera</w:t>
      </w:r>
      <w:proofErr w:type="spell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0B5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benefit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unclear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28E" w:rsidRPr="00A10B5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solely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context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unknown.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322D927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59DB58" w14:textId="1563D7B4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7408434" w14:textId="39552AB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viscosity,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DVT,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myocardial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infarction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)</w:t>
      </w:r>
      <w:r w:rsidR="00ED3337"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3FE7" w:rsidRPr="00A10B5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B1123" w:rsidRPr="00A10B5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434C6" w:rsidRPr="00A10B53">
        <w:rPr>
          <w:rFonts w:ascii="Book Antiqua" w:eastAsia="Book Antiqua" w:hAnsi="Book Antiqua" w:cs="Book Antiqua"/>
          <w:color w:val="000000"/>
          <w:vertAlign w:val="superscript"/>
        </w:rPr>
        <w:t>,67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Older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corroborated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finding,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18.9%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earlier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decades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5A66" w:rsidRPr="00A10B53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11C926F" w14:textId="6162BF1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institution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214),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0.99,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0.69-1.42,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0.97),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failure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1.11,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0.68-1.80,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1.07,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0.59-1.96,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0.81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137F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02A9A77" w14:textId="7851CFB9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short,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lessened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earlier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2D74C80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ABE0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C94506" w14:textId="43013DEA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decades.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8-24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4015A0">
        <w:rPr>
          <w:rFonts w:ascii="Book Antiqua" w:hAnsi="Book Antiqua" w:cs="Book Antiqua" w:hint="eastAsia"/>
          <w:color w:val="000000"/>
          <w:lang w:eastAsia="zh-CN"/>
        </w:rPr>
        <w:t>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courses,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acquiring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adequate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ruling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hemoconcentration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lastRenderedPageBreak/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lung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OSA,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standard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therapeutic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driving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Fortunately,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survival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269C46F" w14:textId="200E6C1F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appraised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hopes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15A0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A10B53">
        <w:rPr>
          <w:rFonts w:ascii="Book Antiqua" w:eastAsia="Book Antiqua" w:hAnsi="Book Antiqua" w:cs="Book Antiqua"/>
          <w:color w:val="000000"/>
        </w:rPr>
        <w:t>framework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recognition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research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inquiry.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6627255B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1141D" w14:textId="7777777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F275DD" w14:textId="1021C46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Abecassis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Bartlett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Collins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Davis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Delmonico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FL,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Friedewald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Howard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Jones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Leichtman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Merion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Metzger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Pradel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Schweitzer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Velez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primary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end-stage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National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Foundation/Kidney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Outcomes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Quality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Initiative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(NKF/KDOQITM)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conference.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471-480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18256371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10.2215/CJN.05021107]</w:t>
      </w:r>
    </w:p>
    <w:p w14:paraId="2DA083EA" w14:textId="5F42BA6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Pesavento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TE</w:t>
      </w:r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context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replacement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2035-2039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19850770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10.2215/CJN.05500809]</w:t>
      </w:r>
    </w:p>
    <w:p w14:paraId="01F17FAE" w14:textId="7009D3A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3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Vlahakos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DV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Marathias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Agroyannis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Madias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NE.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1187-1194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12631334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10.1046/j.1523-1755.2003.00850.x]</w:t>
      </w:r>
    </w:p>
    <w:p w14:paraId="28BBD742" w14:textId="7A81CA6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Nies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Cohn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Schrier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SL.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Erythremia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Engl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1965;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273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785-788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5318491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10.1056/NEJM196510072731503]</w:t>
      </w:r>
    </w:p>
    <w:p w14:paraId="493DB66D" w14:textId="6313812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5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Kiberd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disappearing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phenomenon?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800-806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19191802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10.1111/j.1399-0012.2008.00947.x]</w:t>
      </w:r>
    </w:p>
    <w:p w14:paraId="5F8C4DF6" w14:textId="2D4361C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Alasfar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Hall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Mansour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Jia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Thiessen-Philbrook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Weng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Singh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Schröppel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Muthukumar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Mohan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Malik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Harhay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MN,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Doshi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MD,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Akalin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Bromberg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Brennan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Reese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Parikh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Contemporary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incidence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lastRenderedPageBreak/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deceased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donor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BMC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2021;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33435916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10.1186/s12882-021-02231-2]</w:t>
      </w:r>
    </w:p>
    <w:p w14:paraId="2497B275" w14:textId="4AE425DF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Murphy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WG</w:t>
      </w:r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sex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difference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haemoglobin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adults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-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causes,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consequences.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Blood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Rev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41-47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24491804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10.1016/j.blre.2013.12.003]</w:t>
      </w:r>
    </w:p>
    <w:p w14:paraId="6AA5EF0B" w14:textId="66305FC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Gaston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Julian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Curtis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enigma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revisited.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1-11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8023814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10.1016/s0272-6386(12)80153-3]</w:t>
      </w:r>
    </w:p>
    <w:p w14:paraId="7AD07034" w14:textId="53A720D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EBPG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Expert</w:t>
      </w:r>
      <w:r>
        <w:rPr>
          <w:rFonts w:ascii="Book Antiqua" w:hAnsi="Book Antiqua"/>
          <w:b/>
          <w:bCs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b/>
          <w:bCs/>
          <w:color w:val="201F35"/>
        </w:rPr>
        <w:t>Group</w:t>
      </w:r>
      <w:proofErr w:type="gram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Renal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Transplantation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European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IV: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IV.9.3.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Haematological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complications.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proofErr w:type="gram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Dial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Suppl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49-50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12091649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10.1093/</w:t>
      </w:r>
      <w:proofErr w:type="spellStart"/>
      <w:r w:rsidRPr="00A10B53">
        <w:rPr>
          <w:rFonts w:ascii="Book Antiqua" w:hAnsi="Book Antiqua"/>
          <w:color w:val="201F35"/>
        </w:rPr>
        <w:t>ndt</w:t>
      </w:r>
      <w:proofErr w:type="spellEnd"/>
      <w:r w:rsidRPr="00A10B53">
        <w:rPr>
          <w:rFonts w:ascii="Book Antiqua" w:hAnsi="Book Antiqua"/>
          <w:color w:val="201F35"/>
        </w:rPr>
        <w:t>/17.suppl_4.48]</w:t>
      </w:r>
    </w:p>
    <w:p w14:paraId="296D7AB8" w14:textId="6DC5207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10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Kasiske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Vazquez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Harmon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Brown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Danovitch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Scandling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Singer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GG.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Recommendations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outpatient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surveillance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American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Suppl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S1-86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11044969</w:t>
      </w:r>
      <w:r w:rsidR="00CE3662" w:rsidRPr="00CE3662">
        <w:rPr>
          <w:rFonts w:ascii="Book Antiqua" w:hAnsi="Book Antiqua"/>
          <w:color w:val="201F35"/>
        </w:rPr>
        <w:t xml:space="preserve"> DOI: 10.1681/ASN.V11suppl_1s1</w:t>
      </w:r>
      <w:r w:rsidRPr="00A10B53">
        <w:rPr>
          <w:rFonts w:ascii="Book Antiqua" w:hAnsi="Book Antiqua"/>
          <w:color w:val="201F35"/>
        </w:rPr>
        <w:t>]</w:t>
      </w:r>
    </w:p>
    <w:p w14:paraId="6809BA2F" w14:textId="47B263F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Kidney</w:t>
      </w:r>
      <w:r>
        <w:rPr>
          <w:rFonts w:ascii="Book Antiqua" w:hAnsi="Book Antiqua"/>
          <w:b/>
          <w:bCs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b/>
          <w:bCs/>
          <w:color w:val="201F35"/>
        </w:rPr>
        <w:t>Disease</w:t>
      </w:r>
      <w:proofErr w:type="gramEnd"/>
      <w:r w:rsidRPr="00A10B53">
        <w:rPr>
          <w:rFonts w:ascii="Book Antiqua" w:hAnsi="Book Antiqua"/>
          <w:b/>
          <w:bCs/>
          <w:color w:val="201F35"/>
        </w:rPr>
        <w:t>: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Improving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Global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Outcomes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(KDIGO)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Transplant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Work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Group</w:t>
      </w:r>
      <w:r w:rsidR="00693365" w:rsidRPr="00693365">
        <w:rPr>
          <w:rFonts w:ascii="Book Antiqua" w:hAnsi="Book Antiqua" w:hint="eastAsia"/>
          <w:bCs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KDIGO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9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Suppl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S1-155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19845597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10.1111/j.1600-6143.2009.02834.x]</w:t>
      </w:r>
    </w:p>
    <w:p w14:paraId="58389901" w14:textId="5BE7104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Bia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Adey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Kulkarni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Tomlanovich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KDOQI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commentary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KDIGO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189-218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20598411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10.1053/j.ajkd.2010.04.010]</w:t>
      </w:r>
    </w:p>
    <w:p w14:paraId="0E52A5D7" w14:textId="663A05B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Baker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Mark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Stevens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Palmer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post-operative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BMC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28571571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10.1186/s12882-017-0553-2]</w:t>
      </w:r>
    </w:p>
    <w:p w14:paraId="13B0E0DB" w14:textId="2970369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McMullin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MFF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Mead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Ewing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Garg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Godfrey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Knapper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McLornan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Nangalia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Sekhar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Wadelin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CN;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British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Haematology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lastRenderedPageBreak/>
        <w:t>situations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polycythaemia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proofErr w:type="gramStart"/>
      <w:r w:rsidRPr="00A10B53">
        <w:rPr>
          <w:rFonts w:ascii="Book Antiqua" w:hAnsi="Book Antiqua"/>
          <w:color w:val="201F35"/>
        </w:rPr>
        <w:t>vera</w:t>
      </w:r>
      <w:proofErr w:type="spellEnd"/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secondary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British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Haematology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Br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Haematol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184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161-175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30426472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10.1111/bjh.15647]</w:t>
      </w:r>
    </w:p>
    <w:p w14:paraId="03AEEA6F" w14:textId="154B2A1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Islam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Bourbigot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Codet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Songy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Fournier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Cledes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induces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postrenal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erythremia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Transpl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222-225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2076171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10.1007/BF00366970]</w:t>
      </w:r>
    </w:p>
    <w:p w14:paraId="686452A1" w14:textId="64D4F79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Conlon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Farrell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Donohoe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Walshe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beneficial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217-219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8333046</w:t>
      </w:r>
      <w:r w:rsidR="00CE3662" w:rsidRPr="00CE3662">
        <w:rPr>
          <w:rFonts w:ascii="Book Antiqua" w:hAnsi="Book Antiqua"/>
          <w:color w:val="201F35"/>
        </w:rPr>
        <w:t xml:space="preserve"> DOI: 10.1097/00007890-199307000-00040</w:t>
      </w:r>
      <w:r w:rsidRPr="00A10B53">
        <w:rPr>
          <w:rFonts w:ascii="Book Antiqua" w:hAnsi="Book Antiqua"/>
          <w:color w:val="201F35"/>
        </w:rPr>
        <w:t>]</w:t>
      </w:r>
    </w:p>
    <w:p w14:paraId="6BC2CE11" w14:textId="2DACC5A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17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Rell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Koziak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Jarzyo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Gaciong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1059-1063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8165703</w:t>
      </w:r>
      <w:r w:rsidR="00CE3662" w:rsidRPr="00CE3662">
        <w:rPr>
          <w:rFonts w:ascii="Book Antiqua" w:hAnsi="Book Antiqua"/>
          <w:color w:val="201F35"/>
        </w:rPr>
        <w:t xml:space="preserve"> DOI: </w:t>
      </w:r>
      <w:r w:rsidR="002A6045" w:rsidRPr="002A6045">
        <w:rPr>
          <w:rFonts w:ascii="Book Antiqua" w:hAnsi="Book Antiqua"/>
          <w:color w:val="201F35"/>
        </w:rPr>
        <w:t>10.1097/00007890-199404000-00013</w:t>
      </w:r>
      <w:r w:rsidRPr="00A10B53">
        <w:rPr>
          <w:rFonts w:ascii="Book Antiqua" w:hAnsi="Book Antiqua"/>
          <w:color w:val="201F35"/>
        </w:rPr>
        <w:t>]</w:t>
      </w:r>
    </w:p>
    <w:p w14:paraId="2B684B60" w14:textId="3B136CD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Wong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KC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Bandler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Kerr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Atkins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RC.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Control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by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Aust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161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544-546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7968756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10.5694/j.1326-5377.1994.tb127600.x]</w:t>
      </w:r>
    </w:p>
    <w:p w14:paraId="5B207C9D" w14:textId="52F0D56D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19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Torregrosa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JV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Campistol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Montesinos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Rogada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Oppenheimer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Andreu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follow-up.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311-314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8053053</w:t>
      </w:r>
      <w:r w:rsidR="002A6045" w:rsidRPr="002A6045">
        <w:rPr>
          <w:rFonts w:ascii="Book Antiqua" w:hAnsi="Book Antiqua"/>
          <w:color w:val="201F35"/>
        </w:rPr>
        <w:t xml:space="preserve"> DOI: 10.1097/00007890-199408000-00010</w:t>
      </w:r>
      <w:r w:rsidRPr="00A10B53">
        <w:rPr>
          <w:rFonts w:ascii="Book Antiqua" w:hAnsi="Book Antiqua"/>
          <w:color w:val="201F35"/>
        </w:rPr>
        <w:t>]</w:t>
      </w:r>
    </w:p>
    <w:p w14:paraId="08596B9B" w14:textId="0AED532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20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Danovitch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Jamgotchian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Eggena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Paul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Barrett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Wilkinson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experience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observation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132-137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7624954</w:t>
      </w:r>
      <w:r w:rsidR="002A6045" w:rsidRPr="002A6045">
        <w:rPr>
          <w:rFonts w:ascii="Book Antiqua" w:hAnsi="Book Antiqua"/>
          <w:color w:val="201F35"/>
        </w:rPr>
        <w:t xml:space="preserve"> DOI: 10.1097/00007890-199507000-00004</w:t>
      </w:r>
      <w:r w:rsidRPr="00A10B53">
        <w:rPr>
          <w:rFonts w:ascii="Book Antiqua" w:hAnsi="Book Antiqua"/>
          <w:color w:val="201F35"/>
        </w:rPr>
        <w:t>]</w:t>
      </w:r>
    </w:p>
    <w:p w14:paraId="6981C13E" w14:textId="602988F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Hernández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Morales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Andrés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Ortuño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Praga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Alcazar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Fernández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Rodicio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JL.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Usefulness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safety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Proc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2239-2241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7652789]</w:t>
      </w:r>
    </w:p>
    <w:p w14:paraId="31DF609C" w14:textId="73C26B5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Mulhern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Lipkowitz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Braden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Madden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O'Shea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Harvilchuck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Guarnera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Germain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lastRenderedPageBreak/>
        <w:t>microalbuminuria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318-322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7573190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10.1159/000168856]</w:t>
      </w:r>
    </w:p>
    <w:p w14:paraId="618A0887" w14:textId="57809E1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23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Perazella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McPhedran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Kliger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Lorber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Bia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MJ.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independent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circulating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495-500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7645558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10.1016/0272-6386(95)90496-4]</w:t>
      </w:r>
    </w:p>
    <w:p w14:paraId="0776044E" w14:textId="080A5E0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Rostaing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Boisseau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Huyn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Durand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by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Scand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Urol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399-406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8719356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10.3109/00365599509180020]</w:t>
      </w:r>
    </w:p>
    <w:p w14:paraId="558FCEF8" w14:textId="7E3D4CF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Akçiçek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Töz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Kürşat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Töbü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Başçi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Mees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EJ.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Comparison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polycythemia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1623-1626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7778179</w:t>
      </w:r>
      <w:r w:rsidR="002A6045" w:rsidRPr="002A6045">
        <w:rPr>
          <w:rFonts w:ascii="Book Antiqua" w:hAnsi="Book Antiqua"/>
          <w:color w:val="201F35"/>
        </w:rPr>
        <w:t xml:space="preserve"> DOI: 10.1097/00007890-199506150-00021</w:t>
      </w:r>
      <w:r w:rsidRPr="00A10B53">
        <w:rPr>
          <w:rFonts w:ascii="Book Antiqua" w:hAnsi="Book Antiqua"/>
          <w:color w:val="201F35"/>
        </w:rPr>
        <w:t>]</w:t>
      </w:r>
    </w:p>
    <w:p w14:paraId="0903E780" w14:textId="3F3F80B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Conlon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Smith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Butterly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DW,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Brennan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DC.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Dial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2524-2525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9017645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10.1093/oxfordjournals.ndt.a027238]</w:t>
      </w:r>
    </w:p>
    <w:p w14:paraId="75D4C016" w14:textId="01C9154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27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Morrone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LF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Paolo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Logoluso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Schena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Stallone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Giorgino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Schena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FP.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Interference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cytokines.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913-918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9326420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10.1097/00007890-199709270-00021]</w:t>
      </w:r>
    </w:p>
    <w:p w14:paraId="7DD9FABC" w14:textId="3C2AECE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28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Ducloux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Fournier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Bresson-Vautrin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Chalopin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follow-up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Transpl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312-315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9704399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10.1007/s001470050149]</w:t>
      </w:r>
    </w:p>
    <w:p w14:paraId="2E74EA1F" w14:textId="404EBCB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29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Mazzali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Filho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aminophylline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polycythemia.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1461-1464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9645803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10.1097/00007890-199806150-00009]</w:t>
      </w:r>
    </w:p>
    <w:p w14:paraId="5646696C" w14:textId="61E0A7E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Julian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Brantley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RR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Jr</w:t>
      </w:r>
      <w:proofErr w:type="spellEnd"/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Barker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Stopka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Curtis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JY,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Prchal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receptor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antagonist,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lowers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hematocrit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lastRenderedPageBreak/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1104-1108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9621296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10.1681/ASN.V961104]</w:t>
      </w:r>
    </w:p>
    <w:p w14:paraId="66473CFB" w14:textId="0C3D543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31</w:t>
      </w:r>
      <w:r w:rsidR="00693365">
        <w:rPr>
          <w:rFonts w:ascii="Book Antiqua" w:hAnsi="Book Antiqua" w:hint="eastAsi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Montanaro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 w:rsidR="00693365">
        <w:rPr>
          <w:rFonts w:ascii="Book Antiqua" w:hAnsi="Book Antiqua" w:hint="eastAsi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Groupuzzo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Boscutti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Risaliti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Bresadola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Mioni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postrenal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safety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mechanisms.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suppl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47-suppl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10809436]</w:t>
      </w:r>
    </w:p>
    <w:p w14:paraId="55FB66D6" w14:textId="39F3ED7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Glicklich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Burris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Urban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Tellis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Greenstein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Schechner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Devarajan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Croizat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induces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apoptosis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erythroid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precursors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factor-1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posttransplantation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1958-1964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11518790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10.1681/ASN.V1291958]</w:t>
      </w:r>
    </w:p>
    <w:p w14:paraId="28A51109" w14:textId="322340E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33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Trivedi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H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SM.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randomized,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open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labeled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crossover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trial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fosinopril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Ren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Fail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77-86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12617335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10.1081/jdi-120017470]</w:t>
      </w:r>
    </w:p>
    <w:p w14:paraId="5F8B5252" w14:textId="48C2049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Stoll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Gauthier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Vergara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Ramek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Frank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Trachtman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young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adult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CRF.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Pediatr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120-121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14634866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10.1007/s00467-003-1358-z]</w:t>
      </w:r>
    </w:p>
    <w:p w14:paraId="7EE1FBA3" w14:textId="14B57BD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Esposito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Giammarino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Blasio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Martinelli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Cirillo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Scopacasa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Federico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Russo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Ramipril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57-62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17347974]</w:t>
      </w:r>
    </w:p>
    <w:p w14:paraId="3E7F92FA" w14:textId="1F07F77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36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Bravo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Felgueiras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Santos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Oliveira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Proc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740-742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18455003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10.1016/j.transproceed.2008.03.014]</w:t>
      </w:r>
    </w:p>
    <w:p w14:paraId="3F3656EA" w14:textId="25B156C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Ahmed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Ahmed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Naqvi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Qureshi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Evaluation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contributing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Pak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Assoc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1326-1329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23866484]</w:t>
      </w:r>
    </w:p>
    <w:p w14:paraId="22B11D89" w14:textId="5122832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38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Almonte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Velásquez</w:t>
      </w:r>
      <w:proofErr w:type="spellEnd"/>
      <w:r w:rsidRPr="00A10B53">
        <w:rPr>
          <w:rFonts w:ascii="Book Antiqua" w:hAnsi="Book Antiqua"/>
          <w:color w:val="201F35"/>
        </w:rPr>
        <w:t>-Jones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Valverde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Carleton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Medeiros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report.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Pediatr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E7-10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25418869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10.1111/petr.12406]</w:t>
      </w:r>
    </w:p>
    <w:p w14:paraId="7FC6D207" w14:textId="54F338D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Kessler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Hestin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Mayeux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Mertes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Renoult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predisposing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matched-pair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study.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83-89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8846535]</w:t>
      </w:r>
    </w:p>
    <w:p w14:paraId="09745EC4" w14:textId="191AF52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40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Einollahi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Lessan-Pezeshki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Nafar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Pour-Reza-</w:t>
      </w:r>
      <w:proofErr w:type="spellStart"/>
      <w:r w:rsidRPr="00A10B53">
        <w:rPr>
          <w:rFonts w:ascii="Book Antiqua" w:hAnsi="Book Antiqua"/>
          <w:color w:val="201F35"/>
        </w:rPr>
        <w:t>Gholi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Firouzan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Farhangi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proofErr w:type="gramStart"/>
      <w:r w:rsidRPr="00A10B53">
        <w:rPr>
          <w:rFonts w:ascii="Book Antiqua" w:hAnsi="Book Antiqua"/>
          <w:color w:val="201F35"/>
        </w:rPr>
        <w:t>Pourfarziani</w:t>
      </w:r>
      <w:proofErr w:type="spellEnd"/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cases.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Proc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3101-3102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16213319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10.1016/j.transproceed.2005.08.023]</w:t>
      </w:r>
    </w:p>
    <w:p w14:paraId="5064415F" w14:textId="2D643CC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41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Alzoubi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Kharel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Osman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Aziz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Garg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Mohamed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Djamali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Mandelbrot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Parajuli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Incidence,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outcomes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2021;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e14166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33231331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10.1111/ctr.14166]</w:t>
      </w:r>
    </w:p>
    <w:p w14:paraId="312CADE2" w14:textId="4DE9835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42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Reindl-Schwaighofer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Oberbauer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disorders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Rev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(Orlando)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63-75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24211181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10.1016/j.trre.2013.10.001]</w:t>
      </w:r>
    </w:p>
    <w:p w14:paraId="1A177ED0" w14:textId="428D439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43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Wickre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Bennison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Bennett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WM.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Postrenal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731-737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6348369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10.1038/ki.1983.86]</w:t>
      </w:r>
    </w:p>
    <w:p w14:paraId="12689E86" w14:textId="1BF868F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Kolonko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Pinocy-Mańdok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Kocierz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Kujawa-Szewieczek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Chudek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Malyszko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Malyszko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Myśliwiec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Wiecek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5-year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graft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function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survival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analysis.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Proc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3046-3051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19857673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10.1016/j.transproceed.2009.07.090]</w:t>
      </w:r>
    </w:p>
    <w:p w14:paraId="52962D8E" w14:textId="04A809C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45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Dagher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FJ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Ramos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Erslev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Alongi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Karmi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responsible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allorecipients</w:t>
      </w:r>
      <w:proofErr w:type="spellEnd"/>
      <w:r w:rsidRPr="00A10B53">
        <w:rPr>
          <w:rFonts w:ascii="Book Antiqua" w:hAnsi="Book Antiqua"/>
          <w:color w:val="201F35"/>
        </w:rPr>
        <w:t>?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1979;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496-498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390790</w:t>
      </w:r>
      <w:r w:rsidR="002A019E" w:rsidRPr="002A019E">
        <w:rPr>
          <w:rFonts w:ascii="Book Antiqua" w:hAnsi="Book Antiqua"/>
          <w:color w:val="201F35"/>
        </w:rPr>
        <w:t xml:space="preserve"> DOI: 10.1097/00007890-197912000-00012</w:t>
      </w:r>
      <w:r w:rsidRPr="00A10B53">
        <w:rPr>
          <w:rFonts w:ascii="Book Antiqua" w:hAnsi="Book Antiqua"/>
          <w:color w:val="201F35"/>
        </w:rPr>
        <w:t>]</w:t>
      </w:r>
    </w:p>
    <w:p w14:paraId="665E873C" w14:textId="791F5E0F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46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Bacon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Rothman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Ricanati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Rashad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artery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stenosis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Arch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Intern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1206-1211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6996630</w:t>
      </w:r>
      <w:r w:rsidR="002A019E" w:rsidRPr="002A019E">
        <w:rPr>
          <w:rFonts w:ascii="Book Antiqua" w:hAnsi="Book Antiqua"/>
          <w:color w:val="201F35"/>
        </w:rPr>
        <w:t xml:space="preserve"> DOI: 10.1001/archinte.140.9.1206</w:t>
      </w:r>
      <w:r w:rsidRPr="00A10B53">
        <w:rPr>
          <w:rFonts w:ascii="Book Antiqua" w:hAnsi="Book Antiqua"/>
          <w:color w:val="201F35"/>
        </w:rPr>
        <w:t>]</w:t>
      </w:r>
    </w:p>
    <w:p w14:paraId="53770327" w14:textId="5FA22E8D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47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Qunibi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Barri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Devol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al-</w:t>
      </w:r>
      <w:proofErr w:type="spellStart"/>
      <w:r w:rsidRPr="00A10B53">
        <w:rPr>
          <w:rFonts w:ascii="Book Antiqua" w:hAnsi="Book Antiqua"/>
          <w:color w:val="201F35"/>
        </w:rPr>
        <w:t>Furayh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Sheth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Taher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predictive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1153-1159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1762317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10.1038/ki.1991.328]</w:t>
      </w:r>
    </w:p>
    <w:p w14:paraId="17C0E0C3" w14:textId="44D9876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48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Augustine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Knauss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TC,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Schulak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Bodziak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Siegel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Hricik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Comparative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sirolimus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mycophenolate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mofetil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2001-2006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15575902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10.1111/j.1600-6143.2004.00612.x]</w:t>
      </w:r>
    </w:p>
    <w:p w14:paraId="5D7B5A67" w14:textId="1AA3E2E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49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Koziak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Rell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Baczkowska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Gaciong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depend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immunosuppression?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236-237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8569966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10.1159/000188724]</w:t>
      </w:r>
    </w:p>
    <w:p w14:paraId="6047F8C8" w14:textId="58E2A867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50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Brox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Mangel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Hanley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Louis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Mongrain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Gagnon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RF.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represents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abnormality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factor-I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binding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proteins.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1053-1058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9808491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10.1097/00007890-199810270-00015]</w:t>
      </w:r>
    </w:p>
    <w:p w14:paraId="442008EB" w14:textId="6CFA6707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Shih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Huang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plays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regulating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end-stage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Soc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315-322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10215331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10.1681/ASN.V102315]</w:t>
      </w:r>
    </w:p>
    <w:p w14:paraId="1C02E74E" w14:textId="292A995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Ghahramani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NL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Malek-Hosseini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Rais-Jalali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Behzadi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Nezakatgoo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Salahi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Javid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Bakhtiari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allograft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Proc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828-829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9595115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10.1016/s0041-1345(98)00065-7]</w:t>
      </w:r>
    </w:p>
    <w:p w14:paraId="36705D33" w14:textId="17F734F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Sun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CH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Ward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Paul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WL,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Koyle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Yanagawa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Serum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Engl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321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151-157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2664510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10.1056/NEJM198907203210304]</w:t>
      </w:r>
    </w:p>
    <w:p w14:paraId="0FB43A68" w14:textId="7869702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54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Malyszko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Oberbauer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Watschinger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Transpl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1013-1023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22716097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10.1111/j.1432-2277.2012.01513.x]</w:t>
      </w:r>
    </w:p>
    <w:p w14:paraId="10316932" w14:textId="262E345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55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Gaciong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Z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Koziak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Jarzyło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Ludwicki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Malanowska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Paczek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Szmidt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Wałaszewski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Ann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29-33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9869934]</w:t>
      </w:r>
    </w:p>
    <w:p w14:paraId="529D6C98" w14:textId="0386BFD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56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Gossmann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Burkhardt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Harder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Lenz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Sedlmeyer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Klinkhardt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Geiger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Scheuermann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infusion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increases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plasma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lastRenderedPageBreak/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receptor-dependent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pathway.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11422739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10.1046/j.1523-1755.2001.00773.x]</w:t>
      </w:r>
    </w:p>
    <w:p w14:paraId="7C5BDD5B" w14:textId="41BB4E0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Yang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disorders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typically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Front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Cell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Dev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Biol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25853131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10.3389/fcell.2015.00018]</w:t>
      </w:r>
    </w:p>
    <w:p w14:paraId="6B47D99A" w14:textId="17B9D17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58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McMullin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MF</w:t>
      </w:r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Investigation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Curr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Hematol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Malig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Rep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342-347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27423232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10.1007/s11899-016-0334-1]</w:t>
      </w:r>
    </w:p>
    <w:p w14:paraId="3E73D85D" w14:textId="439FB58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59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Yildiz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Akkaya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Sahin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Ismailoğlu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Türk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Bozfakioğlu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Comparison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posttransplantation</w:t>
      </w:r>
      <w:proofErr w:type="spellEnd"/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randomized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study.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542-544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11502994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10.1097/00007890-200108150-00035]</w:t>
      </w:r>
    </w:p>
    <w:p w14:paraId="7D404584" w14:textId="1700612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60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Barenbrock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Spieker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Rahn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Zidek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Therapeutic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efficiency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phlebotomy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posttransplant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hypertension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241-243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8261683]</w:t>
      </w:r>
    </w:p>
    <w:p w14:paraId="25B7E213" w14:textId="31C833BF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61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Bakris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Sauter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Hussey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Fisher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JW,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Gaber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AO,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Winsett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subjects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Engl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86-90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2163024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10.1056/NEJM199007123230203]</w:t>
      </w:r>
    </w:p>
    <w:p w14:paraId="1A68B5F7" w14:textId="0D431B4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62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Grekas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Dioudis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Valkouma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Papoulidou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Tourkantonis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modulates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25-27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7617113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10.1159/000188539]</w:t>
      </w:r>
    </w:p>
    <w:p w14:paraId="3E198E03" w14:textId="3507A51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63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Yagisawa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Toma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Yaguchi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Tomaru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Iijima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Suzuki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Nakada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enalapril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ineffective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Urol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Nephrol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363-367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9285312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10.1007/BF02550937]</w:t>
      </w:r>
    </w:p>
    <w:p w14:paraId="7569D54A" w14:textId="64FB7D3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64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Ilan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Dranitzki-Elhallel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Rubinger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Silver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Popovtzer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MM.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661-664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8140628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10.1097/00007890-199403150-00005]</w:t>
      </w:r>
    </w:p>
    <w:p w14:paraId="78286DAB" w14:textId="17B417D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65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Nguyen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Vautier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Allenbach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Zahr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Benveniste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Funck</w:t>
      </w:r>
      <w:proofErr w:type="spellEnd"/>
      <w:r w:rsidRPr="00A10B53">
        <w:rPr>
          <w:rFonts w:ascii="Book Antiqua" w:hAnsi="Book Antiqua"/>
          <w:color w:val="201F35"/>
        </w:rPr>
        <w:t>-Brentano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Salem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JE.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Sirolimus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mTOR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Side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Solid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Organ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Drug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Saf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813-825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30868436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10.1007/s40264-019-00810-9]</w:t>
      </w:r>
    </w:p>
    <w:p w14:paraId="420427A4" w14:textId="1DD4768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de</w:t>
      </w:r>
      <w:r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Mattos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Prather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Olyaei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Shibagaki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Keith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Mori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Becker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Cardiovascular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events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traditional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transplant-specific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i/>
          <w:iCs/>
          <w:color w:val="201F35"/>
        </w:rPr>
        <w:t>Int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757-764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16788687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10.1038/sj.ki.5001628]</w:t>
      </w:r>
    </w:p>
    <w:p w14:paraId="534A7A7D" w14:textId="07B0304F" w:rsidR="00ED3337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proofErr w:type="gramStart"/>
      <w:r w:rsidRPr="00A10B53">
        <w:rPr>
          <w:rFonts w:ascii="Book Antiqua" w:hAnsi="Book Antiqua"/>
          <w:color w:val="201F35"/>
        </w:rPr>
        <w:t>67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b/>
          <w:bCs/>
          <w:color w:val="201F35"/>
        </w:rPr>
        <w:t>Keohane</w:t>
      </w:r>
      <w:proofErr w:type="spellEnd"/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McMullin</w:t>
      </w:r>
      <w:proofErr w:type="spell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C.</w:t>
      </w:r>
      <w:proofErr w:type="gramEnd"/>
      <w:r>
        <w:rPr>
          <w:rFonts w:ascii="Book Antiqua" w:hAnsi="Book Antiqua"/>
          <w:color w:val="201F35"/>
        </w:rPr>
        <w:t xml:space="preserve"> </w:t>
      </w:r>
      <w:proofErr w:type="gramStart"/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diagnosis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proofErr w:type="spellStart"/>
      <w:r w:rsidRPr="00A10B53">
        <w:rPr>
          <w:rFonts w:ascii="Book Antiqua" w:hAnsi="Book Antiqua"/>
          <w:color w:val="201F35"/>
        </w:rPr>
        <w:t>erythrocytosis</w:t>
      </w:r>
      <w:proofErr w:type="spellEnd"/>
      <w:r w:rsidRPr="00A10B53">
        <w:rPr>
          <w:rFonts w:ascii="Book Antiqua" w:hAnsi="Book Antiqua"/>
          <w:color w:val="201F35"/>
        </w:rPr>
        <w:t>.</w:t>
      </w:r>
      <w:proofErr w:type="gramEnd"/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BMJ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347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f6667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24246666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10.1136/bmj.f6667]</w:t>
      </w:r>
    </w:p>
    <w:p w14:paraId="7560A177" w14:textId="48405D9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1F4DB7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0B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F52625" w14:textId="7777777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5C529EB" w14:textId="02043BC2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authors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conflict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interest.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7E5D2FF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DC4412" w14:textId="1D1ACE22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open-access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selected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in-house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editor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peer-reviewed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external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reviewers.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distributed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accordance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Creative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Attribution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BY-NC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4.0)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license,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permits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distribute,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remix,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adapt,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non-commercially,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license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derivative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original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properly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non-commercial.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See: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B2C52AA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6BFB5A" w14:textId="052876C9" w:rsidR="00A77B3E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source: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Invited</w:t>
      </w:r>
      <w:r w:rsidR="00A10B53">
        <w:rPr>
          <w:rFonts w:ascii="Book Antiqua" w:eastAsia="Book Antiqua" w:hAnsi="Book Antiqua" w:cs="Book Antiqua"/>
          <w:color w:val="000000"/>
        </w:rPr>
        <w:t xml:space="preserve"> m</w:t>
      </w:r>
      <w:r w:rsidRPr="00A10B53">
        <w:rPr>
          <w:rFonts w:ascii="Book Antiqua" w:eastAsia="Book Antiqua" w:hAnsi="Book Antiqua" w:cs="Book Antiqua"/>
          <w:color w:val="000000"/>
        </w:rPr>
        <w:t>anuscript</w:t>
      </w:r>
    </w:p>
    <w:p w14:paraId="1491327C" w14:textId="77777777" w:rsidR="00A71457" w:rsidRPr="00A10B53" w:rsidRDefault="00A71457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96A35A" w14:textId="45CF355B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Corresponding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Author's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Membership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in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Professional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Societies: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American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Society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3D3976">
        <w:rPr>
          <w:rFonts w:ascii="Book Antiqua" w:eastAsia="Book Antiqua" w:hAnsi="Book Antiqua" w:cs="Book Antiqua"/>
          <w:color w:val="000000"/>
        </w:rPr>
        <w:t xml:space="preserve">and </w:t>
      </w:r>
      <w:r w:rsidRPr="00A10B53">
        <w:rPr>
          <w:rFonts w:ascii="Book Antiqua" w:eastAsia="Book Antiqua" w:hAnsi="Book Antiqua" w:cs="Book Antiqua"/>
          <w:color w:val="000000"/>
        </w:rPr>
        <w:t>American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Society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Nephrology,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570582</w:t>
      </w:r>
    </w:p>
    <w:p w14:paraId="0105B6F9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492AEC" w14:textId="0624DCCB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Peer-review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started: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39008FFB" w14:textId="42ECE3C5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First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decision: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65A052DE" w14:textId="3FBDD1F1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Article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in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press: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73A" w:rsidRPr="0046673A">
        <w:rPr>
          <w:rFonts w:ascii="Book Antiqua" w:eastAsia="Book Antiqua" w:hAnsi="Book Antiqua" w:cs="Book Antiqua"/>
          <w:color w:val="000000"/>
        </w:rPr>
        <w:t>May 24, 2021</w:t>
      </w:r>
    </w:p>
    <w:p w14:paraId="529801D0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8A695F" w14:textId="717FC09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Specialty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type: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</w:p>
    <w:p w14:paraId="54F92F10" w14:textId="6F0C5CE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Country/Territory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of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origin: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</w:p>
    <w:p w14:paraId="768F5293" w14:textId="23C7C06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Peer-review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report’s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scientific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quality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5FC277" w14:textId="659CBE70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A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(Excellent):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3BB4532E" w14:textId="23A98785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(Very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good):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</w:p>
    <w:p w14:paraId="0FE7E09C" w14:textId="7C111DDF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(Good):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</w:t>
      </w:r>
    </w:p>
    <w:p w14:paraId="4DA06C6E" w14:textId="7123F5C3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(Fair):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1E6C94CD" w14:textId="2268F6A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(Poor):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469531F9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AEB75" w14:textId="2AE8A557" w:rsidR="0046673A" w:rsidRPr="0046673A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Shrestha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Taheri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Taskovska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2A43" w:rsidRPr="00A10B53">
        <w:rPr>
          <w:rFonts w:ascii="Book Antiqua" w:eastAsia="Book Antiqua" w:hAnsi="Book Antiqua" w:cs="Book Antiqua"/>
          <w:color w:val="000000"/>
        </w:rPr>
        <w:t>L</w:t>
      </w:r>
      <w:r w:rsidR="000E2A43" w:rsidRPr="00A10B53">
        <w:rPr>
          <w:rFonts w:ascii="Book Antiqua" w:hAnsi="Book Antiqua" w:cs="Book Antiqua"/>
          <w:color w:val="000000"/>
          <w:lang w:eastAsia="zh-CN"/>
        </w:rPr>
        <w:t>iu</w:t>
      </w:r>
      <w:r w:rsidR="00A10B53">
        <w:rPr>
          <w:rFonts w:ascii="Book Antiqua" w:hAnsi="Book Antiqua" w:cs="Book Antiqua"/>
          <w:color w:val="000000"/>
          <w:lang w:eastAsia="zh-CN"/>
        </w:rPr>
        <w:t xml:space="preserve"> </w:t>
      </w:r>
      <w:r w:rsidR="000E2A43" w:rsidRPr="00A10B53">
        <w:rPr>
          <w:rFonts w:ascii="Book Antiqua" w:hAnsi="Book Antiqua" w:cs="Book Antiqua"/>
          <w:color w:val="000000"/>
          <w:lang w:eastAsia="zh-CN"/>
        </w:rPr>
        <w:t>M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L-Editor: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73A" w:rsidRPr="0046673A">
        <w:rPr>
          <w:rFonts w:ascii="Book Antiqua" w:hAnsi="Book Antiqua" w:cs="Book Antiqua" w:hint="eastAsia"/>
          <w:color w:val="000000"/>
          <w:lang w:eastAsia="zh-CN"/>
        </w:rPr>
        <w:t>A</w:t>
      </w:r>
      <w:r w:rsidR="0046673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73A" w:rsidRPr="0046673A">
        <w:rPr>
          <w:rFonts w:ascii="Book Antiqua" w:eastAsia="Book Antiqua" w:hAnsi="Book Antiqua" w:cs="Book Antiqua"/>
          <w:color w:val="000000"/>
        </w:rPr>
        <w:t>Yuan YY</w:t>
      </w:r>
    </w:p>
    <w:p w14:paraId="3A1BB799" w14:textId="77777777" w:rsidR="0046673A" w:rsidRDefault="0046673A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E4F7FDA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0B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7C4B8" w14:textId="7414235D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Legends</w:t>
      </w:r>
    </w:p>
    <w:p w14:paraId="0EB900E3" w14:textId="2642537B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  <w:noProof/>
          <w:lang w:eastAsia="zh-CN"/>
        </w:rPr>
        <w:drawing>
          <wp:inline distT="0" distB="0" distL="0" distR="0" wp14:anchorId="24DBD55D" wp14:editId="4FB26BFF">
            <wp:extent cx="5784983" cy="23592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5" cy="237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278D3" w14:textId="25617058" w:rsidR="00DF67D6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1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Post-</w:t>
      </w:r>
      <w:r w:rsidR="00BD213F" w:rsidRPr="00A10B53"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D213F" w:rsidRPr="00A10B53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yth</w:t>
      </w:r>
      <w:r w:rsidR="00CA2D74" w:rsidRPr="00A10B5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ocytosis</w:t>
      </w:r>
      <w:proofErr w:type="spellEnd"/>
      <w:r w:rsidRPr="00A10B53">
        <w:rPr>
          <w:rFonts w:ascii="Book Antiqua" w:eastAsia="Book Antiqua" w:hAnsi="Book Antiqua" w:cs="Book Antiqua"/>
          <w:b/>
          <w:bCs/>
          <w:color w:val="000000"/>
        </w:rPr>
        <w:t>.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213F" w:rsidRPr="00A10B53">
        <w:rPr>
          <w:rFonts w:ascii="Book Antiqua" w:eastAsia="Book Antiqua" w:hAnsi="Book Antiqua" w:cs="Book Antiqua"/>
          <w:color w:val="000000"/>
        </w:rPr>
        <w:t>erythrocytosis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(PTE)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robust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erythroid</w:t>
      </w:r>
      <w:proofErr w:type="spell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plus/minus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Typically</w:t>
      </w:r>
      <w:r w:rsidR="00CA2D74"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recognized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laboratory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screening.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Accurate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0B53">
        <w:rPr>
          <w:rFonts w:ascii="Book Antiqua" w:eastAsia="Book Antiqua" w:hAnsi="Book Antiqua" w:cs="Book Antiqua"/>
          <w:color w:val="000000"/>
        </w:rPr>
        <w:t>key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213F"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inhibitors</w:t>
      </w:r>
      <w:r w:rsidRPr="00A10B53">
        <w:rPr>
          <w:rFonts w:ascii="Book Antiqua" w:eastAsia="Book Antiqua" w:hAnsi="Book Antiqua" w:cs="Book Antiqua"/>
          <w:color w:val="000000"/>
        </w:rPr>
        <w:t>/</w:t>
      </w:r>
      <w:r w:rsidR="00BD213F"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blocker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Aspirin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prevention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Hgb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H</w:t>
      </w:r>
      <w:r w:rsidRPr="00A10B53">
        <w:rPr>
          <w:rFonts w:ascii="Book Antiqua" w:eastAsia="Book Antiqua" w:hAnsi="Book Antiqua" w:cs="Book Antiqua"/>
          <w:color w:val="000000"/>
        </w:rPr>
        <w:t>emoglobin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0B53">
        <w:rPr>
          <w:rFonts w:ascii="Book Antiqua" w:eastAsia="Book Antiqua" w:hAnsi="Book Antiqua" w:cs="Book Antiqua"/>
          <w:color w:val="000000"/>
        </w:rPr>
        <w:t>Hct</w:t>
      </w:r>
      <w:proofErr w:type="spellEnd"/>
      <w:r w:rsidRPr="00A10B53">
        <w:rPr>
          <w:rFonts w:ascii="Book Antiqua" w:eastAsia="Book Antiqua" w:hAnsi="Book Antiqua" w:cs="Book Antiqua"/>
          <w:color w:val="000000"/>
        </w:rPr>
        <w:t>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H</w:t>
      </w:r>
      <w:r w:rsidRPr="00A10B53">
        <w:rPr>
          <w:rFonts w:ascii="Book Antiqua" w:eastAsia="Book Antiqua" w:hAnsi="Book Antiqua" w:cs="Book Antiqua"/>
          <w:color w:val="000000"/>
        </w:rPr>
        <w:t>ematocrit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RAAS: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R</w:t>
      </w:r>
      <w:r w:rsidRPr="00A10B53">
        <w:rPr>
          <w:rFonts w:ascii="Book Antiqua" w:eastAsia="Book Antiqua" w:hAnsi="Book Antiqua" w:cs="Book Antiqua"/>
          <w:color w:val="000000"/>
        </w:rPr>
        <w:t>enin-angiotensin-aldosterone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I</w:t>
      </w:r>
      <w:r w:rsidRPr="00A10B53">
        <w:rPr>
          <w:rFonts w:ascii="Book Antiqua" w:eastAsia="Book Antiqua" w:hAnsi="Book Antiqua" w:cs="Book Antiqua"/>
          <w:color w:val="000000"/>
        </w:rPr>
        <w:t>nsulin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growth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10B53">
        <w:rPr>
          <w:rFonts w:ascii="Book Antiqua" w:eastAsia="Book Antiqua" w:hAnsi="Book Antiqua" w:cs="Book Antiqua"/>
          <w:color w:val="000000"/>
        </w:rPr>
        <w:t>Tx</w:t>
      </w:r>
      <w:proofErr w:type="spellEnd"/>
      <w:proofErr w:type="gramEnd"/>
      <w:r w:rsidRPr="00A10B53">
        <w:rPr>
          <w:rFonts w:ascii="Book Antiqua" w:eastAsia="Book Antiqua" w:hAnsi="Book Antiqua" w:cs="Book Antiqua"/>
          <w:color w:val="000000"/>
        </w:rPr>
        <w:t>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T</w:t>
      </w:r>
      <w:r w:rsidRPr="00A10B53">
        <w:rPr>
          <w:rFonts w:ascii="Book Antiqua" w:eastAsia="Book Antiqua" w:hAnsi="Book Antiqua" w:cs="Book Antiqua"/>
          <w:color w:val="000000"/>
        </w:rPr>
        <w:t>ransplant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A</w:t>
      </w:r>
      <w:r w:rsidRPr="00A10B53">
        <w:rPr>
          <w:rFonts w:ascii="Book Antiqua" w:eastAsia="Book Antiqua" w:hAnsi="Book Antiqua" w:cs="Book Antiqua"/>
          <w:color w:val="000000"/>
        </w:rPr>
        <w:t>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</w:t>
      </w:r>
      <w:r w:rsidR="00BD213F" w:rsidRPr="00A10B53">
        <w:rPr>
          <w:rFonts w:ascii="Book Antiqua" w:eastAsia="Book Antiqua" w:hAnsi="Book Antiqua" w:cs="Book Antiqua"/>
          <w:color w:val="000000"/>
        </w:rPr>
        <w:t>s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A</w:t>
      </w:r>
      <w:r w:rsidRPr="00A10B53">
        <w:rPr>
          <w:rFonts w:ascii="Book Antiqua" w:eastAsia="Book Antiqua" w:hAnsi="Book Antiqua" w:cs="Book Antiqua"/>
          <w:color w:val="000000"/>
        </w:rPr>
        <w:t>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blocker.</w:t>
      </w:r>
    </w:p>
    <w:p w14:paraId="35C1BEF3" w14:textId="10D7F43E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A10B53">
        <w:rPr>
          <w:rFonts w:ascii="Book Antiqua" w:eastAsia="Book Antiqua" w:hAnsi="Book Antiqua" w:cs="Book Antiqua"/>
          <w:color w:val="000000"/>
        </w:rPr>
        <w:br w:type="page"/>
      </w:r>
      <w:r w:rsidRPr="00A10B53">
        <w:rPr>
          <w:rFonts w:ascii="Book Antiqua" w:hAnsi="Book Antiqua"/>
          <w:b/>
          <w:bCs/>
        </w:rPr>
        <w:lastRenderedPageBreak/>
        <w:t>Table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1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Post-transplant</w:t>
      </w:r>
      <w:r w:rsidR="00A10B53">
        <w:rPr>
          <w:rFonts w:ascii="Book Antiqua" w:hAnsi="Book Antiqua"/>
          <w:b/>
          <w:bCs/>
        </w:rPr>
        <w:t xml:space="preserve"> </w:t>
      </w:r>
      <w:proofErr w:type="spellStart"/>
      <w:r w:rsidRPr="00A10B53">
        <w:rPr>
          <w:rFonts w:ascii="Book Antiqua" w:hAnsi="Book Antiqua"/>
          <w:b/>
          <w:bCs/>
        </w:rPr>
        <w:t>erythrocytosis</w:t>
      </w:r>
      <w:proofErr w:type="spellEnd"/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management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guidelines</w:t>
      </w:r>
    </w:p>
    <w:tbl>
      <w:tblPr>
        <w:tblStyle w:val="ListTable1Light1"/>
        <w:tblW w:w="0" w:type="auto"/>
        <w:tblLook w:val="04A0" w:firstRow="1" w:lastRow="0" w:firstColumn="1" w:lastColumn="0" w:noHBand="0" w:noVBand="1"/>
      </w:tblPr>
      <w:tblGrid>
        <w:gridCol w:w="1835"/>
        <w:gridCol w:w="2242"/>
        <w:gridCol w:w="5245"/>
      </w:tblGrid>
      <w:tr w:rsidR="00BD213F" w:rsidRPr="00A10B53" w14:paraId="095268E2" w14:textId="77777777" w:rsidTr="00B4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740E6" w14:textId="6DFCDDF6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</w:rPr>
              <w:t>Ref.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1A27A" w14:textId="21BFF13A" w:rsidR="00BD213F" w:rsidRPr="00B612E8" w:rsidRDefault="00BD213F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</w:rPr>
            </w:pPr>
            <w:r w:rsidRPr="00A10B53">
              <w:rPr>
                <w:rFonts w:ascii="Book Antiqua" w:hAnsi="Book Antiqua"/>
              </w:rPr>
              <w:t>Society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953E" w14:textId="5B9607C3" w:rsidR="00BD213F" w:rsidRPr="00B612E8" w:rsidRDefault="00BD213F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</w:rPr>
            </w:pPr>
            <w:r w:rsidRPr="00A10B53">
              <w:rPr>
                <w:rFonts w:ascii="Book Antiqua" w:hAnsi="Book Antiqua"/>
              </w:rPr>
              <w:t>Recommendations</w:t>
            </w:r>
          </w:p>
        </w:tc>
      </w:tr>
      <w:tr w:rsidR="00BD213F" w:rsidRPr="00A10B53" w14:paraId="7DE42879" w14:textId="77777777" w:rsidTr="00B41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5528" w14:textId="21987EBC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KDIGO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Transplant</w:t>
            </w:r>
            <w:r w:rsidR="00A10B53">
              <w:rPr>
                <w:rFonts w:ascii="Book Antiqua" w:hAnsi="Book Antiqua"/>
                <w:b w:val="0"/>
                <w:bCs w:val="0"/>
                <w:color w:val="201F35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Work</w:t>
            </w:r>
            <w:r w:rsidR="00A10B53">
              <w:rPr>
                <w:rFonts w:ascii="Book Antiqua" w:hAnsi="Book Antiqua"/>
                <w:b w:val="0"/>
                <w:bCs w:val="0"/>
                <w:color w:val="201F35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Group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  <w:vertAlign w:val="superscript"/>
              </w:rPr>
              <w:t>[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11]</w:t>
            </w:r>
            <w:r w:rsidRPr="000125B9">
              <w:rPr>
                <w:rFonts w:ascii="Book Antiqua" w:hAnsi="Book Antiqua"/>
                <w:b w:val="0"/>
              </w:rPr>
              <w:t>,</w:t>
            </w:r>
            <w:r w:rsidR="00A10B53" w:rsidRPr="000125B9">
              <w:rPr>
                <w:rFonts w:ascii="Book Antiqua" w:hAnsi="Book Antiqua"/>
                <w:b w:val="0"/>
              </w:rPr>
              <w:t xml:space="preserve"> </w:t>
            </w:r>
            <w:r w:rsidRPr="000125B9">
              <w:rPr>
                <w:rFonts w:ascii="Book Antiqua" w:hAnsi="Book Antiqua"/>
                <w:b w:val="0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BC12" w14:textId="2640DF36" w:rsidR="00BD213F" w:rsidRPr="00B612E8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KDIGO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61F87" w14:textId="6FE691C5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Definition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="00A941B9">
              <w:rPr>
                <w:rFonts w:ascii="Book Antiqua" w:hAnsi="Book Antiqua" w:cs="Times New Roman" w:hint="eastAsia"/>
                <w:sz w:val="24"/>
                <w:szCs w:val="24"/>
              </w:rPr>
              <w:t>e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rythrocytosis</w:t>
            </w:r>
            <w:proofErr w:type="spellEnd"/>
            <w:r w:rsidRPr="00A10B53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941B9">
              <w:rPr>
                <w:rFonts w:ascii="Book Antiqua" w:hAnsi="Book Antiqua" w:cs="Times New Roman" w:hint="eastAsia"/>
                <w:sz w:val="24"/>
                <w:szCs w:val="24"/>
              </w:rPr>
              <w:t>h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emoglobin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17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g/</w:t>
            </w:r>
            <w:proofErr w:type="spellStart"/>
            <w:r w:rsidRPr="00A10B53">
              <w:rPr>
                <w:rFonts w:ascii="Book Antiqua" w:hAnsi="Book Antiqua" w:cs="Times New Roman"/>
                <w:sz w:val="24"/>
                <w:szCs w:val="24"/>
              </w:rPr>
              <w:t>dL</w:t>
            </w:r>
            <w:proofErr w:type="spellEnd"/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51%</w:t>
            </w:r>
            <w:r w:rsidR="00C13B80">
              <w:rPr>
                <w:rFonts w:ascii="Book Antiqua" w:hAnsi="Book Antiqua" w:cs="Times New Roman" w:hint="eastAsia"/>
                <w:sz w:val="24"/>
                <w:szCs w:val="24"/>
              </w:rPr>
              <w:t>.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76F70768" w14:textId="14084A1B" w:rsidR="00BD213F" w:rsidRPr="00C13B80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using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initial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10B53">
              <w:rPr>
                <w:rFonts w:ascii="Book Antiqua" w:hAnsi="Book Antiqua" w:cs="Times New Roman"/>
                <w:sz w:val="24"/>
                <w:szCs w:val="24"/>
              </w:rPr>
              <w:t>erythrocytosis</w:t>
            </w:r>
            <w:proofErr w:type="spellEnd"/>
            <w:r w:rsidR="00025701">
              <w:rPr>
                <w:rFonts w:ascii="Book Antiqua" w:hAnsi="Book Antiqua" w:cs="Times New Roman" w:hint="eastAsia"/>
                <w:sz w:val="24"/>
                <w:szCs w:val="24"/>
              </w:rPr>
              <w:t>.</w:t>
            </w:r>
          </w:p>
        </w:tc>
      </w:tr>
      <w:tr w:rsidR="00BD213F" w:rsidRPr="00A10B53" w14:paraId="27F52A94" w14:textId="77777777" w:rsidTr="00B41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A85D" w14:textId="597C40D2" w:rsidR="00BD213F" w:rsidRPr="000125B9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</w:rPr>
            </w:pPr>
            <w:proofErr w:type="spellStart"/>
            <w:r w:rsidRPr="00A10B53">
              <w:rPr>
                <w:rFonts w:ascii="Book Antiqua" w:hAnsi="Book Antiqua"/>
                <w:b w:val="0"/>
                <w:bCs w:val="0"/>
              </w:rPr>
              <w:t>Bia</w:t>
            </w:r>
            <w:proofErr w:type="spellEnd"/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[12]</w:t>
            </w:r>
            <w:r w:rsidRPr="000125B9">
              <w:rPr>
                <w:rFonts w:ascii="Book Antiqua" w:hAnsi="Book Antiqua"/>
                <w:b w:val="0"/>
              </w:rPr>
              <w:t>,</w:t>
            </w:r>
            <w:r w:rsidR="00A10B53" w:rsidRPr="000125B9">
              <w:rPr>
                <w:rFonts w:ascii="Book Antiqua" w:hAnsi="Book Antiqua"/>
                <w:b w:val="0"/>
              </w:rPr>
              <w:t xml:space="preserve"> </w:t>
            </w:r>
            <w:r w:rsidRPr="000125B9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BBBF" w14:textId="77777777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NKF/KDOQI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7B6C" w14:textId="02B20E37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when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hemoglobin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17-19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g/</w:t>
            </w:r>
            <w:proofErr w:type="spellStart"/>
            <w:r w:rsidRPr="00A10B53">
              <w:rPr>
                <w:rFonts w:ascii="Book Antiqua" w:hAnsi="Book Antiqua" w:cs="Times New Roman"/>
                <w:sz w:val="24"/>
                <w:szCs w:val="24"/>
              </w:rPr>
              <w:t>dL</w:t>
            </w:r>
            <w:proofErr w:type="spellEnd"/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51%-52%</w:t>
            </w:r>
            <w:r w:rsidR="00C13B80">
              <w:rPr>
                <w:rFonts w:ascii="Book Antiqua" w:hAnsi="Book Antiqua" w:cs="Times New Roman" w:hint="eastAsia"/>
                <w:sz w:val="24"/>
                <w:szCs w:val="24"/>
              </w:rPr>
              <w:t xml:space="preserve">. </w:t>
            </w:r>
          </w:p>
          <w:p w14:paraId="2AEED885" w14:textId="1D0FA45C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guidelines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2009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KDIGO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recommendations</w:t>
            </w:r>
            <w:r w:rsidR="00025701">
              <w:rPr>
                <w:rFonts w:ascii="Book Antiqua" w:hAnsi="Book Antiqua" w:cs="Times New Roman" w:hint="eastAsia"/>
                <w:sz w:val="24"/>
                <w:szCs w:val="24"/>
              </w:rPr>
              <w:t>.</w:t>
            </w:r>
          </w:p>
        </w:tc>
      </w:tr>
      <w:tr w:rsidR="00BD213F" w:rsidRPr="00A10B53" w14:paraId="5A383ED5" w14:textId="77777777" w:rsidTr="00B41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3574" w14:textId="68416F9F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  <w:b w:val="0"/>
                <w:bCs w:val="0"/>
              </w:rPr>
              <w:t>Baker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[13]</w:t>
            </w:r>
            <w:r w:rsidRPr="000125B9">
              <w:rPr>
                <w:rFonts w:ascii="Book Antiqua" w:hAnsi="Book Antiqua"/>
                <w:b w:val="0"/>
              </w:rPr>
              <w:t>,</w:t>
            </w:r>
            <w:r w:rsidR="00A10B53">
              <w:rPr>
                <w:rFonts w:ascii="Book Antiqua" w:hAnsi="Book Antiqua"/>
              </w:rPr>
              <w:t xml:space="preserve"> </w:t>
            </w:r>
            <w:r w:rsidRPr="000125B9">
              <w:rPr>
                <w:rFonts w:ascii="Book Antiqua" w:hAnsi="Book Antiqua"/>
                <w:b w:val="0"/>
              </w:rPr>
              <w:t>2017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53C5" w14:textId="07212996" w:rsidR="00BD213F" w:rsidRPr="00C13B80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The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Renal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Association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7D15" w14:textId="402962CE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when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52%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males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49%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females</w:t>
            </w:r>
            <w:r w:rsidR="00C13B80">
              <w:rPr>
                <w:rFonts w:ascii="Book Antiqua" w:hAnsi="Book Antiqua" w:cs="Times New Roman" w:hint="eastAsia"/>
                <w:sz w:val="24"/>
                <w:szCs w:val="24"/>
              </w:rPr>
              <w:t xml:space="preserve">. </w:t>
            </w:r>
          </w:p>
          <w:p w14:paraId="14569FAC" w14:textId="7C2119E3" w:rsidR="00BD213F" w:rsidRPr="00C13B80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first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line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ARBs</w:t>
            </w:r>
            <w:r w:rsidR="00025701">
              <w:rPr>
                <w:rFonts w:ascii="Book Antiqua" w:hAnsi="Book Antiqua" w:cs="Times New Roman" w:hint="eastAsia"/>
                <w:sz w:val="24"/>
                <w:szCs w:val="24"/>
              </w:rPr>
              <w:t>.</w:t>
            </w:r>
          </w:p>
        </w:tc>
      </w:tr>
      <w:tr w:rsidR="00BD213F" w:rsidRPr="00A10B53" w14:paraId="50E4FAAA" w14:textId="77777777" w:rsidTr="00B41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F57CE" w14:textId="5010244C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10B53">
              <w:rPr>
                <w:rFonts w:ascii="Book Antiqua" w:hAnsi="Book Antiqua"/>
                <w:b w:val="0"/>
                <w:bCs w:val="0"/>
              </w:rPr>
              <w:t>McMullin</w:t>
            </w:r>
            <w:proofErr w:type="spellEnd"/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[14]</w:t>
            </w:r>
            <w:r w:rsidRPr="000125B9">
              <w:rPr>
                <w:rFonts w:ascii="Book Antiqua" w:hAnsi="Book Antiqua"/>
                <w:b w:val="0"/>
              </w:rPr>
              <w:t>,</w:t>
            </w:r>
            <w:r w:rsidR="00A10B53" w:rsidRPr="000125B9">
              <w:rPr>
                <w:rFonts w:ascii="Book Antiqua" w:hAnsi="Book Antiqua"/>
                <w:b w:val="0"/>
              </w:rPr>
              <w:t xml:space="preserve"> </w:t>
            </w:r>
            <w:r w:rsidRPr="000125B9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85F4A" w14:textId="582E668E" w:rsidR="00BD213F" w:rsidRPr="00C13B80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British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Society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of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Hematology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A15C2" w14:textId="46A6DBC2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persistently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elevated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10B53">
              <w:rPr>
                <w:rFonts w:ascii="Book Antiqua" w:hAnsi="Book Antiqua" w:cs="Times New Roman"/>
                <w:sz w:val="24"/>
                <w:szCs w:val="24"/>
              </w:rPr>
              <w:t>mo</w:t>
            </w:r>
            <w:proofErr w:type="spellEnd"/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</w:t>
            </w:r>
            <w:r w:rsidR="00C13B80">
              <w:rPr>
                <w:rFonts w:ascii="Book Antiqua" w:hAnsi="Book Antiqua" w:cs="Times New Roman" w:hint="eastAsia"/>
                <w:sz w:val="24"/>
                <w:szCs w:val="24"/>
              </w:rPr>
              <w:t xml:space="preserve">. </w:t>
            </w:r>
          </w:p>
          <w:p w14:paraId="27619569" w14:textId="1D3DCE07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Therapeutic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phlebotomy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can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used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persistent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symptoms,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but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there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evidence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benefit.</w:t>
            </w:r>
            <w:r w:rsidR="00C13B80">
              <w:rPr>
                <w:rFonts w:ascii="Book Antiqua" w:hAnsi="Book Antiqua" w:cs="Times New Roman" w:hint="eastAsia"/>
                <w:sz w:val="24"/>
                <w:szCs w:val="24"/>
              </w:rPr>
              <w:t xml:space="preserve"> </w:t>
            </w:r>
          </w:p>
          <w:p w14:paraId="65ADA021" w14:textId="7D18A763" w:rsidR="00BD213F" w:rsidRPr="00A10B53" w:rsidRDefault="00BD213F" w:rsidP="00B41DE4">
            <w:pPr>
              <w:pStyle w:val="ListParagraph1"/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evidence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aspirin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effective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025701">
              <w:rPr>
                <w:rFonts w:ascii="Book Antiqua" w:hAnsi="Book Antiqua" w:cs="Times New Roman" w:hint="eastAsia"/>
                <w:sz w:val="24"/>
                <w:szCs w:val="24"/>
              </w:rPr>
              <w:t>.</w:t>
            </w:r>
          </w:p>
        </w:tc>
      </w:tr>
    </w:tbl>
    <w:p w14:paraId="3D4F20AE" w14:textId="03BB27F9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</w:rPr>
        <w:t>KDIGO: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Disease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Improving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Global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Outcomes;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ACE-I:</w:t>
      </w:r>
      <w:r w:rsidR="00A10B53">
        <w:rPr>
          <w:rFonts w:ascii="Book Antiqua" w:hAnsi="Book Antiqua"/>
        </w:rPr>
        <w:t xml:space="preserve"> </w:t>
      </w:r>
      <w:r w:rsidR="00BD213F" w:rsidRPr="00A10B53">
        <w:rPr>
          <w:rFonts w:ascii="Book Antiqua" w:hAnsi="Book Antiqua"/>
        </w:rPr>
        <w:t>A</w:t>
      </w:r>
      <w:r w:rsidRPr="00A10B53">
        <w:rPr>
          <w:rFonts w:ascii="Book Antiqua" w:hAnsi="Book Antiqua"/>
        </w:rPr>
        <w:t>ngiotensin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converting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enzyme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inhibitors;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ARB:</w:t>
      </w:r>
      <w:r w:rsidR="00A10B53">
        <w:rPr>
          <w:rFonts w:ascii="Book Antiqua" w:hAnsi="Book Antiqua"/>
        </w:rPr>
        <w:t xml:space="preserve"> </w:t>
      </w:r>
      <w:r w:rsidR="00BD213F" w:rsidRPr="00A10B53">
        <w:rPr>
          <w:rFonts w:ascii="Book Antiqua" w:hAnsi="Book Antiqua"/>
        </w:rPr>
        <w:t>A</w:t>
      </w:r>
      <w:r w:rsidRPr="00A10B53">
        <w:rPr>
          <w:rFonts w:ascii="Book Antiqua" w:hAnsi="Book Antiqua"/>
        </w:rPr>
        <w:t>ngiotensin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receptor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blocker;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NKF: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National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Foundation;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KDOQI: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Disease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Outcomes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Quality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Initiative</w:t>
      </w:r>
      <w:r w:rsidR="00BD213F" w:rsidRPr="00A10B53">
        <w:rPr>
          <w:rFonts w:ascii="Book Antiqua" w:hAnsi="Book Antiqua"/>
        </w:rPr>
        <w:t>.</w:t>
      </w:r>
    </w:p>
    <w:p w14:paraId="3A24ADE2" w14:textId="2D16B937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</w:rPr>
      </w:pPr>
      <w:r w:rsidRPr="00A10B53">
        <w:rPr>
          <w:rFonts w:ascii="Book Antiqua" w:hAnsi="Book Antiqua"/>
        </w:rPr>
        <w:br w:type="page"/>
      </w:r>
      <w:r w:rsidRPr="00A10B53">
        <w:rPr>
          <w:rFonts w:ascii="Book Antiqua" w:eastAsia="Calibri" w:hAnsi="Book Antiqua"/>
          <w:b/>
          <w:bCs/>
        </w:rPr>
        <w:lastRenderedPageBreak/>
        <w:t>T</w:t>
      </w:r>
      <w:r w:rsidR="00BD213F" w:rsidRPr="00A10B53">
        <w:rPr>
          <w:rFonts w:ascii="Book Antiqua" w:eastAsia="Calibri" w:hAnsi="Book Antiqua"/>
          <w:b/>
          <w:bCs/>
        </w:rPr>
        <w:t>able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2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Effect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hemoglobin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and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hematocrit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after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use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of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angiotensin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converting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enzyme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inhibitor/angiotensin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receptor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blocker</w:t>
      </w:r>
    </w:p>
    <w:tbl>
      <w:tblPr>
        <w:tblStyle w:val="ListTable6Colorful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D213F" w:rsidRPr="00A10B53" w14:paraId="5C074F68" w14:textId="77777777" w:rsidTr="00DC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2C2F8807" w14:textId="06C29EA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Ref</w:t>
            </w:r>
            <w:r w:rsidR="00BD213F" w:rsidRPr="00A10B53">
              <w:rPr>
                <w:rFonts w:ascii="Book Antiqua" w:eastAsia="Arial" w:hAnsi="Book Antiq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36822E9D" w14:textId="26BF205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</w:t>
            </w:r>
            <w:r w:rsidR="00BD213F" w:rsidRPr="00A10B53">
              <w:rPr>
                <w:rFonts w:ascii="Book Antiqua" w:eastAsia="Arial" w:hAnsi="Book Antiqua"/>
              </w:rPr>
              <w:t>umber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of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patients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3B430E1C" w14:textId="716C9F1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Hgb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(g/</w:t>
            </w:r>
            <w:proofErr w:type="spellStart"/>
            <w:r w:rsidRPr="00A10B53">
              <w:rPr>
                <w:rFonts w:ascii="Book Antiqua" w:eastAsia="Arial" w:hAnsi="Book Antiqua"/>
              </w:rPr>
              <w:t>dL</w:t>
            </w:r>
            <w:proofErr w:type="spellEnd"/>
            <w:r w:rsidRPr="00A10B53">
              <w:rPr>
                <w:rFonts w:ascii="Book Antiqua" w:eastAsia="Arial" w:hAnsi="Book Antiqua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1681102E" w14:textId="70C5A13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Hgb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(g/</w:t>
            </w:r>
            <w:proofErr w:type="spellStart"/>
            <w:r w:rsidRPr="00A10B53">
              <w:rPr>
                <w:rFonts w:ascii="Book Antiqua" w:eastAsia="Arial" w:hAnsi="Book Antiqua"/>
              </w:rPr>
              <w:t>dL</w:t>
            </w:r>
            <w:proofErr w:type="spellEnd"/>
            <w:r w:rsidRPr="00A10B53">
              <w:rPr>
                <w:rFonts w:ascii="Book Antiqua" w:eastAsia="Arial" w:hAnsi="Book Antiqua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70567D8A" w14:textId="453BC311" w:rsidR="00DF67D6" w:rsidRPr="00A10B53" w:rsidRDefault="00DF67D6" w:rsidP="008F58C5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8F58C5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11B0640" w14:textId="6582457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Hct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(%)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4CBAD7A" w14:textId="0255F84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Hct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(%)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54CAEE32" w14:textId="2DDDF475" w:rsidR="00DF67D6" w:rsidRPr="00A10B53" w:rsidRDefault="00DF67D6" w:rsidP="008F58C5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8F58C5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0820DBF2" w14:textId="1EC86FA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Drug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(mg/d)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694F852" w14:textId="61B588B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Duration</w:t>
            </w:r>
            <w:r w:rsidR="00240DD3">
              <w:rPr>
                <w:rFonts w:ascii="Book Antiqua" w:eastAsiaTheme="minorEastAsia" w:hAnsi="Book Antiqua" w:hint="eastAsi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</w:t>
            </w:r>
            <w:proofErr w:type="spellStart"/>
            <w:r w:rsidRPr="00A10B53">
              <w:rPr>
                <w:rFonts w:ascii="Book Antiqua" w:eastAsia="Arial" w:hAnsi="Book Antiqua"/>
              </w:rPr>
              <w:t>wk</w:t>
            </w:r>
            <w:proofErr w:type="spellEnd"/>
            <w:r w:rsidRPr="00A10B53">
              <w:rPr>
                <w:rFonts w:ascii="Book Antiqua" w:eastAsia="Arial" w:hAnsi="Book Antiqua"/>
              </w:rPr>
              <w:t>)</w:t>
            </w:r>
          </w:p>
        </w:tc>
      </w:tr>
      <w:tr w:rsidR="00BD213F" w:rsidRPr="00A10B53" w14:paraId="494A07E6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3F05" w14:textId="3E21268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Islam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15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6E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E3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DD8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645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D3B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146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F72D" w14:textId="4F35D97B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51AF" w14:textId="722660C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ACB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373791D7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D739" w14:textId="1CD5718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Conlon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[16]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894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9EB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D39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D3B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21F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D37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D0FF" w14:textId="570ADB1B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A7E5" w14:textId="314B23B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CD3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105FD53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B20E" w14:textId="274F5F2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Rell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B1D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FDA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237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DC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7F2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335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568F" w14:textId="2EAD2F5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8544" w14:textId="59AB75B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48F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120345C3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7720" w14:textId="1DCC97A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Wong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EB0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54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F7E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C28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0FE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00F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79B7" w14:textId="4C050796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6E32" w14:textId="53E9588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2.5-5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52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</w:tr>
      <w:tr w:rsidR="00BD213F" w:rsidRPr="00A10B53" w14:paraId="03283E6B" w14:textId="77777777" w:rsidTr="00DC25EE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01AA" w14:textId="691F40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Torregrosa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[19]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96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3C2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A1F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803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1D9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1E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2197" w14:textId="402FB78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7CA4" w14:textId="6A96728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70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431C4838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4F76" w14:textId="76B0C3E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Danovitch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[20]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2B6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D3A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5B2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7E5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A8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744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8786" w14:textId="2AFC2B84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1C6F" w14:textId="4A7B2D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B8C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45AAB96D" w14:textId="77777777" w:rsidTr="00DC25EE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6B94" w14:textId="3B22DBAA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Hernández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[21]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hAnsi="Book Antiqua"/>
                <w:b w:val="0"/>
                <w:bCs w:val="0"/>
              </w:rPr>
              <w:lastRenderedPageBreak/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E16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42E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811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36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E3C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3DF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B2B9" w14:textId="36F05EF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516D" w14:textId="7ECB67A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A3E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  <w:tr w:rsidR="00BD213F" w:rsidRPr="00A10B53" w14:paraId="37AA2D82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6E07" w14:textId="48D183D5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lastRenderedPageBreak/>
              <w:t>Mulhern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[22]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DDC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0A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CBB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0D5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A4B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EAF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70BF" w14:textId="395D0488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54FB" w14:textId="140136E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1C4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79E84C27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99EA" w14:textId="272FA5A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Perazella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[23]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56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80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A36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F35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48E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EE5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FF7D" w14:textId="40B347F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=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1D80" w14:textId="0BAD84F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8F1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  <w:tr w:rsidR="00BD213F" w:rsidRPr="00A10B53" w14:paraId="19248BF1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7C76" w14:textId="01F7E32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Rostaing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[24]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A44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9A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F93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B54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863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E91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BE0D" w14:textId="30B03FCE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BB42" w14:textId="4F82616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B83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</w:t>
            </w:r>
          </w:p>
        </w:tc>
      </w:tr>
      <w:tr w:rsidR="00BD213F" w:rsidRPr="00A10B53" w14:paraId="7261BF14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9695B" w14:textId="31954F7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Ok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[25]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828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5C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28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D02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85D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3D2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36F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687F" w14:textId="7830CEA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9FC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1F202D29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5309" w14:textId="1B22DD2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Conlon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[26]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41F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1F7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C81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FCD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3EB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C90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E3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B48A" w14:textId="2517A57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E50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4687BC5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308C" w14:textId="5B2EF8F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Morrone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3C9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E6A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F83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A0A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5A3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121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0C11" w14:textId="327397C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D0D9" w14:textId="6A1AC33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0B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73FF66E0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2DD3" w14:textId="42EC73A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Ducloux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E30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422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D93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129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C4C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00A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D1F9" w14:textId="027063BA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05FC" w14:textId="4045F0C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8E2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5AE9B94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911E" w14:textId="3EB7259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lastRenderedPageBreak/>
              <w:t>Mazzali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</w:rPr>
              <w:t>and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proofErr w:type="spellStart"/>
            <w:r w:rsidR="00DC25EE" w:rsidRPr="00A10B53">
              <w:rPr>
                <w:rFonts w:ascii="Book Antiqua" w:eastAsia="Arial" w:hAnsi="Book Antiqua"/>
                <w:b w:val="0"/>
                <w:bCs w:val="0"/>
              </w:rPr>
              <w:t>Filho</w:t>
            </w:r>
            <w:proofErr w:type="spellEnd"/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[29]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FB8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06E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562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64B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9E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85B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12B2" w14:textId="4FEF7C0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1B5E" w14:textId="13621C7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C3C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5F2995A6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C385" w14:textId="24F796F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Julian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[30]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AB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DDD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4B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48D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26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CC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ECA4" w14:textId="5C658251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080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B93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59E78E20" w14:textId="77777777" w:rsidTr="00DC25EE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E841" w14:textId="0D203FD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Montanaro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[31]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F57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50C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3EC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547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BEE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D9E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C7FC" w14:textId="4CD8CC5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E56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F4D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14A58460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552B" w14:textId="350A5E6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Glicklich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[32]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098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F8C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D27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4B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0B1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FBD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77CB" w14:textId="2D7C9720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76EB" w14:textId="5E72303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Lisinopril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proofErr w:type="spellStart"/>
            <w:r w:rsidRPr="00A10B53">
              <w:rPr>
                <w:rFonts w:ascii="Book Antiqua" w:eastAsia="Arial" w:hAnsi="Book Antiqua"/>
              </w:rPr>
              <w:t>fosinopril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FCD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6.8</w:t>
            </w:r>
          </w:p>
          <w:p w14:paraId="7D85E4C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</w:tr>
      <w:tr w:rsidR="00BD213F" w:rsidRPr="00A10B53" w14:paraId="5F06AC77" w14:textId="77777777" w:rsidTr="00DC25EE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1CA2" w14:textId="6194ECB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Trivedi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[33]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50C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0CDD" w14:textId="1C43D7D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17.2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0.6</w:t>
            </w:r>
          </w:p>
          <w:p w14:paraId="435230D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677E" w14:textId="1271FB5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14.9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50B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1D91" w14:textId="754EAF3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51.3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C1D73" w14:textId="3C24529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43.7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B92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774B" w14:textId="7A1437A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Fosinopril</w:t>
            </w:r>
            <w:proofErr w:type="spellEnd"/>
            <w:r w:rsidRPr="00A10B53">
              <w:rPr>
                <w:rFonts w:ascii="Book Antiqua" w:eastAsia="Arial" w:hAnsi="Book Antiqua"/>
              </w:rPr>
              <w:t>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2A39" w14:textId="0D0C415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  <w:r w:rsidR="00A10B53">
              <w:rPr>
                <w:rFonts w:ascii="Book Antiqua" w:eastAsia="Arial" w:hAnsi="Book Antiqua"/>
              </w:rPr>
              <w:t xml:space="preserve"> </w:t>
            </w:r>
          </w:p>
        </w:tc>
      </w:tr>
      <w:tr w:rsidR="00BD213F" w:rsidRPr="00A10B53" w14:paraId="1068B1DB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3051" w14:textId="309B3C2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Stoll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[34]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5A2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9C5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112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9A3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58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67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8C9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C076" w14:textId="3282A4E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25-50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5F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4A3B84D2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D688" w14:textId="1037AFC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Esposito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[35]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ED2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EC6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2A0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C10F" w14:textId="3BE58068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1B9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34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8DE6" w14:textId="233A1D39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92DC" w14:textId="4BD56A1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Ramipril</w:t>
            </w:r>
            <w:proofErr w:type="spellEnd"/>
            <w:r w:rsidRPr="00A10B53">
              <w:rPr>
                <w:rFonts w:ascii="Book Antiqua" w:eastAsia="Arial" w:hAnsi="Book Antiqua"/>
              </w:rPr>
              <w:t>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1.5-10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E7C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</w:tr>
      <w:tr w:rsidR="00BD213F" w:rsidRPr="00A10B53" w14:paraId="4D7AED64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3E7C" w14:textId="2B8F468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Bravo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[36]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FED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C8F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6D8F" w14:textId="5FAF30C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14.5</w:t>
            </w:r>
            <w:r w:rsid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>±</w:t>
            </w:r>
            <w:r w:rsid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070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752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019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A0D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7802" w14:textId="3D6B010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Lisinopril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1.5-5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89D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</w:tr>
      <w:tr w:rsidR="00BD213F" w:rsidRPr="00A10B53" w14:paraId="655EA6FA" w14:textId="77777777" w:rsidTr="00DC25EE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06B1" w14:textId="56EF632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lastRenderedPageBreak/>
              <w:t>Ahmed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ADB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F64D" w14:textId="55E60BA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16.79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DF1D" w14:textId="5457357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15.17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1EC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5C9A" w14:textId="1A9E3AB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54.78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86A44" w14:textId="3E60BCD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48.61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A9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70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F12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33D407D6" w14:textId="77777777" w:rsidTr="00DC25EE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38A7CC" w14:textId="3A96FE8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Almonte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8A3B4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115B3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E595A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AA78B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E4D60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4699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3C0E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8BA831" w14:textId="0E9EEFA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Enalapril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0.13</w:t>
            </w:r>
            <w:r w:rsidR="002948A3">
              <w:rPr>
                <w:rFonts w:ascii="Book Antiqua" w:eastAsiaTheme="minorEastAsia" w:hAnsi="Book Antiqua" w:hint="eastAsi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mg/kg/d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C056E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</w:tbl>
    <w:p w14:paraId="6D7C5529" w14:textId="5A15C3B3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10B53">
        <w:rPr>
          <w:rFonts w:ascii="Book Antiqua" w:hAnsi="Book Antiqua"/>
        </w:rPr>
        <w:t>Hgb</w:t>
      </w:r>
      <w:proofErr w:type="spellEnd"/>
      <w:r w:rsidRPr="00A10B53">
        <w:rPr>
          <w:rFonts w:ascii="Book Antiqua" w:hAnsi="Book Antiqua"/>
        </w:rPr>
        <w:t>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emoglobin;</w:t>
      </w:r>
      <w:r w:rsidR="00A10B53">
        <w:rPr>
          <w:rFonts w:ascii="Book Antiqua" w:hAnsi="Book Antiqua"/>
        </w:rPr>
        <w:t xml:space="preserve"> </w:t>
      </w:r>
      <w:proofErr w:type="spellStart"/>
      <w:r w:rsidRPr="00A10B53">
        <w:rPr>
          <w:rFonts w:ascii="Book Antiqua" w:hAnsi="Book Antiqua"/>
        </w:rPr>
        <w:t>Hct</w:t>
      </w:r>
      <w:proofErr w:type="spellEnd"/>
      <w:r w:rsidRPr="00A10B53">
        <w:rPr>
          <w:rFonts w:ascii="Book Antiqua" w:hAnsi="Book Antiqua"/>
        </w:rPr>
        <w:t>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ematocrit;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N</w:t>
      </w:r>
      <w:r w:rsidRPr="00A10B53">
        <w:rPr>
          <w:rFonts w:ascii="Book Antiqua" w:hAnsi="Book Antiqua"/>
        </w:rPr>
        <w:t>ot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available.</w:t>
      </w:r>
    </w:p>
    <w:p w14:paraId="459BA5ED" w14:textId="5E6FD239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</w:rPr>
      </w:pPr>
      <w:r w:rsidRPr="00A10B53">
        <w:rPr>
          <w:rFonts w:ascii="Book Antiqua" w:hAnsi="Book Antiqua"/>
        </w:rPr>
        <w:br w:type="page"/>
      </w:r>
      <w:r w:rsidRPr="00A10B53">
        <w:rPr>
          <w:rFonts w:ascii="Book Antiqua" w:eastAsia="Calibri" w:hAnsi="Book Antiqua"/>
          <w:b/>
          <w:bCs/>
        </w:rPr>
        <w:lastRenderedPageBreak/>
        <w:t>T</w:t>
      </w:r>
      <w:r w:rsidR="00EE4CAE" w:rsidRPr="00A10B53">
        <w:rPr>
          <w:rFonts w:ascii="Book Antiqua" w:eastAsia="Calibri" w:hAnsi="Book Antiqua"/>
          <w:b/>
          <w:bCs/>
        </w:rPr>
        <w:t>able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3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Effect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hemoglobin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and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hematocrit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after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use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of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theophylline</w:t>
      </w:r>
    </w:p>
    <w:tbl>
      <w:tblPr>
        <w:tblStyle w:val="ListTable1Light1"/>
        <w:tblW w:w="9698" w:type="dxa"/>
        <w:tblLook w:val="04A0" w:firstRow="1" w:lastRow="0" w:firstColumn="1" w:lastColumn="0" w:noHBand="0" w:noVBand="1"/>
      </w:tblPr>
      <w:tblGrid>
        <w:gridCol w:w="1243"/>
        <w:gridCol w:w="1136"/>
        <w:gridCol w:w="726"/>
        <w:gridCol w:w="726"/>
        <w:gridCol w:w="816"/>
        <w:gridCol w:w="673"/>
        <w:gridCol w:w="715"/>
        <w:gridCol w:w="816"/>
        <w:gridCol w:w="1631"/>
        <w:gridCol w:w="1216"/>
      </w:tblGrid>
      <w:tr w:rsidR="00EE4CAE" w:rsidRPr="00A10B53" w14:paraId="14B6808F" w14:textId="77777777" w:rsidTr="0002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3F7F" w14:textId="6B1A871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Ref</w:t>
            </w:r>
            <w:r w:rsidR="00EE4CAE" w:rsidRPr="00A10B53">
              <w:rPr>
                <w:rFonts w:ascii="Book Antiqua" w:eastAsia="Arial" w:hAnsi="Book Antiq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5F980" w14:textId="666AD9E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</w:t>
            </w:r>
            <w:r w:rsidR="00EE4CAE" w:rsidRPr="00A10B53">
              <w:rPr>
                <w:rFonts w:ascii="Book Antiqua" w:eastAsia="Arial" w:hAnsi="Book Antiqua"/>
              </w:rPr>
              <w:t>umber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of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patients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181D5" w14:textId="4E111AF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Hgb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</w:p>
          <w:p w14:paraId="405EBC8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pre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302A0" w14:textId="4F5572B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Hgb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87278" w14:textId="0A42B057" w:rsidR="00DF67D6" w:rsidRPr="00A10B53" w:rsidRDefault="00DF67D6" w:rsidP="00EB7C5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EB7C57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C1DDD" w14:textId="3DB2A64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Hct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290EE" w14:textId="27AA945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proofErr w:type="spellStart"/>
            <w:r w:rsidRPr="00A10B53">
              <w:rPr>
                <w:rFonts w:ascii="Book Antiqua" w:eastAsia="Arial" w:hAnsi="Book Antiqua"/>
              </w:rPr>
              <w:t>Hct</w:t>
            </w:r>
            <w:proofErr w:type="spellEnd"/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EFF03" w14:textId="5F42761E" w:rsidR="00DF67D6" w:rsidRPr="00A10B53" w:rsidRDefault="00DF67D6" w:rsidP="00EB7C5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EB7C57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D602" w14:textId="3D97114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Drug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(mg/d)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B8693" w14:textId="45AEA9A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Duration</w:t>
            </w:r>
            <w:r w:rsidR="001F07BA">
              <w:rPr>
                <w:rFonts w:ascii="Book Antiqua" w:eastAsiaTheme="minorEastAsia" w:hAnsi="Book Antiqua" w:hint="eastAsi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</w:t>
            </w:r>
            <w:proofErr w:type="spellStart"/>
            <w:r w:rsidRPr="00A10B53">
              <w:rPr>
                <w:rFonts w:ascii="Book Antiqua" w:eastAsia="Arial" w:hAnsi="Book Antiqua"/>
              </w:rPr>
              <w:t>wk</w:t>
            </w:r>
            <w:proofErr w:type="spellEnd"/>
            <w:r w:rsidRPr="00A10B53">
              <w:rPr>
                <w:rFonts w:ascii="Book Antiqua" w:eastAsia="Arial" w:hAnsi="Book Antiqua"/>
              </w:rPr>
              <w:t>)</w:t>
            </w:r>
          </w:p>
        </w:tc>
      </w:tr>
      <w:tr w:rsidR="00DC25EE" w:rsidRPr="00A10B53" w14:paraId="434A6905" w14:textId="77777777" w:rsidTr="0002570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A88B" w14:textId="6E06936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Bakris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246263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61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B7F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3101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C4DF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8DFB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470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AA8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3A0B" w14:textId="27BA8A1D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88D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9FF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DF67D6" w:rsidRPr="00A10B53" w14:paraId="61FD61A3" w14:textId="77777777" w:rsidTr="00025701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AC74" w14:textId="2420D042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Grekas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6524F0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62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8F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8F9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85CE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0E3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0BB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BD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5C81" w14:textId="16F31D94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A498" w14:textId="4AA324F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2C1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DC25EE" w:rsidRPr="00A10B53" w14:paraId="0FB71337" w14:textId="77777777" w:rsidTr="00025701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A5C5" w14:textId="38EECE8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Ok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[25]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48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1B4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BB1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542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19D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13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4BF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9240" w14:textId="01FD12D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8D8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DF67D6" w:rsidRPr="00A10B53" w14:paraId="4513EF0F" w14:textId="77777777" w:rsidTr="0002570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EE08" w14:textId="0830E00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Yagisawa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6524F0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63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ACE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026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D80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374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2AC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50.3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16E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19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A41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E0A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</w:t>
            </w:r>
          </w:p>
        </w:tc>
      </w:tr>
      <w:tr w:rsidR="00DC25EE" w:rsidRPr="00A10B53" w14:paraId="25F4FF18" w14:textId="77777777" w:rsidTr="00025701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6F97A" w14:textId="405C0BA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proofErr w:type="spellStart"/>
            <w:r w:rsidRPr="00A10B53">
              <w:rPr>
                <w:rFonts w:ascii="Book Antiqua" w:eastAsia="Arial" w:hAnsi="Book Antiqua"/>
                <w:b w:val="0"/>
                <w:bCs w:val="0"/>
              </w:rPr>
              <w:t>Trivedi</w:t>
            </w:r>
            <w:proofErr w:type="spellEnd"/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[33]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D8DC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581BB" w14:textId="7B08EE22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17.4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</w:t>
            </w:r>
          </w:p>
          <w:p w14:paraId="081ECCD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3EDEE" w14:textId="6D661BC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18.1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76F0" w14:textId="53A09FE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&gt;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EA6DD" w14:textId="3974550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52.4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1F50" w14:textId="142F85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54.7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3.9</w:t>
            </w:r>
          </w:p>
          <w:p w14:paraId="0E820E4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AF8A3" w14:textId="01D7AF6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&gt;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15131" w14:textId="48416AC2" w:rsidR="00DF67D6" w:rsidRPr="00025701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4A5A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</w:tbl>
    <w:p w14:paraId="45B06F63" w14:textId="596ABAFF" w:rsidR="00810EFB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10B53">
        <w:rPr>
          <w:rFonts w:ascii="Book Antiqua" w:hAnsi="Book Antiqua"/>
        </w:rPr>
        <w:t>Hgb</w:t>
      </w:r>
      <w:proofErr w:type="spellEnd"/>
      <w:r w:rsidRPr="00A10B53">
        <w:rPr>
          <w:rFonts w:ascii="Book Antiqua" w:hAnsi="Book Antiqua"/>
        </w:rPr>
        <w:t>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emoglobin;</w:t>
      </w:r>
      <w:r w:rsidR="00A10B53">
        <w:rPr>
          <w:rFonts w:ascii="Book Antiqua" w:hAnsi="Book Antiqua"/>
        </w:rPr>
        <w:t xml:space="preserve"> </w:t>
      </w:r>
      <w:proofErr w:type="spellStart"/>
      <w:r w:rsidRPr="00A10B53">
        <w:rPr>
          <w:rFonts w:ascii="Book Antiqua" w:hAnsi="Book Antiqua"/>
        </w:rPr>
        <w:t>Hct</w:t>
      </w:r>
      <w:proofErr w:type="spellEnd"/>
      <w:r w:rsidRPr="00A10B53">
        <w:rPr>
          <w:rFonts w:ascii="Book Antiqua" w:hAnsi="Book Antiqua"/>
        </w:rPr>
        <w:t>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ematocrit;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N</w:t>
      </w:r>
      <w:r w:rsidRPr="00A10B53">
        <w:rPr>
          <w:rFonts w:ascii="Book Antiqua" w:hAnsi="Book Antiqua"/>
        </w:rPr>
        <w:t>ot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available.</w:t>
      </w:r>
    </w:p>
    <w:p w14:paraId="6E94A851" w14:textId="77777777" w:rsidR="00810EFB" w:rsidRDefault="00810EF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C5C5AA7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5E0E9235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700BD76A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1153E762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5AE06767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6DEBBB39" w14:textId="77777777" w:rsidR="00810EFB" w:rsidRDefault="00810EFB" w:rsidP="00810EF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41851CE" wp14:editId="1407369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6DA0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7ECC4699" w14:textId="77777777" w:rsidR="00810EFB" w:rsidRPr="00763D22" w:rsidRDefault="00810EFB" w:rsidP="00810EF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DBD539D" w14:textId="77777777" w:rsidR="00810EFB" w:rsidRPr="00763D22" w:rsidRDefault="00810EFB" w:rsidP="00810E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3DADC9" w14:textId="77777777" w:rsidR="00810EFB" w:rsidRPr="00763D22" w:rsidRDefault="00810EFB" w:rsidP="00810E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40ECAF" w14:textId="77777777" w:rsidR="00810EFB" w:rsidRPr="00763D22" w:rsidRDefault="00810EFB" w:rsidP="00810E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5C4C84B" w14:textId="77777777" w:rsidR="00810EFB" w:rsidRPr="00763D22" w:rsidRDefault="00810EFB" w:rsidP="00810E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44D377" w14:textId="77777777" w:rsidR="00810EFB" w:rsidRPr="00763D22" w:rsidRDefault="00810EFB" w:rsidP="00810EFB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0715D7C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481C5568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02055E43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22FDDDE6" w14:textId="77777777" w:rsidR="00810EFB" w:rsidRDefault="00810EFB" w:rsidP="00810EF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C6D24A" wp14:editId="2D7E55F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84D2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4692229D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6F46AEF6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05B2F800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3DE0C961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739A5C9C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03DFCCBA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3BBDBF62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7963D4D6" w14:textId="77777777" w:rsidR="00810EFB" w:rsidRDefault="00810EFB" w:rsidP="00810EFB">
      <w:pPr>
        <w:jc w:val="center"/>
        <w:rPr>
          <w:rFonts w:ascii="Book Antiqua" w:hAnsi="Book Antiqua"/>
        </w:rPr>
      </w:pPr>
    </w:p>
    <w:p w14:paraId="05E90577" w14:textId="77777777" w:rsidR="00810EFB" w:rsidRPr="00763D22" w:rsidRDefault="00810EFB" w:rsidP="00810EFB">
      <w:pPr>
        <w:jc w:val="right"/>
        <w:rPr>
          <w:rFonts w:ascii="Book Antiqua" w:hAnsi="Book Antiqua"/>
          <w:color w:val="000000" w:themeColor="text1"/>
        </w:rPr>
      </w:pPr>
    </w:p>
    <w:p w14:paraId="5783531D" w14:textId="77777777" w:rsidR="00810EFB" w:rsidRPr="00763D22" w:rsidRDefault="00810EFB" w:rsidP="00810EFB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470301D9" w14:textId="77777777" w:rsidR="000573FA" w:rsidRPr="00810EFB" w:rsidRDefault="000573FA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0573FA" w:rsidRPr="0081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ADED" w14:textId="77777777" w:rsidR="009D0739" w:rsidRDefault="009D0739" w:rsidP="00ED3337">
      <w:r>
        <w:separator/>
      </w:r>
    </w:p>
  </w:endnote>
  <w:endnote w:type="continuationSeparator" w:id="0">
    <w:p w14:paraId="3E3FF0A2" w14:textId="77777777" w:rsidR="009D0739" w:rsidRDefault="009D0739" w:rsidP="00E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489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A122828" w14:textId="7FD21789" w:rsidR="00B612E8" w:rsidRPr="009B3096" w:rsidRDefault="00B612E8" w:rsidP="009B3096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B30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0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B30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0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532CE" w14:textId="77777777" w:rsidR="00B612E8" w:rsidRDefault="00B61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AF38" w14:textId="77777777" w:rsidR="009D0739" w:rsidRDefault="009D0739" w:rsidP="00ED3337">
      <w:r>
        <w:separator/>
      </w:r>
    </w:p>
  </w:footnote>
  <w:footnote w:type="continuationSeparator" w:id="0">
    <w:p w14:paraId="492FC58D" w14:textId="77777777" w:rsidR="009D0739" w:rsidRDefault="009D0739" w:rsidP="00ED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052"/>
    <w:multiLevelType w:val="multilevel"/>
    <w:tmpl w:val="560EE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24CD"/>
    <w:multiLevelType w:val="multilevel"/>
    <w:tmpl w:val="22940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D21"/>
    <w:multiLevelType w:val="multilevel"/>
    <w:tmpl w:val="40BCD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7FCA"/>
    <w:multiLevelType w:val="multilevel"/>
    <w:tmpl w:val="82B01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Soc Neph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77B3E"/>
    <w:rsid w:val="00003D20"/>
    <w:rsid w:val="000125B9"/>
    <w:rsid w:val="00025701"/>
    <w:rsid w:val="00032E7C"/>
    <w:rsid w:val="00036577"/>
    <w:rsid w:val="00037482"/>
    <w:rsid w:val="000413FB"/>
    <w:rsid w:val="000573FA"/>
    <w:rsid w:val="00076E8E"/>
    <w:rsid w:val="0008772A"/>
    <w:rsid w:val="00095FF3"/>
    <w:rsid w:val="000E2A43"/>
    <w:rsid w:val="00100FDD"/>
    <w:rsid w:val="00103F29"/>
    <w:rsid w:val="00116F1C"/>
    <w:rsid w:val="00127852"/>
    <w:rsid w:val="00144464"/>
    <w:rsid w:val="00173AC2"/>
    <w:rsid w:val="0018682D"/>
    <w:rsid w:val="001907F7"/>
    <w:rsid w:val="001A239B"/>
    <w:rsid w:val="001A4DE2"/>
    <w:rsid w:val="001C1B94"/>
    <w:rsid w:val="001F07BA"/>
    <w:rsid w:val="002026D6"/>
    <w:rsid w:val="00240DD3"/>
    <w:rsid w:val="00243A18"/>
    <w:rsid w:val="00246263"/>
    <w:rsid w:val="00253C69"/>
    <w:rsid w:val="00255A0D"/>
    <w:rsid w:val="0027283C"/>
    <w:rsid w:val="00280D18"/>
    <w:rsid w:val="002948A3"/>
    <w:rsid w:val="002963B6"/>
    <w:rsid w:val="002A019E"/>
    <w:rsid w:val="002A2644"/>
    <w:rsid w:val="002A6045"/>
    <w:rsid w:val="002A7718"/>
    <w:rsid w:val="002C4D34"/>
    <w:rsid w:val="002C5BDE"/>
    <w:rsid w:val="002F45DF"/>
    <w:rsid w:val="003D3976"/>
    <w:rsid w:val="003D3FE7"/>
    <w:rsid w:val="0040101E"/>
    <w:rsid w:val="004015A0"/>
    <w:rsid w:val="00407489"/>
    <w:rsid w:val="00424E8E"/>
    <w:rsid w:val="0046673A"/>
    <w:rsid w:val="004B137F"/>
    <w:rsid w:val="004D5E01"/>
    <w:rsid w:val="00527930"/>
    <w:rsid w:val="00556F54"/>
    <w:rsid w:val="005A6DCC"/>
    <w:rsid w:val="005C5D88"/>
    <w:rsid w:val="005C710D"/>
    <w:rsid w:val="005E55AF"/>
    <w:rsid w:val="005E5A66"/>
    <w:rsid w:val="005E5CE4"/>
    <w:rsid w:val="005F40B0"/>
    <w:rsid w:val="005F4530"/>
    <w:rsid w:val="00603507"/>
    <w:rsid w:val="00604138"/>
    <w:rsid w:val="00625597"/>
    <w:rsid w:val="006524F0"/>
    <w:rsid w:val="00653E4F"/>
    <w:rsid w:val="00663CF0"/>
    <w:rsid w:val="00666426"/>
    <w:rsid w:val="0066676F"/>
    <w:rsid w:val="00675701"/>
    <w:rsid w:val="006825FF"/>
    <w:rsid w:val="0068340E"/>
    <w:rsid w:val="006866F6"/>
    <w:rsid w:val="006927A4"/>
    <w:rsid w:val="00693365"/>
    <w:rsid w:val="007070FE"/>
    <w:rsid w:val="007110AD"/>
    <w:rsid w:val="0074228E"/>
    <w:rsid w:val="007621A6"/>
    <w:rsid w:val="00765C5E"/>
    <w:rsid w:val="00767FA5"/>
    <w:rsid w:val="007769FA"/>
    <w:rsid w:val="007C716E"/>
    <w:rsid w:val="007E2B2A"/>
    <w:rsid w:val="00810EFB"/>
    <w:rsid w:val="00814270"/>
    <w:rsid w:val="00830056"/>
    <w:rsid w:val="008627BA"/>
    <w:rsid w:val="00887175"/>
    <w:rsid w:val="008E5D80"/>
    <w:rsid w:val="008F58C5"/>
    <w:rsid w:val="00921E83"/>
    <w:rsid w:val="009316F2"/>
    <w:rsid w:val="00941964"/>
    <w:rsid w:val="009434C6"/>
    <w:rsid w:val="009B3096"/>
    <w:rsid w:val="009D0739"/>
    <w:rsid w:val="009D1E0C"/>
    <w:rsid w:val="009F5654"/>
    <w:rsid w:val="00A10B53"/>
    <w:rsid w:val="00A15C41"/>
    <w:rsid w:val="00A42B32"/>
    <w:rsid w:val="00A47331"/>
    <w:rsid w:val="00A71457"/>
    <w:rsid w:val="00A77B3E"/>
    <w:rsid w:val="00A84009"/>
    <w:rsid w:val="00A90C5C"/>
    <w:rsid w:val="00A941B9"/>
    <w:rsid w:val="00AB3303"/>
    <w:rsid w:val="00AB7B72"/>
    <w:rsid w:val="00AE707B"/>
    <w:rsid w:val="00AF4CD7"/>
    <w:rsid w:val="00B316E7"/>
    <w:rsid w:val="00B41DE4"/>
    <w:rsid w:val="00B612E8"/>
    <w:rsid w:val="00B6287A"/>
    <w:rsid w:val="00B91D39"/>
    <w:rsid w:val="00BB1123"/>
    <w:rsid w:val="00BC108B"/>
    <w:rsid w:val="00BD213F"/>
    <w:rsid w:val="00BD49EF"/>
    <w:rsid w:val="00BE53E1"/>
    <w:rsid w:val="00BF4D5D"/>
    <w:rsid w:val="00C13B80"/>
    <w:rsid w:val="00C2039D"/>
    <w:rsid w:val="00C32283"/>
    <w:rsid w:val="00C349F3"/>
    <w:rsid w:val="00C37E31"/>
    <w:rsid w:val="00C57132"/>
    <w:rsid w:val="00C72862"/>
    <w:rsid w:val="00CA2A55"/>
    <w:rsid w:val="00CA2D74"/>
    <w:rsid w:val="00CB00CA"/>
    <w:rsid w:val="00CD3AFF"/>
    <w:rsid w:val="00CE0916"/>
    <w:rsid w:val="00CE3662"/>
    <w:rsid w:val="00D14E2A"/>
    <w:rsid w:val="00D349D0"/>
    <w:rsid w:val="00D538FE"/>
    <w:rsid w:val="00DB7040"/>
    <w:rsid w:val="00DC25EE"/>
    <w:rsid w:val="00DC272B"/>
    <w:rsid w:val="00DF668F"/>
    <w:rsid w:val="00DF67D6"/>
    <w:rsid w:val="00E212C5"/>
    <w:rsid w:val="00E3045C"/>
    <w:rsid w:val="00E91FF6"/>
    <w:rsid w:val="00E94BC6"/>
    <w:rsid w:val="00EB5C4A"/>
    <w:rsid w:val="00EB7C57"/>
    <w:rsid w:val="00EC59E3"/>
    <w:rsid w:val="00ED3337"/>
    <w:rsid w:val="00ED5DA6"/>
    <w:rsid w:val="00EE0D11"/>
    <w:rsid w:val="00EE4CAE"/>
    <w:rsid w:val="00EE5A71"/>
    <w:rsid w:val="00F22BD0"/>
    <w:rsid w:val="00F54A89"/>
    <w:rsid w:val="00F653B5"/>
    <w:rsid w:val="00F73494"/>
    <w:rsid w:val="00F809CC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2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4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ListParagraph1">
    <w:name w:val="List Paragraph1"/>
    <w:basedOn w:val="a"/>
    <w:rsid w:val="00DF67D6"/>
    <w:pPr>
      <w:spacing w:before="100" w:beforeAutospacing="1" w:line="273" w:lineRule="auto"/>
      <w:ind w:left="720"/>
      <w:contextualSpacing/>
    </w:pPr>
    <w:rPr>
      <w:rFonts w:ascii="Arial" w:eastAsia="宋体" w:hAnsi="Arial" w:cs="Arial"/>
      <w:sz w:val="22"/>
      <w:szCs w:val="22"/>
      <w:lang w:eastAsia="zh-CN"/>
    </w:rPr>
  </w:style>
  <w:style w:type="table" w:customStyle="1" w:styleId="ListTable1Light1">
    <w:name w:val="List Table 1 Light1"/>
    <w:basedOn w:val="a1"/>
    <w:rsid w:val="00DF67D6"/>
    <w:rPr>
      <w:rFonts w:ascii="Arial" w:eastAsia="Times New Roman" w:hAnsi="Arial" w:cs="Arial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">
    <w:name w:val="List Table 6 Colorful1"/>
    <w:basedOn w:val="a1"/>
    <w:rsid w:val="00DF67D6"/>
    <w:rPr>
      <w:rFonts w:ascii="Arial" w:eastAsia="Times New Roman" w:hAnsi="Arial" w:cs="Arial"/>
      <w:color w:val="000000"/>
      <w:lang w:eastAsia="zh-CN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4">
    <w:name w:val="annotation reference"/>
    <w:basedOn w:val="a0"/>
    <w:semiHidden/>
    <w:unhideWhenUsed/>
    <w:rsid w:val="00127852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127852"/>
  </w:style>
  <w:style w:type="character" w:customStyle="1" w:styleId="Char">
    <w:name w:val="批注文字 Char"/>
    <w:basedOn w:val="a0"/>
    <w:link w:val="a5"/>
    <w:semiHidden/>
    <w:rsid w:val="00127852"/>
    <w:rPr>
      <w:sz w:val="24"/>
      <w:szCs w:val="24"/>
    </w:rPr>
  </w:style>
  <w:style w:type="paragraph" w:styleId="a6">
    <w:name w:val="annotation subject"/>
    <w:basedOn w:val="a5"/>
    <w:next w:val="a5"/>
    <w:link w:val="Char0"/>
    <w:semiHidden/>
    <w:unhideWhenUsed/>
    <w:rsid w:val="00127852"/>
    <w:rPr>
      <w:b/>
      <w:bCs/>
    </w:rPr>
  </w:style>
  <w:style w:type="character" w:customStyle="1" w:styleId="Char0">
    <w:name w:val="批注主题 Char"/>
    <w:basedOn w:val="Char"/>
    <w:link w:val="a6"/>
    <w:semiHidden/>
    <w:rsid w:val="00127852"/>
    <w:rPr>
      <w:b/>
      <w:bCs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0573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573FA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0573FA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0573FA"/>
    <w:rPr>
      <w:noProof/>
      <w:sz w:val="24"/>
      <w:szCs w:val="24"/>
    </w:rPr>
  </w:style>
  <w:style w:type="paragraph" w:styleId="a7">
    <w:name w:val="header"/>
    <w:basedOn w:val="a"/>
    <w:link w:val="Char1"/>
    <w:unhideWhenUsed/>
    <w:rsid w:val="00ED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D333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D33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D3337"/>
    <w:rPr>
      <w:sz w:val="18"/>
      <w:szCs w:val="18"/>
    </w:rPr>
  </w:style>
  <w:style w:type="paragraph" w:styleId="a9">
    <w:name w:val="Balloon Text"/>
    <w:basedOn w:val="a"/>
    <w:link w:val="Char3"/>
    <w:rsid w:val="0046673A"/>
    <w:rPr>
      <w:sz w:val="18"/>
      <w:szCs w:val="18"/>
    </w:rPr>
  </w:style>
  <w:style w:type="character" w:customStyle="1" w:styleId="Char3">
    <w:name w:val="批注框文本 Char"/>
    <w:basedOn w:val="a0"/>
    <w:link w:val="a9"/>
    <w:rsid w:val="0046673A"/>
    <w:rPr>
      <w:sz w:val="18"/>
      <w:szCs w:val="18"/>
    </w:rPr>
  </w:style>
  <w:style w:type="character" w:styleId="aa">
    <w:name w:val="Hyperlink"/>
    <w:basedOn w:val="a0"/>
    <w:unhideWhenUsed/>
    <w:rsid w:val="0081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4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ListParagraph1">
    <w:name w:val="List Paragraph1"/>
    <w:basedOn w:val="a"/>
    <w:rsid w:val="00DF67D6"/>
    <w:pPr>
      <w:spacing w:before="100" w:beforeAutospacing="1" w:line="273" w:lineRule="auto"/>
      <w:ind w:left="720"/>
      <w:contextualSpacing/>
    </w:pPr>
    <w:rPr>
      <w:rFonts w:ascii="Arial" w:eastAsia="宋体" w:hAnsi="Arial" w:cs="Arial"/>
      <w:sz w:val="22"/>
      <w:szCs w:val="22"/>
      <w:lang w:eastAsia="zh-CN"/>
    </w:rPr>
  </w:style>
  <w:style w:type="table" w:customStyle="1" w:styleId="ListTable1Light1">
    <w:name w:val="List Table 1 Light1"/>
    <w:basedOn w:val="a1"/>
    <w:rsid w:val="00DF67D6"/>
    <w:rPr>
      <w:rFonts w:ascii="Arial" w:eastAsia="Times New Roman" w:hAnsi="Arial" w:cs="Arial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">
    <w:name w:val="List Table 6 Colorful1"/>
    <w:basedOn w:val="a1"/>
    <w:rsid w:val="00DF67D6"/>
    <w:rPr>
      <w:rFonts w:ascii="Arial" w:eastAsia="Times New Roman" w:hAnsi="Arial" w:cs="Arial"/>
      <w:color w:val="000000"/>
      <w:lang w:eastAsia="zh-CN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4">
    <w:name w:val="annotation reference"/>
    <w:basedOn w:val="a0"/>
    <w:semiHidden/>
    <w:unhideWhenUsed/>
    <w:rsid w:val="00127852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127852"/>
  </w:style>
  <w:style w:type="character" w:customStyle="1" w:styleId="Char">
    <w:name w:val="批注文字 Char"/>
    <w:basedOn w:val="a0"/>
    <w:link w:val="a5"/>
    <w:semiHidden/>
    <w:rsid w:val="00127852"/>
    <w:rPr>
      <w:sz w:val="24"/>
      <w:szCs w:val="24"/>
    </w:rPr>
  </w:style>
  <w:style w:type="paragraph" w:styleId="a6">
    <w:name w:val="annotation subject"/>
    <w:basedOn w:val="a5"/>
    <w:next w:val="a5"/>
    <w:link w:val="Char0"/>
    <w:semiHidden/>
    <w:unhideWhenUsed/>
    <w:rsid w:val="00127852"/>
    <w:rPr>
      <w:b/>
      <w:bCs/>
    </w:rPr>
  </w:style>
  <w:style w:type="character" w:customStyle="1" w:styleId="Char0">
    <w:name w:val="批注主题 Char"/>
    <w:basedOn w:val="Char"/>
    <w:link w:val="a6"/>
    <w:semiHidden/>
    <w:rsid w:val="00127852"/>
    <w:rPr>
      <w:b/>
      <w:bCs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0573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573FA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0573FA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0573FA"/>
    <w:rPr>
      <w:noProof/>
      <w:sz w:val="24"/>
      <w:szCs w:val="24"/>
    </w:rPr>
  </w:style>
  <w:style w:type="paragraph" w:styleId="a7">
    <w:name w:val="header"/>
    <w:basedOn w:val="a"/>
    <w:link w:val="Char1"/>
    <w:unhideWhenUsed/>
    <w:rsid w:val="00ED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D333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D33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D3337"/>
    <w:rPr>
      <w:sz w:val="18"/>
      <w:szCs w:val="18"/>
    </w:rPr>
  </w:style>
  <w:style w:type="paragraph" w:styleId="a9">
    <w:name w:val="Balloon Text"/>
    <w:basedOn w:val="a"/>
    <w:link w:val="Char3"/>
    <w:rsid w:val="0046673A"/>
    <w:rPr>
      <w:sz w:val="18"/>
      <w:szCs w:val="18"/>
    </w:rPr>
  </w:style>
  <w:style w:type="character" w:customStyle="1" w:styleId="Char3">
    <w:name w:val="批注框文本 Char"/>
    <w:basedOn w:val="a0"/>
    <w:link w:val="a9"/>
    <w:rsid w:val="0046673A"/>
    <w:rPr>
      <w:sz w:val="18"/>
      <w:szCs w:val="18"/>
    </w:rPr>
  </w:style>
  <w:style w:type="character" w:styleId="aa">
    <w:name w:val="Hyperlink"/>
    <w:basedOn w:val="a0"/>
    <w:unhideWhenUsed/>
    <w:rsid w:val="0081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Kurtis Swanson</dc:creator>
  <cp:lastModifiedBy>HP</cp:lastModifiedBy>
  <cp:revision>125</cp:revision>
  <dcterms:created xsi:type="dcterms:W3CDTF">2021-05-19T18:08:00Z</dcterms:created>
  <dcterms:modified xsi:type="dcterms:W3CDTF">2021-06-11T07:18:00Z</dcterms:modified>
</cp:coreProperties>
</file>