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174C" w14:textId="77777777" w:rsidR="00A77B3E" w:rsidRDefault="00FF0A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79655E13" w14:textId="77777777" w:rsidR="00A77B3E" w:rsidRDefault="00FF0A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79220</w:t>
      </w:r>
    </w:p>
    <w:p w14:paraId="40D70A32" w14:textId="77777777" w:rsidR="00A77B3E" w:rsidRDefault="00FF0A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AF0459" w14:textId="77777777" w:rsidR="00A77B3E" w:rsidRDefault="00A77B3E">
      <w:pPr>
        <w:spacing w:line="360" w:lineRule="auto"/>
        <w:jc w:val="both"/>
      </w:pPr>
    </w:p>
    <w:p w14:paraId="19467831" w14:textId="77777777" w:rsidR="00A77B3E" w:rsidRDefault="00FF0AB7">
      <w:pPr>
        <w:spacing w:line="360" w:lineRule="auto"/>
        <w:jc w:val="both"/>
      </w:pPr>
      <w:r>
        <w:rPr>
          <w:rFonts w:ascii="Book Antiqua" w:eastAsia="Book Antiqua" w:hAnsi="Book Antiqua" w:cs="Book Antiqua"/>
          <w:b/>
          <w:bCs/>
          <w:color w:val="000000"/>
        </w:rPr>
        <w:t>Cholestatic liver injury: A rare but fatal complication during and after COVID-19 infection</w:t>
      </w:r>
    </w:p>
    <w:p w14:paraId="3F7DA992" w14:textId="77777777" w:rsidR="00A77B3E" w:rsidRDefault="00A77B3E">
      <w:pPr>
        <w:spacing w:line="360" w:lineRule="auto"/>
        <w:jc w:val="both"/>
      </w:pPr>
    </w:p>
    <w:p w14:paraId="52DF219A" w14:textId="77777777" w:rsidR="00A77B3E" w:rsidRDefault="00FF0AB7">
      <w:pPr>
        <w:spacing w:line="360" w:lineRule="auto"/>
        <w:jc w:val="both"/>
      </w:pPr>
      <w:proofErr w:type="spellStart"/>
      <w:r>
        <w:rPr>
          <w:rFonts w:ascii="Book Antiqua" w:eastAsia="Book Antiqua" w:hAnsi="Book Antiqua" w:cs="Book Antiqua"/>
          <w:color w:val="000000"/>
          <w:shd w:val="clear" w:color="auto" w:fill="FFFFFF"/>
        </w:rPr>
        <w:t>Wongtanasarasin</w:t>
      </w:r>
      <w:proofErr w:type="spellEnd"/>
      <w:r>
        <w:rPr>
          <w:rFonts w:ascii="Book Antiqua" w:eastAsia="Book Antiqua" w:hAnsi="Book Antiqua" w:cs="Book Antiqua"/>
          <w:color w:val="000000"/>
          <w:shd w:val="clear" w:color="auto" w:fill="FFFFFF"/>
        </w:rPr>
        <w:t xml:space="preserve"> W. Cholestatic liver injury during and after COVID-19</w:t>
      </w:r>
    </w:p>
    <w:p w14:paraId="5518E96F" w14:textId="77777777" w:rsidR="00A77B3E" w:rsidRDefault="00A77B3E">
      <w:pPr>
        <w:spacing w:line="360" w:lineRule="auto"/>
        <w:jc w:val="both"/>
      </w:pPr>
    </w:p>
    <w:p w14:paraId="37C03505" w14:textId="77777777" w:rsidR="00A77B3E" w:rsidRDefault="00FF0AB7">
      <w:pPr>
        <w:spacing w:line="360" w:lineRule="auto"/>
        <w:jc w:val="both"/>
      </w:pPr>
      <w:r>
        <w:rPr>
          <w:rFonts w:ascii="Book Antiqua" w:eastAsia="Book Antiqua" w:hAnsi="Book Antiqua" w:cs="Book Antiqua"/>
          <w:color w:val="000000"/>
        </w:rPr>
        <w:t xml:space="preserve">Wachira </w:t>
      </w:r>
      <w:proofErr w:type="spellStart"/>
      <w:r>
        <w:rPr>
          <w:rFonts w:ascii="Book Antiqua" w:eastAsia="Book Antiqua" w:hAnsi="Book Antiqua" w:cs="Book Antiqua"/>
          <w:color w:val="000000"/>
        </w:rPr>
        <w:t>Wongtanasarasin</w:t>
      </w:r>
      <w:proofErr w:type="spellEnd"/>
    </w:p>
    <w:p w14:paraId="63BED7A8" w14:textId="77777777" w:rsidR="00A77B3E" w:rsidRDefault="00A77B3E">
      <w:pPr>
        <w:spacing w:line="360" w:lineRule="auto"/>
        <w:jc w:val="both"/>
      </w:pPr>
    </w:p>
    <w:p w14:paraId="2B6435E1" w14:textId="77777777" w:rsidR="00A77B3E" w:rsidRDefault="00FF0AB7">
      <w:pPr>
        <w:spacing w:line="360" w:lineRule="auto"/>
        <w:jc w:val="both"/>
      </w:pPr>
      <w:r>
        <w:rPr>
          <w:rFonts w:ascii="Book Antiqua" w:eastAsia="Book Antiqua" w:hAnsi="Book Antiqua" w:cs="Book Antiqua"/>
          <w:b/>
          <w:bCs/>
          <w:color w:val="000000"/>
        </w:rPr>
        <w:t xml:space="preserve">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Faculty of Medicine, Chiang Mai University, Chiang Mai 50200, Thailand</w:t>
      </w:r>
    </w:p>
    <w:p w14:paraId="3E73B727" w14:textId="77777777" w:rsidR="00A77B3E" w:rsidRDefault="00A77B3E">
      <w:pPr>
        <w:spacing w:line="360" w:lineRule="auto"/>
        <w:jc w:val="both"/>
      </w:pPr>
    </w:p>
    <w:p w14:paraId="784638C5" w14:textId="77777777" w:rsidR="00A77B3E" w:rsidRDefault="00FF0AB7">
      <w:pPr>
        <w:spacing w:line="360" w:lineRule="auto"/>
        <w:jc w:val="both"/>
      </w:pPr>
      <w:r>
        <w:rPr>
          <w:rFonts w:ascii="Book Antiqua" w:eastAsia="Book Antiqua" w:hAnsi="Book Antiqua" w:cs="Book Antiqua"/>
          <w:b/>
          <w:bCs/>
          <w:color w:val="000000"/>
        </w:rPr>
        <w:t xml:space="preserve">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UC Davis School of Medicine, Sacramento, CA 95817, United States</w:t>
      </w:r>
    </w:p>
    <w:p w14:paraId="38FCC318" w14:textId="77777777" w:rsidR="00A77B3E" w:rsidRDefault="00A77B3E">
      <w:pPr>
        <w:spacing w:line="360" w:lineRule="auto"/>
        <w:jc w:val="both"/>
      </w:pPr>
    </w:p>
    <w:p w14:paraId="53D54E5A" w14:textId="77777777" w:rsidR="00A77B3E" w:rsidRDefault="00FF0AB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Wongtanasarasin</w:t>
      </w:r>
      <w:proofErr w:type="spellEnd"/>
      <w:r>
        <w:rPr>
          <w:rFonts w:ascii="Book Antiqua" w:eastAsia="Book Antiqua" w:hAnsi="Book Antiqua" w:cs="Book Antiqua"/>
          <w:color w:val="000000"/>
        </w:rPr>
        <w:t xml:space="preserve"> W designed the protocol, contributed to data collection, evaluation,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visualization, wrote the first draft of the manuscript, and critically reviewed the final version of the manuscript.</w:t>
      </w:r>
    </w:p>
    <w:p w14:paraId="392BBC58" w14:textId="77777777" w:rsidR="00A77B3E" w:rsidRDefault="00A77B3E">
      <w:pPr>
        <w:spacing w:line="360" w:lineRule="auto"/>
        <w:jc w:val="both"/>
      </w:pPr>
    </w:p>
    <w:p w14:paraId="5DE55A27" w14:textId="77777777" w:rsidR="00A77B3E" w:rsidRDefault="00FF0AB7">
      <w:pPr>
        <w:spacing w:line="360" w:lineRule="auto"/>
        <w:jc w:val="both"/>
      </w:pPr>
      <w:r>
        <w:rPr>
          <w:rFonts w:ascii="Book Antiqua" w:eastAsia="Book Antiqua" w:hAnsi="Book Antiqua" w:cs="Book Antiqua"/>
          <w:b/>
          <w:bCs/>
          <w:color w:val="000000"/>
        </w:rPr>
        <w:t xml:space="preserve">Corresponding author: 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Emergency Medicine, Faculty of Medicine, Chiang Mai University, 110 </w:t>
      </w:r>
      <w:proofErr w:type="spellStart"/>
      <w:r>
        <w:rPr>
          <w:rFonts w:ascii="Book Antiqua" w:eastAsia="Book Antiqua" w:hAnsi="Book Antiqua" w:cs="Book Antiqua"/>
          <w:color w:val="000000"/>
        </w:rPr>
        <w:t>Intavarorot</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Sriphum</w:t>
      </w:r>
      <w:proofErr w:type="spellEnd"/>
      <w:r>
        <w:rPr>
          <w:rFonts w:ascii="Book Antiqua" w:eastAsia="Book Antiqua" w:hAnsi="Book Antiqua" w:cs="Book Antiqua"/>
          <w:color w:val="000000"/>
        </w:rPr>
        <w:t>, Chiang Mai 50200, Thailand. wachir_w@hotmail.com</w:t>
      </w:r>
    </w:p>
    <w:p w14:paraId="42C0705F" w14:textId="77777777" w:rsidR="00A77B3E" w:rsidRDefault="00A77B3E">
      <w:pPr>
        <w:spacing w:line="360" w:lineRule="auto"/>
        <w:jc w:val="both"/>
      </w:pPr>
    </w:p>
    <w:p w14:paraId="6BA3BD0F" w14:textId="77777777" w:rsidR="00A77B3E" w:rsidRDefault="00FF0A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9, 2022</w:t>
      </w:r>
    </w:p>
    <w:p w14:paraId="0398CC68" w14:textId="77777777" w:rsidR="00A77B3E" w:rsidRDefault="00FF0A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21, 2022</w:t>
      </w:r>
    </w:p>
    <w:p w14:paraId="17E67140" w14:textId="77777777" w:rsidR="00A77B3E" w:rsidRDefault="00FF0AB7">
      <w:pPr>
        <w:spacing w:line="360" w:lineRule="auto"/>
        <w:jc w:val="both"/>
        <w:rPr>
          <w:lang w:eastAsia="zh-CN"/>
        </w:rPr>
      </w:pPr>
      <w:r>
        <w:rPr>
          <w:rFonts w:ascii="Book Antiqua" w:eastAsia="Book Antiqua" w:hAnsi="Book Antiqua" w:cs="Book Antiqua"/>
          <w:b/>
          <w:bCs/>
          <w:color w:val="000000"/>
        </w:rPr>
        <w:t xml:space="preserve">Accepted: </w:t>
      </w:r>
      <w:r w:rsidR="00E156EA" w:rsidRPr="00FC28CE">
        <w:rPr>
          <w:rFonts w:ascii="Book Antiqua" w:eastAsia="Book Antiqua" w:hAnsi="Book Antiqua" w:cs="Book Antiqua"/>
          <w:color w:val="000000"/>
        </w:rPr>
        <w:t>October 19, 2022</w:t>
      </w:r>
    </w:p>
    <w:p w14:paraId="7E9351F4" w14:textId="2F88D8A2" w:rsidR="00A77B3E" w:rsidRDefault="00FF0AB7">
      <w:pPr>
        <w:spacing w:line="360" w:lineRule="auto"/>
        <w:jc w:val="both"/>
        <w:rPr>
          <w:lang w:eastAsia="zh-CN"/>
        </w:rPr>
      </w:pPr>
      <w:r>
        <w:rPr>
          <w:rFonts w:ascii="Book Antiqua" w:eastAsia="Book Antiqua" w:hAnsi="Book Antiqua" w:cs="Book Antiqua"/>
          <w:b/>
          <w:bCs/>
          <w:color w:val="000000"/>
        </w:rPr>
        <w:t xml:space="preserve">Published online: </w:t>
      </w:r>
      <w:r w:rsidR="003A6221">
        <w:rPr>
          <w:rFonts w:ascii="Book Antiqua" w:hAnsi="Book Antiqua"/>
          <w:color w:val="000000"/>
          <w:shd w:val="clear" w:color="auto" w:fill="FFFFFF"/>
        </w:rPr>
        <w:t>November 25, 2022</w:t>
      </w:r>
    </w:p>
    <w:p w14:paraId="74BBF63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E0E668" w14:textId="77777777" w:rsidR="00A77B3E" w:rsidRDefault="00FF0AB7">
      <w:pPr>
        <w:spacing w:line="360" w:lineRule="auto"/>
        <w:jc w:val="both"/>
      </w:pPr>
      <w:r>
        <w:rPr>
          <w:rFonts w:ascii="Book Antiqua" w:eastAsia="Book Antiqua" w:hAnsi="Book Antiqua" w:cs="Book Antiqua"/>
          <w:b/>
          <w:color w:val="000000"/>
        </w:rPr>
        <w:lastRenderedPageBreak/>
        <w:t>Abstract</w:t>
      </w:r>
    </w:p>
    <w:p w14:paraId="73F40290" w14:textId="77777777" w:rsidR="00A77B3E" w:rsidRDefault="00FF0AB7">
      <w:pPr>
        <w:spacing w:line="360" w:lineRule="auto"/>
        <w:jc w:val="both"/>
      </w:pPr>
      <w:r>
        <w:rPr>
          <w:rFonts w:ascii="Book Antiqua" w:eastAsia="Book Antiqua" w:hAnsi="Book Antiqua" w:cs="Book Antiqua"/>
          <w:color w:val="000000"/>
        </w:rPr>
        <w:t xml:space="preserve">The 2019 coronavirus disease (COVID-19), resulting from the severe acute respiratory syndrome 2 (SARS-CoV-2) virus, has transformed our globe and provided a new perspective on respiratory tract infections. However, COVID-19 would not be recognized as a condition restricted to only pneumonia. This narrative review was conducted by searching manuscripts in several databases, including PubMed/Medline, Web of Science, and Reference Citation Analysis, from December 2019 to July 2022. Many studies have revealed a broad spectrum of potential systemic symptoms, including biliary complications. Although biliary injury has been observed in a very low proportion of COVID-19 patients, it is associated with increased mortalities and long-term morbidities. We </w:t>
      </w:r>
      <w:r w:rsidRPr="004B47F2">
        <w:rPr>
          <w:rFonts w:ascii="Book Antiqua" w:eastAsia="Book Antiqua" w:hAnsi="Book Antiqua" w:cs="Book Antiqua"/>
          <w:color w:val="000000"/>
        </w:rPr>
        <w:t>identify</w:t>
      </w:r>
      <w:r>
        <w:rPr>
          <w:rFonts w:ascii="Book Antiqua" w:eastAsia="Book Antiqua" w:hAnsi="Book Antiqua" w:cs="Book Antiqua"/>
          <w:color w:val="000000"/>
        </w:rPr>
        <w:t xml:space="preserve"> a cholangiopathy condition in individuals during infection and after recovering from severe COVID-19, defined by a significant increase in serum alkaline phosphatase and signs of bile duct injury. Understanding the pathogeneses behind this condition would help us develop new techniques to prevent these complications. This review thoroughly discusses and summarizes the current information regarding COVID-19-associated cholangiopathy. In addition, the possible explanations for COVID-19-associated cholangiopathy are presented. Since the exact pathogenesis may not be concluded, this review could provide relevant information to encourage additional investigations shortly.</w:t>
      </w:r>
    </w:p>
    <w:p w14:paraId="731345E5" w14:textId="77777777" w:rsidR="00A77B3E" w:rsidRDefault="00A77B3E">
      <w:pPr>
        <w:spacing w:line="360" w:lineRule="auto"/>
        <w:jc w:val="both"/>
      </w:pPr>
    </w:p>
    <w:p w14:paraId="456D5E7F" w14:textId="77777777" w:rsidR="00A77B3E" w:rsidRDefault="00FF0A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Cholestatic injury; Cholangiopathy; Alkaline phosphatase</w:t>
      </w:r>
    </w:p>
    <w:p w14:paraId="3720A66B" w14:textId="77777777" w:rsidR="008A447D" w:rsidRDefault="008A447D" w:rsidP="008A447D">
      <w:bookmarkStart w:id="0" w:name="_Hlk119748660"/>
    </w:p>
    <w:p w14:paraId="7A9D2B76" w14:textId="77777777" w:rsidR="008A447D" w:rsidRDefault="008A447D" w:rsidP="008A447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FCF152B" w14:textId="77777777" w:rsidR="00A77B3E" w:rsidRDefault="00A77B3E">
      <w:pPr>
        <w:spacing w:line="360" w:lineRule="auto"/>
        <w:jc w:val="both"/>
      </w:pPr>
    </w:p>
    <w:p w14:paraId="3D332D8F" w14:textId="339E5BE1" w:rsidR="005A20D9" w:rsidRDefault="005A20D9">
      <w:pPr>
        <w:spacing w:line="360" w:lineRule="auto"/>
        <w:jc w:val="both"/>
        <w:rPr>
          <w:rFonts w:ascii="Book Antiqua" w:eastAsia="Book Antiqua" w:hAnsi="Book Antiqua" w:cs="Book Antiqua"/>
          <w:color w:val="000000"/>
        </w:rPr>
      </w:pPr>
      <w:r w:rsidRPr="00F464E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FF0AB7">
        <w:rPr>
          <w:rFonts w:ascii="Book Antiqua" w:eastAsia="Book Antiqua" w:hAnsi="Book Antiqua" w:cs="Book Antiqua"/>
          <w:color w:val="000000"/>
        </w:rPr>
        <w:t>Wongtanasarasin</w:t>
      </w:r>
      <w:proofErr w:type="spellEnd"/>
      <w:r w:rsidR="00FF0AB7">
        <w:rPr>
          <w:rFonts w:ascii="Book Antiqua" w:eastAsia="Book Antiqua" w:hAnsi="Book Antiqua" w:cs="Book Antiqua"/>
          <w:color w:val="000000"/>
        </w:rPr>
        <w:t xml:space="preserve"> W. Cholestatic liver injury: A rare but fatal complication during and after COVID-19 infection. </w:t>
      </w:r>
      <w:r w:rsidR="00FF0AB7">
        <w:rPr>
          <w:rFonts w:ascii="Book Antiqua" w:eastAsia="Book Antiqua" w:hAnsi="Book Antiqua" w:cs="Book Antiqua"/>
          <w:i/>
          <w:iCs/>
          <w:color w:val="000000"/>
        </w:rPr>
        <w:t xml:space="preserve">World J </w:t>
      </w:r>
      <w:proofErr w:type="spellStart"/>
      <w:r w:rsidR="00FF0AB7">
        <w:rPr>
          <w:rFonts w:ascii="Book Antiqua" w:eastAsia="Book Antiqua" w:hAnsi="Book Antiqua" w:cs="Book Antiqua"/>
          <w:i/>
          <w:iCs/>
          <w:color w:val="000000"/>
        </w:rPr>
        <w:t>Virol</w:t>
      </w:r>
      <w:proofErr w:type="spellEnd"/>
      <w:r w:rsidR="00FF0AB7">
        <w:rPr>
          <w:rFonts w:ascii="Book Antiqua" w:eastAsia="Book Antiqua" w:hAnsi="Book Antiqua" w:cs="Book Antiqua"/>
          <w:color w:val="000000"/>
        </w:rPr>
        <w:t xml:space="preserve"> 2022; </w:t>
      </w:r>
      <w:r w:rsidR="00502565" w:rsidRPr="00502565">
        <w:rPr>
          <w:rFonts w:ascii="Book Antiqua" w:eastAsia="Book Antiqua" w:hAnsi="Book Antiqua" w:cs="Book Antiqua"/>
          <w:color w:val="000000"/>
        </w:rPr>
        <w:t xml:space="preserve">11(6): </w:t>
      </w:r>
      <w:r w:rsidR="008A447D" w:rsidRPr="008A447D">
        <w:rPr>
          <w:rFonts w:ascii="Book Antiqua" w:eastAsia="Book Antiqua" w:hAnsi="Book Antiqua" w:cs="Book Antiqua"/>
          <w:color w:val="000000"/>
        </w:rPr>
        <w:t>435-442</w:t>
      </w:r>
    </w:p>
    <w:p w14:paraId="24BE392A" w14:textId="346ABBC7" w:rsidR="005A20D9" w:rsidRDefault="00502565">
      <w:pPr>
        <w:spacing w:line="360" w:lineRule="auto"/>
        <w:jc w:val="both"/>
        <w:rPr>
          <w:rFonts w:ascii="Book Antiqua" w:eastAsia="Book Antiqua" w:hAnsi="Book Antiqua" w:cs="Book Antiqua"/>
          <w:color w:val="000000"/>
        </w:rPr>
      </w:pPr>
      <w:r w:rsidRPr="005A20D9">
        <w:rPr>
          <w:rFonts w:ascii="Book Antiqua" w:eastAsia="Book Antiqua" w:hAnsi="Book Antiqua" w:cs="Book Antiqua"/>
          <w:b/>
          <w:bCs/>
          <w:color w:val="000000"/>
        </w:rPr>
        <w:t>URL</w:t>
      </w:r>
      <w:r w:rsidRPr="00502565">
        <w:rPr>
          <w:rFonts w:ascii="Book Antiqua" w:eastAsia="Book Antiqua" w:hAnsi="Book Antiqua" w:cs="Book Antiqua"/>
          <w:color w:val="000000"/>
        </w:rPr>
        <w:t>: https://www.wjgnet.com/2220-3249/full/v11/i6/</w:t>
      </w:r>
      <w:r w:rsidR="008A447D" w:rsidRPr="008A447D">
        <w:rPr>
          <w:rFonts w:ascii="Book Antiqua" w:eastAsia="Book Antiqua" w:hAnsi="Book Antiqua" w:cs="Book Antiqua"/>
          <w:color w:val="000000"/>
        </w:rPr>
        <w:t>435</w:t>
      </w:r>
      <w:r w:rsidRPr="00502565">
        <w:rPr>
          <w:rFonts w:ascii="Book Antiqua" w:eastAsia="Book Antiqua" w:hAnsi="Book Antiqua" w:cs="Book Antiqua"/>
          <w:color w:val="000000"/>
        </w:rPr>
        <w:t>.htm</w:t>
      </w:r>
    </w:p>
    <w:p w14:paraId="166BBCBC" w14:textId="4D3CD9DA" w:rsidR="00A77B3E" w:rsidRDefault="00502565" w:rsidP="008A447D">
      <w:pPr>
        <w:spacing w:line="360" w:lineRule="auto"/>
        <w:jc w:val="both"/>
      </w:pPr>
      <w:r w:rsidRPr="005A20D9">
        <w:rPr>
          <w:rFonts w:ascii="Book Antiqua" w:eastAsia="Book Antiqua" w:hAnsi="Book Antiqua" w:cs="Book Antiqua"/>
          <w:b/>
          <w:bCs/>
          <w:color w:val="000000"/>
        </w:rPr>
        <w:t>DOI</w:t>
      </w:r>
      <w:r w:rsidRPr="00502565">
        <w:rPr>
          <w:rFonts w:ascii="Book Antiqua" w:eastAsia="Book Antiqua" w:hAnsi="Book Antiqua" w:cs="Book Antiqua"/>
          <w:color w:val="000000"/>
        </w:rPr>
        <w:t>: https://dx.doi.org/10.5501/wjv.v11.i6.</w:t>
      </w:r>
      <w:r w:rsidR="008A447D" w:rsidRPr="008A447D">
        <w:rPr>
          <w:rFonts w:ascii="Book Antiqua" w:eastAsia="Book Antiqua" w:hAnsi="Book Antiqua" w:cs="Book Antiqua"/>
          <w:color w:val="000000"/>
        </w:rPr>
        <w:t>435</w:t>
      </w:r>
    </w:p>
    <w:p w14:paraId="3E342EEC" w14:textId="77777777" w:rsidR="00A77B3E" w:rsidRDefault="00A77B3E">
      <w:pPr>
        <w:spacing w:line="360" w:lineRule="auto"/>
        <w:jc w:val="both"/>
      </w:pPr>
    </w:p>
    <w:p w14:paraId="72F8D72B" w14:textId="77777777" w:rsidR="00A77B3E" w:rsidRDefault="00FF0A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2019 coronavirus disease (COVID-19) is not only regarded as a respiratory tract disease but also demonstrates a wide range of systemic consequences, including the biliary tract. A significant increase in serum alkaline phosphatase and signs of biliary injury on imaging and/or pathology are the hallmarks of COVID-19-associated cholangiopathy. Direct viral invasion, ischemic injury related to microvascular coagulopathy, drug-induced cholestatic liver injury, alteration of </w:t>
      </w:r>
      <w:r w:rsidR="005B5DB9">
        <w:rPr>
          <w:rFonts w:ascii="Book Antiqua" w:eastAsia="Book Antiqua" w:hAnsi="Book Antiqua" w:cs="Book Antiqua"/>
          <w:color w:val="000000"/>
        </w:rPr>
        <w:t xml:space="preserve">the </w:t>
      </w:r>
      <w:r>
        <w:rPr>
          <w:rFonts w:ascii="Book Antiqua" w:eastAsia="Book Antiqua" w:hAnsi="Book Antiqua" w:cs="Book Antiqua"/>
          <w:color w:val="000000"/>
        </w:rPr>
        <w:t>gut microbiota, and cytokine release syndrome are proposed as potential explanations for cholangiopathy associated with severe COVID-19 infection.</w:t>
      </w:r>
    </w:p>
    <w:p w14:paraId="4F6378BE" w14:textId="77777777" w:rsidR="00A77B3E" w:rsidRDefault="00A77B3E">
      <w:pPr>
        <w:spacing w:line="360" w:lineRule="auto"/>
        <w:jc w:val="both"/>
      </w:pPr>
    </w:p>
    <w:p w14:paraId="361BEF0F" w14:textId="77777777" w:rsidR="00A77B3E" w:rsidRDefault="00FF0AB7">
      <w:pPr>
        <w:spacing w:line="360" w:lineRule="auto"/>
        <w:jc w:val="both"/>
      </w:pPr>
      <w:r>
        <w:rPr>
          <w:rFonts w:ascii="Book Antiqua" w:eastAsia="Book Antiqua" w:hAnsi="Book Antiqua" w:cs="Book Antiqua"/>
          <w:b/>
          <w:caps/>
          <w:color w:val="000000"/>
          <w:u w:val="single"/>
        </w:rPr>
        <w:t>INTRODUCTION</w:t>
      </w:r>
    </w:p>
    <w:p w14:paraId="68AEEAB6" w14:textId="77777777" w:rsidR="00A77B3E" w:rsidRDefault="00FF0AB7">
      <w:pPr>
        <w:spacing w:line="360" w:lineRule="auto"/>
        <w:jc w:val="both"/>
      </w:pPr>
      <w:r>
        <w:rPr>
          <w:rFonts w:ascii="Book Antiqua" w:eastAsia="Book Antiqua" w:hAnsi="Book Antiqua" w:cs="Book Antiqua"/>
          <w:color w:val="000000"/>
        </w:rPr>
        <w:t xml:space="preserve">Since December 2019, the recent Severe Acute Respiratory Syndrome Coronavirus 2 (SARS-CoV-2), later confirmed as the source of the 2019 coronavirus disease (COVID-19), has turned into a global threat to public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With a rapidly increasing number of overall cases, the World Health Organization announced the disease pandemic in March 2020. Currently, COVID-19 has caused about 577 million cases and over 6 million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196F4746" w14:textId="77777777" w:rsidR="00A77B3E" w:rsidRDefault="00FF0AB7">
      <w:pPr>
        <w:spacing w:line="360" w:lineRule="auto"/>
        <w:ind w:firstLine="240"/>
        <w:jc w:val="both"/>
      </w:pPr>
      <w:r>
        <w:rPr>
          <w:rFonts w:ascii="Book Antiqua" w:eastAsia="Book Antiqua" w:hAnsi="Book Antiqua" w:cs="Book Antiqua"/>
          <w:color w:val="000000"/>
        </w:rPr>
        <w:t xml:space="preserve">SARS-CoV-2 is greatly transmitted by </w:t>
      </w:r>
      <w:r w:rsidR="005B5DB9">
        <w:rPr>
          <w:rFonts w:ascii="Book Antiqua" w:eastAsia="Book Antiqua" w:hAnsi="Book Antiqua" w:cs="Book Antiqua"/>
          <w:color w:val="000000"/>
        </w:rPr>
        <w:t xml:space="preserve">the </w:t>
      </w:r>
      <w:r>
        <w:rPr>
          <w:rFonts w:ascii="Book Antiqua" w:eastAsia="Book Antiqua" w:hAnsi="Book Antiqua" w:cs="Book Antiqua"/>
          <w:color w:val="000000"/>
        </w:rPr>
        <w:t xml:space="preserve">droplet </w:t>
      </w:r>
      <w:proofErr w:type="gramStart"/>
      <w:r w:rsidR="005B5DB9">
        <w:rPr>
          <w:rFonts w:ascii="Book Antiqua" w:eastAsia="Book Antiqua" w:hAnsi="Book Antiqua" w:cs="Book Antiqua"/>
          <w:color w:val="000000"/>
        </w:rPr>
        <w:t>route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with respiratory symptoms (</w:t>
      </w:r>
      <w:r>
        <w:rPr>
          <w:rFonts w:ascii="Book Antiqua" w:eastAsia="Book Antiqua" w:hAnsi="Book Antiqua" w:cs="Book Antiqua"/>
          <w:i/>
          <w:iCs/>
          <w:color w:val="000000"/>
        </w:rPr>
        <w:t>i.e.</w:t>
      </w:r>
      <w:r>
        <w:rPr>
          <w:rFonts w:ascii="Book Antiqua" w:eastAsia="Book Antiqua" w:hAnsi="Book Antiqua" w:cs="Book Antiqua"/>
          <w:color w:val="000000"/>
        </w:rPr>
        <w:t xml:space="preserve">, sore throat, cough,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 xml:space="preserve">dyspnea) being the most prevalent manifestation as a result of host seeding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angiotensin-converting enzyme 2 (ACE-2) receptors present primarily in type II alveolar cells of the lungs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Although respiratory and non-specific symptoms such as fever, myalgia, and fatigue represented the most common presentations in patients with COVID-19 infection, gastrointestinal and hepatic symptoms have also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Infected individuals reported nausea, vomiting, and abdominal </w:t>
      </w:r>
      <w:proofErr w:type="gramStart"/>
      <w:r>
        <w:rPr>
          <w:rFonts w:ascii="Book Antiqua" w:eastAsia="Book Antiqua" w:hAnsi="Book Antiqua" w:cs="Book Antiqua"/>
          <w:color w:val="000000"/>
        </w:rPr>
        <w:t>discomfort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6,8,9]</w:t>
      </w:r>
      <w:r>
        <w:rPr>
          <w:rFonts w:ascii="Book Antiqua" w:eastAsia="Book Antiqua" w:hAnsi="Book Antiqua" w:cs="Book Antiqua"/>
          <w:color w:val="000000"/>
        </w:rPr>
        <w:t xml:space="preserve">. Current evidence has proposed pneumonia as a severe COVID-19 </w:t>
      </w:r>
      <w:proofErr w:type="gramStart"/>
      <w:r>
        <w:rPr>
          <w:rFonts w:ascii="Book Antiqua" w:eastAsia="Book Antiqua" w:hAnsi="Book Antiqua" w:cs="Book Antiqua"/>
          <w:color w:val="000000"/>
        </w:rPr>
        <w:t>feature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complications are notably distinguishable, and the virus has impacted different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At initial presentation and in hospitalized patients, the incidence of abnormal serum liver function tests (LFTs) varies from 22% to 67%, with levels of elevation ranging from minor to </w:t>
      </w:r>
      <w:proofErr w:type="gramStart"/>
      <w:r>
        <w:rPr>
          <w:rFonts w:ascii="Book Antiqua" w:eastAsia="Book Antiqua" w:hAnsi="Book Antiqua" w:cs="Book Antiqua"/>
          <w:color w:val="000000"/>
        </w:rPr>
        <w:t>severe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Autopsy findings from the case </w:t>
      </w:r>
      <w:r>
        <w:rPr>
          <w:rFonts w:ascii="Book Antiqua" w:eastAsia="Book Antiqua" w:hAnsi="Book Antiqua" w:cs="Book Antiqua"/>
          <w:color w:val="000000"/>
        </w:rPr>
        <w:lastRenderedPageBreak/>
        <w:t xml:space="preserve">series also demonstrated mild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lobular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 xml:space="preserve">portal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D0E0545" w14:textId="77777777" w:rsidR="00A77B3E" w:rsidRDefault="00FF0AB7">
      <w:pPr>
        <w:spacing w:line="360" w:lineRule="auto"/>
        <w:ind w:firstLine="240"/>
        <w:jc w:val="both"/>
      </w:pPr>
      <w:r>
        <w:rPr>
          <w:rFonts w:ascii="Book Antiqua" w:eastAsia="Book Antiqua" w:hAnsi="Book Antiqua" w:cs="Book Antiqua"/>
          <w:color w:val="000000"/>
        </w:rPr>
        <w:t>To date, the findings have concentrated on evidence of hepatocellular injury</w:t>
      </w:r>
      <w:r w:rsidR="005B5DB9">
        <w:rPr>
          <w:rFonts w:ascii="Book Antiqua" w:eastAsia="Book Antiqua" w:hAnsi="Book Antiqua" w:cs="Book Antiqua"/>
          <w:color w:val="000000"/>
        </w:rPr>
        <w:t xml:space="preserve"> as well as </w:t>
      </w:r>
      <w:r>
        <w:rPr>
          <w:rFonts w:ascii="Book Antiqua" w:eastAsia="Book Antiqua" w:hAnsi="Book Antiqua" w:cs="Book Antiqua"/>
          <w:color w:val="000000"/>
        </w:rPr>
        <w:t>serum aspartate aminotransferase (AST</w:t>
      </w:r>
      <w:r w:rsidR="005B5DB9">
        <w:rPr>
          <w:rFonts w:ascii="Book Antiqua" w:eastAsia="Book Antiqua" w:hAnsi="Book Antiqua" w:cs="Book Antiqua"/>
          <w:color w:val="000000"/>
        </w:rPr>
        <w:t xml:space="preserve">) </w:t>
      </w:r>
      <w:r>
        <w:rPr>
          <w:rFonts w:ascii="Book Antiqua" w:eastAsia="Book Antiqua" w:hAnsi="Book Antiqua" w:cs="Book Antiqua"/>
          <w:color w:val="000000"/>
        </w:rPr>
        <w:t xml:space="preserve">and alanine aminotransferase (ALT) </w:t>
      </w:r>
      <w:proofErr w:type="gramStart"/>
      <w:r>
        <w:rPr>
          <w:rFonts w:ascii="Book Antiqua" w:eastAsia="Book Antiqua" w:hAnsi="Book Antiqua" w:cs="Book Antiqua"/>
          <w:color w:val="000000"/>
        </w:rPr>
        <w:t>elevations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Several studies also observed that abnormal LFTs during hospitalization had been linked with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One article that included over 2000 patients in the United States investigated ALT increases and their associations with disease severity, also emphasizing the rarity of </w:t>
      </w:r>
      <w:proofErr w:type="gramStart"/>
      <w:r>
        <w:rPr>
          <w:rFonts w:ascii="Book Antiqua" w:eastAsia="Book Antiqua" w:hAnsi="Book Antiqua" w:cs="Book Antiqua"/>
          <w:color w:val="000000"/>
        </w:rPr>
        <w:t>cholestasis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Despite a myriad of research on the severe COVID-19 progression, we noticed a small number of reported reports on the consequences. Previously, </w:t>
      </w:r>
      <w:proofErr w:type="spellStart"/>
      <w:r>
        <w:rPr>
          <w:rFonts w:ascii="Book Antiqua" w:eastAsia="Book Antiqua" w:hAnsi="Book Antiqua" w:cs="Book Antiqua"/>
          <w:color w:val="000000"/>
        </w:rPr>
        <w:t>Faruqui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described a condition characterized by increases in LFTs, particularly markedly elevated serum alkaline phosphatase (ALP), and radiographic findings indicating biliary tract inflammation, primarily bile duct stricture, similar to those seen in critically ill patients with secondary sclerosing cholangitis (SSC)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Still, this condition named COVID-19-associated cholangiopathy is not antecedently reviewed and discussed. This review comprehensively summarizes up-to-date reports from studies highlighting this condition and its perspective. Moreover, possible explanations for COVID-19-associated cholangiopathy are provided and discussed. We anticipate that this review could underline the importance of this condition since it appears to have significantly negative effects on patients’ recovery and may potentially result in long-term morbidities.</w:t>
      </w:r>
    </w:p>
    <w:p w14:paraId="7DED14C9" w14:textId="77777777" w:rsidR="00A77B3E" w:rsidRDefault="00A77B3E">
      <w:pPr>
        <w:spacing w:line="360" w:lineRule="auto"/>
        <w:ind w:firstLine="240"/>
        <w:jc w:val="both"/>
      </w:pPr>
    </w:p>
    <w:p w14:paraId="0B43525E" w14:textId="77777777" w:rsidR="00A77B3E" w:rsidRDefault="00FF0AB7">
      <w:pPr>
        <w:spacing w:line="360" w:lineRule="auto"/>
        <w:jc w:val="both"/>
      </w:pPr>
      <w:r>
        <w:rPr>
          <w:rFonts w:ascii="Book Antiqua" w:eastAsia="Book Antiqua" w:hAnsi="Book Antiqua" w:cs="Book Antiqua"/>
          <w:b/>
          <w:bCs/>
          <w:caps/>
          <w:color w:val="000000"/>
          <w:u w:val="single"/>
        </w:rPr>
        <w:t>SEARCH STRATEGY</w:t>
      </w:r>
    </w:p>
    <w:p w14:paraId="30BB90A1" w14:textId="77777777" w:rsidR="00A77B3E" w:rsidRDefault="00FF0AB7">
      <w:pPr>
        <w:spacing w:line="360" w:lineRule="auto"/>
        <w:jc w:val="both"/>
      </w:pPr>
      <w:r>
        <w:rPr>
          <w:rFonts w:ascii="Book Antiqua" w:eastAsia="Book Antiqua" w:hAnsi="Book Antiqua" w:cs="Book Antiqua"/>
          <w:color w:val="000000"/>
        </w:rPr>
        <w:t xml:space="preserve">This narrative review was performed considering articles published from December 2019 to July 2022. The </w:t>
      </w:r>
      <w:r w:rsidR="005B5DB9">
        <w:rPr>
          <w:rFonts w:ascii="Book Antiqua" w:eastAsia="Book Antiqua" w:hAnsi="Book Antiqua" w:cs="Book Antiqua"/>
          <w:color w:val="000000"/>
        </w:rPr>
        <w:t xml:space="preserve">articles </w:t>
      </w:r>
      <w:r>
        <w:rPr>
          <w:rFonts w:ascii="Book Antiqua" w:eastAsia="Book Antiqua" w:hAnsi="Book Antiqua" w:cs="Book Antiqua"/>
          <w:color w:val="000000"/>
        </w:rPr>
        <w:t>were searched electronically using several standard databases, including PubMed/Medline, Web of Science, and Reference Citation Analysis. Various search terms and Medical Subject Headings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were used to identify potential articles: “COVID-19”, “cholestasis”, “alkaline phosphatase”, and “obstructive jaundice”</w:t>
      </w:r>
      <w:r w:rsidR="00457008">
        <w:rPr>
          <w:rFonts w:ascii="Book Antiqua" w:hAnsi="Book Antiqua" w:cs="Book Antiqua" w:hint="eastAsia"/>
          <w:color w:val="000000"/>
          <w:lang w:eastAsia="zh-CN"/>
        </w:rPr>
        <w:t xml:space="preserve"> (Supplementary Table 1)</w:t>
      </w:r>
      <w:r w:rsidR="00457008">
        <w:rPr>
          <w:rFonts w:ascii="Book Antiqua" w:eastAsia="Book Antiqua" w:hAnsi="Book Antiqua" w:cs="Book Antiqua"/>
          <w:color w:val="000000"/>
        </w:rPr>
        <w:t>.</w:t>
      </w:r>
      <w:r>
        <w:rPr>
          <w:rFonts w:ascii="Book Antiqua" w:eastAsia="Book Antiqua" w:hAnsi="Book Antiqua" w:cs="Book Antiqua"/>
          <w:color w:val="000000"/>
        </w:rPr>
        <w:t xml:space="preserve"> This minireview may only serve as a </w:t>
      </w:r>
      <w:r w:rsidRPr="004B47F2">
        <w:rPr>
          <w:rFonts w:ascii="Book Antiqua" w:eastAsia="Book Antiqua" w:hAnsi="Book Antiqua" w:cs="Book Antiqua"/>
          <w:color w:val="000000"/>
        </w:rPr>
        <w:t>hypothesis-generation</w:t>
      </w:r>
      <w:r>
        <w:rPr>
          <w:rFonts w:ascii="Book Antiqua" w:eastAsia="Book Antiqua" w:hAnsi="Book Antiqua" w:cs="Book Antiqua"/>
          <w:color w:val="000000"/>
        </w:rPr>
        <w:t xml:space="preserve"> of all relevant articles existing in the literature. The extensive details of this condition may </w:t>
      </w:r>
      <w:r>
        <w:rPr>
          <w:rFonts w:ascii="Book Antiqua" w:eastAsia="Book Antiqua" w:hAnsi="Book Antiqua" w:cs="Book Antiqua"/>
          <w:color w:val="000000"/>
        </w:rPr>
        <w:lastRenderedPageBreak/>
        <w:t>have been reviewed elsewhere. The included articles were only those that were published in English.</w:t>
      </w:r>
    </w:p>
    <w:p w14:paraId="26A837F9" w14:textId="77777777" w:rsidR="00A77B3E" w:rsidRDefault="00A77B3E">
      <w:pPr>
        <w:spacing w:line="360" w:lineRule="auto"/>
        <w:jc w:val="both"/>
      </w:pPr>
    </w:p>
    <w:p w14:paraId="1E7809E0" w14:textId="77777777" w:rsidR="00A77B3E" w:rsidRDefault="00FF0AB7">
      <w:pPr>
        <w:spacing w:line="360" w:lineRule="auto"/>
        <w:jc w:val="both"/>
      </w:pPr>
      <w:r>
        <w:rPr>
          <w:rFonts w:ascii="Book Antiqua" w:eastAsia="Book Antiqua" w:hAnsi="Book Antiqua" w:cs="Book Antiqua"/>
          <w:b/>
          <w:bCs/>
          <w:color w:val="000000"/>
          <w:u w:val="single"/>
        </w:rPr>
        <w:t>COVID-19-ASSOCIATED CHOLANGIOPATHY</w:t>
      </w:r>
    </w:p>
    <w:p w14:paraId="7E1F959C" w14:textId="77777777" w:rsidR="00A77B3E" w:rsidRDefault="00FF0AB7">
      <w:pPr>
        <w:spacing w:line="360" w:lineRule="auto"/>
        <w:jc w:val="both"/>
      </w:pPr>
      <w:r>
        <w:rPr>
          <w:rFonts w:ascii="Book Antiqua" w:eastAsia="Book Antiqua" w:hAnsi="Book Antiqua" w:cs="Book Antiqua"/>
          <w:color w:val="000000"/>
        </w:rPr>
        <w:t xml:space="preserve">COVID-19-associated cholangiopathy (COVID-C) or COVID-19 cholestasis has been proposed to describe a condition that occurs in individuals during and after severe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It is characterized by elevated liver enzymes, especially substantial increases in serum ALP, and imaging-based biliary tract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This condition appears to have significant negative effects on patient recovery. After </w:t>
      </w:r>
      <w:r w:rsidRPr="004B47F2">
        <w:rPr>
          <w:rFonts w:ascii="Book Antiqua" w:eastAsia="Book Antiqua" w:hAnsi="Book Antiqua" w:cs="Book Antiqua"/>
          <w:color w:val="000000"/>
        </w:rPr>
        <w:t xml:space="preserve">other </w:t>
      </w:r>
      <w:r w:rsidR="004B47F2">
        <w:rPr>
          <w:rFonts w:ascii="Book Antiqua" w:eastAsia="Book Antiqua" w:hAnsi="Book Antiqua" w:cs="Book Antiqua"/>
          <w:color w:val="000000"/>
        </w:rPr>
        <w:t xml:space="preserve">manifestations </w:t>
      </w:r>
      <w:r>
        <w:rPr>
          <w:rFonts w:ascii="Book Antiqua" w:eastAsia="Book Antiqua" w:hAnsi="Book Antiqua" w:cs="Book Antiqua"/>
          <w:color w:val="000000"/>
        </w:rPr>
        <w:t xml:space="preserve">of COVID-19 have recovered, it may cause delayed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necessity for a liver transplant, and death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CBB8D91" w14:textId="77777777" w:rsidR="00A77B3E" w:rsidRDefault="00A77B3E">
      <w:pPr>
        <w:spacing w:line="360" w:lineRule="auto"/>
        <w:jc w:val="both"/>
      </w:pPr>
    </w:p>
    <w:p w14:paraId="6232ABF2" w14:textId="77777777" w:rsidR="00A77B3E" w:rsidRDefault="00FF0AB7">
      <w:pPr>
        <w:spacing w:line="360" w:lineRule="auto"/>
        <w:jc w:val="both"/>
      </w:pPr>
      <w:r>
        <w:rPr>
          <w:rFonts w:ascii="Book Antiqua" w:eastAsia="Book Antiqua" w:hAnsi="Book Antiqua" w:cs="Book Antiqua"/>
          <w:b/>
          <w:bCs/>
          <w:i/>
          <w:iCs/>
          <w:color w:val="000000"/>
        </w:rPr>
        <w:t>Elevated serum ALP and serum gamma-glutamyl transferase levels</w:t>
      </w:r>
    </w:p>
    <w:p w14:paraId="4CFB4C90" w14:textId="77777777" w:rsidR="00A77B3E" w:rsidRDefault="00FF0AB7">
      <w:pPr>
        <w:spacing w:line="360" w:lineRule="auto"/>
        <w:jc w:val="both"/>
      </w:pPr>
      <w:r>
        <w:rPr>
          <w:rFonts w:ascii="Book Antiqua" w:eastAsia="Book Antiqua" w:hAnsi="Book Antiqua" w:cs="Book Antiqua"/>
          <w:color w:val="000000"/>
        </w:rPr>
        <w:t xml:space="preserve">COVID-19 is frequently linked with aberrant LFTs, despite the absence of disease-specific lesions on radiographic imaging or biopsy. Liver damage has been discovered to be a common feature of the highly deadly coronavirus-associated illness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Previous studies, mainly from China, have identified abnormal LFTs in infected individuals from the early stages of the recent SARS-CoV-2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Several systematic reviews with meta-analysis found that any abnormal LFTs were reported in 25%-47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14,26]</w:t>
      </w:r>
      <w:r>
        <w:rPr>
          <w:rFonts w:ascii="Book Antiqua" w:eastAsia="Book Antiqua" w:hAnsi="Book Antiqua" w:cs="Book Antiqua"/>
          <w:color w:val="000000"/>
        </w:rPr>
        <w:t xml:space="preserve">. Most abnormalities were elevated serum AST and ALT, representing hepatocellular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Recent literature showed that acute hepatocellular injury during COVID-19 positively correlates with more severe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SARS-CoV-2 can enter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proteins found on the bile duct epithelium, which theoretically results in “direct viral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Supporting this concept, the findings from meta-analyses reported serum ALP elevations occurring in up to 4.0%-13.7%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addition, recent studies identified serum ALP elevation as an independent predictor </w:t>
      </w:r>
      <w:r w:rsidR="005B5DB9">
        <w:rPr>
          <w:rFonts w:ascii="Book Antiqua" w:eastAsia="Book Antiqua" w:hAnsi="Book Antiqua" w:cs="Book Antiqua"/>
          <w:color w:val="000000"/>
        </w:rPr>
        <w:t xml:space="preserve">of </w:t>
      </w:r>
      <w:r>
        <w:rPr>
          <w:rFonts w:ascii="Book Antiqua" w:eastAsia="Book Antiqua" w:hAnsi="Book Antiqua" w:cs="Book Antiqua"/>
          <w:color w:val="000000"/>
        </w:rPr>
        <w:t xml:space="preserve">unfavorable outcomes, including intensive care unit (ICU) admission and 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13,28]</w:t>
      </w:r>
      <w:r>
        <w:rPr>
          <w:rFonts w:ascii="Book Antiqua" w:eastAsia="Book Antiqua" w:hAnsi="Book Antiqua" w:cs="Book Antiqua"/>
          <w:color w:val="000000"/>
        </w:rPr>
        <w:t xml:space="preserve">. Furthermore, 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7008">
        <w:rPr>
          <w:rFonts w:ascii="Book Antiqua" w:eastAsia="Book Antiqua" w:hAnsi="Book Antiqua" w:cs="Book Antiqua"/>
          <w:color w:val="000000"/>
          <w:szCs w:val="30"/>
          <w:vertAlign w:val="superscript"/>
        </w:rPr>
        <w:t>[</w:t>
      </w:r>
      <w:proofErr w:type="gramEnd"/>
      <w:r w:rsidR="0045700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documented that COVID-19 patients with increased ALP levels (&gt; 3 times of normal upper limit) were </w:t>
      </w:r>
      <w:r>
        <w:rPr>
          <w:rFonts w:ascii="Book Antiqua" w:eastAsia="Book Antiqua" w:hAnsi="Book Antiqua" w:cs="Book Antiqua"/>
          <w:color w:val="000000"/>
        </w:rPr>
        <w:lastRenderedPageBreak/>
        <w:t xml:space="preserve">correlated with a higher likelihood of prolonged mechanical ventilation and death. In the same way, a study conducted in Iraq reported that most SARS-CoV-2 patients had abnormal liver enzyme activities, which might be associated with viral replication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5FB50E7F" w14:textId="77777777" w:rsidR="00A77B3E" w:rsidRDefault="00FF0AB7">
      <w:pPr>
        <w:spacing w:line="360" w:lineRule="auto"/>
        <w:ind w:firstLine="240"/>
        <w:jc w:val="both"/>
      </w:pPr>
      <w:r>
        <w:rPr>
          <w:rFonts w:ascii="Book Antiqua" w:eastAsia="Book Antiqua" w:hAnsi="Book Antiqua" w:cs="Book Antiqua"/>
          <w:color w:val="000000"/>
        </w:rPr>
        <w:t xml:space="preserve">Similarly, serum gamma-glutamyl transferase (GGT) activity represents a sign of hepatobiliary damage, particularly cholestasis and biliary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Previous meta-analyses revealed that COVID-19 patients had higher GGT levels than those without, ranging from 15.0-22.5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Although the ACE-2 receptor is primarily expressed in the biliary tree, the evidence </w:t>
      </w:r>
      <w:r w:rsidR="002D25CF">
        <w:rPr>
          <w:rFonts w:ascii="Book Antiqua" w:eastAsia="Book Antiqua" w:hAnsi="Book Antiqua" w:cs="Book Antiqua"/>
          <w:color w:val="000000"/>
        </w:rPr>
        <w:t xml:space="preserve">showed </w:t>
      </w:r>
      <w:r>
        <w:rPr>
          <w:rFonts w:ascii="Book Antiqua" w:eastAsia="Book Antiqua" w:hAnsi="Book Antiqua" w:cs="Book Antiqua"/>
          <w:color w:val="000000"/>
        </w:rPr>
        <w:t>that both abnormal serum ALP and GGT levels were lower than abnormal serum AST and ALT levels. We hypothesize that some abnormal hepatocellular enzymes may result from baseline chronic liver diseases. Furthermore, individuals with COVID-19 and concurrent advanced-stage liver disease may be more susceptible to severe liver damage than those without.</w:t>
      </w:r>
    </w:p>
    <w:p w14:paraId="3FFA0457" w14:textId="77777777" w:rsidR="00A77B3E" w:rsidRDefault="00A77B3E">
      <w:pPr>
        <w:spacing w:line="360" w:lineRule="auto"/>
        <w:ind w:firstLine="240"/>
        <w:jc w:val="both"/>
      </w:pPr>
    </w:p>
    <w:p w14:paraId="75854E27" w14:textId="77777777" w:rsidR="00A77B3E" w:rsidRDefault="00FF0AB7">
      <w:pPr>
        <w:spacing w:line="360" w:lineRule="auto"/>
        <w:jc w:val="both"/>
      </w:pPr>
      <w:r>
        <w:rPr>
          <w:rFonts w:ascii="Book Antiqua" w:eastAsia="Book Antiqua" w:hAnsi="Book Antiqua" w:cs="Book Antiqua"/>
          <w:b/>
          <w:bCs/>
          <w:i/>
          <w:iCs/>
          <w:color w:val="000000"/>
        </w:rPr>
        <w:t>Abnormal biliary tract imaging associated with COVID-19 infection</w:t>
      </w:r>
    </w:p>
    <w:p w14:paraId="16141220" w14:textId="77777777" w:rsidR="00A77B3E" w:rsidRDefault="00FF0AB7">
      <w:pPr>
        <w:spacing w:line="360" w:lineRule="auto"/>
        <w:jc w:val="both"/>
      </w:pPr>
      <w:proofErr w:type="spellStart"/>
      <w:r>
        <w:rPr>
          <w:rFonts w:ascii="Book Antiqua" w:eastAsia="Book Antiqua" w:hAnsi="Book Antiqua" w:cs="Book Antiqua"/>
          <w:color w:val="000000"/>
        </w:rPr>
        <w:t>Faruqui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only 0.6% of patients with severe COVID-19 infection developed aberrant radiographic findings consistent with cholestatic liver damage. All had severe pneumonia with sepsis and required mechanical ventilation during admission. Extracorporeal membrane oxygenation was used on three of them. All patients underwent magnetic resonance cholangiopancreatography, which indicated aberrant findings such as beaded intrahepatic channels, peribiliary diffusion high signal, bile duct wall thickening and hyperenhancement, and common bile duct </w:t>
      </w:r>
      <w:proofErr w:type="gramStart"/>
      <w:r>
        <w:rPr>
          <w:rFonts w:ascii="Book Antiqua" w:eastAsia="Book Antiqua" w:hAnsi="Book Antiqua" w:cs="Book Antiqua"/>
          <w:color w:val="000000"/>
        </w:rPr>
        <w:t>dilatation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These cholangiopathies described in that study are comparable to SSC observed in patients following prolonged ICU </w:t>
      </w:r>
      <w:proofErr w:type="gramStart"/>
      <w:r>
        <w:rPr>
          <w:rFonts w:ascii="Book Antiqua" w:eastAsia="Book Antiqua" w:hAnsi="Book Antiqua" w:cs="Book Antiqua"/>
          <w:color w:val="000000"/>
        </w:rPr>
        <w:t>stays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disease has been encountered in critically ill patients with infection, polytrauma, burns, or after major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SSC also has been described in a case report or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11,30,31]</w:t>
      </w:r>
      <w:r>
        <w:rPr>
          <w:rFonts w:ascii="Book Antiqua" w:eastAsia="Book Antiqua" w:hAnsi="Book Antiqua" w:cs="Book Antiqua"/>
          <w:color w:val="000000"/>
        </w:rPr>
        <w:t xml:space="preserve">. It has been defined as a cholangiopathy with radiographic characteristics similar to those observed in primary SSC and comparable to ischemic cholangiopathy reported following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Endoscopic retrograde cholangiopancreatography or liver histology </w:t>
      </w:r>
      <w:r>
        <w:rPr>
          <w:rFonts w:ascii="Book Antiqua" w:eastAsia="Book Antiqua" w:hAnsi="Book Antiqua" w:cs="Book Antiqua"/>
          <w:color w:val="000000"/>
        </w:rPr>
        <w:lastRenderedPageBreak/>
        <w:t xml:space="preserve">was used to diagnose several individuals who had SSC following a severe illness. </w:t>
      </w:r>
      <w:proofErr w:type="spellStart"/>
      <w:r>
        <w:rPr>
          <w:rFonts w:ascii="Book Antiqua" w:eastAsia="Book Antiqua" w:hAnsi="Book Antiqua" w:cs="Book Antiqua"/>
          <w:color w:val="000000"/>
        </w:rPr>
        <w:t>Gelbmann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recorded endoscopic observations of biliary casts with the reduced biliary flow and eventual cholangitis, as well as verified cholangitis and hemorrhagic exudates in bile ducts from liver biopsy. All 26 patients in that research had respiratory failure and required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relationship between severe SSC patients and COVID-19 cholangiopathy highlights a potential connection between hypoxic liver damage or ischemic liver failure and cholestatic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portal vein and the hepatic arteries supply the liver parenchyma or hepatocytes. On the other hand, the intrahepatic biliary tree is nourished only by hepatic artery branches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peribiliary vascular plexus. Given its dependence on only arterial supply, the biliary epithelium appears more sensitive to ischemia than hepatocytes, which get dual </w:t>
      </w:r>
      <w:proofErr w:type="gramStart"/>
      <w:r>
        <w:rPr>
          <w:rFonts w:ascii="Book Antiqua" w:eastAsia="Book Antiqua" w:hAnsi="Book Antiqua" w:cs="Book Antiqua"/>
          <w:color w:val="000000"/>
        </w:rPr>
        <w:t>supply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This is illustrated by instances of hepatic artery thrombosis, which occurs in 9% of adult liver transplant patients following arterial blood supply termination, commonly leading </w:t>
      </w:r>
      <w:r w:rsidR="002D25CF">
        <w:rPr>
          <w:rFonts w:ascii="Book Antiqua" w:eastAsia="Book Antiqua" w:hAnsi="Book Antiqua" w:cs="Book Antiqua"/>
          <w:color w:val="000000"/>
        </w:rPr>
        <w:t xml:space="preserve">to </w:t>
      </w:r>
      <w:r>
        <w:rPr>
          <w:rFonts w:ascii="Book Antiqua" w:eastAsia="Book Antiqua" w:hAnsi="Book Antiqua" w:cs="Book Antiqua"/>
          <w:color w:val="000000"/>
        </w:rPr>
        <w:t xml:space="preserve">biliary ischemia lesions such as necrosis with biliary leakage and ischemic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B081518" w14:textId="77777777" w:rsidR="00A77B3E" w:rsidRDefault="00A77B3E">
      <w:pPr>
        <w:spacing w:line="360" w:lineRule="auto"/>
        <w:jc w:val="both"/>
      </w:pPr>
    </w:p>
    <w:p w14:paraId="201DE76D" w14:textId="77777777" w:rsidR="00A77B3E" w:rsidRDefault="00FF0AB7">
      <w:pPr>
        <w:spacing w:line="360" w:lineRule="auto"/>
        <w:jc w:val="both"/>
      </w:pPr>
      <w:r>
        <w:rPr>
          <w:rFonts w:ascii="Book Antiqua" w:eastAsia="Book Antiqua" w:hAnsi="Book Antiqua" w:cs="Book Antiqua"/>
          <w:b/>
          <w:bCs/>
          <w:color w:val="000000"/>
          <w:u w:val="single"/>
        </w:rPr>
        <w:t>POSSIBLE EXPLANATIONS FOR COVID-19-ASSOCIATED CHOLANGIOPATHY</w:t>
      </w:r>
    </w:p>
    <w:p w14:paraId="364412CB" w14:textId="77777777" w:rsidR="00A77B3E" w:rsidRDefault="00FF0AB7">
      <w:pPr>
        <w:spacing w:line="360" w:lineRule="auto"/>
        <w:jc w:val="both"/>
      </w:pPr>
      <w:r>
        <w:rPr>
          <w:rFonts w:ascii="Book Antiqua" w:eastAsia="Book Antiqua" w:hAnsi="Book Antiqua" w:cs="Book Antiqua"/>
          <w:b/>
          <w:bCs/>
          <w:i/>
          <w:iCs/>
          <w:color w:val="000000"/>
        </w:rPr>
        <w:t>Direct viral invasion</w:t>
      </w:r>
    </w:p>
    <w:p w14:paraId="6C91D98C" w14:textId="77777777" w:rsidR="00A77B3E" w:rsidRDefault="00FF0AB7">
      <w:pPr>
        <w:spacing w:line="360" w:lineRule="auto"/>
        <w:jc w:val="both"/>
      </w:pPr>
      <w:r>
        <w:rPr>
          <w:rFonts w:ascii="Book Antiqua" w:eastAsia="Book Antiqua" w:hAnsi="Book Antiqua" w:cs="Book Antiqua"/>
          <w:color w:val="000000"/>
        </w:rPr>
        <w:t xml:space="preserve">Direct viral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is a hypothetically pathogenic mechanism of the virus leading to cholestatic liver injury since SARS-CoV-2 may enter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protein found </w:t>
      </w:r>
      <w:r w:rsidR="002D25C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bile duct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liver tissues taken from </w:t>
      </w:r>
      <w:r w:rsidR="002D25CF">
        <w:rPr>
          <w:rFonts w:ascii="Book Antiqua" w:eastAsia="Book Antiqua" w:hAnsi="Book Antiqua" w:cs="Book Antiqua"/>
          <w:color w:val="000000"/>
        </w:rPr>
        <w:t xml:space="preserve">four </w:t>
      </w:r>
      <w:r>
        <w:rPr>
          <w:rFonts w:ascii="Book Antiqua" w:eastAsia="Book Antiqua" w:hAnsi="Book Antiqua" w:cs="Book Antiqua"/>
          <w:color w:val="000000"/>
        </w:rPr>
        <w:t xml:space="preserve">deceased donors of liver transplants, it </w:t>
      </w:r>
      <w:r w:rsidR="002D25CF">
        <w:rPr>
          <w:rFonts w:ascii="Book Antiqua" w:eastAsia="Book Antiqua" w:hAnsi="Book Antiqua" w:cs="Book Antiqua"/>
          <w:color w:val="000000"/>
        </w:rPr>
        <w:t xml:space="preserve">was </w:t>
      </w:r>
      <w:r>
        <w:rPr>
          <w:rFonts w:ascii="Book Antiqua" w:eastAsia="Book Antiqua" w:hAnsi="Book Antiqua" w:cs="Book Antiqua"/>
          <w:color w:val="000000"/>
        </w:rPr>
        <w:t xml:space="preserve">demonstrated that specific ACE-2 activity was expressed in 60%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compared with 3% of hepatocytes, suggesting that the virus might directly bind to specific ACE-2 receptors on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They discovered that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is equivalent to ACE-2 expression in type II lung alveolar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Also, subsequent reports have found that biliary epithelial cells exhibit a high level of ACE-2</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xml:space="preserve">.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 of human liver cells revealed that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might be more vulnerable to being infected with SARS-CoV-2 than other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Previous literature illustrated that viral particles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had been found in ultrastructural and histological studies, highlighting the possibility that cholestatic damage may be caused by SARS-CoV-2 direct infection of biliary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11,38]</w:t>
      </w:r>
      <w:r>
        <w:rPr>
          <w:rFonts w:ascii="Book Antiqua" w:eastAsia="Book Antiqua" w:hAnsi="Book Antiqua" w:cs="Book Antiqua"/>
          <w:color w:val="000000"/>
        </w:rPr>
        <w:t xml:space="preserve">. Furthermore, transmembrane protease serine 2 (TMPRSS2), the key host protease that allows several coronaviruses to enter the cells, including SARS-CoV-2, has been found to be associated with viral invasion mechanism since its activity was expressed in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Its actions lead to cell apoptosis, impaired transportation of bile acids, and epithelial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On the other hand, another report documented that the proportion of cells expressing ACE-2 and TMPRSS2 was only 2.50% for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0.04% for hepatocytes, questioning the uncertain hypothesis of a direct viral effect on liver and bile duct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253CDF7" w14:textId="77777777" w:rsidR="00A77B3E" w:rsidRDefault="00A77B3E">
      <w:pPr>
        <w:spacing w:line="360" w:lineRule="auto"/>
        <w:jc w:val="both"/>
      </w:pPr>
    </w:p>
    <w:p w14:paraId="54114B2E" w14:textId="77777777" w:rsidR="00A77B3E" w:rsidRDefault="00FF0AB7">
      <w:pPr>
        <w:spacing w:line="360" w:lineRule="auto"/>
        <w:jc w:val="both"/>
      </w:pPr>
      <w:r>
        <w:rPr>
          <w:rFonts w:ascii="Book Antiqua" w:eastAsia="Book Antiqua" w:hAnsi="Book Antiqua" w:cs="Book Antiqua"/>
          <w:b/>
          <w:bCs/>
          <w:i/>
          <w:iCs/>
          <w:color w:val="000000"/>
        </w:rPr>
        <w:t xml:space="preserve">Ischemic injury </w:t>
      </w:r>
      <w:r w:rsidR="004B47F2">
        <w:rPr>
          <w:rFonts w:ascii="Book Antiqua" w:eastAsia="Book Antiqua" w:hAnsi="Book Antiqua" w:cs="Book Antiqua"/>
          <w:b/>
          <w:bCs/>
          <w:i/>
          <w:iCs/>
          <w:color w:val="000000"/>
        </w:rPr>
        <w:t>caused by</w:t>
      </w:r>
      <w:r>
        <w:rPr>
          <w:rFonts w:ascii="Book Antiqua" w:eastAsia="Book Antiqua" w:hAnsi="Book Antiqua" w:cs="Book Antiqua"/>
          <w:b/>
          <w:bCs/>
          <w:i/>
          <w:iCs/>
          <w:color w:val="000000"/>
        </w:rPr>
        <w:t xml:space="preserve"> microvascular coagulopathy</w:t>
      </w:r>
    </w:p>
    <w:p w14:paraId="367E045F" w14:textId="77777777" w:rsidR="00A77B3E" w:rsidRDefault="00FF0AB7">
      <w:pPr>
        <w:spacing w:line="360" w:lineRule="auto"/>
        <w:jc w:val="both"/>
      </w:pPr>
      <w:r>
        <w:rPr>
          <w:rFonts w:ascii="Book Antiqua" w:eastAsia="Book Antiqua" w:hAnsi="Book Antiqua" w:cs="Book Antiqua"/>
          <w:color w:val="000000"/>
        </w:rPr>
        <w:t xml:space="preserve">The previously discussed cholestatic injury might result from ischemic damage caused by microvascular coagulopathy and/or hypotension during critical illness or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11,19,21]</w:t>
      </w:r>
      <w:r>
        <w:rPr>
          <w:rFonts w:ascii="Book Antiqua" w:eastAsia="Book Antiqua" w:hAnsi="Book Antiqua" w:cs="Book Antiqua"/>
          <w:color w:val="000000"/>
        </w:rPr>
        <w:t xml:space="preserve">. Researchers have found that SARS-CoV-2 enters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respiratory epithelial ACE-2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ACE-2 is, nevertheless, widely expressed in endothelial cells of minor and major vessels across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expression of ACE-2 in </w:t>
      </w:r>
      <w:r w:rsidR="002D25CF">
        <w:rPr>
          <w:rFonts w:ascii="Book Antiqua" w:eastAsia="Book Antiqua" w:hAnsi="Book Antiqua" w:cs="Book Antiqua"/>
          <w:color w:val="000000"/>
        </w:rPr>
        <w:t xml:space="preserve">the </w:t>
      </w:r>
      <w:r>
        <w:rPr>
          <w:rFonts w:ascii="Book Antiqua" w:eastAsia="Book Antiqua" w:hAnsi="Book Antiqua" w:cs="Book Antiqua"/>
          <w:color w:val="000000"/>
        </w:rPr>
        <w:t xml:space="preserve">vascular endothelium has been proposed as a key pathogenetic factor in the widespread coagulation that contributes considerably to COVID-19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A recent case series discovered many platelet-fibrin microthrombi in postmortem liver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another case series of 40 COVID-19 cases found sinusoidal microthrombi in only 15%, whereas most reported macrovascular steatosis (75%) and mild lobular necroinflammation and portal inflammation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controversial issues, nonetheless, did not exclude the possibility of intravascular microthrombi and thrombosis theory. More research on this topic may be warranted.</w:t>
      </w:r>
    </w:p>
    <w:p w14:paraId="1B7A7021" w14:textId="77777777" w:rsidR="00A77B3E" w:rsidRDefault="00A77B3E">
      <w:pPr>
        <w:spacing w:line="360" w:lineRule="auto"/>
        <w:jc w:val="both"/>
      </w:pPr>
    </w:p>
    <w:p w14:paraId="432C5DA2" w14:textId="77777777" w:rsidR="00A77B3E" w:rsidRDefault="00FF0AB7">
      <w:pPr>
        <w:spacing w:line="360" w:lineRule="auto"/>
        <w:jc w:val="both"/>
      </w:pPr>
      <w:r>
        <w:rPr>
          <w:rFonts w:ascii="Book Antiqua" w:eastAsia="Book Antiqua" w:hAnsi="Book Antiqua" w:cs="Book Antiqua"/>
          <w:b/>
          <w:bCs/>
          <w:i/>
          <w:iCs/>
          <w:color w:val="000000"/>
        </w:rPr>
        <w:t>Drug-induced cholestatic liver injury</w:t>
      </w:r>
    </w:p>
    <w:p w14:paraId="1810D9CF" w14:textId="77777777" w:rsidR="00A77B3E" w:rsidRDefault="00FF0AB7">
      <w:pPr>
        <w:spacing w:line="360" w:lineRule="auto"/>
        <w:jc w:val="both"/>
      </w:pPr>
      <w:r>
        <w:rPr>
          <w:rFonts w:ascii="Book Antiqua" w:eastAsia="Book Antiqua" w:hAnsi="Book Antiqua" w:cs="Book Antiqua"/>
          <w:color w:val="000000"/>
        </w:rPr>
        <w:t xml:space="preserve">Another possible explanation for COVID-C is drug-induced cholestatic liver injury. A wide range of medications has been investigated throughout this pandemic. Among </w:t>
      </w:r>
      <w:r>
        <w:rPr>
          <w:rFonts w:ascii="Book Antiqua" w:eastAsia="Book Antiqua" w:hAnsi="Book Antiqua" w:cs="Book Antiqua"/>
          <w:color w:val="000000"/>
        </w:rPr>
        <w:lastRenderedPageBreak/>
        <w:t xml:space="preserve">these, </w:t>
      </w:r>
      <w:proofErr w:type="spellStart"/>
      <w:proofErr w:type="gramStart"/>
      <w:r>
        <w:rPr>
          <w:rFonts w:ascii="Book Antiqua" w:eastAsia="Book Antiqua" w:hAnsi="Book Antiqua" w:cs="Book Antiqua"/>
          <w:color w:val="000000"/>
        </w:rPr>
        <w:t>remsidivir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lopinavir</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ritonavir</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interleukin-6 antagonists (tocilizumab)</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have been reported as a cause of increased ALT levels. However, the pattern of biliary injury from pathological examination strongly supports </w:t>
      </w:r>
      <w:r w:rsidR="004B47F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hypothesis was </w:t>
      </w:r>
      <w:proofErr w:type="gramStart"/>
      <w:r>
        <w:rPr>
          <w:rFonts w:ascii="Book Antiqua" w:eastAsia="Book Antiqua" w:hAnsi="Book Antiqua" w:cs="Book Antiqua"/>
          <w:color w:val="000000"/>
        </w:rPr>
        <w:t>insufficient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43,44,46]</w:t>
      </w:r>
      <w:r>
        <w:rPr>
          <w:rFonts w:ascii="Book Antiqua" w:eastAsia="Book Antiqua" w:hAnsi="Book Antiqua" w:cs="Book Antiqua"/>
          <w:color w:val="000000"/>
        </w:rPr>
        <w:t>. Besides, no single medication was constantly delivered to all patients with COVID-19 infection, resulting in inconclusive confirmation of this issue.</w:t>
      </w:r>
    </w:p>
    <w:p w14:paraId="59809863" w14:textId="77777777" w:rsidR="00A77B3E" w:rsidRDefault="00A77B3E">
      <w:pPr>
        <w:spacing w:line="360" w:lineRule="auto"/>
        <w:jc w:val="both"/>
      </w:pPr>
    </w:p>
    <w:p w14:paraId="35630507" w14:textId="77777777" w:rsidR="00A77B3E" w:rsidRDefault="00FF0AB7">
      <w:pPr>
        <w:spacing w:line="360" w:lineRule="auto"/>
        <w:jc w:val="both"/>
      </w:pPr>
      <w:r>
        <w:rPr>
          <w:rFonts w:ascii="Book Antiqua" w:eastAsia="Book Antiqua" w:hAnsi="Book Antiqua" w:cs="Book Antiqua"/>
          <w:b/>
          <w:bCs/>
          <w:i/>
          <w:iCs/>
          <w:color w:val="000000"/>
        </w:rPr>
        <w:t>Alteration of gut microbiota</w:t>
      </w:r>
    </w:p>
    <w:p w14:paraId="32C4A912" w14:textId="77777777" w:rsidR="00A77B3E" w:rsidRDefault="00FF0AB7">
      <w:pPr>
        <w:spacing w:line="360" w:lineRule="auto"/>
        <w:jc w:val="both"/>
      </w:pPr>
      <w:r>
        <w:rPr>
          <w:rFonts w:ascii="Book Antiqua" w:eastAsia="Book Antiqua" w:hAnsi="Book Antiqua" w:cs="Book Antiqua"/>
          <w:color w:val="000000"/>
        </w:rPr>
        <w:t xml:space="preserve">Interestingly, changes in the gut microbiota may also lead to cholestatic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When SARS-CoV-2 </w:t>
      </w:r>
      <w:r w:rsidR="004B47F2">
        <w:rPr>
          <w:rFonts w:ascii="Book Antiqua" w:eastAsia="Book Antiqua" w:hAnsi="Book Antiqua" w:cs="Book Antiqua"/>
          <w:color w:val="000000"/>
        </w:rPr>
        <w:t xml:space="preserve">infects </w:t>
      </w:r>
      <w:r>
        <w:rPr>
          <w:rFonts w:ascii="Book Antiqua" w:eastAsia="Book Antiqua" w:hAnsi="Book Antiqua" w:cs="Book Antiqua"/>
          <w:color w:val="000000"/>
        </w:rPr>
        <w:t xml:space="preserve">the enterocytes, it </w:t>
      </w:r>
      <w:r w:rsidR="004B47F2">
        <w:rPr>
          <w:rFonts w:ascii="Book Antiqua" w:eastAsia="Book Antiqua" w:hAnsi="Book Antiqua" w:cs="Book Antiqua"/>
          <w:color w:val="000000"/>
        </w:rPr>
        <w:t xml:space="preserve">inhibits </w:t>
      </w:r>
      <w:r>
        <w:rPr>
          <w:rFonts w:ascii="Book Antiqua" w:eastAsia="Book Antiqua" w:hAnsi="Book Antiqua" w:cs="Book Antiqua"/>
          <w:color w:val="000000"/>
        </w:rPr>
        <w:t>the absorption of intestinal tryptophan</w:t>
      </w:r>
      <w:r w:rsidR="004B47F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B47F2">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generation of antimicrobial peptides, mostly through the downregulation of ACE2 following viral </w:t>
      </w:r>
      <w:proofErr w:type="gramStart"/>
      <w:r>
        <w:rPr>
          <w:rFonts w:ascii="Book Antiqua" w:eastAsia="Book Antiqua" w:hAnsi="Book Antiqua" w:cs="Book Antiqua"/>
          <w:color w:val="000000"/>
        </w:rPr>
        <w:t>entrance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It has been proposed that disruption of the gut-liver axis may increase the likelihood of developing severe COVID-19 in patients with non-alcoholic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 addition, the gut microbiota has been used as a prospective target for adjuvant therapy during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p>
    <w:p w14:paraId="3D96F4FA" w14:textId="77777777" w:rsidR="00A77B3E" w:rsidRDefault="00A77B3E">
      <w:pPr>
        <w:spacing w:line="360" w:lineRule="auto"/>
        <w:jc w:val="both"/>
      </w:pPr>
    </w:p>
    <w:p w14:paraId="6340E1B3" w14:textId="77777777" w:rsidR="00A77B3E" w:rsidRDefault="00FF0AB7">
      <w:pPr>
        <w:spacing w:line="360" w:lineRule="auto"/>
        <w:jc w:val="both"/>
      </w:pPr>
      <w:r>
        <w:rPr>
          <w:rFonts w:ascii="Book Antiqua" w:eastAsia="Book Antiqua" w:hAnsi="Book Antiqua" w:cs="Book Antiqua"/>
          <w:b/>
          <w:bCs/>
          <w:i/>
          <w:iCs/>
          <w:color w:val="000000"/>
        </w:rPr>
        <w:t>Cytokine release syndrome</w:t>
      </w:r>
    </w:p>
    <w:p w14:paraId="4B1F89C9" w14:textId="77777777" w:rsidR="00A77B3E" w:rsidRDefault="00FF0AB7">
      <w:pPr>
        <w:spacing w:line="360" w:lineRule="auto"/>
        <w:jc w:val="both"/>
      </w:pPr>
      <w:r>
        <w:rPr>
          <w:rFonts w:ascii="Book Antiqua" w:eastAsia="Book Antiqua" w:hAnsi="Book Antiqua" w:cs="Book Antiqua"/>
          <w:color w:val="000000"/>
        </w:rPr>
        <w:t xml:space="preserve">Moreover, cytokine release syndrome (CRS), which occurs in both SSC and COVID-19, is another sign that the pathophysiology of SSC-associated severe illnesses and COVID-C may be pathogenetically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Documents indicating that CRS can produce severe cholestatic liver damage suggest that the biliary epithelium is partially sensitive to CRS-immune mediated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Overall, we may assume that the inducers, such as SARS-CoV-2 epithelial infection, </w:t>
      </w:r>
      <w:proofErr w:type="spellStart"/>
      <w:r>
        <w:rPr>
          <w:rFonts w:ascii="Book Antiqua" w:eastAsia="Book Antiqua" w:hAnsi="Book Antiqua" w:cs="Book Antiqua"/>
          <w:color w:val="000000"/>
        </w:rPr>
        <w:t>microthrombosis</w:t>
      </w:r>
      <w:proofErr w:type="spellEnd"/>
      <w:r>
        <w:rPr>
          <w:rFonts w:ascii="Book Antiqua" w:eastAsia="Book Antiqua" w:hAnsi="Book Antiqua" w:cs="Book Antiqua"/>
          <w:color w:val="000000"/>
        </w:rPr>
        <w:t xml:space="preserve">, or the magnitude of the COVID-19 CRS, aggravate the severity and frequency of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3F5C43B" w14:textId="77777777" w:rsidR="00A77B3E" w:rsidRDefault="00A77B3E">
      <w:pPr>
        <w:spacing w:line="360" w:lineRule="auto"/>
        <w:jc w:val="both"/>
      </w:pPr>
    </w:p>
    <w:p w14:paraId="5675C79A" w14:textId="77777777" w:rsidR="00A77B3E" w:rsidRDefault="00FF0AB7">
      <w:pPr>
        <w:spacing w:line="360" w:lineRule="auto"/>
        <w:jc w:val="both"/>
      </w:pPr>
      <w:r>
        <w:rPr>
          <w:rFonts w:ascii="Book Antiqua" w:eastAsia="Book Antiqua" w:hAnsi="Book Antiqua" w:cs="Book Antiqua"/>
          <w:b/>
          <w:bCs/>
          <w:color w:val="000000"/>
          <w:u w:val="single"/>
        </w:rPr>
        <w:t>CLINICAL IMPLICATION</w:t>
      </w:r>
    </w:p>
    <w:p w14:paraId="7F773350" w14:textId="77777777" w:rsidR="00A77B3E" w:rsidRDefault="00FF0AB7">
      <w:pPr>
        <w:spacing w:line="360" w:lineRule="auto"/>
        <w:jc w:val="both"/>
      </w:pPr>
      <w:r>
        <w:rPr>
          <w:rFonts w:ascii="Book Antiqua" w:eastAsia="Book Antiqua" w:hAnsi="Book Antiqua" w:cs="Book Antiqua"/>
          <w:color w:val="000000"/>
        </w:rPr>
        <w:t xml:space="preserve">This review </w:t>
      </w:r>
      <w:r w:rsidR="004B47F2">
        <w:rPr>
          <w:rFonts w:ascii="Book Antiqua" w:eastAsia="Book Antiqua" w:hAnsi="Book Antiqua" w:cs="Book Antiqua"/>
          <w:color w:val="000000"/>
        </w:rPr>
        <w:t xml:space="preserve">provides </w:t>
      </w:r>
      <w:r>
        <w:rPr>
          <w:rFonts w:ascii="Book Antiqua" w:eastAsia="Book Antiqua" w:hAnsi="Book Antiqua" w:cs="Book Antiqua"/>
          <w:color w:val="000000"/>
        </w:rPr>
        <w:t xml:space="preserve">some important and interesting points. Recently, many researchers raised the question of when the COVID-19 pandemic will end. One statistical report showed that the COVID-19 pandemic could terminate in 2022, but COVID-19 could be </w:t>
      </w:r>
      <w:r>
        <w:rPr>
          <w:rFonts w:ascii="Book Antiqua" w:eastAsia="Book Antiqua" w:hAnsi="Book Antiqua" w:cs="Book Antiqua"/>
          <w:color w:val="000000"/>
        </w:rPr>
        <w:lastRenderedPageBreak/>
        <w:t>one or two times more fatal than seasonal influenza by 2023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Understanding the complications and consequences after COVID-19 infection would help clinicians prevent such conditions and improve the quality of care during the post-infection period. Knowledge and evidence regarding COVID-19-associated cholangiopathy are comparably low despite the growing literature on COVID-19 and other complications. This review could pave the way for a better comprehension of this condition. Future research to completely explain the behind mechanism would advance the treatment and management paradigm. Furthermore, this mini-review will </w:t>
      </w:r>
      <w:r w:rsidR="004B47F2">
        <w:rPr>
          <w:rFonts w:ascii="Book Antiqua" w:eastAsia="Book Antiqua" w:hAnsi="Book Antiqua" w:cs="Book Antiqua"/>
          <w:color w:val="000000"/>
        </w:rPr>
        <w:t>help</w:t>
      </w:r>
      <w:r>
        <w:rPr>
          <w:rFonts w:ascii="Book Antiqua" w:eastAsia="Book Antiqua" w:hAnsi="Book Antiqua" w:cs="Book Antiqua"/>
          <w:color w:val="000000"/>
        </w:rPr>
        <w:t xml:space="preserve"> healthcare professionals recognize this disease and its circumstances better.</w:t>
      </w:r>
    </w:p>
    <w:p w14:paraId="1AF87222" w14:textId="77777777" w:rsidR="00A77B3E" w:rsidRDefault="00A77B3E">
      <w:pPr>
        <w:spacing w:line="360" w:lineRule="auto"/>
        <w:jc w:val="both"/>
      </w:pPr>
    </w:p>
    <w:p w14:paraId="483F55BF" w14:textId="77777777" w:rsidR="00A77B3E" w:rsidRDefault="00FF0AB7">
      <w:pPr>
        <w:spacing w:line="360" w:lineRule="auto"/>
        <w:jc w:val="both"/>
      </w:pPr>
      <w:r>
        <w:rPr>
          <w:rFonts w:ascii="Book Antiqua" w:eastAsia="Book Antiqua" w:hAnsi="Book Antiqua" w:cs="Book Antiqua"/>
          <w:b/>
          <w:caps/>
          <w:color w:val="000000"/>
          <w:u w:val="single"/>
        </w:rPr>
        <w:t>CONCLUSION</w:t>
      </w:r>
    </w:p>
    <w:p w14:paraId="40C96098" w14:textId="77777777" w:rsidR="00A77B3E" w:rsidRDefault="00FF0AB7">
      <w:pPr>
        <w:spacing w:line="360" w:lineRule="auto"/>
        <w:jc w:val="both"/>
      </w:pPr>
      <w:r>
        <w:rPr>
          <w:rFonts w:ascii="Book Antiqua" w:eastAsia="Book Antiqua" w:hAnsi="Book Antiqua" w:cs="Book Antiqua"/>
          <w:color w:val="000000"/>
        </w:rPr>
        <w:t xml:space="preserve">SARS-CoV-2 infection has taken our world into a disastrous situation. Severe COVID-19 patients may encounter COVID-19-associated cholangiopathy,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with SSC after critical illness. COVID-19 infection initially signifies the virus's contact with ACE-2 receptors (expressed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w:t>
      </w:r>
      <w:r w:rsidR="004B47F2">
        <w:rPr>
          <w:rFonts w:ascii="Book Antiqua" w:eastAsia="Book Antiqua" w:hAnsi="Book Antiqua" w:cs="Book Antiqua"/>
          <w:color w:val="000000"/>
        </w:rPr>
        <w:t xml:space="preserve">the </w:t>
      </w:r>
      <w:r>
        <w:rPr>
          <w:rFonts w:ascii="Book Antiqua" w:eastAsia="Book Antiqua" w:hAnsi="Book Antiqua" w:cs="Book Antiqua"/>
          <w:color w:val="000000"/>
        </w:rPr>
        <w:t xml:space="preserve">vascular endothelium). Based on current evidence, several theories were described in this review, including direct viral invasion, microvascular coagulopathy, alteration of </w:t>
      </w:r>
      <w:r w:rsidR="004B47F2">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drug-induced liver injury, and </w:t>
      </w:r>
      <w:r w:rsidR="004B47F2">
        <w:rPr>
          <w:rFonts w:ascii="Book Antiqua" w:eastAsia="Book Antiqua" w:hAnsi="Book Antiqua" w:cs="Book Antiqua"/>
          <w:color w:val="000000"/>
        </w:rPr>
        <w:t>CRS</w:t>
      </w:r>
      <w:r>
        <w:rPr>
          <w:rFonts w:ascii="Book Antiqua" w:eastAsia="Book Antiqua" w:hAnsi="Book Antiqua" w:cs="Book Antiqua"/>
          <w:color w:val="000000"/>
        </w:rPr>
        <w:t xml:space="preserve"> (Figure 1). The exact underlining pathogenesis might not be concluded at this moment, raising the importance of further investigations into this issue. COVID-C may be rarely found in patients with severe COVID-19 infection but is associated with increased mortality and impaired quality of life. We anticipate that the findings described in this review will advance more translational research, resulting in a better understanding and improved treatment of COVID-C </w:t>
      </w:r>
      <w:proofErr w:type="gramStart"/>
      <w:r>
        <w:rPr>
          <w:rFonts w:ascii="Book Antiqua" w:eastAsia="Book Antiqua" w:hAnsi="Book Antiqua" w:cs="Book Antiqua"/>
          <w:color w:val="000000"/>
        </w:rPr>
        <w:t>in the near future</w:t>
      </w:r>
      <w:proofErr w:type="gramEnd"/>
      <w:r>
        <w:rPr>
          <w:rFonts w:ascii="Book Antiqua" w:eastAsia="Book Antiqua" w:hAnsi="Book Antiqua" w:cs="Book Antiqua"/>
          <w:color w:val="000000"/>
        </w:rPr>
        <w:t>.</w:t>
      </w:r>
    </w:p>
    <w:p w14:paraId="088B89C1" w14:textId="77777777" w:rsidR="00A77B3E" w:rsidRDefault="00A77B3E">
      <w:pPr>
        <w:spacing w:line="360" w:lineRule="auto"/>
        <w:jc w:val="both"/>
      </w:pPr>
    </w:p>
    <w:p w14:paraId="6C305F1E" w14:textId="77777777" w:rsidR="00A77B3E" w:rsidRDefault="00FF0AB7">
      <w:pPr>
        <w:spacing w:line="360" w:lineRule="auto"/>
        <w:jc w:val="both"/>
      </w:pPr>
      <w:r>
        <w:rPr>
          <w:rFonts w:ascii="Book Antiqua" w:eastAsia="Book Antiqua" w:hAnsi="Book Antiqua" w:cs="Book Antiqua"/>
          <w:b/>
          <w:color w:val="000000"/>
        </w:rPr>
        <w:t>REFERENCES</w:t>
      </w:r>
    </w:p>
    <w:p w14:paraId="16BDEFF9" w14:textId="77777777" w:rsidR="00A77B3E" w:rsidRDefault="00FF0AB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0FABD07E" w14:textId="77777777" w:rsidR="00A77B3E" w:rsidRDefault="00FF0AB7">
      <w:pPr>
        <w:spacing w:line="360" w:lineRule="auto"/>
        <w:jc w:val="both"/>
      </w:pPr>
      <w:r>
        <w:rPr>
          <w:rFonts w:ascii="Book Antiqua" w:eastAsia="Book Antiqua" w:hAnsi="Book Antiqua" w:cs="Book Antiqua"/>
          <w:color w:val="000000"/>
        </w:rPr>
        <w:lastRenderedPageBreak/>
        <w:t xml:space="preserve">2 </w:t>
      </w:r>
      <w:r w:rsidRPr="00660026">
        <w:rPr>
          <w:rFonts w:ascii="Book Antiqua" w:eastAsia="Book Antiqua" w:hAnsi="Book Antiqua" w:cs="Book Antiqua"/>
          <w:b/>
          <w:color w:val="000000"/>
        </w:rPr>
        <w:t>W</w:t>
      </w:r>
      <w:r w:rsidR="00660026" w:rsidRPr="00660026">
        <w:rPr>
          <w:rFonts w:ascii="Book Antiqua" w:hAnsi="Book Antiqua" w:cs="Book Antiqua" w:hint="eastAsia"/>
          <w:b/>
          <w:color w:val="000000"/>
          <w:lang w:eastAsia="zh-CN"/>
        </w:rPr>
        <w:t xml:space="preserve">orld </w:t>
      </w:r>
      <w:r w:rsidR="00660026" w:rsidRPr="00660026">
        <w:rPr>
          <w:rFonts w:ascii="Book Antiqua" w:eastAsia="Book Antiqua" w:hAnsi="Book Antiqua" w:cs="Book Antiqua"/>
          <w:b/>
          <w:color w:val="000000"/>
        </w:rPr>
        <w:t>H</w:t>
      </w:r>
      <w:r w:rsidR="00660026" w:rsidRPr="00660026">
        <w:rPr>
          <w:rFonts w:ascii="Book Antiqua" w:hAnsi="Book Antiqua" w:cs="Book Antiqua"/>
          <w:b/>
          <w:color w:val="000000"/>
          <w:lang w:eastAsia="zh-CN"/>
        </w:rPr>
        <w:t>ealth</w:t>
      </w:r>
      <w:r w:rsidR="00660026" w:rsidRPr="00660026">
        <w:rPr>
          <w:rFonts w:ascii="Book Antiqua" w:hAnsi="Book Antiqua" w:cs="Book Antiqua" w:hint="eastAsia"/>
          <w:b/>
          <w:color w:val="000000"/>
          <w:lang w:eastAsia="zh-CN"/>
        </w:rPr>
        <w:t xml:space="preserve"> </w:t>
      </w:r>
      <w:r w:rsidR="00660026" w:rsidRPr="00660026">
        <w:rPr>
          <w:rFonts w:ascii="Book Antiqua" w:eastAsia="Book Antiqua" w:hAnsi="Book Antiqua" w:cs="Book Antiqua"/>
          <w:b/>
          <w:color w:val="000000"/>
        </w:rPr>
        <w:t>O</w:t>
      </w:r>
      <w:r w:rsidR="00660026" w:rsidRPr="00660026">
        <w:rPr>
          <w:rFonts w:ascii="Book Antiqua" w:hAnsi="Book Antiqua" w:cs="Book Antiqua"/>
          <w:b/>
          <w:color w:val="000000"/>
          <w:lang w:eastAsia="zh-CN"/>
        </w:rPr>
        <w:t>rganization</w:t>
      </w:r>
      <w:r>
        <w:rPr>
          <w:rFonts w:ascii="Book Antiqua" w:eastAsia="Book Antiqua" w:hAnsi="Book Antiqua" w:cs="Book Antiqua"/>
          <w:color w:val="000000"/>
        </w:rPr>
        <w:t xml:space="preserve">. WHO Coronavirus (COVID-19) Dashboard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Vaccination Data. [cited September 30 2022]. Available from: https://covid19.who.int/ [DOI: 10.46945/bpj.10.1.03.01]</w:t>
      </w:r>
    </w:p>
    <w:p w14:paraId="4D6A2B9E" w14:textId="77777777" w:rsidR="00A77B3E" w:rsidRDefault="00FF0A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Coleman KK, Chia PY, </w:t>
      </w:r>
      <w:proofErr w:type="spellStart"/>
      <w:r>
        <w:rPr>
          <w:rFonts w:ascii="Book Antiqua" w:eastAsia="Book Antiqua" w:hAnsi="Book Antiqua" w:cs="Book Antiqua"/>
          <w:color w:val="000000"/>
        </w:rPr>
        <w:t>Thoon</w:t>
      </w:r>
      <w:proofErr w:type="spellEnd"/>
      <w:r>
        <w:rPr>
          <w:rFonts w:ascii="Book Antiqua" w:eastAsia="Book Antiqua" w:hAnsi="Book Antiqua" w:cs="Book Antiqua"/>
          <w:color w:val="000000"/>
        </w:rPr>
        <w:t xml:space="preserve"> KC, Pada S, Venkatachalam I, Fisher D, Tan YK, Tan BH, Ng OT, Ang BSP, Leo YS, Wong MSY,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Transmission modes of severe acute respiratory syndrome coronavirus 2 and implications for infection control: a review.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2022; </w:t>
      </w:r>
      <w:r>
        <w:rPr>
          <w:rFonts w:ascii="Book Antiqua" w:eastAsia="Book Antiqua" w:hAnsi="Book Antiqua" w:cs="Book Antiqua"/>
          <w:b/>
          <w:bCs/>
          <w:color w:val="000000"/>
        </w:rPr>
        <w:t>63</w:t>
      </w:r>
      <w:r>
        <w:rPr>
          <w:rFonts w:ascii="Book Antiqua" w:eastAsia="Book Antiqua" w:hAnsi="Book Antiqua" w:cs="Book Antiqua"/>
          <w:color w:val="000000"/>
        </w:rPr>
        <w:t>: 61-67 [PMID: 32729311 DOI: 10.11622/smedj.2020114]</w:t>
      </w:r>
    </w:p>
    <w:p w14:paraId="7D182EED" w14:textId="77777777" w:rsidR="00A77B3E" w:rsidRDefault="00FF0A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Kuhn JH</w:t>
      </w:r>
      <w:r>
        <w:rPr>
          <w:rFonts w:ascii="Book Antiqua" w:eastAsia="Book Antiqua" w:hAnsi="Book Antiqua" w:cs="Book Antiqua"/>
          <w:color w:val="000000"/>
        </w:rPr>
        <w:t xml:space="preserve">, Li W, Choe H, Farzan M. Angiotensin-converting enzyme 2: a functional receptor for SARS coronavirus.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61</w:t>
      </w:r>
      <w:r>
        <w:rPr>
          <w:rFonts w:ascii="Book Antiqua" w:eastAsia="Book Antiqua" w:hAnsi="Book Antiqua" w:cs="Book Antiqua"/>
          <w:color w:val="000000"/>
        </w:rPr>
        <w:t>: 2738-2743 [PMID: 15549175 DOI: 10.1007/s00018-004-4242-5]</w:t>
      </w:r>
    </w:p>
    <w:p w14:paraId="23CD34D5" w14:textId="77777777" w:rsidR="00A77B3E" w:rsidRDefault="00FF0AB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1270973D" w14:textId="77777777" w:rsidR="00A77B3E" w:rsidRDefault="00FF0A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Patel AP</w:t>
      </w:r>
      <w:r>
        <w:rPr>
          <w:rFonts w:ascii="Book Antiqua" w:eastAsia="Book Antiqua" w:hAnsi="Book Antiqua" w:cs="Book Antiqua"/>
          <w:color w:val="000000"/>
        </w:rPr>
        <w:t xml:space="preserve">, Sanders TK, Prakash P, Law J, </w:t>
      </w:r>
      <w:proofErr w:type="spellStart"/>
      <w:r>
        <w:rPr>
          <w:rFonts w:ascii="Book Antiqua" w:eastAsia="Book Antiqua" w:hAnsi="Book Antiqua" w:cs="Book Antiqua"/>
          <w:color w:val="000000"/>
        </w:rPr>
        <w:t>Alvencar</w:t>
      </w:r>
      <w:proofErr w:type="spellEnd"/>
      <w:r>
        <w:rPr>
          <w:rFonts w:ascii="Book Antiqua" w:eastAsia="Book Antiqua" w:hAnsi="Book Antiqua" w:cs="Book Antiqua"/>
          <w:color w:val="000000"/>
        </w:rPr>
        <w:t xml:space="preserve"> S, Choi A, Shah J, Patel K, </w:t>
      </w:r>
      <w:proofErr w:type="spellStart"/>
      <w:r>
        <w:rPr>
          <w:rFonts w:ascii="Book Antiqua" w:eastAsia="Book Antiqua" w:hAnsi="Book Antiqua" w:cs="Book Antiqua"/>
          <w:color w:val="000000"/>
        </w:rPr>
        <w:t>Srivoleti</w:t>
      </w:r>
      <w:proofErr w:type="spellEnd"/>
      <w:r>
        <w:rPr>
          <w:rFonts w:ascii="Book Antiqua" w:eastAsia="Book Antiqua" w:hAnsi="Book Antiqua" w:cs="Book Antiqua"/>
          <w:color w:val="000000"/>
        </w:rPr>
        <w:t xml:space="preserve"> P, Chauhan K, Weissman S, </w:t>
      </w:r>
      <w:proofErr w:type="spellStart"/>
      <w:r>
        <w:rPr>
          <w:rFonts w:ascii="Book Antiqua" w:eastAsia="Book Antiqua" w:hAnsi="Book Antiqua" w:cs="Book Antiqua"/>
          <w:color w:val="000000"/>
        </w:rPr>
        <w:t>Holzwanger</w:t>
      </w:r>
      <w:proofErr w:type="spellEnd"/>
      <w:r>
        <w:rPr>
          <w:rFonts w:ascii="Book Antiqua" w:eastAsia="Book Antiqua" w:hAnsi="Book Antiqua" w:cs="Book Antiqua"/>
          <w:color w:val="000000"/>
        </w:rPr>
        <w:t xml:space="preserve"> E, Dhingra R, Nguyen M, Kim D, Sidhu T, </w:t>
      </w:r>
      <w:proofErr w:type="spellStart"/>
      <w:r>
        <w:rPr>
          <w:rFonts w:ascii="Book Antiqua" w:eastAsia="Book Antiqua" w:hAnsi="Book Antiqua" w:cs="Book Antiqua"/>
          <w:color w:val="000000"/>
        </w:rPr>
        <w:t>Stallwood</w:t>
      </w:r>
      <w:proofErr w:type="spellEnd"/>
      <w:r>
        <w:rPr>
          <w:rFonts w:ascii="Book Antiqua" w:eastAsia="Book Antiqua" w:hAnsi="Book Antiqua" w:cs="Book Antiqua"/>
          <w:color w:val="000000"/>
        </w:rPr>
        <w:t xml:space="preserve"> C, Dickstein A, Parekh N,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Ciorba</w:t>
      </w:r>
      <w:proofErr w:type="spellEnd"/>
      <w:r>
        <w:rPr>
          <w:rFonts w:ascii="Book Antiqua" w:eastAsia="Book Antiqua" w:hAnsi="Book Antiqua" w:cs="Book Antiqua"/>
          <w:color w:val="000000"/>
        </w:rPr>
        <w:t xml:space="preserve"> MA, Yu J, Chen LA,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Limketkai</w:t>
      </w:r>
      <w:proofErr w:type="spellEnd"/>
      <w:r>
        <w:rPr>
          <w:rFonts w:ascii="Book Antiqua" w:eastAsia="Book Antiqua" w:hAnsi="Book Antiqua" w:cs="Book Antiqua"/>
          <w:color w:val="000000"/>
        </w:rPr>
        <w:t xml:space="preserve"> BN. Gastrointestinal Manifestations of Coronavirus Disease 2019 Across the United States: A Multicenter Cohort Study. </w:t>
      </w:r>
      <w:r>
        <w:rPr>
          <w:rFonts w:ascii="Book Antiqua" w:eastAsia="Book Antiqua" w:hAnsi="Book Antiqua" w:cs="Book Antiqua"/>
          <w:i/>
          <w:iCs/>
          <w:color w:val="000000"/>
        </w:rPr>
        <w:t>Gastro Hep Adv</w:t>
      </w:r>
      <w:r>
        <w:rPr>
          <w:rFonts w:ascii="Book Antiqua" w:eastAsia="Book Antiqua" w:hAnsi="Book Antiqua" w:cs="Book Antiqua"/>
          <w:color w:val="000000"/>
        </w:rPr>
        <w:t xml:space="preserve"> 2022; </w:t>
      </w:r>
      <w:r>
        <w:rPr>
          <w:rFonts w:ascii="Book Antiqua" w:eastAsia="Book Antiqua" w:hAnsi="Book Antiqua" w:cs="Book Antiqua"/>
          <w:b/>
          <w:bCs/>
          <w:color w:val="000000"/>
        </w:rPr>
        <w:t>1</w:t>
      </w:r>
      <w:r>
        <w:rPr>
          <w:rFonts w:ascii="Book Antiqua" w:eastAsia="Book Antiqua" w:hAnsi="Book Antiqua" w:cs="Book Antiqua"/>
          <w:color w:val="000000"/>
        </w:rPr>
        <w:t>: 909-915 [PMID: 35874930 DOI: 10.1016/j.gastha.2022.07.002]</w:t>
      </w:r>
    </w:p>
    <w:p w14:paraId="0466BA0F" w14:textId="77777777" w:rsidR="00A77B3E" w:rsidRDefault="00FF0A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73FC7C15" w14:textId="77777777" w:rsidR="00A77B3E" w:rsidRDefault="00FF0AB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Bangash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14:paraId="38311908" w14:textId="77777777" w:rsidR="00A77B3E" w:rsidRDefault="00FF0A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E9A14DB" w14:textId="77777777" w:rsidR="00A77B3E" w:rsidRDefault="00FF0A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Yu Q, Yao S, Luo L, Zhou W, Mao X, Li J, Duan J, Yan Z, Yang M, Tan H, Ma M, Li T, Yi D, Mi Z, Zhao H, Jiang Y, He Z, Li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Liu Y, Zhao J, Luo M, Liu X, Rong P, Wang W. Early prediction of disease progression in COVID-19 pneumonia patients with chest CT and clinical characteristics.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4968 [PMID: 33009413 DOI: 10.1038/s41467-020-18786-x]</w:t>
      </w:r>
    </w:p>
    <w:p w14:paraId="081F044E" w14:textId="77777777" w:rsidR="00A77B3E" w:rsidRDefault="00FF0AB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Faruqui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Okoli</w:t>
      </w:r>
      <w:proofErr w:type="spellEnd"/>
      <w:r>
        <w:rPr>
          <w:rFonts w:ascii="Book Antiqua" w:eastAsia="Book Antiqua" w:hAnsi="Book Antiqua" w:cs="Book Antiqua"/>
          <w:color w:val="000000"/>
        </w:rPr>
        <w:t xml:space="preserve"> FC, Olsen SK, Feldman DM, Kalia HS, Park JS, </w:t>
      </w:r>
      <w:proofErr w:type="spellStart"/>
      <w:r>
        <w:rPr>
          <w:rFonts w:ascii="Book Antiqua" w:eastAsia="Book Antiqua" w:hAnsi="Book Antiqua" w:cs="Book Antiqua"/>
          <w:color w:val="000000"/>
        </w:rPr>
        <w:t>Stanca</w:t>
      </w:r>
      <w:proofErr w:type="spellEnd"/>
      <w:r>
        <w:rPr>
          <w:rFonts w:ascii="Book Antiqua" w:eastAsia="Book Antiqua" w:hAnsi="Book Antiqua" w:cs="Book Antiqua"/>
          <w:color w:val="000000"/>
        </w:rPr>
        <w:t xml:space="preserve"> CM, Figueroa Diaz V, Yuan S,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NN, Sarkar SA,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Kim S, </w:t>
      </w:r>
      <w:proofErr w:type="spellStart"/>
      <w:r>
        <w:rPr>
          <w:rFonts w:ascii="Book Antiqua" w:eastAsia="Book Antiqua" w:hAnsi="Book Antiqua" w:cs="Book Antiqua"/>
          <w:color w:val="000000"/>
        </w:rPr>
        <w:t>Shanbhogue</w:t>
      </w:r>
      <w:proofErr w:type="spellEnd"/>
      <w:r>
        <w:rPr>
          <w:rFonts w:ascii="Book Antiqua" w:eastAsia="Book Antiqua" w:hAnsi="Book Antiqua" w:cs="Book Antiqua"/>
          <w:color w:val="000000"/>
        </w:rPr>
        <w:t xml:space="preserve"> K, Jacobson IM. Cholangiopathy After Severe COVID-19: Clinical Features and Prognostic Implications.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1414-1425 [PMID: 33993134 DOI: 10.14309/ajg.0000000000001264]</w:t>
      </w:r>
    </w:p>
    <w:p w14:paraId="28F4E9A5" w14:textId="77777777" w:rsidR="00A77B3E" w:rsidRDefault="00FF0AB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Zaver</w:t>
      </w:r>
      <w:proofErr w:type="spellEnd"/>
      <w:r>
        <w:rPr>
          <w:rFonts w:ascii="Book Antiqua" w:eastAsia="Book Antiqua" w:hAnsi="Book Antiqua" w:cs="Book Antiqua"/>
          <w:color w:val="000000"/>
        </w:rPr>
        <w:t xml:space="preserve"> HB, Ahmed A, Kim D. COVID-19 and liver injury: a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14:paraId="56B43974" w14:textId="77777777" w:rsidR="00A77B3E" w:rsidRDefault="00FF0A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Zompo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 Siena M,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Prevalence of liver injury and correlation with clinical outcomes in patients with COVID-19: systematic review with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13072-13088 [PMID: 33378061 DOI: 10.26355/eurrev_202012_24215]</w:t>
      </w:r>
    </w:p>
    <w:p w14:paraId="5B0D012A" w14:textId="77777777" w:rsidR="00A77B3E" w:rsidRDefault="00FF0A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14:paraId="1CF282EC" w14:textId="77777777" w:rsidR="00A77B3E" w:rsidRDefault="00FF0AB7">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E956955" w14:textId="77777777" w:rsidR="00A77B3E" w:rsidRDefault="00FF0AB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Hwaiz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Merza</w:t>
      </w:r>
      <w:proofErr w:type="spellEnd"/>
      <w:r>
        <w:rPr>
          <w:rFonts w:ascii="Book Antiqua" w:eastAsia="Book Antiqua" w:hAnsi="Book Antiqua" w:cs="Book Antiqua"/>
          <w:color w:val="000000"/>
        </w:rPr>
        <w:t xml:space="preserve"> M, Hamad B, </w:t>
      </w:r>
      <w:proofErr w:type="spellStart"/>
      <w:r>
        <w:rPr>
          <w:rFonts w:ascii="Book Antiqua" w:eastAsia="Book Antiqua" w:hAnsi="Book Antiqua" w:cs="Book Antiqua"/>
          <w:color w:val="000000"/>
        </w:rPr>
        <w:t>HamaSalih</w:t>
      </w:r>
      <w:proofErr w:type="spellEnd"/>
      <w:r>
        <w:rPr>
          <w:rFonts w:ascii="Book Antiqua" w:eastAsia="Book Antiqua" w:hAnsi="Book Antiqua" w:cs="Book Antiqua"/>
          <w:color w:val="000000"/>
        </w:rPr>
        <w:t xml:space="preserve"> S, Mohammed M, Hama H. Evaluation of hepatic enzymes activities in COVID-19 patients.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107701 [PMID: 33930704 DOI: 10.1016/j.intimp.2021.107701]</w:t>
      </w:r>
    </w:p>
    <w:p w14:paraId="64F6B44C" w14:textId="77777777" w:rsidR="00A77B3E" w:rsidRDefault="00FF0A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Da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Suchman</w:t>
      </w:r>
      <w:proofErr w:type="spellEnd"/>
      <w:r>
        <w:rPr>
          <w:rFonts w:ascii="Book Antiqua" w:eastAsia="Book Antiqua" w:hAnsi="Book Antiqua" w:cs="Book Antiqua"/>
          <w:color w:val="000000"/>
        </w:rPr>
        <w:t xml:space="preserve"> K, Roth N, Rizvi A, Vincent M, Trindade AJ, Bernstein D,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Northwell COVID-19 Research Consortium. Cholestatic liver injury in COVID-19 is a rare and distinct entity and is associated with increased mortality.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290</w:t>
      </w:r>
      <w:r>
        <w:rPr>
          <w:rFonts w:ascii="Book Antiqua" w:eastAsia="Book Antiqua" w:hAnsi="Book Antiqua" w:cs="Book Antiqua"/>
          <w:color w:val="000000"/>
        </w:rPr>
        <w:t>: 470-472 [PMID: 33786906 DOI: 10.1111/joim.13292]</w:t>
      </w:r>
    </w:p>
    <w:p w14:paraId="676FC051" w14:textId="77777777" w:rsidR="00A77B3E" w:rsidRDefault="00FF0AB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Goel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Harmouch</w:t>
      </w:r>
      <w:proofErr w:type="spellEnd"/>
      <w:r>
        <w:rPr>
          <w:rFonts w:ascii="Book Antiqua" w:eastAsia="Book Antiqua" w:hAnsi="Book Antiqua" w:cs="Book Antiqua"/>
          <w:color w:val="000000"/>
        </w:rPr>
        <w:t xml:space="preserve"> F, Garg K, Saraiya P, Daly T, Kumar A, </w:t>
      </w:r>
      <w:proofErr w:type="spellStart"/>
      <w:r>
        <w:rPr>
          <w:rFonts w:ascii="Book Antiqua" w:eastAsia="Book Antiqua" w:hAnsi="Book Antiqua" w:cs="Book Antiqua"/>
          <w:color w:val="000000"/>
        </w:rPr>
        <w:t>Hippen</w:t>
      </w:r>
      <w:proofErr w:type="spellEnd"/>
      <w:r>
        <w:rPr>
          <w:rFonts w:ascii="Book Antiqua" w:eastAsia="Book Antiqua" w:hAnsi="Book Antiqua" w:cs="Book Antiqua"/>
          <w:color w:val="000000"/>
        </w:rPr>
        <w:t xml:space="preserve"> JT. The liver in COVID-19: prevalence, patterns, predictors, and impact on outcomes of liver test abnormalities.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e274-e281 [PMID: 33369962 DOI: 10.1097/MEG.0000000000002021]</w:t>
      </w:r>
    </w:p>
    <w:p w14:paraId="4531D52B" w14:textId="77777777" w:rsidR="00A77B3E" w:rsidRDefault="00FF0AB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Pakala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23CBA21F" w14:textId="77777777" w:rsidR="00A77B3E" w:rsidRDefault="00FF0AB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56174E63" w14:textId="77777777" w:rsidR="00A77B3E" w:rsidRDefault="00FF0AB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5726FE9C" w14:textId="77777777" w:rsidR="00A77B3E" w:rsidRDefault="00FF0AB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Nathanson MH, Lim JK. Abnormal Liver Tests in COVID-19: A Retrospective Observational Cohort Study of 1,827 Patients in a Major U.S. </w:t>
      </w:r>
      <w:r>
        <w:rPr>
          <w:rFonts w:ascii="Book Antiqua" w:eastAsia="Book Antiqua" w:hAnsi="Book Antiqua" w:cs="Book Antiqua"/>
          <w:color w:val="000000"/>
        </w:rPr>
        <w:lastRenderedPageBreak/>
        <w:t xml:space="preserve">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0E028DED" w14:textId="77777777" w:rsidR="00A77B3E" w:rsidRDefault="00FF0A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Laurent L</w:t>
      </w:r>
      <w:r>
        <w:rPr>
          <w:rFonts w:ascii="Book Antiqua" w:eastAsia="Book Antiqua" w:hAnsi="Book Antiqua" w:cs="Book Antiqua"/>
          <w:color w:val="000000"/>
        </w:rPr>
        <w:t xml:space="preserve">, Lemaitre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Plessier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-Robert A, Gervais-</w:t>
      </w:r>
      <w:proofErr w:type="spellStart"/>
      <w:r>
        <w:rPr>
          <w:rFonts w:ascii="Book Antiqua" w:eastAsia="Book Antiqua" w:hAnsi="Book Antiqua" w:cs="Book Antiqua"/>
          <w:color w:val="000000"/>
        </w:rPr>
        <w:t>Hasenknopf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Belenotti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Mostefa</w:t>
      </w:r>
      <w:proofErr w:type="spellEnd"/>
      <w:r>
        <w:rPr>
          <w:rFonts w:ascii="Book Antiqua" w:eastAsia="Book Antiqua" w:hAnsi="Book Antiqua" w:cs="Book Antiqua"/>
          <w:color w:val="000000"/>
        </w:rPr>
        <w:t xml:space="preserve">-Kara N,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Legrand M, </w:t>
      </w:r>
      <w:proofErr w:type="spellStart"/>
      <w:r>
        <w:rPr>
          <w:rFonts w:ascii="Book Antiqua" w:eastAsia="Book Antiqua" w:hAnsi="Book Antiqua" w:cs="Book Antiqua"/>
          <w:color w:val="000000"/>
        </w:rPr>
        <w:t>Cournac</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Valla DC,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Goria</w:t>
      </w:r>
      <w:proofErr w:type="spellEnd"/>
      <w:r>
        <w:rPr>
          <w:rFonts w:ascii="Book Antiqua" w:eastAsia="Book Antiqua" w:hAnsi="Book Antiqua" w:cs="Book Antiqua"/>
          <w:color w:val="000000"/>
        </w:rPr>
        <w:t xml:space="preserve"> O. Cholangiopathy in critically ill patients surviving beyond the intensive care period: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survey in liver units.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1070-1076 [PMID: 29023905 DOI: 10.1111/apt.14367]</w:t>
      </w:r>
    </w:p>
    <w:p w14:paraId="130B7C1E" w14:textId="77777777" w:rsidR="00A77B3E" w:rsidRDefault="00FF0A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10.1111/Liv.14435]</w:t>
      </w:r>
    </w:p>
    <w:p w14:paraId="3AA53529" w14:textId="77777777" w:rsidR="00A77B3E" w:rsidRDefault="00FF0A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6EF52A74" w14:textId="77777777" w:rsidR="00A77B3E" w:rsidRDefault="00FF0AB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Li XH, Liang J, Shen J, Zhu LR, Chen 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14:paraId="4E6A85B2" w14:textId="77777777" w:rsidR="00A77B3E" w:rsidRDefault="00FF0A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J</w:t>
      </w:r>
      <w:r>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706-712 [PMID: 32109279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/ciaa199]</w:t>
      </w:r>
    </w:p>
    <w:p w14:paraId="6797EAAF" w14:textId="77777777" w:rsidR="00A77B3E" w:rsidRDefault="00FF0AB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Aghemo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D, Parigi TL, </w:t>
      </w:r>
      <w:proofErr w:type="spellStart"/>
      <w:r>
        <w:rPr>
          <w:rFonts w:ascii="Book Antiqua" w:eastAsia="Book Antiqua" w:hAnsi="Book Antiqua" w:cs="Book Antiqua"/>
          <w:color w:val="000000"/>
        </w:rPr>
        <w:t>Brunetta</w:t>
      </w:r>
      <w:proofErr w:type="spellEnd"/>
      <w:r>
        <w:rPr>
          <w:rFonts w:ascii="Book Antiqua" w:eastAsia="Book Antiqua" w:hAnsi="Book Antiqua" w:cs="Book Antiqua"/>
          <w:color w:val="000000"/>
        </w:rPr>
        <w:t xml:space="preserve"> E, Pugliese N, Vespa E, </w:t>
      </w:r>
      <w:proofErr w:type="spellStart"/>
      <w:r>
        <w:rPr>
          <w:rFonts w:ascii="Book Antiqua" w:eastAsia="Book Antiqua" w:hAnsi="Book Antiqua" w:cs="Book Antiqua"/>
          <w:color w:val="000000"/>
        </w:rPr>
        <w:t>Omodei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COVID-19 Task Force. COVID-19 Digestive System Involvement and Clinical </w:t>
      </w:r>
      <w:r>
        <w:rPr>
          <w:rFonts w:ascii="Book Antiqua" w:eastAsia="Book Antiqua" w:hAnsi="Book Antiqua" w:cs="Book Antiqua"/>
          <w:color w:val="000000"/>
        </w:rPr>
        <w:lastRenderedPageBreak/>
        <w:t xml:space="preserve">Outcomes in a Large Academic Hospital in Milan, Italy.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2366-2368.e3 [PMID: 32437870 DOI: 10.1016/j.cgh.2020.05.011]</w:t>
      </w:r>
    </w:p>
    <w:p w14:paraId="4A13206D" w14:textId="77777777" w:rsidR="00A77B3E" w:rsidRDefault="00FF0A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Chand K</w:t>
      </w:r>
      <w:r>
        <w:rPr>
          <w:rFonts w:ascii="Book Antiqua" w:eastAsia="Book Antiqua" w:hAnsi="Book Antiqua" w:cs="Book Antiqua"/>
          <w:color w:val="000000"/>
        </w:rPr>
        <w:t xml:space="preserve">, Thakur S. "Significance of serum gamma glutamyl transpeptidase in cholestatic jaundice". </w:t>
      </w:r>
      <w:r>
        <w:rPr>
          <w:rFonts w:ascii="Book Antiqua" w:eastAsia="Book Antiqua" w:hAnsi="Book Antiqua" w:cs="Book Antiqua"/>
          <w:i/>
          <w:iCs/>
          <w:color w:val="000000"/>
        </w:rPr>
        <w:t>Indian J Med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51</w:t>
      </w:r>
      <w:r>
        <w:rPr>
          <w:rFonts w:ascii="Book Antiqua" w:eastAsia="Book Antiqua" w:hAnsi="Book Antiqua" w:cs="Book Antiqua"/>
          <w:color w:val="000000"/>
        </w:rPr>
        <w:t>: 270-274 [PMID: 9491680]</w:t>
      </w:r>
    </w:p>
    <w:p w14:paraId="5ACFE22B" w14:textId="77777777" w:rsidR="00A77B3E" w:rsidRDefault="00FF0AB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Gelbmann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Rümmele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Hofstädter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Göhlmann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Endlicher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Langgartner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Schölmerich</w:t>
      </w:r>
      <w:proofErr w:type="spellEnd"/>
      <w:r>
        <w:rPr>
          <w:rFonts w:ascii="Book Antiqua" w:eastAsia="Book Antiqua" w:hAnsi="Book Antiqua" w:cs="Book Antiqua"/>
          <w:color w:val="000000"/>
        </w:rPr>
        <w:t xml:space="preserve"> J. Ischemic-like cholangiopathy with secondary sclerosing cholangitis in critically ill patients.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1221-1229 [PMID: 17531010 DOI: 10.1111/j.1572-0241.</w:t>
      </w:r>
      <w:proofErr w:type="gramStart"/>
      <w:r>
        <w:rPr>
          <w:rFonts w:ascii="Book Antiqua" w:eastAsia="Book Antiqua" w:hAnsi="Book Antiqua" w:cs="Book Antiqua"/>
          <w:color w:val="000000"/>
        </w:rPr>
        <w:t>2007.01118.x</w:t>
      </w:r>
      <w:proofErr w:type="gramEnd"/>
      <w:r>
        <w:rPr>
          <w:rFonts w:ascii="Book Antiqua" w:eastAsia="Book Antiqua" w:hAnsi="Book Antiqua" w:cs="Book Antiqua"/>
          <w:color w:val="000000"/>
        </w:rPr>
        <w:t>]</w:t>
      </w:r>
    </w:p>
    <w:p w14:paraId="74246D06" w14:textId="77777777" w:rsidR="00A77B3E" w:rsidRDefault="00FF0AB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Lin T</w:t>
      </w:r>
      <w:r>
        <w:rPr>
          <w:rFonts w:ascii="Book Antiqua" w:eastAsia="Book Antiqua" w:hAnsi="Book Antiqua" w:cs="Book Antiqua"/>
          <w:color w:val="000000"/>
        </w:rPr>
        <w:t xml:space="preserve">, Qu K, Xu X, Tian M, Gao J, Zhang C, Di Y, Zhang Y, Liu C. Sclerosing cholangitis in critically ill patients: an important and easily ignored problem based on a German experience.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118-126 [PMID: 24415157 DOI: 10.1007/s11684-014-0306-6]</w:t>
      </w:r>
    </w:p>
    <w:p w14:paraId="3477847A" w14:textId="77777777" w:rsidR="00A77B3E" w:rsidRDefault="00FF0AB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Leonhardt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Veltzke-Schlieker</w:t>
      </w:r>
      <w:proofErr w:type="spellEnd"/>
      <w:r>
        <w:rPr>
          <w:rFonts w:ascii="Book Antiqua" w:eastAsia="Book Antiqua" w:hAnsi="Book Antiqua" w:cs="Book Antiqua"/>
          <w:color w:val="000000"/>
        </w:rPr>
        <w:t xml:space="preserve"> W, Adler A, Schott E, </w:t>
      </w:r>
      <w:proofErr w:type="spellStart"/>
      <w:r>
        <w:rPr>
          <w:rFonts w:ascii="Book Antiqua" w:eastAsia="Book Antiqua" w:hAnsi="Book Antiqua" w:cs="Book Antiqua"/>
          <w:color w:val="000000"/>
        </w:rPr>
        <w:t>Hetzer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Schaffartzik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Tryba</w:t>
      </w:r>
      <w:proofErr w:type="spellEnd"/>
      <w:r>
        <w:rPr>
          <w:rFonts w:ascii="Book Antiqua" w:eastAsia="Book Antiqua" w:hAnsi="Book Antiqua" w:cs="Book Antiqua"/>
          <w:color w:val="000000"/>
        </w:rPr>
        <w:t xml:space="preserve"> M, Neuhaus P, Seehofer D. Trigger mechanisms of secondary sclerosing cholangitis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131 [PMID: 25886728 DOI: 10.1186/s13054-015-0861-5]</w:t>
      </w:r>
    </w:p>
    <w:p w14:paraId="68221B8D" w14:textId="77777777" w:rsidR="00A77B3E" w:rsidRDefault="00FF0AB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Gudnason</w:t>
      </w:r>
      <w:proofErr w:type="spellEnd"/>
      <w:r>
        <w:rPr>
          <w:rFonts w:ascii="Book Antiqua" w:eastAsia="Book Antiqua" w:hAnsi="Book Antiqua" w:cs="Book Antiqua"/>
          <w:b/>
          <w:bCs/>
          <w:color w:val="000000"/>
        </w:rPr>
        <w:t xml:space="preserve"> HO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Secondary sclerosing cholangitis in critically ill patients: current perspectives.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105-111 [PMID: 28694703 DOI: 10.2147/CEG.S115518]</w:t>
      </w:r>
    </w:p>
    <w:p w14:paraId="7F87EB40" w14:textId="77777777" w:rsidR="00A77B3E" w:rsidRDefault="00FF0AB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Mourad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Liossis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Mergental</w:t>
      </w:r>
      <w:proofErr w:type="spellEnd"/>
      <w:r>
        <w:rPr>
          <w:rFonts w:ascii="Book Antiqua" w:eastAsia="Book Antiqua" w:hAnsi="Book Antiqua" w:cs="Book Antiqua"/>
          <w:color w:val="000000"/>
        </w:rPr>
        <w:t xml:space="preserve"> H, Isaac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Mirza DF,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 Bramhall SR. Etiology and management of hepatic artery thrombosis after adult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713-723 [PMID: 24652787 DOI: 10.1002/Lt.23874]</w:t>
      </w:r>
    </w:p>
    <w:p w14:paraId="1C590032" w14:textId="77777777" w:rsidR="00A77B3E" w:rsidRDefault="00FF0AB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Liang J, Zhang Q, Xu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X, Yuan Z, Liang J, Zhang R, Lin X. Recapitulation of SARS-CoV-2 infection and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1D694114" w14:textId="77777777" w:rsidR="00A77B3E" w:rsidRDefault="00FF0AB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 L, Zhang Y, Han W, Lu Z,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Zhou J, Shi G, Fang N, Fan J, Cai J, Fan J, Lan F.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xml:space="preserve"> (e-pub ahead of print 1 January 2020; DOI:10.1101/2020.02.03.931766). [DOI:10.1101/2020.02.03.931766]</w:t>
      </w:r>
    </w:p>
    <w:p w14:paraId="69F2579B" w14:textId="77777777" w:rsidR="00A77B3E" w:rsidRDefault="00FF0AB7">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1117D01F" w14:textId="77777777" w:rsidR="00A77B3E" w:rsidRDefault="00FF0AB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5997DD92" w14:textId="77777777" w:rsidR="00A77B3E" w:rsidRDefault="00FF0AB7">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Schönfelder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Breuckmann</w:t>
      </w:r>
      <w:proofErr w:type="spellEnd"/>
      <w:r>
        <w:rPr>
          <w:rFonts w:ascii="Book Antiqua" w:eastAsia="Book Antiqua" w:hAnsi="Book Antiqua" w:cs="Book Antiqua"/>
          <w:color w:val="000000"/>
        </w:rPr>
        <w:t xml:space="preserve"> K, Elsner C, Dittmer U, </w:t>
      </w:r>
      <w:proofErr w:type="spellStart"/>
      <w:r>
        <w:rPr>
          <w:rFonts w:ascii="Book Antiqua" w:eastAsia="Book Antiqua" w:hAnsi="Book Antiqua" w:cs="Book Antiqua"/>
          <w:color w:val="000000"/>
        </w:rPr>
        <w:t>Fistera</w:t>
      </w:r>
      <w:proofErr w:type="spellEnd"/>
      <w:r>
        <w:rPr>
          <w:rFonts w:ascii="Book Antiqua" w:eastAsia="Book Antiqua" w:hAnsi="Book Antiqua" w:cs="Book Antiqua"/>
          <w:color w:val="000000"/>
        </w:rPr>
        <w:t xml:space="preserve"> D, Herbstreit F, </w:t>
      </w:r>
      <w:proofErr w:type="spellStart"/>
      <w:r>
        <w:rPr>
          <w:rFonts w:ascii="Book Antiqua" w:eastAsia="Book Antiqua" w:hAnsi="Book Antiqua" w:cs="Book Antiqua"/>
          <w:color w:val="000000"/>
        </w:rPr>
        <w:t>Risse</w:t>
      </w:r>
      <w:proofErr w:type="spellEnd"/>
      <w:r>
        <w:rPr>
          <w:rFonts w:ascii="Book Antiqua" w:eastAsia="Book Antiqua" w:hAnsi="Book Antiqua" w:cs="Book Antiqua"/>
          <w:color w:val="000000"/>
        </w:rPr>
        <w:t xml:space="preserve"> J, Schmidt K, </w:t>
      </w:r>
      <w:proofErr w:type="spellStart"/>
      <w:r>
        <w:rPr>
          <w:rFonts w:ascii="Book Antiqua" w:eastAsia="Book Antiqua" w:hAnsi="Book Antiqua" w:cs="Book Antiqua"/>
          <w:color w:val="000000"/>
        </w:rPr>
        <w:t>Sutharsan</w:t>
      </w:r>
      <w:proofErr w:type="spellEnd"/>
      <w:r>
        <w:rPr>
          <w:rFonts w:ascii="Book Antiqua" w:eastAsia="Book Antiqua" w:hAnsi="Book Antiqua" w:cs="Book Antiqua"/>
          <w:color w:val="000000"/>
        </w:rPr>
        <w:t xml:space="preserve"> S, Taube C, </w:t>
      </w:r>
      <w:proofErr w:type="spellStart"/>
      <w:r>
        <w:rPr>
          <w:rFonts w:ascii="Book Antiqua" w:eastAsia="Book Antiqua" w:hAnsi="Book Antiqua" w:cs="Book Antiqua"/>
          <w:color w:val="000000"/>
        </w:rPr>
        <w:t>Jöckel</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Siffert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Kribben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Möhlendick</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Transmembrane serine protease 2</w:t>
      </w:r>
      <w:r>
        <w:rPr>
          <w:rFonts w:ascii="Book Antiqua" w:eastAsia="Book Antiqua" w:hAnsi="Book Antiqua" w:cs="Book Antiqua"/>
          <w:color w:val="000000"/>
        </w:rPr>
        <w:t xml:space="preserve"> Polymorphisms and Susceptibility to Severe Acute Respiratory Syndrome Coronavirus Type 2 Infection: A German Case-Control Study.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667231 [PMID: 33968142 DOI: 10.3389/fgene.2021.667231]</w:t>
      </w:r>
    </w:p>
    <w:p w14:paraId="321C1F9A" w14:textId="77777777" w:rsidR="00A77B3E" w:rsidRDefault="00FF0AB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De Smet V</w:t>
      </w:r>
      <w:r>
        <w:rPr>
          <w:rFonts w:ascii="Book Antiqua" w:eastAsia="Book Antiqua" w:hAnsi="Book Antiqua" w:cs="Book Antiqua"/>
          <w:color w:val="000000"/>
        </w:rPr>
        <w:t xml:space="preserve">, Verhulst S, van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Single cell RNA sequencing analysis did not predict hepatocyte infection by SARS-CoV-2.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993-995 [PMID: 32473193 DOI: 10.1016/j.jhep.2020.05.030]</w:t>
      </w:r>
    </w:p>
    <w:p w14:paraId="7BF5308E" w14:textId="77777777" w:rsidR="00A77B3E" w:rsidRDefault="00FF0AB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Zamorano Cuervo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Grandvaux</w:t>
      </w:r>
      <w:proofErr w:type="spellEnd"/>
      <w:r>
        <w:rPr>
          <w:rFonts w:ascii="Book Antiqua" w:eastAsia="Book Antiqua" w:hAnsi="Book Antiqua" w:cs="Book Antiqua"/>
          <w:color w:val="000000"/>
        </w:rPr>
        <w:t xml:space="preserve"> N. ACE2: Evidence of role as entry receptor for SARS-CoV-2 and implications in comorbidities.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33164751 DOI: 10.7554/eLife.61390]</w:t>
      </w:r>
    </w:p>
    <w:p w14:paraId="0854C115" w14:textId="77777777" w:rsidR="00A77B3E" w:rsidRDefault="00FF0AB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14:paraId="36800218" w14:textId="77777777" w:rsidR="00A77B3E" w:rsidRDefault="00FF0AB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Beigel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Dodd LE, Mehta AK, </w:t>
      </w:r>
      <w:proofErr w:type="spellStart"/>
      <w:r>
        <w:rPr>
          <w:rFonts w:ascii="Book Antiqua" w:eastAsia="Book Antiqua" w:hAnsi="Book Antiqua" w:cs="Book Antiqua"/>
          <w:color w:val="000000"/>
        </w:rPr>
        <w:t>Zingman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AC, Hohmann E, Chu HY, Luetkemeyer A, Kline S, Lopez de Castilla D, Finberg RW, </w:t>
      </w:r>
      <w:proofErr w:type="spellStart"/>
      <w:r>
        <w:rPr>
          <w:rFonts w:ascii="Book Antiqua" w:eastAsia="Book Antiqua" w:hAnsi="Book Antiqua" w:cs="Book Antiqua"/>
          <w:color w:val="000000"/>
        </w:rPr>
        <w:t>Dierberg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Hsieh L, Patterson TF, Paredes R, Sweeney DA, Short WR,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Lye DC,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Oh MD, Ruiz-Palacios GM, Benfield T, </w:t>
      </w:r>
      <w:proofErr w:type="spellStart"/>
      <w:r>
        <w:rPr>
          <w:rFonts w:ascii="Book Antiqua" w:eastAsia="Book Antiqua" w:hAnsi="Book Antiqua" w:cs="Book Antiqua"/>
          <w:color w:val="000000"/>
        </w:rPr>
        <w:t>Fätkenheuer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Kortepeter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Atmar</w:t>
      </w:r>
      <w:proofErr w:type="spellEnd"/>
      <w:r>
        <w:rPr>
          <w:rFonts w:ascii="Book Antiqua" w:eastAsia="Book Antiqua" w:hAnsi="Book Antiqua" w:cs="Book Antiqua"/>
          <w:color w:val="000000"/>
        </w:rPr>
        <w:t xml:space="preserve"> RL, Creech CB, Lundgren J,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Neaton</w:t>
      </w:r>
      <w:proofErr w:type="spellEnd"/>
      <w:r>
        <w:rPr>
          <w:rFonts w:ascii="Book Antiqua" w:eastAsia="Book Antiqua" w:hAnsi="Book Antiqua" w:cs="Book Antiqua"/>
          <w:color w:val="000000"/>
        </w:rPr>
        <w:t xml:space="preserve"> JD, Burgess TH,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 Green M, Makowski M,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Nayak S, Lane HC; ACTT-1 Study Group Members. Remdesivir for the Treatment of Covid-19 - Final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1813-1826 [PMID: 32445440 DOI: 10.1056/NEJMoa2007764]</w:t>
      </w:r>
    </w:p>
    <w:p w14:paraId="67DD26C9" w14:textId="77777777" w:rsidR="00A77B3E" w:rsidRDefault="00FF0AB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Remdesivir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2A25E595" w14:textId="3A9B5611" w:rsidR="00A77B3E" w:rsidRDefault="00FF0AB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European Association for the Study of the Liver</w:t>
      </w:r>
      <w:r w:rsidR="0010623B">
        <w:rPr>
          <w:rFonts w:ascii="Book Antiqua" w:eastAsia="Book Antiqua" w:hAnsi="Book Antiqua" w:cs="Book Antiqua"/>
          <w:b/>
          <w:bCs/>
          <w:color w:val="000000"/>
        </w:rPr>
        <w:t>;</w:t>
      </w:r>
      <w:r>
        <w:rPr>
          <w:rFonts w:ascii="Book Antiqua" w:eastAsia="Book Antiqua" w:hAnsi="Book Antiqua" w:cs="Book Antiqua"/>
          <w:color w:val="000000"/>
        </w:rPr>
        <w:t xml:space="preserve"> Clinical Practice Guideline Panel: </w:t>
      </w:r>
      <w:proofErr w:type="gramStart"/>
      <w:r>
        <w:rPr>
          <w:rFonts w:ascii="Book Antiqua" w:eastAsia="Book Antiqua" w:hAnsi="Book Antiqua" w:cs="Book Antiqua"/>
          <w:color w:val="000000"/>
        </w:rPr>
        <w:t>Chair:;</w:t>
      </w:r>
      <w:proofErr w:type="gramEnd"/>
      <w:r>
        <w:rPr>
          <w:rFonts w:ascii="Book Antiqua" w:eastAsia="Book Antiqua" w:hAnsi="Book Antiqua" w:cs="Book Antiqua"/>
          <w:color w:val="000000"/>
        </w:rPr>
        <w:t xml:space="preserve">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14:paraId="0AE54293" w14:textId="77777777" w:rsidR="00A77B3E" w:rsidRDefault="00FF0AB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Guaraldi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Meschiari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Cozzi-Lepri</w:t>
      </w:r>
      <w:proofErr w:type="spellEnd"/>
      <w:r>
        <w:rPr>
          <w:rFonts w:ascii="Book Antiqua" w:eastAsia="Book Antiqua" w:hAnsi="Book Antiqua" w:cs="Book Antiqua"/>
          <w:color w:val="000000"/>
        </w:rPr>
        <w:t xml:space="preserve"> A, Milic J, Tonelli R,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E, Cuomo G, Orlando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V, Santoro A, Di Gaetano M, </w:t>
      </w:r>
      <w:proofErr w:type="spellStart"/>
      <w:r>
        <w:rPr>
          <w:rFonts w:ascii="Book Antiqua" w:eastAsia="Book Antiqua" w:hAnsi="Book Antiqua" w:cs="Book Antiqua"/>
          <w:color w:val="000000"/>
        </w:rPr>
        <w:t>Puzzolante</w:t>
      </w:r>
      <w:proofErr w:type="spellEnd"/>
      <w:r>
        <w:rPr>
          <w:rFonts w:ascii="Book Antiqua" w:eastAsia="Book Antiqua" w:hAnsi="Book Antiqua" w:cs="Book Antiqua"/>
          <w:color w:val="000000"/>
        </w:rPr>
        <w:t xml:space="preserve"> C, Carli F, </w:t>
      </w:r>
      <w:proofErr w:type="spellStart"/>
      <w:r>
        <w:rPr>
          <w:rFonts w:ascii="Book Antiqua" w:eastAsia="Book Antiqua" w:hAnsi="Book Antiqua" w:cs="Book Antiqua"/>
          <w:color w:val="000000"/>
        </w:rPr>
        <w:t>Bedini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Castaniere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Tabbì</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Tedeschi S, </w:t>
      </w:r>
      <w:proofErr w:type="spellStart"/>
      <w:r>
        <w:rPr>
          <w:rFonts w:ascii="Book Antiqua" w:eastAsia="Book Antiqua" w:hAnsi="Book Antiqua" w:cs="Book Antiqua"/>
          <w:color w:val="000000"/>
        </w:rPr>
        <w:t>Giannella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Bartoletti</w:t>
      </w:r>
      <w:proofErr w:type="spellEnd"/>
      <w:r>
        <w:rPr>
          <w:rFonts w:ascii="Book Antiqua" w:eastAsia="Book Antiqua" w:hAnsi="Book Antiqua" w:cs="Book Antiqua"/>
          <w:color w:val="000000"/>
        </w:rPr>
        <w:t xml:space="preserve"> M, Pascale R, </w:t>
      </w:r>
      <w:proofErr w:type="spellStart"/>
      <w:r>
        <w:rPr>
          <w:rFonts w:ascii="Book Antiqua" w:eastAsia="Book Antiqua" w:hAnsi="Book Antiqua" w:cs="Book Antiqua"/>
          <w:color w:val="000000"/>
        </w:rPr>
        <w:t>Dolci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Brugioni</w:t>
      </w:r>
      <w:proofErr w:type="spellEnd"/>
      <w:r>
        <w:rPr>
          <w:rFonts w:ascii="Book Antiqua" w:eastAsia="Book Antiqua" w:hAnsi="Book Antiqua" w:cs="Book Antiqua"/>
          <w:color w:val="000000"/>
        </w:rPr>
        <w:t xml:space="preserve"> L, Pietrangelo A, </w:t>
      </w:r>
      <w:proofErr w:type="spellStart"/>
      <w:r>
        <w:rPr>
          <w:rFonts w:ascii="Book Antiqua" w:eastAsia="Book Antiqua" w:hAnsi="Book Antiqua" w:cs="Book Antiqua"/>
          <w:color w:val="000000"/>
        </w:rPr>
        <w:t>Cossarizza</w:t>
      </w:r>
      <w:proofErr w:type="spellEnd"/>
      <w:r>
        <w:rPr>
          <w:rFonts w:ascii="Book Antiqua" w:eastAsia="Book Antiqua" w:hAnsi="Book Antiqua" w:cs="Book Antiqua"/>
          <w:color w:val="000000"/>
        </w:rPr>
        <w:t xml:space="preserve"> A, Pea F, </w:t>
      </w:r>
      <w:proofErr w:type="spellStart"/>
      <w:r>
        <w:rPr>
          <w:rFonts w:ascii="Book Antiqua" w:eastAsia="Book Antiqua" w:hAnsi="Book Antiqua" w:cs="Book Antiqua"/>
          <w:color w:val="000000"/>
        </w:rPr>
        <w:t>Clini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Salvarani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PL, Mussini C. Tocilizumab in patients with severe COVID-19: a retrospective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e474-e484 [PMID: 32835257 DOI: 10.1016/S2665-9913(20)30173-9]</w:t>
      </w:r>
    </w:p>
    <w:p w14:paraId="1837B2C8" w14:textId="77777777" w:rsidR="00A77B3E" w:rsidRDefault="00FF0AB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14:paraId="2BD27108" w14:textId="77777777" w:rsidR="00A77B3E" w:rsidRDefault="00FF0AB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Perlot</w:t>
      </w:r>
      <w:proofErr w:type="spellEnd"/>
      <w:r>
        <w:rPr>
          <w:rFonts w:ascii="Book Antiqua" w:eastAsia="Book Antiqua" w:hAnsi="Book Antiqua" w:cs="Book Antiqua"/>
          <w:color w:val="000000"/>
        </w:rPr>
        <w:t xml:space="preserve"> T, Rehman A, </w:t>
      </w:r>
      <w:proofErr w:type="spellStart"/>
      <w:r>
        <w:rPr>
          <w:rFonts w:ascii="Book Antiqua" w:eastAsia="Book Antiqua" w:hAnsi="Book Antiqua" w:cs="Book Antiqua"/>
          <w:color w:val="000000"/>
        </w:rPr>
        <w:t>Trichereau</w:t>
      </w:r>
      <w:proofErr w:type="spellEnd"/>
      <w:r>
        <w:rPr>
          <w:rFonts w:ascii="Book Antiqua" w:eastAsia="Book Antiqua" w:hAnsi="Book Antiqua" w:cs="Book Antiqua"/>
          <w:color w:val="000000"/>
        </w:rPr>
        <w:t xml:space="preserve"> J, Ishiguro H, </w:t>
      </w:r>
      <w:proofErr w:type="spellStart"/>
      <w:r>
        <w:rPr>
          <w:rFonts w:ascii="Book Antiqua" w:eastAsia="Book Antiqua" w:hAnsi="Book Antiqua" w:cs="Book Antiqua"/>
          <w:color w:val="000000"/>
        </w:rPr>
        <w:t>Paolino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R, Lipinski S, Wild B, Camargo SM, Singer D, Richter A,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Schreiber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Rosenstiel P,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ACE2 Links amino acid </w:t>
      </w:r>
      <w:r>
        <w:rPr>
          <w:rFonts w:ascii="Book Antiqua" w:eastAsia="Book Antiqua" w:hAnsi="Book Antiqua" w:cs="Book Antiqua"/>
          <w:color w:val="000000"/>
        </w:rPr>
        <w:lastRenderedPageBreak/>
        <w:t xml:space="preserve">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14:paraId="43471998" w14:textId="77777777" w:rsidR="00A77B3E" w:rsidRDefault="00FF0AB7">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Liévin</w:t>
      </w:r>
      <w:proofErr w:type="spellEnd"/>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Moal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Servin AL. The front line of enteric host defense against unwelcome intrusion of harmful microorganisms: mucins, antimicrobial peptides, and microbiota.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315-337 [PMID: 16614252 DOI: 10.1128/CMR.19.2.315-337.2006]</w:t>
      </w:r>
    </w:p>
    <w:p w14:paraId="19ADC652" w14:textId="77777777" w:rsidR="00A77B3E" w:rsidRDefault="00FF0AB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Assante G</w:t>
      </w:r>
      <w:r>
        <w:rPr>
          <w:rFonts w:ascii="Book Antiqua" w:eastAsia="Book Antiqua" w:hAnsi="Book Antiqua" w:cs="Book Antiqua"/>
          <w:color w:val="000000"/>
        </w:rPr>
        <w:t xml:space="preserve">, Williams R, </w:t>
      </w:r>
      <w:proofErr w:type="spellStart"/>
      <w:r>
        <w:rPr>
          <w:rFonts w:ascii="Book Antiqua" w:eastAsia="Book Antiqua" w:hAnsi="Book Antiqua" w:cs="Book Antiqua"/>
          <w:color w:val="000000"/>
        </w:rPr>
        <w:t>Youngson</w:t>
      </w:r>
      <w:proofErr w:type="spellEnd"/>
      <w:r>
        <w:rPr>
          <w:rFonts w:ascii="Book Antiqua" w:eastAsia="Book Antiqua" w:hAnsi="Book Antiqua" w:cs="Book Antiqua"/>
          <w:color w:val="000000"/>
        </w:rPr>
        <w:t xml:space="preserve"> NA. Is the increased risk for MAFLD patients to develop severe COVID-19 Linked to perturbation of the gut-liver axis?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487-488 [PMID: 32574578 DOI: 10.1016/j.jhep.2020.05.051]</w:t>
      </w:r>
    </w:p>
    <w:p w14:paraId="3A9DF30F" w14:textId="77777777" w:rsidR="00A77B3E" w:rsidRDefault="00FF0AB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Gasbarrini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Dionisi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Editorial - COVID-19 and the microbiota: new kids on the block.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5189-5191 [PMID: 32432790 DOI: 10.26355/eurrev_202005_21218]</w:t>
      </w:r>
    </w:p>
    <w:p w14:paraId="588253ED" w14:textId="77777777" w:rsidR="00A77B3E" w:rsidRDefault="00FF0AB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 Renzo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Merra</w:t>
      </w:r>
      <w:proofErr w:type="spellEnd"/>
      <w:r>
        <w:rPr>
          <w:rFonts w:ascii="Book Antiqua" w:eastAsia="Book Antiqua" w:hAnsi="Book Antiqua" w:cs="Book Antiqua"/>
          <w:color w:val="000000"/>
        </w:rPr>
        <w:t xml:space="preserve"> G, Esposito E, De Lorenzo A. Are probiotics effective adjuvant therapeutic choice in patients with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4062-4063 [PMID: 32374010 DOI: 10.26355/eurrev_202004_20977]</w:t>
      </w:r>
    </w:p>
    <w:p w14:paraId="1ADA7DE5" w14:textId="77777777" w:rsidR="00A77B3E" w:rsidRDefault="00FF0AB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Abdalian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Heathcote EJ. Sclerosing cholangitis: a focus on secondary causes.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1063-1074 [PMID: 17058222 DOI: 10.1002/hep.21405]</w:t>
      </w:r>
    </w:p>
    <w:p w14:paraId="4B1C8904" w14:textId="77777777" w:rsidR="00A77B3E" w:rsidRDefault="00FF0AB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 JM</w:t>
      </w:r>
      <w:r>
        <w:rPr>
          <w:rFonts w:ascii="Book Antiqua" w:eastAsia="Book Antiqua" w:hAnsi="Book Antiqua" w:cs="Book Antiqua"/>
          <w:color w:val="000000"/>
        </w:rPr>
        <w:t xml:space="preserve">. Novel statistics predict the COVID-19 pandemic could terminate in 2022.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94</w:t>
      </w:r>
      <w:r>
        <w:rPr>
          <w:rFonts w:ascii="Book Antiqua" w:eastAsia="Book Antiqua" w:hAnsi="Book Antiqua" w:cs="Book Antiqua"/>
          <w:color w:val="000000"/>
        </w:rPr>
        <w:t>: 2845-2848 [PMID: 35150458 DOI: 10.1002/jmv.27661]</w:t>
      </w:r>
    </w:p>
    <w:p w14:paraId="20C13B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17E13B" w14:textId="77777777" w:rsidR="00A77B3E" w:rsidRDefault="00FF0AB7">
      <w:pPr>
        <w:spacing w:line="360" w:lineRule="auto"/>
        <w:jc w:val="both"/>
      </w:pPr>
      <w:r>
        <w:rPr>
          <w:rFonts w:ascii="Book Antiqua" w:eastAsia="Book Antiqua" w:hAnsi="Book Antiqua" w:cs="Book Antiqua"/>
          <w:b/>
          <w:color w:val="000000"/>
        </w:rPr>
        <w:lastRenderedPageBreak/>
        <w:t>Footnotes</w:t>
      </w:r>
    </w:p>
    <w:p w14:paraId="1F2851F4" w14:textId="77777777" w:rsidR="00A77B3E" w:rsidRDefault="00FF0AB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that</w:t>
      </w:r>
      <w:r w:rsidR="004B47F2">
        <w:rPr>
          <w:rFonts w:ascii="Book Antiqua" w:eastAsia="Book Antiqua" w:hAnsi="Book Antiqua" w:cs="Book Antiqua"/>
          <w:color w:val="000000"/>
          <w:shd w:val="clear" w:color="auto" w:fill="FFFFFF"/>
        </w:rPr>
        <w:t xml:space="preserve"> he has </w:t>
      </w:r>
      <w:r>
        <w:rPr>
          <w:rFonts w:ascii="Book Antiqua" w:eastAsia="Book Antiqua" w:hAnsi="Book Antiqua" w:cs="Book Antiqua"/>
          <w:color w:val="000000"/>
          <w:shd w:val="clear" w:color="auto" w:fill="FFFFFF"/>
        </w:rPr>
        <w:t>no competing interests</w:t>
      </w:r>
      <w:r w:rsidR="004B47F2">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14:paraId="68DCB5FC" w14:textId="77777777" w:rsidR="00A77B3E" w:rsidRDefault="00A77B3E">
      <w:pPr>
        <w:spacing w:line="360" w:lineRule="auto"/>
        <w:jc w:val="both"/>
      </w:pPr>
    </w:p>
    <w:p w14:paraId="763E7529" w14:textId="77777777" w:rsidR="00A77B3E" w:rsidRDefault="00FF0A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21A652" w14:textId="77777777" w:rsidR="00A77B3E" w:rsidRDefault="00A77B3E">
      <w:pPr>
        <w:spacing w:line="360" w:lineRule="auto"/>
        <w:jc w:val="both"/>
      </w:pPr>
    </w:p>
    <w:p w14:paraId="06F67E85" w14:textId="77777777" w:rsidR="00A77B3E" w:rsidRDefault="00FF0A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96068EB" w14:textId="77777777" w:rsidR="00A77B3E" w:rsidRDefault="00FF0A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2A5C67A" w14:textId="77777777" w:rsidR="00A77B3E" w:rsidRDefault="00A77B3E">
      <w:pPr>
        <w:spacing w:line="360" w:lineRule="auto"/>
        <w:jc w:val="both"/>
      </w:pPr>
    </w:p>
    <w:p w14:paraId="6CBC1E9E" w14:textId="77777777" w:rsidR="00A77B3E" w:rsidRDefault="00FF0A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9, 2022</w:t>
      </w:r>
    </w:p>
    <w:p w14:paraId="07EF8D9C" w14:textId="77777777" w:rsidR="00A77B3E" w:rsidRDefault="00FF0A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29, 2022</w:t>
      </w:r>
    </w:p>
    <w:p w14:paraId="0C18570B" w14:textId="4754A5C4" w:rsidR="00A77B3E" w:rsidRPr="00B62890" w:rsidRDefault="00FF0AB7">
      <w:pPr>
        <w:spacing w:line="360" w:lineRule="auto"/>
        <w:jc w:val="both"/>
        <w:rPr>
          <w:lang w:eastAsia="zh-CN"/>
        </w:rPr>
      </w:pPr>
      <w:r>
        <w:rPr>
          <w:rFonts w:ascii="Book Antiqua" w:eastAsia="Book Antiqua" w:hAnsi="Book Antiqua" w:cs="Book Antiqua"/>
          <w:b/>
          <w:color w:val="000000"/>
        </w:rPr>
        <w:t xml:space="preserve">Article in press: </w:t>
      </w:r>
      <w:r w:rsidR="00B3596A" w:rsidRPr="00FC28CE">
        <w:rPr>
          <w:rFonts w:ascii="Book Antiqua" w:eastAsia="Book Antiqua" w:hAnsi="Book Antiqua" w:cs="Book Antiqua"/>
          <w:color w:val="000000"/>
        </w:rPr>
        <w:t>October 19, 2022</w:t>
      </w:r>
    </w:p>
    <w:p w14:paraId="1CCFEB68" w14:textId="77777777" w:rsidR="00A77B3E" w:rsidRDefault="00A77B3E">
      <w:pPr>
        <w:spacing w:line="360" w:lineRule="auto"/>
        <w:jc w:val="both"/>
      </w:pPr>
    </w:p>
    <w:p w14:paraId="6F86C746" w14:textId="77777777" w:rsidR="00A77B3E" w:rsidRDefault="00FF0AB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6002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097C81C" w14:textId="77777777" w:rsidR="00A77B3E" w:rsidRDefault="00FF0A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79E4A16D" w14:textId="77777777" w:rsidR="00A77B3E" w:rsidRDefault="00FF0AB7">
      <w:pPr>
        <w:spacing w:line="360" w:lineRule="auto"/>
        <w:jc w:val="both"/>
      </w:pPr>
      <w:r>
        <w:rPr>
          <w:rFonts w:ascii="Book Antiqua" w:eastAsia="Book Antiqua" w:hAnsi="Book Antiqua" w:cs="Book Antiqua"/>
          <w:b/>
          <w:color w:val="000000"/>
        </w:rPr>
        <w:t>Peer-review report’s scientific quality classification</w:t>
      </w:r>
    </w:p>
    <w:p w14:paraId="5311C8D5" w14:textId="77777777" w:rsidR="00A77B3E" w:rsidRDefault="00FF0AB7">
      <w:pPr>
        <w:spacing w:line="360" w:lineRule="auto"/>
        <w:jc w:val="both"/>
      </w:pPr>
      <w:r>
        <w:rPr>
          <w:rFonts w:ascii="Book Antiqua" w:eastAsia="Book Antiqua" w:hAnsi="Book Antiqua" w:cs="Book Antiqua"/>
          <w:color w:val="000000"/>
        </w:rPr>
        <w:t>Grade A (Excellent): 0</w:t>
      </w:r>
    </w:p>
    <w:p w14:paraId="6C52857E" w14:textId="77777777" w:rsidR="00A77B3E" w:rsidRDefault="00FF0AB7">
      <w:pPr>
        <w:spacing w:line="360" w:lineRule="auto"/>
        <w:jc w:val="both"/>
      </w:pPr>
      <w:r>
        <w:rPr>
          <w:rFonts w:ascii="Book Antiqua" w:eastAsia="Book Antiqua" w:hAnsi="Book Antiqua" w:cs="Book Antiqua"/>
          <w:color w:val="000000"/>
        </w:rPr>
        <w:t>Grade B (Very good): 0</w:t>
      </w:r>
    </w:p>
    <w:p w14:paraId="34D8251D" w14:textId="77777777" w:rsidR="00A77B3E" w:rsidRDefault="00FF0AB7">
      <w:pPr>
        <w:spacing w:line="360" w:lineRule="auto"/>
        <w:jc w:val="both"/>
      </w:pPr>
      <w:r>
        <w:rPr>
          <w:rFonts w:ascii="Book Antiqua" w:eastAsia="Book Antiqua" w:hAnsi="Book Antiqua" w:cs="Book Antiqua"/>
          <w:color w:val="000000"/>
        </w:rPr>
        <w:t>Grade C (Good): C</w:t>
      </w:r>
    </w:p>
    <w:p w14:paraId="6314AA91" w14:textId="77777777" w:rsidR="00A77B3E" w:rsidRDefault="00FF0AB7">
      <w:pPr>
        <w:spacing w:line="360" w:lineRule="auto"/>
        <w:jc w:val="both"/>
      </w:pPr>
      <w:r>
        <w:rPr>
          <w:rFonts w:ascii="Book Antiqua" w:eastAsia="Book Antiqua" w:hAnsi="Book Antiqua" w:cs="Book Antiqua"/>
          <w:color w:val="000000"/>
        </w:rPr>
        <w:t>Grade D (Fair): D</w:t>
      </w:r>
    </w:p>
    <w:p w14:paraId="2AE05F22" w14:textId="77777777" w:rsidR="00A77B3E" w:rsidRDefault="00FF0AB7">
      <w:pPr>
        <w:spacing w:line="360" w:lineRule="auto"/>
        <w:jc w:val="both"/>
      </w:pPr>
      <w:r>
        <w:rPr>
          <w:rFonts w:ascii="Book Antiqua" w:eastAsia="Book Antiqua" w:hAnsi="Book Antiqua" w:cs="Book Antiqua"/>
          <w:color w:val="000000"/>
        </w:rPr>
        <w:t>Grade E (Poor): 0</w:t>
      </w:r>
    </w:p>
    <w:p w14:paraId="7CAE68C0" w14:textId="77777777" w:rsidR="00A77B3E" w:rsidRDefault="00A77B3E">
      <w:pPr>
        <w:spacing w:line="360" w:lineRule="auto"/>
        <w:jc w:val="both"/>
      </w:pPr>
    </w:p>
    <w:p w14:paraId="49F57FF1" w14:textId="77777777" w:rsidR="00B62890" w:rsidRDefault="00FF0AB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Laranjeira</w:t>
      </w:r>
      <w:proofErr w:type="spellEnd"/>
      <w:r>
        <w:rPr>
          <w:rFonts w:ascii="Book Antiqua" w:eastAsia="Book Antiqua" w:hAnsi="Book Antiqua" w:cs="Book Antiqua"/>
          <w:color w:val="000000"/>
        </w:rPr>
        <w:t xml:space="preserve"> C, Portugal; Yu MC, Taiwan</w:t>
      </w:r>
      <w:r>
        <w:rPr>
          <w:rFonts w:ascii="Book Antiqua" w:eastAsia="Book Antiqua" w:hAnsi="Book Antiqua" w:cs="Book Antiqua"/>
          <w:b/>
          <w:color w:val="000000"/>
        </w:rPr>
        <w:t xml:space="preserve"> S-Editor: </w:t>
      </w:r>
      <w:r w:rsidR="00660026" w:rsidRPr="00660026">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4B47F2">
        <w:rPr>
          <w:rFonts w:ascii="Book Antiqua" w:hAnsi="Book Antiqua" w:cs="Book Antiqua"/>
          <w:color w:val="000000"/>
          <w:lang w:eastAsia="zh-CN"/>
        </w:rPr>
        <w:t>Wang TQ</w:t>
      </w:r>
      <w:r w:rsidR="004B47F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62890">
        <w:rPr>
          <w:rFonts w:ascii="Book Antiqua" w:hAnsi="Book Antiqua" w:cs="Book Antiqua" w:hint="eastAsia"/>
          <w:b/>
          <w:color w:val="000000"/>
          <w:lang w:eastAsia="zh-CN"/>
        </w:rPr>
        <w:t xml:space="preserve"> </w:t>
      </w:r>
      <w:r w:rsidR="00B62890" w:rsidRPr="00660026">
        <w:rPr>
          <w:rFonts w:ascii="Book Antiqua" w:hAnsi="Book Antiqua" w:cs="Book Antiqua" w:hint="eastAsia"/>
          <w:color w:val="000000"/>
          <w:lang w:eastAsia="zh-CN"/>
        </w:rPr>
        <w:t>Chen YL</w:t>
      </w:r>
    </w:p>
    <w:p w14:paraId="6A3A137F" w14:textId="77777777" w:rsidR="00A77B3E" w:rsidRPr="00B62890" w:rsidRDefault="00A77B3E">
      <w:pPr>
        <w:spacing w:line="360" w:lineRule="auto"/>
        <w:jc w:val="both"/>
        <w:rPr>
          <w:lang w:eastAsia="zh-CN"/>
        </w:rPr>
        <w:sectPr w:rsidR="00A77B3E" w:rsidRPr="00B62890">
          <w:pgSz w:w="12240" w:h="15840"/>
          <w:pgMar w:top="1440" w:right="1440" w:bottom="1440" w:left="1440" w:header="720" w:footer="720" w:gutter="0"/>
          <w:cols w:space="720"/>
          <w:docGrid w:linePitch="360"/>
        </w:sectPr>
      </w:pPr>
    </w:p>
    <w:p w14:paraId="510ACBE6" w14:textId="77777777" w:rsidR="00660026" w:rsidRPr="00D41215" w:rsidRDefault="00FF0A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63D0B73" w14:textId="77777777" w:rsidR="004B41FA" w:rsidRPr="00660026" w:rsidRDefault="00D3078A">
      <w:pPr>
        <w:spacing w:line="360" w:lineRule="auto"/>
        <w:jc w:val="both"/>
        <w:rPr>
          <w:lang w:eastAsia="zh-CN"/>
        </w:rPr>
      </w:pPr>
      <w:r>
        <w:rPr>
          <w:noProof/>
          <w:lang w:eastAsia="zh-CN"/>
        </w:rPr>
        <w:drawing>
          <wp:inline distT="0" distB="0" distL="0" distR="0" wp14:anchorId="3714B064" wp14:editId="21E88169">
            <wp:extent cx="5943600" cy="288409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84099"/>
                    </a:xfrm>
                    <a:prstGeom prst="rect">
                      <a:avLst/>
                    </a:prstGeom>
                  </pic:spPr>
                </pic:pic>
              </a:graphicData>
            </a:graphic>
          </wp:inline>
        </w:drawing>
      </w:r>
    </w:p>
    <w:p w14:paraId="1F1699C7" w14:textId="77777777" w:rsidR="00A86853" w:rsidRDefault="00FF0AB7">
      <w:pPr>
        <w:spacing w:line="360" w:lineRule="auto"/>
        <w:jc w:val="both"/>
        <w:rPr>
          <w:rFonts w:ascii="Book Antiqua" w:eastAsia="Book Antiqua" w:hAnsi="Book Antiqua" w:cs="Book Antiqua"/>
          <w:color w:val="000000"/>
        </w:rPr>
        <w:sectPr w:rsidR="00A86853">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Possible mechanism</w:t>
      </w:r>
      <w:r w:rsidR="004B47F2">
        <w:rPr>
          <w:rFonts w:ascii="Book Antiqua" w:eastAsia="Book Antiqua" w:hAnsi="Book Antiqua" w:cs="Book Antiqua"/>
          <w:b/>
          <w:bCs/>
          <w:color w:val="000000"/>
        </w:rPr>
        <w:t>s</w:t>
      </w:r>
      <w:r>
        <w:rPr>
          <w:rFonts w:ascii="Book Antiqua" w:eastAsia="Book Antiqua" w:hAnsi="Book Antiqua" w:cs="Book Antiqua"/>
          <w:b/>
          <w:bCs/>
          <w:color w:val="000000"/>
        </w:rPr>
        <w:t xml:space="preserve"> involved in the pathogenesis of COVID-19-associated cholangiopathy during and after COVID-19 infection. </w:t>
      </w:r>
      <w:r>
        <w:rPr>
          <w:rFonts w:ascii="Book Antiqua" w:eastAsia="Book Antiqua" w:hAnsi="Book Antiqua" w:cs="Book Antiqua"/>
          <w:color w:val="000000"/>
        </w:rPr>
        <w:t xml:space="preserve">ACE-2: Angiotensin-converting enzyme 2; COVID-19: 2019 coronavirus disease; SARS-CoV-2: </w:t>
      </w:r>
      <w:proofErr w:type="gramStart"/>
      <w:r>
        <w:rPr>
          <w:rFonts w:ascii="Book Antiqua" w:eastAsia="Book Antiqua" w:hAnsi="Book Antiqua" w:cs="Book Antiqua"/>
          <w:color w:val="000000"/>
        </w:rPr>
        <w:t>Severe acute respiratory syndrome</w:t>
      </w:r>
      <w:proofErr w:type="gramEnd"/>
      <w:r>
        <w:rPr>
          <w:rFonts w:ascii="Book Antiqua" w:eastAsia="Book Antiqua" w:hAnsi="Book Antiqua" w:cs="Book Antiqua"/>
          <w:color w:val="000000"/>
        </w:rPr>
        <w:t xml:space="preserve"> coronavirus 2; TMPRSS2: Transmembrane protease serine 2.</w:t>
      </w:r>
    </w:p>
    <w:p w14:paraId="41162782" w14:textId="77777777" w:rsidR="00A86853" w:rsidRDefault="00A86853" w:rsidP="00A86853">
      <w:pPr>
        <w:snapToGrid w:val="0"/>
        <w:ind w:leftChars="100" w:left="240"/>
        <w:jc w:val="center"/>
        <w:rPr>
          <w:rFonts w:ascii="Book Antiqua" w:hAnsi="Book Antiqua"/>
        </w:rPr>
      </w:pPr>
      <w:bookmarkStart w:id="1" w:name="_Hlk119750176"/>
    </w:p>
    <w:p w14:paraId="09F67342" w14:textId="77777777" w:rsidR="00A86853" w:rsidRDefault="00A86853" w:rsidP="00A86853">
      <w:pPr>
        <w:snapToGrid w:val="0"/>
        <w:ind w:leftChars="100" w:left="240"/>
        <w:jc w:val="center"/>
        <w:rPr>
          <w:rFonts w:ascii="Book Antiqua" w:hAnsi="Book Antiqua"/>
        </w:rPr>
      </w:pPr>
    </w:p>
    <w:p w14:paraId="4EB053F6" w14:textId="77777777" w:rsidR="00A86853" w:rsidRDefault="00A86853" w:rsidP="00A86853">
      <w:pPr>
        <w:snapToGrid w:val="0"/>
        <w:ind w:leftChars="100" w:left="240"/>
        <w:jc w:val="center"/>
        <w:rPr>
          <w:rFonts w:ascii="Book Antiqua" w:hAnsi="Book Antiqua"/>
        </w:rPr>
      </w:pPr>
    </w:p>
    <w:p w14:paraId="5D91EBEB" w14:textId="77777777" w:rsidR="00A86853" w:rsidRDefault="00A86853" w:rsidP="00A86853">
      <w:pPr>
        <w:snapToGrid w:val="0"/>
        <w:ind w:leftChars="100" w:left="240"/>
        <w:jc w:val="center"/>
        <w:rPr>
          <w:rFonts w:ascii="Book Antiqua" w:hAnsi="Book Antiqua"/>
        </w:rPr>
      </w:pPr>
    </w:p>
    <w:p w14:paraId="42147142" w14:textId="77777777" w:rsidR="00A86853" w:rsidRDefault="00A86853" w:rsidP="00A86853">
      <w:pPr>
        <w:snapToGrid w:val="0"/>
        <w:ind w:leftChars="100" w:left="240"/>
        <w:jc w:val="center"/>
        <w:rPr>
          <w:rFonts w:ascii="Book Antiqua" w:hAnsi="Book Antiqua"/>
        </w:rPr>
      </w:pPr>
      <w:r>
        <w:rPr>
          <w:rFonts w:ascii="Book Antiqua" w:hAnsi="Book Antiqua"/>
          <w:noProof/>
        </w:rPr>
        <w:drawing>
          <wp:inline distT="0" distB="0" distL="0" distR="0" wp14:anchorId="4169516A" wp14:editId="006539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49D77B" w14:textId="77777777" w:rsidR="00A86853" w:rsidRDefault="00A86853" w:rsidP="00A86853">
      <w:pPr>
        <w:snapToGrid w:val="0"/>
        <w:ind w:leftChars="100" w:left="240"/>
        <w:jc w:val="center"/>
        <w:rPr>
          <w:rFonts w:ascii="Book Antiqua" w:hAnsi="Book Antiqua"/>
        </w:rPr>
      </w:pPr>
    </w:p>
    <w:p w14:paraId="1CDC4FBE" w14:textId="77777777" w:rsidR="00A86853" w:rsidRDefault="00A86853" w:rsidP="00A8685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EBFF7E" w14:textId="77777777" w:rsidR="00A86853" w:rsidRDefault="00A86853" w:rsidP="00A868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B56BF3" w14:textId="77777777" w:rsidR="00A86853" w:rsidRDefault="00A86853" w:rsidP="00A868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FB27AF" w14:textId="77777777" w:rsidR="00A86853" w:rsidRDefault="00A86853" w:rsidP="00A868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2E5FAE" w14:textId="77777777" w:rsidR="00A86853" w:rsidRDefault="00A86853" w:rsidP="00A868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1980D5" w14:textId="77777777" w:rsidR="00A86853" w:rsidRDefault="00A86853" w:rsidP="00A8685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70576E" w14:textId="77777777" w:rsidR="00A86853" w:rsidRDefault="00A86853" w:rsidP="00A86853">
      <w:pPr>
        <w:snapToGrid w:val="0"/>
        <w:ind w:leftChars="100" w:left="240"/>
        <w:jc w:val="center"/>
        <w:rPr>
          <w:rFonts w:ascii="Book Antiqua" w:hAnsi="Book Antiqua"/>
        </w:rPr>
      </w:pPr>
    </w:p>
    <w:p w14:paraId="79D6C7BC" w14:textId="77777777" w:rsidR="00A86853" w:rsidRDefault="00A86853" w:rsidP="00A86853">
      <w:pPr>
        <w:snapToGrid w:val="0"/>
        <w:ind w:leftChars="100" w:left="240"/>
        <w:jc w:val="center"/>
        <w:rPr>
          <w:rFonts w:ascii="Book Antiqua" w:hAnsi="Book Antiqua"/>
        </w:rPr>
      </w:pPr>
    </w:p>
    <w:p w14:paraId="3FB98104" w14:textId="77777777" w:rsidR="00A86853" w:rsidRDefault="00A86853" w:rsidP="00A86853">
      <w:pPr>
        <w:snapToGrid w:val="0"/>
        <w:ind w:leftChars="100" w:left="240"/>
        <w:jc w:val="center"/>
        <w:rPr>
          <w:rFonts w:ascii="Book Antiqua" w:hAnsi="Book Antiqua"/>
        </w:rPr>
      </w:pPr>
    </w:p>
    <w:p w14:paraId="4A974AE6" w14:textId="77777777" w:rsidR="00A86853" w:rsidRDefault="00A86853" w:rsidP="00A86853">
      <w:pPr>
        <w:snapToGrid w:val="0"/>
        <w:ind w:leftChars="100" w:left="240"/>
        <w:jc w:val="center"/>
        <w:rPr>
          <w:rFonts w:ascii="Book Antiqua" w:hAnsi="Book Antiqua"/>
        </w:rPr>
      </w:pPr>
      <w:r>
        <w:rPr>
          <w:rFonts w:ascii="Book Antiqua" w:hAnsi="Book Antiqua"/>
          <w:noProof/>
        </w:rPr>
        <w:drawing>
          <wp:inline distT="0" distB="0" distL="0" distR="0" wp14:anchorId="466E304B" wp14:editId="0C3F8C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21283B" w14:textId="77777777" w:rsidR="00A86853" w:rsidRDefault="00A86853" w:rsidP="00A86853">
      <w:pPr>
        <w:snapToGrid w:val="0"/>
        <w:ind w:leftChars="100" w:left="240"/>
        <w:jc w:val="center"/>
        <w:rPr>
          <w:rFonts w:ascii="Book Antiqua" w:hAnsi="Book Antiqua"/>
        </w:rPr>
      </w:pPr>
    </w:p>
    <w:p w14:paraId="78112EA1" w14:textId="77777777" w:rsidR="00A86853" w:rsidRDefault="00A86853" w:rsidP="00A86853">
      <w:pPr>
        <w:snapToGrid w:val="0"/>
        <w:ind w:leftChars="100" w:left="240"/>
        <w:jc w:val="center"/>
        <w:rPr>
          <w:rFonts w:ascii="Book Antiqua" w:hAnsi="Book Antiqua"/>
        </w:rPr>
      </w:pPr>
    </w:p>
    <w:p w14:paraId="4636D677" w14:textId="77777777" w:rsidR="00A86853" w:rsidRDefault="00A86853" w:rsidP="00A86853">
      <w:pPr>
        <w:snapToGrid w:val="0"/>
        <w:ind w:leftChars="100" w:left="240"/>
        <w:jc w:val="center"/>
        <w:rPr>
          <w:rFonts w:ascii="Book Antiqua" w:hAnsi="Book Antiqua"/>
        </w:rPr>
      </w:pPr>
    </w:p>
    <w:p w14:paraId="40CE765C" w14:textId="77777777" w:rsidR="00A86853" w:rsidRDefault="00A86853" w:rsidP="00A86853">
      <w:pPr>
        <w:snapToGrid w:val="0"/>
        <w:ind w:leftChars="100" w:left="240"/>
        <w:jc w:val="center"/>
        <w:rPr>
          <w:rFonts w:ascii="Book Antiqua" w:hAnsi="Book Antiqua"/>
        </w:rPr>
      </w:pPr>
    </w:p>
    <w:p w14:paraId="4B9F8D2D" w14:textId="77777777" w:rsidR="00A86853" w:rsidRDefault="00A86853" w:rsidP="00A86853">
      <w:pPr>
        <w:snapToGrid w:val="0"/>
        <w:ind w:leftChars="100" w:left="240"/>
        <w:jc w:val="center"/>
        <w:rPr>
          <w:rFonts w:ascii="Book Antiqua" w:hAnsi="Book Antiqua"/>
        </w:rPr>
      </w:pPr>
    </w:p>
    <w:p w14:paraId="42F7C473" w14:textId="77777777" w:rsidR="00A86853" w:rsidRDefault="00A86853" w:rsidP="00A86853">
      <w:pPr>
        <w:snapToGrid w:val="0"/>
        <w:ind w:leftChars="100" w:left="240"/>
        <w:jc w:val="center"/>
        <w:rPr>
          <w:rFonts w:ascii="Book Antiqua" w:hAnsi="Book Antiqua"/>
        </w:rPr>
      </w:pPr>
    </w:p>
    <w:p w14:paraId="36384618" w14:textId="77777777" w:rsidR="00A86853" w:rsidRDefault="00A86853" w:rsidP="00A86853">
      <w:pPr>
        <w:snapToGrid w:val="0"/>
        <w:ind w:leftChars="100" w:left="240"/>
        <w:jc w:val="center"/>
        <w:rPr>
          <w:rFonts w:ascii="Book Antiqua" w:hAnsi="Book Antiqua"/>
        </w:rPr>
      </w:pPr>
    </w:p>
    <w:p w14:paraId="27E5EA26" w14:textId="77777777" w:rsidR="00A86853" w:rsidRDefault="00A86853" w:rsidP="00A86853">
      <w:pPr>
        <w:snapToGrid w:val="0"/>
        <w:ind w:leftChars="100" w:left="240"/>
        <w:jc w:val="center"/>
        <w:rPr>
          <w:rFonts w:ascii="Book Antiqua" w:hAnsi="Book Antiqua"/>
        </w:rPr>
      </w:pPr>
    </w:p>
    <w:p w14:paraId="3A548F11" w14:textId="77777777" w:rsidR="00A86853" w:rsidRDefault="00A86853" w:rsidP="00A86853">
      <w:pPr>
        <w:snapToGrid w:val="0"/>
        <w:ind w:leftChars="100" w:left="240"/>
        <w:jc w:val="center"/>
        <w:rPr>
          <w:rFonts w:ascii="Book Antiqua" w:hAnsi="Book Antiqua"/>
        </w:rPr>
      </w:pPr>
    </w:p>
    <w:p w14:paraId="59016228" w14:textId="77777777" w:rsidR="00A86853" w:rsidRDefault="00A86853" w:rsidP="00A86853">
      <w:pPr>
        <w:snapToGrid w:val="0"/>
        <w:ind w:leftChars="100" w:left="240"/>
        <w:jc w:val="right"/>
        <w:rPr>
          <w:rFonts w:ascii="Book Antiqua" w:hAnsi="Book Antiqua"/>
          <w:color w:val="000000" w:themeColor="text1"/>
        </w:rPr>
      </w:pPr>
    </w:p>
    <w:p w14:paraId="251F7059" w14:textId="77777777" w:rsidR="00A86853" w:rsidRDefault="00A86853" w:rsidP="00A8685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225DBAD" w14:textId="77777777" w:rsidR="00A86853" w:rsidRDefault="00A86853" w:rsidP="00A86853">
      <w:pPr>
        <w:rPr>
          <w:rFonts w:ascii="Book Antiqua" w:hAnsi="Book Antiqua" w:cs="Book Antiqua"/>
          <w:b/>
          <w:bCs/>
          <w:color w:val="000000"/>
        </w:rPr>
      </w:pPr>
    </w:p>
    <w:p w14:paraId="0EED0CE7" w14:textId="77777777"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A899" w14:textId="77777777" w:rsidR="005516A5" w:rsidRDefault="005516A5" w:rsidP="00660026">
      <w:r>
        <w:separator/>
      </w:r>
    </w:p>
  </w:endnote>
  <w:endnote w:type="continuationSeparator" w:id="0">
    <w:p w14:paraId="59584FE5" w14:textId="77777777" w:rsidR="005516A5" w:rsidRDefault="005516A5" w:rsidP="0066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67289"/>
      <w:docPartObj>
        <w:docPartGallery w:val="Page Numbers (Bottom of Page)"/>
        <w:docPartUnique/>
      </w:docPartObj>
    </w:sdtPr>
    <w:sdtEndPr/>
    <w:sdtContent>
      <w:sdt>
        <w:sdtPr>
          <w:id w:val="860082579"/>
          <w:docPartObj>
            <w:docPartGallery w:val="Page Numbers (Top of Page)"/>
            <w:docPartUnique/>
          </w:docPartObj>
        </w:sdtPr>
        <w:sdtEndPr/>
        <w:sdtContent>
          <w:p w14:paraId="5BB33082" w14:textId="77777777" w:rsidR="00660026" w:rsidRDefault="0066002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28CE">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28CE">
              <w:rPr>
                <w:b/>
                <w:bCs/>
                <w:noProof/>
              </w:rPr>
              <w:t>20</w:t>
            </w:r>
            <w:r>
              <w:rPr>
                <w:b/>
                <w:bCs/>
                <w:sz w:val="24"/>
                <w:szCs w:val="24"/>
              </w:rPr>
              <w:fldChar w:fldCharType="end"/>
            </w:r>
          </w:p>
        </w:sdtContent>
      </w:sdt>
    </w:sdtContent>
  </w:sdt>
  <w:p w14:paraId="0458C6B8" w14:textId="77777777" w:rsidR="00660026" w:rsidRDefault="00660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6146" w14:textId="77777777" w:rsidR="005516A5" w:rsidRDefault="005516A5" w:rsidP="00660026">
      <w:r>
        <w:separator/>
      </w:r>
    </w:p>
  </w:footnote>
  <w:footnote w:type="continuationSeparator" w:id="0">
    <w:p w14:paraId="21C36E59" w14:textId="77777777" w:rsidR="005516A5" w:rsidRDefault="005516A5" w:rsidP="0066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6E4"/>
    <w:rsid w:val="00037117"/>
    <w:rsid w:val="0010623B"/>
    <w:rsid w:val="00254183"/>
    <w:rsid w:val="002A65BF"/>
    <w:rsid w:val="002D25CF"/>
    <w:rsid w:val="003A6221"/>
    <w:rsid w:val="00444AFE"/>
    <w:rsid w:val="00457008"/>
    <w:rsid w:val="004B1CD1"/>
    <w:rsid w:val="004B41FA"/>
    <w:rsid w:val="004B47F2"/>
    <w:rsid w:val="00502565"/>
    <w:rsid w:val="005516A5"/>
    <w:rsid w:val="00557D6D"/>
    <w:rsid w:val="005A20D9"/>
    <w:rsid w:val="005B5DB9"/>
    <w:rsid w:val="00660026"/>
    <w:rsid w:val="006E4AE7"/>
    <w:rsid w:val="006E5677"/>
    <w:rsid w:val="00744F26"/>
    <w:rsid w:val="0076537A"/>
    <w:rsid w:val="00772B4E"/>
    <w:rsid w:val="00795731"/>
    <w:rsid w:val="008A447D"/>
    <w:rsid w:val="008B3847"/>
    <w:rsid w:val="00941576"/>
    <w:rsid w:val="00A77B3E"/>
    <w:rsid w:val="00A86853"/>
    <w:rsid w:val="00AE0FB6"/>
    <w:rsid w:val="00B13AFD"/>
    <w:rsid w:val="00B3596A"/>
    <w:rsid w:val="00B62890"/>
    <w:rsid w:val="00C51BB7"/>
    <w:rsid w:val="00CA2A55"/>
    <w:rsid w:val="00CE4898"/>
    <w:rsid w:val="00CF3C5D"/>
    <w:rsid w:val="00D3078A"/>
    <w:rsid w:val="00D41215"/>
    <w:rsid w:val="00E156EA"/>
    <w:rsid w:val="00E70B55"/>
    <w:rsid w:val="00EB3557"/>
    <w:rsid w:val="00FC28CE"/>
    <w:rsid w:val="00FE297E"/>
    <w:rsid w:val="00FF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98AB2"/>
  <w15:docId w15:val="{47117603-7F55-FC4D-B8CC-157C81B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00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0026"/>
    <w:rPr>
      <w:sz w:val="18"/>
      <w:szCs w:val="18"/>
    </w:rPr>
  </w:style>
  <w:style w:type="paragraph" w:styleId="a5">
    <w:name w:val="footer"/>
    <w:basedOn w:val="a"/>
    <w:link w:val="a6"/>
    <w:uiPriority w:val="99"/>
    <w:rsid w:val="00660026"/>
    <w:pPr>
      <w:tabs>
        <w:tab w:val="center" w:pos="4153"/>
        <w:tab w:val="right" w:pos="8306"/>
      </w:tabs>
      <w:snapToGrid w:val="0"/>
    </w:pPr>
    <w:rPr>
      <w:sz w:val="18"/>
      <w:szCs w:val="18"/>
    </w:rPr>
  </w:style>
  <w:style w:type="character" w:customStyle="1" w:styleId="a6">
    <w:name w:val="页脚 字符"/>
    <w:basedOn w:val="a0"/>
    <w:link w:val="a5"/>
    <w:uiPriority w:val="99"/>
    <w:rsid w:val="00660026"/>
    <w:rPr>
      <w:sz w:val="18"/>
      <w:szCs w:val="18"/>
    </w:rPr>
  </w:style>
  <w:style w:type="paragraph" w:styleId="a7">
    <w:name w:val="Balloon Text"/>
    <w:basedOn w:val="a"/>
    <w:link w:val="a8"/>
    <w:rsid w:val="00660026"/>
    <w:rPr>
      <w:sz w:val="18"/>
      <w:szCs w:val="18"/>
    </w:rPr>
  </w:style>
  <w:style w:type="character" w:customStyle="1" w:styleId="a8">
    <w:name w:val="批注框文本 字符"/>
    <w:basedOn w:val="a0"/>
    <w:link w:val="a7"/>
    <w:rsid w:val="00660026"/>
    <w:rPr>
      <w:sz w:val="18"/>
      <w:szCs w:val="18"/>
    </w:rPr>
  </w:style>
  <w:style w:type="character" w:styleId="a9">
    <w:name w:val="annotation reference"/>
    <w:basedOn w:val="a0"/>
    <w:rsid w:val="00CE4898"/>
    <w:rPr>
      <w:sz w:val="21"/>
      <w:szCs w:val="21"/>
    </w:rPr>
  </w:style>
  <w:style w:type="paragraph" w:styleId="aa">
    <w:name w:val="annotation text"/>
    <w:basedOn w:val="a"/>
    <w:link w:val="ab"/>
    <w:rsid w:val="00CE4898"/>
  </w:style>
  <w:style w:type="character" w:customStyle="1" w:styleId="ab">
    <w:name w:val="批注文字 字符"/>
    <w:basedOn w:val="a0"/>
    <w:link w:val="aa"/>
    <w:rsid w:val="00CE4898"/>
    <w:rPr>
      <w:sz w:val="24"/>
      <w:szCs w:val="24"/>
    </w:rPr>
  </w:style>
  <w:style w:type="paragraph" w:styleId="ac">
    <w:name w:val="annotation subject"/>
    <w:basedOn w:val="aa"/>
    <w:next w:val="aa"/>
    <w:link w:val="ad"/>
    <w:rsid w:val="00CE4898"/>
    <w:rPr>
      <w:b/>
      <w:bCs/>
    </w:rPr>
  </w:style>
  <w:style w:type="character" w:customStyle="1" w:styleId="ad">
    <w:name w:val="批注主题 字符"/>
    <w:basedOn w:val="ab"/>
    <w:link w:val="ac"/>
    <w:rsid w:val="00CE4898"/>
    <w:rPr>
      <w:b/>
      <w:bCs/>
      <w:sz w:val="24"/>
      <w:szCs w:val="24"/>
    </w:rPr>
  </w:style>
  <w:style w:type="paragraph" w:styleId="ae">
    <w:name w:val="Revision"/>
    <w:hidden/>
    <w:uiPriority w:val="99"/>
    <w:semiHidden/>
    <w:rsid w:val="002A65BF"/>
    <w:rPr>
      <w:sz w:val="24"/>
      <w:szCs w:val="24"/>
    </w:rPr>
  </w:style>
  <w:style w:type="character" w:styleId="af">
    <w:name w:val="Hyperlink"/>
    <w:basedOn w:val="a0"/>
    <w:unhideWhenUsed/>
    <w:rsid w:val="005A20D9"/>
    <w:rPr>
      <w:color w:val="0000FF" w:themeColor="hyperlink"/>
      <w:u w:val="single"/>
    </w:rPr>
  </w:style>
  <w:style w:type="character" w:styleId="af0">
    <w:name w:val="Unresolved Mention"/>
    <w:basedOn w:val="a0"/>
    <w:uiPriority w:val="99"/>
    <w:semiHidden/>
    <w:unhideWhenUsed/>
    <w:rsid w:val="005A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5694</Words>
  <Characters>32461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Chen YX</cp:lastModifiedBy>
  <cp:revision>28</cp:revision>
  <dcterms:created xsi:type="dcterms:W3CDTF">2022-11-06T13:19:00Z</dcterms:created>
  <dcterms:modified xsi:type="dcterms:W3CDTF">2022-11-23T11:04:00Z</dcterms:modified>
</cp:coreProperties>
</file>